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57131B" w:rsidRDefault="0057131B">
      <w:pPr>
        <w:pStyle w:val="abbreviation"/>
      </w:pPr>
    </w:p>
    <w:p w14:paraId="7FE1B2AF" w14:textId="77777777" w:rsidR="0057131B" w:rsidRDefault="00355A1C">
      <w:pPr>
        <w:pStyle w:val="P68B1DB1-ListParagraph1"/>
        <w:jc w:val="center"/>
        <w:rPr>
          <w:bCs/>
        </w:rPr>
      </w:pPr>
      <w:r>
        <w:t>Bilaga II: Anvisningar</w:t>
      </w:r>
    </w:p>
    <w:p w14:paraId="7FE1B2B0" w14:textId="77777777" w:rsidR="0057131B" w:rsidRDefault="0057131B">
      <w:pPr>
        <w:rPr>
          <w:rFonts w:ascii="Times New Roman" w:hAnsi="Times New Roman" w:cs="Times New Roman"/>
          <w:b/>
          <w:color w:val="000000" w:themeColor="text1"/>
          <w:sz w:val="20"/>
          <w:szCs w:val="20"/>
        </w:rPr>
      </w:pPr>
    </w:p>
    <w:p w14:paraId="7FE1B2B1" w14:textId="77777777" w:rsidR="0057131B" w:rsidRDefault="0057131B">
      <w:pPr>
        <w:rPr>
          <w:rFonts w:ascii="Times New Roman" w:hAnsi="Times New Roman" w:cs="Times New Roman"/>
          <w:b/>
          <w:color w:val="000000" w:themeColor="text1"/>
          <w:sz w:val="20"/>
          <w:szCs w:val="20"/>
        </w:rPr>
      </w:pPr>
    </w:p>
    <w:p w14:paraId="14843993" w14:textId="08E3AE9E" w:rsidR="004D0716" w:rsidRDefault="00355A1C">
      <w:pPr>
        <w:pStyle w:val="TOC2"/>
        <w:rPr>
          <w:noProof/>
          <w:lang w:val="sv-SE" w:eastAsia="sv-SE"/>
        </w:rPr>
      </w:pPr>
      <w:r>
        <w:fldChar w:fldCharType="begin"/>
      </w:r>
      <w:r>
        <w:rPr>
          <w:bCs/>
          <w:sz w:val="20"/>
          <w:szCs w:val="20"/>
        </w:rPr>
        <w:instrText xml:space="preserve"> TOC \o "1-3" \h \z \t "Numbered tile level 1,1,Numbered title level 2,2" </w:instrText>
      </w:r>
      <w:r>
        <w:fldChar w:fldCharType="separate"/>
      </w:r>
      <w:hyperlink w:anchor="_Toc210901273" w:history="1">
        <w:r w:rsidR="004D0716" w:rsidRPr="00B82495">
          <w:rPr>
            <w:rStyle w:val="Hyperlink"/>
            <w:noProof/>
          </w:rPr>
          <w:t>I.</w:t>
        </w:r>
        <w:r w:rsidR="004D0716">
          <w:rPr>
            <w:noProof/>
            <w:lang w:val="sv-SE" w:eastAsia="sv-SE"/>
          </w:rPr>
          <w:tab/>
        </w:r>
        <w:r w:rsidR="004D0716" w:rsidRPr="00B82495">
          <w:rPr>
            <w:rStyle w:val="Hyperlink"/>
            <w:noProof/>
          </w:rPr>
          <w:t>Allmänna instruktioner</w:t>
        </w:r>
        <w:r w:rsidR="004D0716">
          <w:rPr>
            <w:noProof/>
            <w:webHidden/>
          </w:rPr>
          <w:tab/>
        </w:r>
        <w:r w:rsidR="004D0716">
          <w:rPr>
            <w:noProof/>
            <w:webHidden/>
          </w:rPr>
          <w:fldChar w:fldCharType="begin"/>
        </w:r>
        <w:r w:rsidR="004D0716">
          <w:rPr>
            <w:noProof/>
            <w:webHidden/>
          </w:rPr>
          <w:instrText xml:space="preserve"> PAGEREF _Toc210901273 \h </w:instrText>
        </w:r>
        <w:r w:rsidR="004D0716">
          <w:rPr>
            <w:noProof/>
            <w:webHidden/>
          </w:rPr>
        </w:r>
        <w:r w:rsidR="004D0716">
          <w:rPr>
            <w:noProof/>
            <w:webHidden/>
          </w:rPr>
          <w:fldChar w:fldCharType="separate"/>
        </w:r>
        <w:r w:rsidR="004D0716">
          <w:rPr>
            <w:noProof/>
            <w:webHidden/>
          </w:rPr>
          <w:t>3</w:t>
        </w:r>
        <w:r w:rsidR="004D0716">
          <w:rPr>
            <w:noProof/>
            <w:webHidden/>
          </w:rPr>
          <w:fldChar w:fldCharType="end"/>
        </w:r>
      </w:hyperlink>
    </w:p>
    <w:p w14:paraId="2FA17234" w14:textId="5B784EB2" w:rsidR="004D0716" w:rsidRDefault="004D0716">
      <w:pPr>
        <w:pStyle w:val="TOC2"/>
        <w:rPr>
          <w:noProof/>
          <w:lang w:val="sv-SE" w:eastAsia="sv-SE"/>
        </w:rPr>
      </w:pPr>
      <w:hyperlink w:anchor="_Toc210901274" w:history="1">
        <w:r w:rsidRPr="00B82495">
          <w:rPr>
            <w:rStyle w:val="Hyperlink"/>
            <w:noProof/>
          </w:rPr>
          <w:t>I.1</w:t>
        </w:r>
        <w:r>
          <w:rPr>
            <w:noProof/>
            <w:lang w:val="sv-SE" w:eastAsia="sv-SE"/>
          </w:rPr>
          <w:tab/>
        </w:r>
        <w:r w:rsidRPr="00B82495">
          <w:rPr>
            <w:rStyle w:val="Hyperlink"/>
            <w:noProof/>
          </w:rPr>
          <w:t>Stöd</w:t>
        </w:r>
        <w:r>
          <w:rPr>
            <w:noProof/>
            <w:webHidden/>
          </w:rPr>
          <w:tab/>
        </w:r>
        <w:r>
          <w:rPr>
            <w:noProof/>
            <w:webHidden/>
          </w:rPr>
          <w:fldChar w:fldCharType="begin"/>
        </w:r>
        <w:r>
          <w:rPr>
            <w:noProof/>
            <w:webHidden/>
          </w:rPr>
          <w:instrText xml:space="preserve"> PAGEREF _Toc210901274 \h </w:instrText>
        </w:r>
        <w:r>
          <w:rPr>
            <w:noProof/>
            <w:webHidden/>
          </w:rPr>
        </w:r>
        <w:r>
          <w:rPr>
            <w:noProof/>
            <w:webHidden/>
          </w:rPr>
          <w:fldChar w:fldCharType="separate"/>
        </w:r>
        <w:r>
          <w:rPr>
            <w:noProof/>
            <w:webHidden/>
          </w:rPr>
          <w:t>3</w:t>
        </w:r>
        <w:r>
          <w:rPr>
            <w:noProof/>
            <w:webHidden/>
          </w:rPr>
          <w:fldChar w:fldCharType="end"/>
        </w:r>
      </w:hyperlink>
    </w:p>
    <w:p w14:paraId="5FA6F866" w14:textId="4FDE43BB" w:rsidR="004D0716" w:rsidRDefault="004D0716">
      <w:pPr>
        <w:pStyle w:val="TOC2"/>
        <w:rPr>
          <w:noProof/>
          <w:lang w:val="sv-SE" w:eastAsia="sv-SE"/>
        </w:rPr>
      </w:pPr>
      <w:hyperlink w:anchor="_Toc210901275" w:history="1">
        <w:r w:rsidRPr="00B82495">
          <w:rPr>
            <w:rStyle w:val="Hyperlink"/>
            <w:noProof/>
          </w:rPr>
          <w:t>I.2</w:t>
        </w:r>
        <w:r>
          <w:rPr>
            <w:noProof/>
            <w:lang w:val="sv-SE" w:eastAsia="sv-SE"/>
          </w:rPr>
          <w:tab/>
        </w:r>
        <w:r w:rsidRPr="00B82495">
          <w:rPr>
            <w:rStyle w:val="Hyperlink"/>
            <w:noProof/>
          </w:rPr>
          <w:t>Referensnummer</w:t>
        </w:r>
        <w:r>
          <w:rPr>
            <w:noProof/>
            <w:webHidden/>
          </w:rPr>
          <w:tab/>
        </w:r>
        <w:r>
          <w:rPr>
            <w:noProof/>
            <w:webHidden/>
          </w:rPr>
          <w:fldChar w:fldCharType="begin"/>
        </w:r>
        <w:r>
          <w:rPr>
            <w:noProof/>
            <w:webHidden/>
          </w:rPr>
          <w:instrText xml:space="preserve"> PAGEREF _Toc210901275 \h </w:instrText>
        </w:r>
        <w:r>
          <w:rPr>
            <w:noProof/>
            <w:webHidden/>
          </w:rPr>
        </w:r>
        <w:r>
          <w:rPr>
            <w:noProof/>
            <w:webHidden/>
          </w:rPr>
          <w:fldChar w:fldCharType="separate"/>
        </w:r>
        <w:r>
          <w:rPr>
            <w:noProof/>
            <w:webHidden/>
          </w:rPr>
          <w:t>4</w:t>
        </w:r>
        <w:r>
          <w:rPr>
            <w:noProof/>
            <w:webHidden/>
          </w:rPr>
          <w:fldChar w:fldCharType="end"/>
        </w:r>
      </w:hyperlink>
    </w:p>
    <w:p w14:paraId="23945426" w14:textId="03DBE231" w:rsidR="004D0716" w:rsidRDefault="004D0716">
      <w:pPr>
        <w:pStyle w:val="TOC2"/>
        <w:rPr>
          <w:noProof/>
          <w:lang w:val="sv-SE" w:eastAsia="sv-SE"/>
        </w:rPr>
      </w:pPr>
      <w:hyperlink w:anchor="_Toc210901276" w:history="1">
        <w:r w:rsidRPr="00B82495">
          <w:rPr>
            <w:rStyle w:val="Hyperlink"/>
            <w:noProof/>
          </w:rPr>
          <w:t>I.3</w:t>
        </w:r>
        <w:r>
          <w:rPr>
            <w:noProof/>
            <w:lang w:val="sv-SE" w:eastAsia="sv-SE"/>
          </w:rPr>
          <w:tab/>
        </w:r>
        <w:r w:rsidRPr="00B82495">
          <w:rPr>
            <w:rStyle w:val="Hyperlink"/>
            <w:noProof/>
          </w:rPr>
          <w:t>Redovisningsregler</w:t>
        </w:r>
        <w:r>
          <w:rPr>
            <w:noProof/>
            <w:webHidden/>
          </w:rPr>
          <w:tab/>
        </w:r>
        <w:r>
          <w:rPr>
            <w:noProof/>
            <w:webHidden/>
          </w:rPr>
          <w:fldChar w:fldCharType="begin"/>
        </w:r>
        <w:r>
          <w:rPr>
            <w:noProof/>
            <w:webHidden/>
          </w:rPr>
          <w:instrText xml:space="preserve"> PAGEREF _Toc210901276 \h </w:instrText>
        </w:r>
        <w:r>
          <w:rPr>
            <w:noProof/>
            <w:webHidden/>
          </w:rPr>
        </w:r>
        <w:r>
          <w:rPr>
            <w:noProof/>
            <w:webHidden/>
          </w:rPr>
          <w:fldChar w:fldCharType="separate"/>
        </w:r>
        <w:r>
          <w:rPr>
            <w:noProof/>
            <w:webHidden/>
          </w:rPr>
          <w:t>5</w:t>
        </w:r>
        <w:r>
          <w:rPr>
            <w:noProof/>
            <w:webHidden/>
          </w:rPr>
          <w:fldChar w:fldCharType="end"/>
        </w:r>
      </w:hyperlink>
    </w:p>
    <w:p w14:paraId="0C6CE949" w14:textId="6AAE1691" w:rsidR="004D0716" w:rsidRDefault="004D0716">
      <w:pPr>
        <w:pStyle w:val="TOC2"/>
        <w:rPr>
          <w:noProof/>
          <w:lang w:val="sv-SE" w:eastAsia="sv-SE"/>
        </w:rPr>
      </w:pPr>
      <w:hyperlink w:anchor="_Toc210901277" w:history="1">
        <w:r w:rsidRPr="00B82495">
          <w:rPr>
            <w:rStyle w:val="Hyperlink"/>
            <w:noProof/>
          </w:rPr>
          <w:t>I.4</w:t>
        </w:r>
        <w:r>
          <w:rPr>
            <w:noProof/>
            <w:lang w:val="sv-SE" w:eastAsia="sv-SE"/>
          </w:rPr>
          <w:tab/>
        </w:r>
        <w:r w:rsidRPr="00B82495">
          <w:rPr>
            <w:rStyle w:val="Hyperlink"/>
            <w:noProof/>
          </w:rPr>
          <w:t>Rapportering av tillsynsuppgifter</w:t>
        </w:r>
        <w:r>
          <w:rPr>
            <w:noProof/>
            <w:webHidden/>
          </w:rPr>
          <w:tab/>
        </w:r>
        <w:r>
          <w:rPr>
            <w:noProof/>
            <w:webHidden/>
          </w:rPr>
          <w:fldChar w:fldCharType="begin"/>
        </w:r>
        <w:r>
          <w:rPr>
            <w:noProof/>
            <w:webHidden/>
          </w:rPr>
          <w:instrText xml:space="preserve"> PAGEREF _Toc210901277 \h </w:instrText>
        </w:r>
        <w:r>
          <w:rPr>
            <w:noProof/>
            <w:webHidden/>
          </w:rPr>
        </w:r>
        <w:r>
          <w:rPr>
            <w:noProof/>
            <w:webHidden/>
          </w:rPr>
          <w:fldChar w:fldCharType="separate"/>
        </w:r>
        <w:r>
          <w:rPr>
            <w:noProof/>
            <w:webHidden/>
          </w:rPr>
          <w:t>5</w:t>
        </w:r>
        <w:r>
          <w:rPr>
            <w:noProof/>
            <w:webHidden/>
          </w:rPr>
          <w:fldChar w:fldCharType="end"/>
        </w:r>
      </w:hyperlink>
    </w:p>
    <w:p w14:paraId="493E40D4" w14:textId="79E7D4D9" w:rsidR="004D0716" w:rsidRDefault="004D0716">
      <w:pPr>
        <w:pStyle w:val="TOC2"/>
        <w:rPr>
          <w:noProof/>
          <w:lang w:val="sv-SE" w:eastAsia="sv-SE"/>
        </w:rPr>
      </w:pPr>
      <w:hyperlink w:anchor="_Toc210901278" w:history="1">
        <w:r w:rsidRPr="00B82495">
          <w:rPr>
            <w:rStyle w:val="Hyperlink"/>
            <w:noProof/>
          </w:rPr>
          <w:t>I.5</w:t>
        </w:r>
        <w:r>
          <w:rPr>
            <w:noProof/>
            <w:lang w:val="sv-SE" w:eastAsia="sv-SE"/>
          </w:rPr>
          <w:tab/>
        </w:r>
        <w:r w:rsidRPr="00B82495">
          <w:rPr>
            <w:rStyle w:val="Hyperlink"/>
            <w:noProof/>
          </w:rPr>
          <w:t>Konsolideringens omfattning</w:t>
        </w:r>
        <w:r>
          <w:rPr>
            <w:noProof/>
            <w:webHidden/>
          </w:rPr>
          <w:tab/>
        </w:r>
        <w:r>
          <w:rPr>
            <w:noProof/>
            <w:webHidden/>
          </w:rPr>
          <w:fldChar w:fldCharType="begin"/>
        </w:r>
        <w:r>
          <w:rPr>
            <w:noProof/>
            <w:webHidden/>
          </w:rPr>
          <w:instrText xml:space="preserve"> PAGEREF _Toc210901278 \h </w:instrText>
        </w:r>
        <w:r>
          <w:rPr>
            <w:noProof/>
            <w:webHidden/>
          </w:rPr>
        </w:r>
        <w:r>
          <w:rPr>
            <w:noProof/>
            <w:webHidden/>
          </w:rPr>
          <w:fldChar w:fldCharType="separate"/>
        </w:r>
        <w:r>
          <w:rPr>
            <w:noProof/>
            <w:webHidden/>
          </w:rPr>
          <w:t>6</w:t>
        </w:r>
        <w:r>
          <w:rPr>
            <w:noProof/>
            <w:webHidden/>
          </w:rPr>
          <w:fldChar w:fldCharType="end"/>
        </w:r>
      </w:hyperlink>
    </w:p>
    <w:p w14:paraId="7449DE67" w14:textId="1B4DDA82" w:rsidR="004D0716" w:rsidRDefault="004D0716">
      <w:pPr>
        <w:pStyle w:val="TOC2"/>
        <w:rPr>
          <w:noProof/>
          <w:lang w:val="sv-SE" w:eastAsia="sv-SE"/>
        </w:rPr>
      </w:pPr>
      <w:hyperlink w:anchor="_Toc210901279" w:history="1">
        <w:r w:rsidRPr="00B82495">
          <w:rPr>
            <w:rStyle w:val="Hyperlink"/>
            <w:noProof/>
          </w:rPr>
          <w:t>I.6</w:t>
        </w:r>
        <w:r>
          <w:rPr>
            <w:noProof/>
            <w:lang w:val="sv-SE" w:eastAsia="sv-SE"/>
          </w:rPr>
          <w:tab/>
        </w:r>
        <w:r w:rsidRPr="00B82495">
          <w:rPr>
            <w:rStyle w:val="Hyperlink"/>
            <w:noProof/>
          </w:rPr>
          <w:t>Numrering och övriga konventioner</w:t>
        </w:r>
        <w:r>
          <w:rPr>
            <w:noProof/>
            <w:webHidden/>
          </w:rPr>
          <w:tab/>
        </w:r>
        <w:r>
          <w:rPr>
            <w:noProof/>
            <w:webHidden/>
          </w:rPr>
          <w:fldChar w:fldCharType="begin"/>
        </w:r>
        <w:r>
          <w:rPr>
            <w:noProof/>
            <w:webHidden/>
          </w:rPr>
          <w:instrText xml:space="preserve"> PAGEREF _Toc210901279 \h </w:instrText>
        </w:r>
        <w:r>
          <w:rPr>
            <w:noProof/>
            <w:webHidden/>
          </w:rPr>
        </w:r>
        <w:r>
          <w:rPr>
            <w:noProof/>
            <w:webHidden/>
          </w:rPr>
          <w:fldChar w:fldCharType="separate"/>
        </w:r>
        <w:r>
          <w:rPr>
            <w:noProof/>
            <w:webHidden/>
          </w:rPr>
          <w:t>6</w:t>
        </w:r>
        <w:r>
          <w:rPr>
            <w:noProof/>
            <w:webHidden/>
          </w:rPr>
          <w:fldChar w:fldCharType="end"/>
        </w:r>
      </w:hyperlink>
    </w:p>
    <w:p w14:paraId="50E60A01" w14:textId="1208B2E0" w:rsidR="004D0716" w:rsidRDefault="004D0716">
      <w:pPr>
        <w:pStyle w:val="TOC2"/>
        <w:rPr>
          <w:noProof/>
          <w:lang w:val="sv-SE" w:eastAsia="sv-SE"/>
        </w:rPr>
      </w:pPr>
      <w:hyperlink w:anchor="_Toc210901280" w:history="1">
        <w:r w:rsidRPr="00B82495">
          <w:rPr>
            <w:rStyle w:val="Hyperlink"/>
            <w:noProof/>
          </w:rPr>
          <w:t>II.</w:t>
        </w:r>
        <w:r>
          <w:rPr>
            <w:noProof/>
            <w:lang w:val="sv-SE" w:eastAsia="sv-SE"/>
          </w:rPr>
          <w:tab/>
        </w:r>
        <w:r w:rsidRPr="00B82495">
          <w:rPr>
            <w:rStyle w:val="Hyperlink"/>
            <w:noProof/>
          </w:rPr>
          <w:t>Mallrelaterade anvisningar</w:t>
        </w:r>
        <w:r>
          <w:rPr>
            <w:noProof/>
            <w:webHidden/>
          </w:rPr>
          <w:tab/>
        </w:r>
        <w:r>
          <w:rPr>
            <w:noProof/>
            <w:webHidden/>
          </w:rPr>
          <w:fldChar w:fldCharType="begin"/>
        </w:r>
        <w:r>
          <w:rPr>
            <w:noProof/>
            <w:webHidden/>
          </w:rPr>
          <w:instrText xml:space="preserve"> PAGEREF _Toc210901280 \h </w:instrText>
        </w:r>
        <w:r>
          <w:rPr>
            <w:noProof/>
            <w:webHidden/>
          </w:rPr>
        </w:r>
        <w:r>
          <w:rPr>
            <w:noProof/>
            <w:webHidden/>
          </w:rPr>
          <w:fldChar w:fldCharType="separate"/>
        </w:r>
        <w:r>
          <w:rPr>
            <w:noProof/>
            <w:webHidden/>
          </w:rPr>
          <w:t>6</w:t>
        </w:r>
        <w:r>
          <w:rPr>
            <w:noProof/>
            <w:webHidden/>
          </w:rPr>
          <w:fldChar w:fldCharType="end"/>
        </w:r>
      </w:hyperlink>
    </w:p>
    <w:p w14:paraId="241ABA7B" w14:textId="1293432F" w:rsidR="004D0716" w:rsidRDefault="004D0716">
      <w:pPr>
        <w:pStyle w:val="TOC2"/>
        <w:rPr>
          <w:noProof/>
          <w:lang w:val="sv-SE" w:eastAsia="sv-SE"/>
        </w:rPr>
      </w:pPr>
      <w:hyperlink w:anchor="_Toc210901281" w:history="1">
        <w:r w:rsidRPr="00B82495">
          <w:rPr>
            <w:rStyle w:val="Hyperlink"/>
            <w:noProof/>
          </w:rPr>
          <w:t>II.1</w:t>
        </w:r>
        <w:r>
          <w:rPr>
            <w:noProof/>
            <w:lang w:val="sv-SE" w:eastAsia="sv-SE"/>
          </w:rPr>
          <w:tab/>
        </w:r>
        <w:r w:rsidRPr="00B82495">
          <w:rPr>
            <w:rStyle w:val="Hyperlink"/>
            <w:noProof/>
          </w:rPr>
          <w:t>Z 01.01 – Juridiska enheter (ORG 1)</w:t>
        </w:r>
        <w:r>
          <w:rPr>
            <w:noProof/>
            <w:webHidden/>
          </w:rPr>
          <w:tab/>
        </w:r>
        <w:r>
          <w:rPr>
            <w:noProof/>
            <w:webHidden/>
          </w:rPr>
          <w:fldChar w:fldCharType="begin"/>
        </w:r>
        <w:r>
          <w:rPr>
            <w:noProof/>
            <w:webHidden/>
          </w:rPr>
          <w:instrText xml:space="preserve"> PAGEREF _Toc210901281 \h </w:instrText>
        </w:r>
        <w:r>
          <w:rPr>
            <w:noProof/>
            <w:webHidden/>
          </w:rPr>
        </w:r>
        <w:r>
          <w:rPr>
            <w:noProof/>
            <w:webHidden/>
          </w:rPr>
          <w:fldChar w:fldCharType="separate"/>
        </w:r>
        <w:r>
          <w:rPr>
            <w:noProof/>
            <w:webHidden/>
          </w:rPr>
          <w:t>6</w:t>
        </w:r>
        <w:r>
          <w:rPr>
            <w:noProof/>
            <w:webHidden/>
          </w:rPr>
          <w:fldChar w:fldCharType="end"/>
        </w:r>
      </w:hyperlink>
    </w:p>
    <w:p w14:paraId="3070CCAA" w14:textId="1DACA54F" w:rsidR="004D0716" w:rsidRDefault="004D0716">
      <w:pPr>
        <w:pStyle w:val="TOC2"/>
        <w:rPr>
          <w:noProof/>
          <w:lang w:val="sv-SE" w:eastAsia="sv-SE"/>
        </w:rPr>
      </w:pPr>
      <w:hyperlink w:anchor="_Toc210901282" w:history="1">
        <w:r w:rsidRPr="00B82495">
          <w:rPr>
            <w:rStyle w:val="Hyperlink"/>
            <w:noProof/>
          </w:rPr>
          <w:t>II.2</w:t>
        </w:r>
        <w:r>
          <w:rPr>
            <w:noProof/>
            <w:lang w:val="sv-SE" w:eastAsia="sv-SE"/>
          </w:rPr>
          <w:tab/>
        </w:r>
        <w:r w:rsidRPr="00B82495">
          <w:rPr>
            <w:rStyle w:val="Hyperlink"/>
            <w:noProof/>
          </w:rPr>
          <w:t>Z 01.02 – Äganderelation (ORG 2)</w:t>
        </w:r>
        <w:r>
          <w:rPr>
            <w:noProof/>
            <w:webHidden/>
          </w:rPr>
          <w:tab/>
        </w:r>
        <w:r>
          <w:rPr>
            <w:noProof/>
            <w:webHidden/>
          </w:rPr>
          <w:fldChar w:fldCharType="begin"/>
        </w:r>
        <w:r>
          <w:rPr>
            <w:noProof/>
            <w:webHidden/>
          </w:rPr>
          <w:instrText xml:space="preserve"> PAGEREF _Toc210901282 \h </w:instrText>
        </w:r>
        <w:r>
          <w:rPr>
            <w:noProof/>
            <w:webHidden/>
          </w:rPr>
        </w:r>
        <w:r>
          <w:rPr>
            <w:noProof/>
            <w:webHidden/>
          </w:rPr>
          <w:fldChar w:fldCharType="separate"/>
        </w:r>
        <w:r>
          <w:rPr>
            <w:noProof/>
            <w:webHidden/>
          </w:rPr>
          <w:t>10</w:t>
        </w:r>
        <w:r>
          <w:rPr>
            <w:noProof/>
            <w:webHidden/>
          </w:rPr>
          <w:fldChar w:fldCharType="end"/>
        </w:r>
      </w:hyperlink>
    </w:p>
    <w:p w14:paraId="72685046" w14:textId="01A839E4" w:rsidR="004D0716" w:rsidRDefault="004D0716">
      <w:pPr>
        <w:pStyle w:val="TOC2"/>
        <w:rPr>
          <w:noProof/>
          <w:lang w:val="sv-SE" w:eastAsia="sv-SE"/>
        </w:rPr>
      </w:pPr>
      <w:hyperlink w:anchor="_Toc210901283" w:history="1">
        <w:r w:rsidRPr="00B82495">
          <w:rPr>
            <w:rStyle w:val="Hyperlink"/>
            <w:noProof/>
          </w:rPr>
          <w:t>II.3</w:t>
        </w:r>
        <w:r>
          <w:rPr>
            <w:noProof/>
            <w:lang w:val="sv-SE" w:eastAsia="sv-SE"/>
          </w:rPr>
          <w:tab/>
        </w:r>
        <w:r w:rsidRPr="00B82495">
          <w:rPr>
            <w:rStyle w:val="Hyperlink"/>
            <w:noProof/>
          </w:rPr>
          <w:t>Z 02.00 – Skuldstruktur (LIAB 1)</w:t>
        </w:r>
        <w:r>
          <w:rPr>
            <w:noProof/>
            <w:webHidden/>
          </w:rPr>
          <w:tab/>
        </w:r>
        <w:r>
          <w:rPr>
            <w:noProof/>
            <w:webHidden/>
          </w:rPr>
          <w:fldChar w:fldCharType="begin"/>
        </w:r>
        <w:r>
          <w:rPr>
            <w:noProof/>
            <w:webHidden/>
          </w:rPr>
          <w:instrText xml:space="preserve"> PAGEREF _Toc210901283 \h </w:instrText>
        </w:r>
        <w:r>
          <w:rPr>
            <w:noProof/>
            <w:webHidden/>
          </w:rPr>
        </w:r>
        <w:r>
          <w:rPr>
            <w:noProof/>
            <w:webHidden/>
          </w:rPr>
          <w:fldChar w:fldCharType="separate"/>
        </w:r>
        <w:r>
          <w:rPr>
            <w:noProof/>
            <w:webHidden/>
          </w:rPr>
          <w:t>11</w:t>
        </w:r>
        <w:r>
          <w:rPr>
            <w:noProof/>
            <w:webHidden/>
          </w:rPr>
          <w:fldChar w:fldCharType="end"/>
        </w:r>
      </w:hyperlink>
    </w:p>
    <w:p w14:paraId="26DC8850" w14:textId="11C3E58D" w:rsidR="004D0716" w:rsidRDefault="004D0716">
      <w:pPr>
        <w:pStyle w:val="TOC2"/>
        <w:rPr>
          <w:noProof/>
          <w:lang w:val="sv-SE" w:eastAsia="sv-SE"/>
        </w:rPr>
      </w:pPr>
      <w:hyperlink w:anchor="_Toc210901284" w:history="1">
        <w:r w:rsidRPr="00B82495">
          <w:rPr>
            <w:rStyle w:val="Hyperlink"/>
            <w:noProof/>
          </w:rPr>
          <w:t>II.4</w:t>
        </w:r>
        <w:r>
          <w:rPr>
            <w:noProof/>
            <w:lang w:val="sv-SE" w:eastAsia="sv-SE"/>
          </w:rPr>
          <w:tab/>
        </w:r>
        <w:r w:rsidRPr="00B82495">
          <w:rPr>
            <w:rStyle w:val="Hyperlink"/>
            <w:noProof/>
          </w:rPr>
          <w:t>Z 03.01 – Kapitalbaskrav – Kreditinstitut (LIAB 2)</w:t>
        </w:r>
        <w:r>
          <w:rPr>
            <w:noProof/>
            <w:webHidden/>
          </w:rPr>
          <w:tab/>
        </w:r>
        <w:r>
          <w:rPr>
            <w:noProof/>
            <w:webHidden/>
          </w:rPr>
          <w:fldChar w:fldCharType="begin"/>
        </w:r>
        <w:r>
          <w:rPr>
            <w:noProof/>
            <w:webHidden/>
          </w:rPr>
          <w:instrText xml:space="preserve"> PAGEREF _Toc210901284 \h </w:instrText>
        </w:r>
        <w:r>
          <w:rPr>
            <w:noProof/>
            <w:webHidden/>
          </w:rPr>
        </w:r>
        <w:r>
          <w:rPr>
            <w:noProof/>
            <w:webHidden/>
          </w:rPr>
          <w:fldChar w:fldCharType="separate"/>
        </w:r>
        <w:r>
          <w:rPr>
            <w:noProof/>
            <w:webHidden/>
          </w:rPr>
          <w:t>19</w:t>
        </w:r>
        <w:r>
          <w:rPr>
            <w:noProof/>
            <w:webHidden/>
          </w:rPr>
          <w:fldChar w:fldCharType="end"/>
        </w:r>
      </w:hyperlink>
    </w:p>
    <w:p w14:paraId="75663AB4" w14:textId="7BC17E36" w:rsidR="004D0716" w:rsidRDefault="004D0716">
      <w:pPr>
        <w:pStyle w:val="TOC2"/>
        <w:rPr>
          <w:noProof/>
          <w:lang w:val="sv-SE" w:eastAsia="sv-SE"/>
        </w:rPr>
      </w:pPr>
      <w:hyperlink w:anchor="_Toc210901285" w:history="1">
        <w:r w:rsidRPr="00B82495">
          <w:rPr>
            <w:rStyle w:val="Hyperlink"/>
            <w:noProof/>
          </w:rPr>
          <w:t>II.5</w:t>
        </w:r>
        <w:r>
          <w:rPr>
            <w:noProof/>
            <w:lang w:val="sv-SE" w:eastAsia="sv-SE"/>
          </w:rPr>
          <w:tab/>
        </w:r>
        <w:r w:rsidRPr="00B82495">
          <w:rPr>
            <w:rStyle w:val="Hyperlink"/>
            <w:noProof/>
          </w:rPr>
          <w:t>Z 03.02 – Kapitalbaskrav – värdepappersföretag (LIAB 3)</w:t>
        </w:r>
        <w:r>
          <w:rPr>
            <w:noProof/>
            <w:webHidden/>
          </w:rPr>
          <w:tab/>
        </w:r>
        <w:r>
          <w:rPr>
            <w:noProof/>
            <w:webHidden/>
          </w:rPr>
          <w:fldChar w:fldCharType="begin"/>
        </w:r>
        <w:r>
          <w:rPr>
            <w:noProof/>
            <w:webHidden/>
          </w:rPr>
          <w:instrText xml:space="preserve"> PAGEREF _Toc210901285 \h </w:instrText>
        </w:r>
        <w:r>
          <w:rPr>
            <w:noProof/>
            <w:webHidden/>
          </w:rPr>
        </w:r>
        <w:r>
          <w:rPr>
            <w:noProof/>
            <w:webHidden/>
          </w:rPr>
          <w:fldChar w:fldCharType="separate"/>
        </w:r>
        <w:r>
          <w:rPr>
            <w:noProof/>
            <w:webHidden/>
          </w:rPr>
          <w:t>22</w:t>
        </w:r>
        <w:r>
          <w:rPr>
            <w:noProof/>
            <w:webHidden/>
          </w:rPr>
          <w:fldChar w:fldCharType="end"/>
        </w:r>
      </w:hyperlink>
    </w:p>
    <w:p w14:paraId="6DE6FCD4" w14:textId="77E58B56" w:rsidR="004D0716" w:rsidRDefault="004D0716">
      <w:pPr>
        <w:pStyle w:val="TOC2"/>
        <w:rPr>
          <w:noProof/>
          <w:lang w:val="sv-SE" w:eastAsia="sv-SE"/>
        </w:rPr>
      </w:pPr>
      <w:hyperlink w:anchor="_Toc210901286" w:history="1">
        <w:r w:rsidRPr="00B82495">
          <w:rPr>
            <w:rStyle w:val="Hyperlink"/>
            <w:noProof/>
          </w:rPr>
          <w:t>II.6</w:t>
        </w:r>
        <w:r>
          <w:rPr>
            <w:noProof/>
            <w:lang w:val="sv-SE" w:eastAsia="sv-SE"/>
          </w:rPr>
          <w:tab/>
        </w:r>
        <w:r w:rsidRPr="00B82495">
          <w:rPr>
            <w:rStyle w:val="Hyperlink"/>
            <w:noProof/>
          </w:rPr>
          <w:t>Z 04.00 – Finansiell sammanlänkning inom koncernen (LIAB 4)</w:t>
        </w:r>
        <w:r>
          <w:rPr>
            <w:noProof/>
            <w:webHidden/>
          </w:rPr>
          <w:tab/>
        </w:r>
        <w:r>
          <w:rPr>
            <w:noProof/>
            <w:webHidden/>
          </w:rPr>
          <w:fldChar w:fldCharType="begin"/>
        </w:r>
        <w:r>
          <w:rPr>
            <w:noProof/>
            <w:webHidden/>
          </w:rPr>
          <w:instrText xml:space="preserve"> PAGEREF _Toc210901286 \h </w:instrText>
        </w:r>
        <w:r>
          <w:rPr>
            <w:noProof/>
            <w:webHidden/>
          </w:rPr>
        </w:r>
        <w:r>
          <w:rPr>
            <w:noProof/>
            <w:webHidden/>
          </w:rPr>
          <w:fldChar w:fldCharType="separate"/>
        </w:r>
        <w:r>
          <w:rPr>
            <w:noProof/>
            <w:webHidden/>
          </w:rPr>
          <w:t>23</w:t>
        </w:r>
        <w:r>
          <w:rPr>
            <w:noProof/>
            <w:webHidden/>
          </w:rPr>
          <w:fldChar w:fldCharType="end"/>
        </w:r>
      </w:hyperlink>
    </w:p>
    <w:p w14:paraId="517E5184" w14:textId="73F3BA15" w:rsidR="004D0716" w:rsidRDefault="004D0716">
      <w:pPr>
        <w:pStyle w:val="TOC2"/>
        <w:rPr>
          <w:noProof/>
          <w:lang w:val="sv-SE" w:eastAsia="sv-SE"/>
        </w:rPr>
      </w:pPr>
      <w:hyperlink w:anchor="_Toc210901287" w:history="1">
        <w:r w:rsidRPr="00B82495">
          <w:rPr>
            <w:rStyle w:val="Hyperlink"/>
            <w:noProof/>
          </w:rPr>
          <w:t>II.7</w:t>
        </w:r>
        <w:r>
          <w:rPr>
            <w:noProof/>
            <w:lang w:val="sv-SE" w:eastAsia="sv-SE"/>
          </w:rPr>
          <w:tab/>
        </w:r>
        <w:r w:rsidRPr="00B82495">
          <w:rPr>
            <w:rStyle w:val="Hyperlink"/>
            <w:noProof/>
          </w:rPr>
          <w:t>Större motparter (LIAB 5–6)</w:t>
        </w:r>
        <w:r>
          <w:rPr>
            <w:noProof/>
            <w:webHidden/>
          </w:rPr>
          <w:tab/>
        </w:r>
        <w:r>
          <w:rPr>
            <w:noProof/>
            <w:webHidden/>
          </w:rPr>
          <w:fldChar w:fldCharType="begin"/>
        </w:r>
        <w:r>
          <w:rPr>
            <w:noProof/>
            <w:webHidden/>
          </w:rPr>
          <w:instrText xml:space="preserve"> PAGEREF _Toc210901287 \h </w:instrText>
        </w:r>
        <w:r>
          <w:rPr>
            <w:noProof/>
            <w:webHidden/>
          </w:rPr>
        </w:r>
        <w:r>
          <w:rPr>
            <w:noProof/>
            <w:webHidden/>
          </w:rPr>
          <w:fldChar w:fldCharType="separate"/>
        </w:r>
        <w:r>
          <w:rPr>
            <w:noProof/>
            <w:webHidden/>
          </w:rPr>
          <w:t>25</w:t>
        </w:r>
        <w:r>
          <w:rPr>
            <w:noProof/>
            <w:webHidden/>
          </w:rPr>
          <w:fldChar w:fldCharType="end"/>
        </w:r>
      </w:hyperlink>
    </w:p>
    <w:p w14:paraId="760A2292" w14:textId="6BBB24FE" w:rsidR="004D0716" w:rsidRDefault="004D0716">
      <w:pPr>
        <w:pStyle w:val="TOC2"/>
        <w:rPr>
          <w:noProof/>
          <w:lang w:val="sv-SE" w:eastAsia="sv-SE"/>
        </w:rPr>
      </w:pPr>
      <w:hyperlink w:anchor="_Toc210901288" w:history="1">
        <w:r w:rsidRPr="00B82495">
          <w:rPr>
            <w:rStyle w:val="Hyperlink"/>
            <w:noProof/>
          </w:rPr>
          <w:t>II.8</w:t>
        </w:r>
        <w:r>
          <w:rPr>
            <w:noProof/>
            <w:lang w:val="sv-SE" w:eastAsia="sv-SE"/>
          </w:rPr>
          <w:tab/>
        </w:r>
        <w:r w:rsidRPr="00B82495">
          <w:rPr>
            <w:rStyle w:val="Hyperlink"/>
            <w:noProof/>
          </w:rPr>
          <w:t>Z 05.01 – Större skuldmotparter (LIAB 5)</w:t>
        </w:r>
        <w:r>
          <w:rPr>
            <w:noProof/>
            <w:webHidden/>
          </w:rPr>
          <w:tab/>
        </w:r>
        <w:r>
          <w:rPr>
            <w:noProof/>
            <w:webHidden/>
          </w:rPr>
          <w:fldChar w:fldCharType="begin"/>
        </w:r>
        <w:r>
          <w:rPr>
            <w:noProof/>
            <w:webHidden/>
          </w:rPr>
          <w:instrText xml:space="preserve"> PAGEREF _Toc210901288 \h </w:instrText>
        </w:r>
        <w:r>
          <w:rPr>
            <w:noProof/>
            <w:webHidden/>
          </w:rPr>
        </w:r>
        <w:r>
          <w:rPr>
            <w:noProof/>
            <w:webHidden/>
          </w:rPr>
          <w:fldChar w:fldCharType="separate"/>
        </w:r>
        <w:r>
          <w:rPr>
            <w:noProof/>
            <w:webHidden/>
          </w:rPr>
          <w:t>26</w:t>
        </w:r>
        <w:r>
          <w:rPr>
            <w:noProof/>
            <w:webHidden/>
          </w:rPr>
          <w:fldChar w:fldCharType="end"/>
        </w:r>
      </w:hyperlink>
    </w:p>
    <w:p w14:paraId="7DDD3146" w14:textId="58D50699" w:rsidR="004D0716" w:rsidRDefault="004D0716">
      <w:pPr>
        <w:pStyle w:val="TOC2"/>
        <w:rPr>
          <w:noProof/>
          <w:lang w:val="sv-SE" w:eastAsia="sv-SE"/>
        </w:rPr>
      </w:pPr>
      <w:hyperlink w:anchor="_Toc210901289" w:history="1">
        <w:r w:rsidRPr="00B82495">
          <w:rPr>
            <w:rStyle w:val="Hyperlink"/>
            <w:noProof/>
          </w:rPr>
          <w:t>II.9</w:t>
        </w:r>
        <w:r>
          <w:rPr>
            <w:noProof/>
            <w:lang w:val="sv-SE" w:eastAsia="sv-SE"/>
          </w:rPr>
          <w:tab/>
        </w:r>
        <w:r w:rsidRPr="00B82495">
          <w:rPr>
            <w:rStyle w:val="Hyperlink"/>
            <w:noProof/>
          </w:rPr>
          <w:t>Z 05.02 – Större motparter utanför balansräkningen (LIAB 6)</w:t>
        </w:r>
        <w:r>
          <w:rPr>
            <w:noProof/>
            <w:webHidden/>
          </w:rPr>
          <w:tab/>
        </w:r>
        <w:r>
          <w:rPr>
            <w:noProof/>
            <w:webHidden/>
          </w:rPr>
          <w:fldChar w:fldCharType="begin"/>
        </w:r>
        <w:r>
          <w:rPr>
            <w:noProof/>
            <w:webHidden/>
          </w:rPr>
          <w:instrText xml:space="preserve"> PAGEREF _Toc210901289 \h </w:instrText>
        </w:r>
        <w:r>
          <w:rPr>
            <w:noProof/>
            <w:webHidden/>
          </w:rPr>
        </w:r>
        <w:r>
          <w:rPr>
            <w:noProof/>
            <w:webHidden/>
          </w:rPr>
          <w:fldChar w:fldCharType="separate"/>
        </w:r>
        <w:r>
          <w:rPr>
            <w:noProof/>
            <w:webHidden/>
          </w:rPr>
          <w:t>28</w:t>
        </w:r>
        <w:r>
          <w:rPr>
            <w:noProof/>
            <w:webHidden/>
          </w:rPr>
          <w:fldChar w:fldCharType="end"/>
        </w:r>
      </w:hyperlink>
    </w:p>
    <w:p w14:paraId="29B83C8C" w14:textId="6CAE8637" w:rsidR="004D0716" w:rsidRDefault="004D0716">
      <w:pPr>
        <w:pStyle w:val="TOC2"/>
        <w:rPr>
          <w:noProof/>
          <w:lang w:val="sv-SE" w:eastAsia="sv-SE"/>
        </w:rPr>
      </w:pPr>
      <w:hyperlink w:anchor="_Toc210901290" w:history="1">
        <w:r w:rsidRPr="00B82495">
          <w:rPr>
            <w:rStyle w:val="Hyperlink"/>
            <w:noProof/>
          </w:rPr>
          <w:t>II.10</w:t>
        </w:r>
        <w:r>
          <w:rPr>
            <w:noProof/>
            <w:lang w:val="sv-SE" w:eastAsia="sv-SE"/>
          </w:rPr>
          <w:tab/>
        </w:r>
        <w:r w:rsidRPr="00B82495">
          <w:rPr>
            <w:rStyle w:val="Hyperlink"/>
            <w:noProof/>
          </w:rPr>
          <w:t>Z 06.00 – Insättningsgaranti (DIS)</w:t>
        </w:r>
        <w:r>
          <w:rPr>
            <w:noProof/>
            <w:webHidden/>
          </w:rPr>
          <w:tab/>
        </w:r>
        <w:r>
          <w:rPr>
            <w:noProof/>
            <w:webHidden/>
          </w:rPr>
          <w:fldChar w:fldCharType="begin"/>
        </w:r>
        <w:r>
          <w:rPr>
            <w:noProof/>
            <w:webHidden/>
          </w:rPr>
          <w:instrText xml:space="preserve"> PAGEREF _Toc210901290 \h </w:instrText>
        </w:r>
        <w:r>
          <w:rPr>
            <w:noProof/>
            <w:webHidden/>
          </w:rPr>
        </w:r>
        <w:r>
          <w:rPr>
            <w:noProof/>
            <w:webHidden/>
          </w:rPr>
          <w:fldChar w:fldCharType="separate"/>
        </w:r>
        <w:r>
          <w:rPr>
            <w:noProof/>
            <w:webHidden/>
          </w:rPr>
          <w:t>29</w:t>
        </w:r>
        <w:r>
          <w:rPr>
            <w:noProof/>
            <w:webHidden/>
          </w:rPr>
          <w:fldChar w:fldCharType="end"/>
        </w:r>
      </w:hyperlink>
    </w:p>
    <w:p w14:paraId="1BF792EA" w14:textId="29EB9087" w:rsidR="004D0716" w:rsidRPr="007505CF" w:rsidRDefault="004D0716">
      <w:pPr>
        <w:pStyle w:val="TOC2"/>
        <w:rPr>
          <w:noProof/>
          <w:lang w:val="sv-SE" w:eastAsia="sv-SE"/>
        </w:rPr>
      </w:pPr>
      <w:hyperlink w:anchor="_Toc210901291" w:history="1">
        <w:r w:rsidRPr="007505CF">
          <w:rPr>
            <w:rStyle w:val="Hyperlink"/>
            <w:noProof/>
          </w:rPr>
          <w:t>II.11</w:t>
        </w:r>
        <w:r w:rsidRPr="007505CF">
          <w:rPr>
            <w:noProof/>
            <w:lang w:val="sv-SE" w:eastAsia="sv-SE"/>
          </w:rPr>
          <w:tab/>
        </w:r>
        <w:r w:rsidRPr="007505CF">
          <w:rPr>
            <w:rStyle w:val="Hyperlink"/>
            <w:noProof/>
          </w:rPr>
          <w:t>Kritiska funktioner och kärnaffärsområden</w:t>
        </w:r>
        <w:r w:rsidRPr="007505CF">
          <w:rPr>
            <w:noProof/>
            <w:webHidden/>
          </w:rPr>
          <w:tab/>
        </w:r>
        <w:r w:rsidRPr="007505CF">
          <w:rPr>
            <w:noProof/>
            <w:webHidden/>
          </w:rPr>
          <w:fldChar w:fldCharType="begin"/>
        </w:r>
        <w:r w:rsidRPr="007505CF">
          <w:rPr>
            <w:noProof/>
            <w:webHidden/>
          </w:rPr>
          <w:instrText xml:space="preserve"> PAGEREF _Toc210901291 \h </w:instrText>
        </w:r>
        <w:r w:rsidRPr="007505CF">
          <w:rPr>
            <w:noProof/>
            <w:webHidden/>
          </w:rPr>
        </w:r>
        <w:r w:rsidRPr="007505CF">
          <w:rPr>
            <w:noProof/>
            <w:webHidden/>
          </w:rPr>
          <w:fldChar w:fldCharType="separate"/>
        </w:r>
        <w:r w:rsidRPr="007505CF">
          <w:rPr>
            <w:noProof/>
            <w:webHidden/>
          </w:rPr>
          <w:t>32</w:t>
        </w:r>
        <w:r w:rsidRPr="007505CF">
          <w:rPr>
            <w:noProof/>
            <w:webHidden/>
          </w:rPr>
          <w:fldChar w:fldCharType="end"/>
        </w:r>
      </w:hyperlink>
    </w:p>
    <w:p w14:paraId="03CBDC80" w14:textId="784F2B08" w:rsidR="004D0716" w:rsidRPr="007505CF" w:rsidRDefault="004D0716">
      <w:pPr>
        <w:pStyle w:val="TOC2"/>
        <w:rPr>
          <w:noProof/>
          <w:lang w:val="sv-SE" w:eastAsia="sv-SE"/>
        </w:rPr>
      </w:pPr>
      <w:hyperlink w:anchor="_Toc210901292" w:history="1">
        <w:r w:rsidRPr="007505CF">
          <w:rPr>
            <w:rStyle w:val="Hyperlink"/>
            <w:noProof/>
          </w:rPr>
          <w:t>II.12</w:t>
        </w:r>
        <w:r w:rsidRPr="007505CF">
          <w:rPr>
            <w:noProof/>
            <w:lang w:val="sv-SE" w:eastAsia="sv-SE"/>
          </w:rPr>
          <w:tab/>
        </w:r>
        <w:r w:rsidRPr="007505CF">
          <w:rPr>
            <w:rStyle w:val="Hyperlink"/>
            <w:noProof/>
          </w:rPr>
          <w:t>Z 07.01 – Kriticitetsbedömning av ekonomiska funktioner (FUNC 1)</w:t>
        </w:r>
        <w:r w:rsidRPr="007505CF">
          <w:rPr>
            <w:noProof/>
            <w:webHidden/>
          </w:rPr>
          <w:tab/>
        </w:r>
        <w:r w:rsidRPr="007505CF">
          <w:rPr>
            <w:noProof/>
            <w:webHidden/>
          </w:rPr>
          <w:fldChar w:fldCharType="begin"/>
        </w:r>
        <w:r w:rsidRPr="007505CF">
          <w:rPr>
            <w:noProof/>
            <w:webHidden/>
          </w:rPr>
          <w:instrText xml:space="preserve"> PAGEREF _Toc210901292 \h </w:instrText>
        </w:r>
        <w:r w:rsidRPr="007505CF">
          <w:rPr>
            <w:noProof/>
            <w:webHidden/>
          </w:rPr>
        </w:r>
        <w:r w:rsidRPr="007505CF">
          <w:rPr>
            <w:noProof/>
            <w:webHidden/>
          </w:rPr>
          <w:fldChar w:fldCharType="separate"/>
        </w:r>
        <w:r w:rsidRPr="007505CF">
          <w:rPr>
            <w:noProof/>
            <w:webHidden/>
          </w:rPr>
          <w:t>34</w:t>
        </w:r>
        <w:r w:rsidRPr="007505CF">
          <w:rPr>
            <w:noProof/>
            <w:webHidden/>
          </w:rPr>
          <w:fldChar w:fldCharType="end"/>
        </w:r>
      </w:hyperlink>
    </w:p>
    <w:p w14:paraId="3ED6C489" w14:textId="4F3F81A7" w:rsidR="004D0716" w:rsidRPr="007505CF" w:rsidRDefault="004D0716">
      <w:pPr>
        <w:pStyle w:val="TOC2"/>
        <w:rPr>
          <w:noProof/>
          <w:lang w:val="sv-SE" w:eastAsia="sv-SE"/>
        </w:rPr>
      </w:pPr>
      <w:hyperlink w:anchor="_Toc210901293" w:history="1">
        <w:r w:rsidRPr="007505CF">
          <w:rPr>
            <w:rStyle w:val="Hyperlink"/>
            <w:noProof/>
          </w:rPr>
          <w:t>II.13</w:t>
        </w:r>
        <w:r w:rsidRPr="007505CF">
          <w:rPr>
            <w:noProof/>
            <w:lang w:val="sv-SE" w:eastAsia="sv-SE"/>
          </w:rPr>
          <w:tab/>
        </w:r>
        <w:r w:rsidRPr="007505CF">
          <w:rPr>
            <w:rStyle w:val="Hyperlink"/>
            <w:noProof/>
          </w:rPr>
          <w:t xml:space="preserve">Z 07.01.1 FUNC 1 Insättningar </w:t>
        </w:r>
        <w:r w:rsidRPr="007505CF">
          <w:rPr>
            <w:noProof/>
            <w:webHidden/>
          </w:rPr>
          <w:tab/>
        </w:r>
        <w:r w:rsidRPr="007505CF">
          <w:rPr>
            <w:noProof/>
            <w:webHidden/>
          </w:rPr>
          <w:fldChar w:fldCharType="begin"/>
        </w:r>
        <w:r w:rsidRPr="007505CF">
          <w:rPr>
            <w:noProof/>
            <w:webHidden/>
          </w:rPr>
          <w:instrText xml:space="preserve"> PAGEREF _Toc210901293 \h </w:instrText>
        </w:r>
        <w:r w:rsidRPr="007505CF">
          <w:rPr>
            <w:noProof/>
            <w:webHidden/>
          </w:rPr>
        </w:r>
        <w:r w:rsidRPr="007505CF">
          <w:rPr>
            <w:noProof/>
            <w:webHidden/>
          </w:rPr>
          <w:fldChar w:fldCharType="separate"/>
        </w:r>
        <w:r w:rsidRPr="007505CF">
          <w:rPr>
            <w:noProof/>
            <w:webHidden/>
          </w:rPr>
          <w:t>37</w:t>
        </w:r>
        <w:r w:rsidRPr="007505CF">
          <w:rPr>
            <w:noProof/>
            <w:webHidden/>
          </w:rPr>
          <w:fldChar w:fldCharType="end"/>
        </w:r>
      </w:hyperlink>
    </w:p>
    <w:p w14:paraId="503E91C9" w14:textId="10EB89B3" w:rsidR="004D0716" w:rsidRPr="007505CF" w:rsidRDefault="004D0716">
      <w:pPr>
        <w:pStyle w:val="TOC2"/>
        <w:rPr>
          <w:noProof/>
          <w:lang w:val="sv-SE" w:eastAsia="sv-SE"/>
        </w:rPr>
      </w:pPr>
      <w:hyperlink w:anchor="_Toc210901294" w:history="1">
        <w:r w:rsidRPr="007505CF">
          <w:rPr>
            <w:rStyle w:val="Hyperlink"/>
            <w:noProof/>
          </w:rPr>
          <w:t>II.14</w:t>
        </w:r>
        <w:r w:rsidRPr="007505CF">
          <w:rPr>
            <w:noProof/>
            <w:lang w:val="sv-SE" w:eastAsia="sv-SE"/>
          </w:rPr>
          <w:tab/>
        </w:r>
        <w:r w:rsidRPr="007505CF">
          <w:rPr>
            <w:rStyle w:val="Hyperlink"/>
            <w:noProof/>
          </w:rPr>
          <w:t>Z 07.01.2 FUNC 1 Utlåning</w:t>
        </w:r>
        <w:r w:rsidRPr="007505CF">
          <w:rPr>
            <w:noProof/>
            <w:webHidden/>
          </w:rPr>
          <w:tab/>
        </w:r>
        <w:r w:rsidRPr="007505CF">
          <w:rPr>
            <w:noProof/>
            <w:webHidden/>
          </w:rPr>
          <w:fldChar w:fldCharType="begin"/>
        </w:r>
        <w:r w:rsidRPr="007505CF">
          <w:rPr>
            <w:noProof/>
            <w:webHidden/>
          </w:rPr>
          <w:instrText xml:space="preserve"> PAGEREF _Toc210901294 \h </w:instrText>
        </w:r>
        <w:r w:rsidRPr="007505CF">
          <w:rPr>
            <w:noProof/>
            <w:webHidden/>
          </w:rPr>
        </w:r>
        <w:r w:rsidRPr="007505CF">
          <w:rPr>
            <w:noProof/>
            <w:webHidden/>
          </w:rPr>
          <w:fldChar w:fldCharType="separate"/>
        </w:r>
        <w:r w:rsidRPr="007505CF">
          <w:rPr>
            <w:noProof/>
            <w:webHidden/>
          </w:rPr>
          <w:t>42</w:t>
        </w:r>
        <w:r w:rsidRPr="007505CF">
          <w:rPr>
            <w:noProof/>
            <w:webHidden/>
          </w:rPr>
          <w:fldChar w:fldCharType="end"/>
        </w:r>
      </w:hyperlink>
    </w:p>
    <w:p w14:paraId="0B6BB9F1" w14:textId="3CB44375" w:rsidR="004D0716" w:rsidRPr="007505CF" w:rsidRDefault="004D0716">
      <w:pPr>
        <w:pStyle w:val="TOC2"/>
        <w:rPr>
          <w:noProof/>
          <w:lang w:val="sv-SE" w:eastAsia="sv-SE"/>
        </w:rPr>
      </w:pPr>
      <w:hyperlink w:anchor="_Toc210901295" w:history="1">
        <w:r w:rsidRPr="007505CF">
          <w:rPr>
            <w:rStyle w:val="Hyperlink"/>
            <w:noProof/>
          </w:rPr>
          <w:t>II.15</w:t>
        </w:r>
        <w:r w:rsidRPr="007505CF">
          <w:rPr>
            <w:noProof/>
            <w:lang w:val="sv-SE" w:eastAsia="sv-SE"/>
          </w:rPr>
          <w:tab/>
        </w:r>
        <w:r w:rsidRPr="007505CF">
          <w:rPr>
            <w:rStyle w:val="Hyperlink"/>
            <w:noProof/>
          </w:rPr>
          <w:t xml:space="preserve">Z 07.01.3 FUNC 1 Betal-, kontant-, avvecklings-, clearing- och depåtjänster </w:t>
        </w:r>
        <w:r w:rsidRPr="007505CF">
          <w:rPr>
            <w:noProof/>
            <w:webHidden/>
          </w:rPr>
          <w:tab/>
        </w:r>
        <w:r w:rsidRPr="007505CF">
          <w:rPr>
            <w:noProof/>
            <w:webHidden/>
          </w:rPr>
          <w:fldChar w:fldCharType="begin"/>
        </w:r>
        <w:r w:rsidRPr="007505CF">
          <w:rPr>
            <w:noProof/>
            <w:webHidden/>
          </w:rPr>
          <w:instrText xml:space="preserve"> PAGEREF _Toc210901295 \h </w:instrText>
        </w:r>
        <w:r w:rsidRPr="007505CF">
          <w:rPr>
            <w:noProof/>
            <w:webHidden/>
          </w:rPr>
        </w:r>
        <w:r w:rsidRPr="007505CF">
          <w:rPr>
            <w:noProof/>
            <w:webHidden/>
          </w:rPr>
          <w:fldChar w:fldCharType="separate"/>
        </w:r>
        <w:r w:rsidRPr="007505CF">
          <w:rPr>
            <w:noProof/>
            <w:webHidden/>
          </w:rPr>
          <w:t>47</w:t>
        </w:r>
        <w:r w:rsidRPr="007505CF">
          <w:rPr>
            <w:noProof/>
            <w:webHidden/>
          </w:rPr>
          <w:fldChar w:fldCharType="end"/>
        </w:r>
      </w:hyperlink>
    </w:p>
    <w:p w14:paraId="3EC917EF" w14:textId="38B77578" w:rsidR="004D0716" w:rsidRPr="007505CF" w:rsidRDefault="004D0716">
      <w:pPr>
        <w:pStyle w:val="TOC2"/>
        <w:rPr>
          <w:noProof/>
          <w:lang w:val="sv-SE" w:eastAsia="sv-SE"/>
        </w:rPr>
      </w:pPr>
      <w:hyperlink w:anchor="_Toc210901296" w:history="1">
        <w:r w:rsidRPr="007505CF">
          <w:rPr>
            <w:rStyle w:val="Hyperlink"/>
            <w:noProof/>
          </w:rPr>
          <w:t>II.13</w:t>
        </w:r>
        <w:r w:rsidRPr="007505CF">
          <w:rPr>
            <w:noProof/>
            <w:lang w:val="sv-SE" w:eastAsia="sv-SE"/>
          </w:rPr>
          <w:tab/>
        </w:r>
        <w:r w:rsidRPr="007505CF">
          <w:rPr>
            <w:rStyle w:val="Hyperlink"/>
            <w:noProof/>
          </w:rPr>
          <w:t>Z 07.01.4 FUNC 1 Kapitalmarknader</w:t>
        </w:r>
        <w:r w:rsidRPr="007505CF">
          <w:rPr>
            <w:noProof/>
            <w:webHidden/>
          </w:rPr>
          <w:tab/>
        </w:r>
        <w:r w:rsidRPr="007505CF">
          <w:rPr>
            <w:noProof/>
            <w:webHidden/>
          </w:rPr>
          <w:fldChar w:fldCharType="begin"/>
        </w:r>
        <w:r w:rsidRPr="007505CF">
          <w:rPr>
            <w:noProof/>
            <w:webHidden/>
          </w:rPr>
          <w:instrText xml:space="preserve"> PAGEREF _Toc210901296 \h </w:instrText>
        </w:r>
        <w:r w:rsidRPr="007505CF">
          <w:rPr>
            <w:noProof/>
            <w:webHidden/>
          </w:rPr>
        </w:r>
        <w:r w:rsidRPr="007505CF">
          <w:rPr>
            <w:noProof/>
            <w:webHidden/>
          </w:rPr>
          <w:fldChar w:fldCharType="separate"/>
        </w:r>
        <w:r w:rsidRPr="007505CF">
          <w:rPr>
            <w:noProof/>
            <w:webHidden/>
          </w:rPr>
          <w:t>53</w:t>
        </w:r>
        <w:r w:rsidRPr="007505CF">
          <w:rPr>
            <w:noProof/>
            <w:webHidden/>
          </w:rPr>
          <w:fldChar w:fldCharType="end"/>
        </w:r>
      </w:hyperlink>
    </w:p>
    <w:p w14:paraId="43A80D4E" w14:textId="6AA70DAF" w:rsidR="004D0716" w:rsidRPr="007505CF" w:rsidRDefault="004D0716">
      <w:pPr>
        <w:pStyle w:val="TOC2"/>
        <w:rPr>
          <w:noProof/>
          <w:lang w:val="sv-SE" w:eastAsia="sv-SE"/>
        </w:rPr>
      </w:pPr>
      <w:hyperlink w:anchor="_Toc210901297" w:history="1">
        <w:r w:rsidRPr="007505CF">
          <w:rPr>
            <w:rStyle w:val="Hyperlink"/>
            <w:noProof/>
          </w:rPr>
          <w:t>II.13</w:t>
        </w:r>
        <w:r w:rsidRPr="007505CF">
          <w:rPr>
            <w:noProof/>
            <w:lang w:val="sv-SE" w:eastAsia="sv-SE"/>
          </w:rPr>
          <w:tab/>
        </w:r>
        <w:r w:rsidRPr="007505CF">
          <w:rPr>
            <w:rStyle w:val="Hyperlink"/>
            <w:noProof/>
          </w:rPr>
          <w:t>Z 07.01.5 FUNC 1 Kapitalmarknadsfinansiering</w:t>
        </w:r>
        <w:r w:rsidRPr="007505CF">
          <w:rPr>
            <w:noProof/>
            <w:webHidden/>
          </w:rPr>
          <w:tab/>
        </w:r>
        <w:r w:rsidRPr="007505CF">
          <w:rPr>
            <w:noProof/>
            <w:webHidden/>
          </w:rPr>
          <w:fldChar w:fldCharType="begin"/>
        </w:r>
        <w:r w:rsidRPr="007505CF">
          <w:rPr>
            <w:noProof/>
            <w:webHidden/>
          </w:rPr>
          <w:instrText xml:space="preserve"> PAGEREF _Toc210901297 \h </w:instrText>
        </w:r>
        <w:r w:rsidRPr="007505CF">
          <w:rPr>
            <w:noProof/>
            <w:webHidden/>
          </w:rPr>
        </w:r>
        <w:r w:rsidRPr="007505CF">
          <w:rPr>
            <w:noProof/>
            <w:webHidden/>
          </w:rPr>
          <w:fldChar w:fldCharType="separate"/>
        </w:r>
        <w:r w:rsidRPr="007505CF">
          <w:rPr>
            <w:noProof/>
            <w:webHidden/>
          </w:rPr>
          <w:t>58</w:t>
        </w:r>
        <w:r w:rsidRPr="007505CF">
          <w:rPr>
            <w:noProof/>
            <w:webHidden/>
          </w:rPr>
          <w:fldChar w:fldCharType="end"/>
        </w:r>
      </w:hyperlink>
    </w:p>
    <w:p w14:paraId="21134F3E" w14:textId="0927B7D2" w:rsidR="004D0716" w:rsidRPr="007505CF" w:rsidRDefault="004D0716">
      <w:pPr>
        <w:pStyle w:val="TOC2"/>
        <w:rPr>
          <w:noProof/>
          <w:lang w:val="sv-SE" w:eastAsia="sv-SE"/>
        </w:rPr>
      </w:pPr>
      <w:hyperlink w:anchor="_Toc210901298" w:history="1">
        <w:r w:rsidRPr="007505CF">
          <w:rPr>
            <w:rStyle w:val="Hyperlink"/>
            <w:noProof/>
          </w:rPr>
          <w:t>II.16</w:t>
        </w:r>
        <w:r w:rsidRPr="007505CF">
          <w:rPr>
            <w:noProof/>
            <w:lang w:val="sv-SE" w:eastAsia="sv-SE"/>
          </w:rPr>
          <w:tab/>
        </w:r>
        <w:r w:rsidRPr="007505CF">
          <w:rPr>
            <w:rStyle w:val="Hyperlink"/>
            <w:noProof/>
          </w:rPr>
          <w:t>Z 07.02 – Kartläggning av ekonomiska funktioner enligt juridisk person (FUNC 2)</w:t>
        </w:r>
        <w:r w:rsidRPr="007505CF">
          <w:rPr>
            <w:noProof/>
            <w:webHidden/>
          </w:rPr>
          <w:tab/>
        </w:r>
        <w:r w:rsidRPr="007505CF">
          <w:rPr>
            <w:noProof/>
            <w:webHidden/>
          </w:rPr>
          <w:fldChar w:fldCharType="begin"/>
        </w:r>
        <w:r w:rsidRPr="007505CF">
          <w:rPr>
            <w:noProof/>
            <w:webHidden/>
          </w:rPr>
          <w:instrText xml:space="preserve"> PAGEREF _Toc210901298 \h </w:instrText>
        </w:r>
        <w:r w:rsidRPr="007505CF">
          <w:rPr>
            <w:noProof/>
            <w:webHidden/>
          </w:rPr>
        </w:r>
        <w:r w:rsidRPr="007505CF">
          <w:rPr>
            <w:noProof/>
            <w:webHidden/>
          </w:rPr>
          <w:fldChar w:fldCharType="separate"/>
        </w:r>
        <w:r w:rsidRPr="007505CF">
          <w:rPr>
            <w:noProof/>
            <w:webHidden/>
          </w:rPr>
          <w:t>63</w:t>
        </w:r>
        <w:r w:rsidRPr="007505CF">
          <w:rPr>
            <w:noProof/>
            <w:webHidden/>
          </w:rPr>
          <w:fldChar w:fldCharType="end"/>
        </w:r>
      </w:hyperlink>
    </w:p>
    <w:p w14:paraId="7CD3B232" w14:textId="1B53209A" w:rsidR="004D0716" w:rsidRPr="007505CF" w:rsidRDefault="004D0716">
      <w:pPr>
        <w:pStyle w:val="TOC2"/>
        <w:rPr>
          <w:noProof/>
          <w:lang w:val="sv-SE" w:eastAsia="sv-SE"/>
        </w:rPr>
      </w:pPr>
      <w:hyperlink w:anchor="_Toc210901299" w:history="1">
        <w:r w:rsidRPr="007505CF">
          <w:rPr>
            <w:rStyle w:val="Hyperlink"/>
            <w:noProof/>
          </w:rPr>
          <w:t>II.17</w:t>
        </w:r>
        <w:r w:rsidRPr="007505CF">
          <w:rPr>
            <w:noProof/>
            <w:lang w:val="sv-SE" w:eastAsia="sv-SE"/>
          </w:rPr>
          <w:tab/>
        </w:r>
        <w:r w:rsidRPr="007505CF">
          <w:rPr>
            <w:rStyle w:val="Hyperlink"/>
            <w:noProof/>
          </w:rPr>
          <w:t>Z 07.03 -Kartläggning av kärnaffärsområden enligt juridisk person (FUNC 3)</w:t>
        </w:r>
        <w:r w:rsidRPr="007505CF">
          <w:rPr>
            <w:noProof/>
            <w:webHidden/>
          </w:rPr>
          <w:tab/>
        </w:r>
        <w:r w:rsidRPr="007505CF">
          <w:rPr>
            <w:noProof/>
            <w:webHidden/>
          </w:rPr>
          <w:fldChar w:fldCharType="begin"/>
        </w:r>
        <w:r w:rsidRPr="007505CF">
          <w:rPr>
            <w:noProof/>
            <w:webHidden/>
          </w:rPr>
          <w:instrText xml:space="preserve"> PAGEREF _Toc210901299 \h </w:instrText>
        </w:r>
        <w:r w:rsidRPr="007505CF">
          <w:rPr>
            <w:noProof/>
            <w:webHidden/>
          </w:rPr>
        </w:r>
        <w:r w:rsidRPr="007505CF">
          <w:rPr>
            <w:noProof/>
            <w:webHidden/>
          </w:rPr>
          <w:fldChar w:fldCharType="separate"/>
        </w:r>
        <w:r w:rsidRPr="007505CF">
          <w:rPr>
            <w:noProof/>
            <w:webHidden/>
          </w:rPr>
          <w:t>64</w:t>
        </w:r>
        <w:r w:rsidRPr="007505CF">
          <w:rPr>
            <w:noProof/>
            <w:webHidden/>
          </w:rPr>
          <w:fldChar w:fldCharType="end"/>
        </w:r>
      </w:hyperlink>
    </w:p>
    <w:p w14:paraId="60681C9A" w14:textId="3DC4CCB1" w:rsidR="004D0716" w:rsidRDefault="004D0716">
      <w:pPr>
        <w:pStyle w:val="TOC2"/>
        <w:rPr>
          <w:noProof/>
          <w:lang w:val="sv-SE" w:eastAsia="sv-SE"/>
        </w:rPr>
      </w:pPr>
      <w:hyperlink w:anchor="_Toc210901300" w:history="1">
        <w:r w:rsidRPr="007505CF">
          <w:rPr>
            <w:rStyle w:val="Hyperlink"/>
            <w:noProof/>
          </w:rPr>
          <w:t>II.18</w:t>
        </w:r>
        <w:r w:rsidRPr="007505CF">
          <w:rPr>
            <w:noProof/>
            <w:lang w:val="sv-SE" w:eastAsia="sv-SE"/>
          </w:rPr>
          <w:tab/>
        </w:r>
        <w:r w:rsidRPr="007505CF">
          <w:rPr>
            <w:rStyle w:val="Hyperlink"/>
            <w:noProof/>
          </w:rPr>
          <w:t>Z 07.04 – Kartläggning av ekonomiska funktioner enligt kärnaffärsområden (FUNC 4)</w:t>
        </w:r>
        <w:r w:rsidRPr="007505CF">
          <w:rPr>
            <w:noProof/>
            <w:webHidden/>
          </w:rPr>
          <w:tab/>
        </w:r>
        <w:r w:rsidRPr="007505CF">
          <w:rPr>
            <w:noProof/>
            <w:webHidden/>
          </w:rPr>
          <w:fldChar w:fldCharType="begin"/>
        </w:r>
        <w:r w:rsidRPr="007505CF">
          <w:rPr>
            <w:noProof/>
            <w:webHidden/>
          </w:rPr>
          <w:instrText xml:space="preserve"> PAGEREF _Toc210901300 \h </w:instrText>
        </w:r>
        <w:r w:rsidRPr="007505CF">
          <w:rPr>
            <w:noProof/>
            <w:webHidden/>
          </w:rPr>
        </w:r>
        <w:r w:rsidRPr="007505CF">
          <w:rPr>
            <w:noProof/>
            <w:webHidden/>
          </w:rPr>
          <w:fldChar w:fldCharType="separate"/>
        </w:r>
        <w:r w:rsidRPr="007505CF">
          <w:rPr>
            <w:noProof/>
            <w:webHidden/>
          </w:rPr>
          <w:t>65</w:t>
        </w:r>
        <w:r w:rsidRPr="007505CF">
          <w:rPr>
            <w:noProof/>
            <w:webHidden/>
          </w:rPr>
          <w:fldChar w:fldCharType="end"/>
        </w:r>
      </w:hyperlink>
    </w:p>
    <w:p w14:paraId="151E2447" w14:textId="120E185F" w:rsidR="004D0716" w:rsidRDefault="004D0716">
      <w:pPr>
        <w:pStyle w:val="TOC2"/>
        <w:rPr>
          <w:noProof/>
          <w:lang w:val="sv-SE" w:eastAsia="sv-SE"/>
        </w:rPr>
      </w:pPr>
      <w:hyperlink w:anchor="_Toc210901301" w:history="1">
        <w:r w:rsidRPr="00B82495">
          <w:rPr>
            <w:rStyle w:val="Hyperlink"/>
            <w:noProof/>
          </w:rPr>
          <w:t>II.19</w:t>
        </w:r>
        <w:r>
          <w:rPr>
            <w:noProof/>
            <w:lang w:val="sv-SE" w:eastAsia="sv-SE"/>
          </w:rPr>
          <w:tab/>
        </w:r>
        <w:r w:rsidRPr="00B82495">
          <w:rPr>
            <w:rStyle w:val="Hyperlink"/>
            <w:noProof/>
          </w:rPr>
          <w:t>Relevanta tjänster</w:t>
        </w:r>
        <w:r>
          <w:rPr>
            <w:noProof/>
            <w:webHidden/>
          </w:rPr>
          <w:tab/>
        </w:r>
        <w:r>
          <w:rPr>
            <w:noProof/>
            <w:webHidden/>
          </w:rPr>
          <w:fldChar w:fldCharType="begin"/>
        </w:r>
        <w:r>
          <w:rPr>
            <w:noProof/>
            <w:webHidden/>
          </w:rPr>
          <w:instrText xml:space="preserve"> PAGEREF _Toc210901301 \h </w:instrText>
        </w:r>
        <w:r>
          <w:rPr>
            <w:noProof/>
            <w:webHidden/>
          </w:rPr>
        </w:r>
        <w:r>
          <w:rPr>
            <w:noProof/>
            <w:webHidden/>
          </w:rPr>
          <w:fldChar w:fldCharType="separate"/>
        </w:r>
        <w:r>
          <w:rPr>
            <w:noProof/>
            <w:webHidden/>
          </w:rPr>
          <w:t>66</w:t>
        </w:r>
        <w:r>
          <w:rPr>
            <w:noProof/>
            <w:webHidden/>
          </w:rPr>
          <w:fldChar w:fldCharType="end"/>
        </w:r>
      </w:hyperlink>
    </w:p>
    <w:p w14:paraId="40627396" w14:textId="245D2B4E" w:rsidR="004D0716" w:rsidRDefault="004D0716">
      <w:pPr>
        <w:pStyle w:val="TOC2"/>
        <w:rPr>
          <w:noProof/>
          <w:lang w:val="sv-SE" w:eastAsia="sv-SE"/>
        </w:rPr>
      </w:pPr>
      <w:hyperlink w:anchor="_Toc210901302" w:history="1">
        <w:r w:rsidRPr="00B82495">
          <w:rPr>
            <w:rStyle w:val="Hyperlink"/>
            <w:rFonts w:eastAsia="Calibri"/>
            <w:noProof/>
          </w:rPr>
          <w:t>II.20</w:t>
        </w:r>
        <w:r>
          <w:rPr>
            <w:noProof/>
            <w:lang w:val="sv-SE" w:eastAsia="sv-SE"/>
          </w:rPr>
          <w:tab/>
        </w:r>
        <w:r w:rsidRPr="00B82495">
          <w:rPr>
            <w:rStyle w:val="Hyperlink"/>
            <w:noProof/>
          </w:rPr>
          <w:t>Z 08.01 – Relevanta tjänster (SERV 1)</w:t>
        </w:r>
        <w:r>
          <w:rPr>
            <w:noProof/>
            <w:webHidden/>
          </w:rPr>
          <w:tab/>
        </w:r>
        <w:r>
          <w:rPr>
            <w:noProof/>
            <w:webHidden/>
          </w:rPr>
          <w:fldChar w:fldCharType="begin"/>
        </w:r>
        <w:r>
          <w:rPr>
            <w:noProof/>
            <w:webHidden/>
          </w:rPr>
          <w:instrText xml:space="preserve"> PAGEREF _Toc210901302 \h </w:instrText>
        </w:r>
        <w:r>
          <w:rPr>
            <w:noProof/>
            <w:webHidden/>
          </w:rPr>
        </w:r>
        <w:r>
          <w:rPr>
            <w:noProof/>
            <w:webHidden/>
          </w:rPr>
          <w:fldChar w:fldCharType="separate"/>
        </w:r>
        <w:r>
          <w:rPr>
            <w:noProof/>
            <w:webHidden/>
          </w:rPr>
          <w:t>66</w:t>
        </w:r>
        <w:r>
          <w:rPr>
            <w:noProof/>
            <w:webHidden/>
          </w:rPr>
          <w:fldChar w:fldCharType="end"/>
        </w:r>
      </w:hyperlink>
    </w:p>
    <w:p w14:paraId="1BF91963" w14:textId="628382C2" w:rsidR="004D0716" w:rsidRDefault="004D0716">
      <w:pPr>
        <w:pStyle w:val="TOC2"/>
        <w:rPr>
          <w:noProof/>
          <w:lang w:val="sv-SE" w:eastAsia="sv-SE"/>
        </w:rPr>
      </w:pPr>
      <w:hyperlink w:anchor="_Toc210901303" w:history="1">
        <w:r w:rsidRPr="00B82495">
          <w:rPr>
            <w:rStyle w:val="Hyperlink"/>
            <w:noProof/>
          </w:rPr>
          <w:t>II.21</w:t>
        </w:r>
        <w:r>
          <w:rPr>
            <w:noProof/>
            <w:lang w:val="sv-SE" w:eastAsia="sv-SE"/>
          </w:rPr>
          <w:tab/>
        </w:r>
        <w:r w:rsidRPr="00B82495">
          <w:rPr>
            <w:rStyle w:val="Hyperlink"/>
            <w:noProof/>
          </w:rPr>
          <w:t>Z 08.02 – Relevanta tjänster – kartläggning av operativa tillgångar (SERV 2)</w:t>
        </w:r>
        <w:r>
          <w:rPr>
            <w:noProof/>
            <w:webHidden/>
          </w:rPr>
          <w:tab/>
        </w:r>
        <w:r>
          <w:rPr>
            <w:noProof/>
            <w:webHidden/>
          </w:rPr>
          <w:fldChar w:fldCharType="begin"/>
        </w:r>
        <w:r>
          <w:rPr>
            <w:noProof/>
            <w:webHidden/>
          </w:rPr>
          <w:instrText xml:space="preserve"> PAGEREF _Toc210901303 \h </w:instrText>
        </w:r>
        <w:r>
          <w:rPr>
            <w:noProof/>
            <w:webHidden/>
          </w:rPr>
        </w:r>
        <w:r>
          <w:rPr>
            <w:noProof/>
            <w:webHidden/>
          </w:rPr>
          <w:fldChar w:fldCharType="separate"/>
        </w:r>
        <w:r>
          <w:rPr>
            <w:noProof/>
            <w:webHidden/>
          </w:rPr>
          <w:t>72</w:t>
        </w:r>
        <w:r>
          <w:rPr>
            <w:noProof/>
            <w:webHidden/>
          </w:rPr>
          <w:fldChar w:fldCharType="end"/>
        </w:r>
      </w:hyperlink>
    </w:p>
    <w:p w14:paraId="3E4FA0EA" w14:textId="048D2F8F" w:rsidR="004D0716" w:rsidRDefault="004D0716">
      <w:pPr>
        <w:pStyle w:val="TOC2"/>
        <w:rPr>
          <w:noProof/>
          <w:lang w:val="sv-SE" w:eastAsia="sv-SE"/>
        </w:rPr>
      </w:pPr>
      <w:hyperlink w:anchor="_Toc210901304" w:history="1">
        <w:r w:rsidRPr="00B82495">
          <w:rPr>
            <w:rStyle w:val="Hyperlink"/>
            <w:rFonts w:eastAsia="Calibri"/>
            <w:noProof/>
          </w:rPr>
          <w:t>II.22</w:t>
        </w:r>
        <w:r>
          <w:rPr>
            <w:noProof/>
            <w:lang w:val="sv-SE" w:eastAsia="sv-SE"/>
          </w:rPr>
          <w:tab/>
        </w:r>
        <w:r w:rsidRPr="00B82495">
          <w:rPr>
            <w:rStyle w:val="Hyperlink"/>
            <w:noProof/>
          </w:rPr>
          <w:t>Z 08.03 – Relevanta tjänster – kartläggning av roller (SERV 3)</w:t>
        </w:r>
        <w:r>
          <w:rPr>
            <w:noProof/>
            <w:webHidden/>
          </w:rPr>
          <w:tab/>
        </w:r>
        <w:r>
          <w:rPr>
            <w:noProof/>
            <w:webHidden/>
          </w:rPr>
          <w:fldChar w:fldCharType="begin"/>
        </w:r>
        <w:r>
          <w:rPr>
            <w:noProof/>
            <w:webHidden/>
          </w:rPr>
          <w:instrText xml:space="preserve"> PAGEREF _Toc210901304 \h </w:instrText>
        </w:r>
        <w:r>
          <w:rPr>
            <w:noProof/>
            <w:webHidden/>
          </w:rPr>
        </w:r>
        <w:r>
          <w:rPr>
            <w:noProof/>
            <w:webHidden/>
          </w:rPr>
          <w:fldChar w:fldCharType="separate"/>
        </w:r>
        <w:r>
          <w:rPr>
            <w:noProof/>
            <w:webHidden/>
          </w:rPr>
          <w:t>75</w:t>
        </w:r>
        <w:r>
          <w:rPr>
            <w:noProof/>
            <w:webHidden/>
          </w:rPr>
          <w:fldChar w:fldCharType="end"/>
        </w:r>
      </w:hyperlink>
    </w:p>
    <w:p w14:paraId="0FDD0275" w14:textId="751B5FE1" w:rsidR="004D0716" w:rsidRDefault="004D0716">
      <w:pPr>
        <w:pStyle w:val="TOC2"/>
        <w:rPr>
          <w:noProof/>
          <w:lang w:val="sv-SE" w:eastAsia="sv-SE"/>
        </w:rPr>
      </w:pPr>
      <w:hyperlink w:anchor="_Toc210901305" w:history="1">
        <w:r w:rsidRPr="00B82495">
          <w:rPr>
            <w:rStyle w:val="Hyperlink"/>
            <w:rFonts w:eastAsia="Calibri"/>
            <w:noProof/>
          </w:rPr>
          <w:t>II.23</w:t>
        </w:r>
        <w:r>
          <w:rPr>
            <w:noProof/>
            <w:lang w:val="sv-SE" w:eastAsia="sv-SE"/>
          </w:rPr>
          <w:tab/>
        </w:r>
        <w:r w:rsidRPr="00B82495">
          <w:rPr>
            <w:rStyle w:val="Hyperlink"/>
            <w:noProof/>
          </w:rPr>
          <w:t>Z 08.04 – Kritiska tjänster – kartläggning av kritiska funktioner (SERV 4)</w:t>
        </w:r>
        <w:r>
          <w:rPr>
            <w:noProof/>
            <w:webHidden/>
          </w:rPr>
          <w:tab/>
        </w:r>
        <w:r>
          <w:rPr>
            <w:noProof/>
            <w:webHidden/>
          </w:rPr>
          <w:fldChar w:fldCharType="begin"/>
        </w:r>
        <w:r>
          <w:rPr>
            <w:noProof/>
            <w:webHidden/>
          </w:rPr>
          <w:instrText xml:space="preserve"> PAGEREF _Toc210901305 \h </w:instrText>
        </w:r>
        <w:r>
          <w:rPr>
            <w:noProof/>
            <w:webHidden/>
          </w:rPr>
        </w:r>
        <w:r>
          <w:rPr>
            <w:noProof/>
            <w:webHidden/>
          </w:rPr>
          <w:fldChar w:fldCharType="separate"/>
        </w:r>
        <w:r>
          <w:rPr>
            <w:noProof/>
            <w:webHidden/>
          </w:rPr>
          <w:t>76</w:t>
        </w:r>
        <w:r>
          <w:rPr>
            <w:noProof/>
            <w:webHidden/>
          </w:rPr>
          <w:fldChar w:fldCharType="end"/>
        </w:r>
      </w:hyperlink>
    </w:p>
    <w:p w14:paraId="2CB406FD" w14:textId="089B5EE7" w:rsidR="004D0716" w:rsidRDefault="004D0716">
      <w:pPr>
        <w:pStyle w:val="TOC2"/>
        <w:rPr>
          <w:noProof/>
          <w:lang w:val="sv-SE" w:eastAsia="sv-SE"/>
        </w:rPr>
      </w:pPr>
      <w:hyperlink w:anchor="_Toc210901306" w:history="1">
        <w:r w:rsidRPr="00B82495">
          <w:rPr>
            <w:rStyle w:val="Hyperlink"/>
            <w:noProof/>
          </w:rPr>
          <w:t>Allmänna instruktioner</w:t>
        </w:r>
        <w:r>
          <w:rPr>
            <w:noProof/>
            <w:webHidden/>
          </w:rPr>
          <w:tab/>
        </w:r>
        <w:r>
          <w:rPr>
            <w:noProof/>
            <w:webHidden/>
          </w:rPr>
          <w:fldChar w:fldCharType="begin"/>
        </w:r>
        <w:r>
          <w:rPr>
            <w:noProof/>
            <w:webHidden/>
          </w:rPr>
          <w:instrText xml:space="preserve"> PAGEREF _Toc210901306 \h </w:instrText>
        </w:r>
        <w:r>
          <w:rPr>
            <w:noProof/>
            <w:webHidden/>
          </w:rPr>
        </w:r>
        <w:r>
          <w:rPr>
            <w:noProof/>
            <w:webHidden/>
          </w:rPr>
          <w:fldChar w:fldCharType="separate"/>
        </w:r>
        <w:r>
          <w:rPr>
            <w:noProof/>
            <w:webHidden/>
          </w:rPr>
          <w:t>76</w:t>
        </w:r>
        <w:r>
          <w:rPr>
            <w:noProof/>
            <w:webHidden/>
          </w:rPr>
          <w:fldChar w:fldCharType="end"/>
        </w:r>
      </w:hyperlink>
    </w:p>
    <w:p w14:paraId="117CF280" w14:textId="38A45678" w:rsidR="004D0716" w:rsidRDefault="004D0716">
      <w:pPr>
        <w:pStyle w:val="TOC2"/>
        <w:rPr>
          <w:noProof/>
          <w:lang w:val="sv-SE" w:eastAsia="sv-SE"/>
        </w:rPr>
      </w:pPr>
      <w:hyperlink w:anchor="_Toc210901307" w:history="1">
        <w:r w:rsidRPr="00B82495">
          <w:rPr>
            <w:rStyle w:val="Hyperlink"/>
            <w:rFonts w:eastAsia="Calibri"/>
            <w:noProof/>
          </w:rPr>
          <w:t>II.24</w:t>
        </w:r>
        <w:r>
          <w:rPr>
            <w:noProof/>
            <w:lang w:val="sv-SE" w:eastAsia="sv-SE"/>
          </w:rPr>
          <w:tab/>
        </w:r>
        <w:r w:rsidRPr="00B82495">
          <w:rPr>
            <w:rStyle w:val="Hyperlink"/>
            <w:noProof/>
          </w:rPr>
          <w:t>Z 08.05 – Grundläggande tjänster – kartläggning av centrala affärsområden (SERV 5)</w:t>
        </w:r>
        <w:r>
          <w:rPr>
            <w:noProof/>
            <w:webHidden/>
          </w:rPr>
          <w:tab/>
        </w:r>
        <w:r>
          <w:rPr>
            <w:noProof/>
            <w:webHidden/>
          </w:rPr>
          <w:fldChar w:fldCharType="begin"/>
        </w:r>
        <w:r>
          <w:rPr>
            <w:noProof/>
            <w:webHidden/>
          </w:rPr>
          <w:instrText xml:space="preserve"> PAGEREF _Toc210901307 \h </w:instrText>
        </w:r>
        <w:r>
          <w:rPr>
            <w:noProof/>
            <w:webHidden/>
          </w:rPr>
        </w:r>
        <w:r>
          <w:rPr>
            <w:noProof/>
            <w:webHidden/>
          </w:rPr>
          <w:fldChar w:fldCharType="separate"/>
        </w:r>
        <w:r>
          <w:rPr>
            <w:noProof/>
            <w:webHidden/>
          </w:rPr>
          <w:t>77</w:t>
        </w:r>
        <w:r>
          <w:rPr>
            <w:noProof/>
            <w:webHidden/>
          </w:rPr>
          <w:fldChar w:fldCharType="end"/>
        </w:r>
      </w:hyperlink>
    </w:p>
    <w:p w14:paraId="016FE322" w14:textId="3BE292B1" w:rsidR="004D0716" w:rsidRDefault="004D0716">
      <w:pPr>
        <w:pStyle w:val="TOC2"/>
        <w:rPr>
          <w:noProof/>
          <w:lang w:val="sv-SE" w:eastAsia="sv-SE"/>
        </w:rPr>
      </w:pPr>
      <w:hyperlink w:anchor="_Toc210901308" w:history="1">
        <w:r w:rsidRPr="00B82495">
          <w:rPr>
            <w:rStyle w:val="Hyperlink"/>
            <w:noProof/>
          </w:rPr>
          <w:t>II.25</w:t>
        </w:r>
        <w:r>
          <w:rPr>
            <w:noProof/>
            <w:lang w:val="sv-SE" w:eastAsia="sv-SE"/>
          </w:rPr>
          <w:tab/>
        </w:r>
        <w:r w:rsidRPr="00B82495">
          <w:rPr>
            <w:rStyle w:val="Hyperlink"/>
            <w:noProof/>
          </w:rPr>
          <w:t>FMI-tjänster</w:t>
        </w:r>
        <w:r>
          <w:rPr>
            <w:noProof/>
            <w:webHidden/>
          </w:rPr>
          <w:tab/>
        </w:r>
        <w:r>
          <w:rPr>
            <w:noProof/>
            <w:webHidden/>
          </w:rPr>
          <w:fldChar w:fldCharType="begin"/>
        </w:r>
        <w:r>
          <w:rPr>
            <w:noProof/>
            <w:webHidden/>
          </w:rPr>
          <w:instrText xml:space="preserve"> PAGEREF _Toc210901308 \h </w:instrText>
        </w:r>
        <w:r>
          <w:rPr>
            <w:noProof/>
            <w:webHidden/>
          </w:rPr>
        </w:r>
        <w:r>
          <w:rPr>
            <w:noProof/>
            <w:webHidden/>
          </w:rPr>
          <w:fldChar w:fldCharType="separate"/>
        </w:r>
        <w:r>
          <w:rPr>
            <w:noProof/>
            <w:webHidden/>
          </w:rPr>
          <w:t>78</w:t>
        </w:r>
        <w:r>
          <w:rPr>
            <w:noProof/>
            <w:webHidden/>
          </w:rPr>
          <w:fldChar w:fldCharType="end"/>
        </w:r>
      </w:hyperlink>
    </w:p>
    <w:p w14:paraId="3C693F88" w14:textId="3E02A698" w:rsidR="004D0716" w:rsidRDefault="004D0716">
      <w:pPr>
        <w:pStyle w:val="TOC2"/>
        <w:rPr>
          <w:noProof/>
          <w:lang w:val="sv-SE" w:eastAsia="sv-SE"/>
        </w:rPr>
      </w:pPr>
      <w:hyperlink w:anchor="_Toc210901309" w:history="1">
        <w:r w:rsidRPr="00B82495">
          <w:rPr>
            <w:rStyle w:val="Hyperlink"/>
            <w:noProof/>
          </w:rPr>
          <w:t>II.26</w:t>
        </w:r>
        <w:r>
          <w:rPr>
            <w:noProof/>
            <w:lang w:val="sv-SE" w:eastAsia="sv-SE"/>
          </w:rPr>
          <w:tab/>
        </w:r>
        <w:r w:rsidRPr="00B82495">
          <w:rPr>
            <w:rStyle w:val="Hyperlink"/>
            <w:noProof/>
          </w:rPr>
          <w:t>Z 09.01 – FMI-tjänster – leverantörer och användare (FMI 1)</w:t>
        </w:r>
        <w:r>
          <w:rPr>
            <w:noProof/>
            <w:webHidden/>
          </w:rPr>
          <w:tab/>
        </w:r>
        <w:r>
          <w:rPr>
            <w:noProof/>
            <w:webHidden/>
          </w:rPr>
          <w:fldChar w:fldCharType="begin"/>
        </w:r>
        <w:r>
          <w:rPr>
            <w:noProof/>
            <w:webHidden/>
          </w:rPr>
          <w:instrText xml:space="preserve"> PAGEREF _Toc210901309 \h </w:instrText>
        </w:r>
        <w:r>
          <w:rPr>
            <w:noProof/>
            <w:webHidden/>
          </w:rPr>
        </w:r>
        <w:r>
          <w:rPr>
            <w:noProof/>
            <w:webHidden/>
          </w:rPr>
          <w:fldChar w:fldCharType="separate"/>
        </w:r>
        <w:r>
          <w:rPr>
            <w:noProof/>
            <w:webHidden/>
          </w:rPr>
          <w:t>78</w:t>
        </w:r>
        <w:r>
          <w:rPr>
            <w:noProof/>
            <w:webHidden/>
          </w:rPr>
          <w:fldChar w:fldCharType="end"/>
        </w:r>
      </w:hyperlink>
    </w:p>
    <w:p w14:paraId="2CB71661" w14:textId="6575F11D" w:rsidR="004D0716" w:rsidRDefault="004D0716">
      <w:pPr>
        <w:pStyle w:val="TOC2"/>
        <w:rPr>
          <w:noProof/>
          <w:lang w:val="sv-SE" w:eastAsia="sv-SE"/>
        </w:rPr>
      </w:pPr>
      <w:hyperlink w:anchor="_Toc210901310" w:history="1">
        <w:r w:rsidRPr="00B82495">
          <w:rPr>
            <w:rStyle w:val="Hyperlink"/>
            <w:rFonts w:eastAsia="Calibri"/>
            <w:noProof/>
          </w:rPr>
          <w:t>II.27</w:t>
        </w:r>
        <w:r>
          <w:rPr>
            <w:noProof/>
            <w:lang w:val="sv-SE" w:eastAsia="sv-SE"/>
          </w:rPr>
          <w:tab/>
        </w:r>
        <w:r w:rsidRPr="00B82495">
          <w:rPr>
            <w:rStyle w:val="Hyperlink"/>
            <w:noProof/>
          </w:rPr>
          <w:t>Z 09.02 – Kartläggning av kritiska och väsentliga finansmarknadsinfrastrukturer (FMI 2)</w:t>
        </w:r>
        <w:r>
          <w:rPr>
            <w:noProof/>
            <w:webHidden/>
          </w:rPr>
          <w:tab/>
        </w:r>
        <w:r>
          <w:rPr>
            <w:noProof/>
            <w:webHidden/>
          </w:rPr>
          <w:fldChar w:fldCharType="begin"/>
        </w:r>
        <w:r>
          <w:rPr>
            <w:noProof/>
            <w:webHidden/>
          </w:rPr>
          <w:instrText xml:space="preserve"> PAGEREF _Toc210901310 \h </w:instrText>
        </w:r>
        <w:r>
          <w:rPr>
            <w:noProof/>
            <w:webHidden/>
          </w:rPr>
        </w:r>
        <w:r>
          <w:rPr>
            <w:noProof/>
            <w:webHidden/>
          </w:rPr>
          <w:fldChar w:fldCharType="separate"/>
        </w:r>
        <w:r>
          <w:rPr>
            <w:noProof/>
            <w:webHidden/>
          </w:rPr>
          <w:t>82</w:t>
        </w:r>
        <w:r>
          <w:rPr>
            <w:noProof/>
            <w:webHidden/>
          </w:rPr>
          <w:fldChar w:fldCharType="end"/>
        </w:r>
      </w:hyperlink>
    </w:p>
    <w:p w14:paraId="06E2619B" w14:textId="66B33E67" w:rsidR="004D0716" w:rsidRDefault="004D0716">
      <w:pPr>
        <w:pStyle w:val="TOC2"/>
        <w:rPr>
          <w:noProof/>
          <w:lang w:val="sv-SE" w:eastAsia="sv-SE"/>
        </w:rPr>
      </w:pPr>
      <w:hyperlink w:anchor="_Toc210901311" w:history="1">
        <w:r w:rsidRPr="00B82495">
          <w:rPr>
            <w:rStyle w:val="Hyperlink"/>
            <w:noProof/>
          </w:rPr>
          <w:t>II.28</w:t>
        </w:r>
        <w:r>
          <w:rPr>
            <w:noProof/>
            <w:lang w:val="sv-SE" w:eastAsia="sv-SE"/>
          </w:rPr>
          <w:tab/>
        </w:r>
        <w:r w:rsidRPr="00B82495">
          <w:rPr>
            <w:rStyle w:val="Hyperlink"/>
            <w:noProof/>
          </w:rPr>
          <w:t>Z 09.03 – FMI-tjänster – nyckelmått (FMI 3)</w:t>
        </w:r>
        <w:r>
          <w:rPr>
            <w:noProof/>
            <w:webHidden/>
          </w:rPr>
          <w:tab/>
        </w:r>
        <w:r>
          <w:rPr>
            <w:noProof/>
            <w:webHidden/>
          </w:rPr>
          <w:fldChar w:fldCharType="begin"/>
        </w:r>
        <w:r>
          <w:rPr>
            <w:noProof/>
            <w:webHidden/>
          </w:rPr>
          <w:instrText xml:space="preserve"> PAGEREF _Toc210901311 \h </w:instrText>
        </w:r>
        <w:r>
          <w:rPr>
            <w:noProof/>
            <w:webHidden/>
          </w:rPr>
        </w:r>
        <w:r>
          <w:rPr>
            <w:noProof/>
            <w:webHidden/>
          </w:rPr>
          <w:fldChar w:fldCharType="separate"/>
        </w:r>
        <w:r>
          <w:rPr>
            <w:noProof/>
            <w:webHidden/>
          </w:rPr>
          <w:t>84</w:t>
        </w:r>
        <w:r>
          <w:rPr>
            <w:noProof/>
            <w:webHidden/>
          </w:rPr>
          <w:fldChar w:fldCharType="end"/>
        </w:r>
      </w:hyperlink>
    </w:p>
    <w:p w14:paraId="35C72D08" w14:textId="59BDD9BB" w:rsidR="004D0716" w:rsidRDefault="004D0716">
      <w:pPr>
        <w:pStyle w:val="TOC2"/>
        <w:rPr>
          <w:noProof/>
          <w:lang w:val="sv-SE" w:eastAsia="sv-SE"/>
        </w:rPr>
      </w:pPr>
      <w:hyperlink w:anchor="_Toc210901312" w:history="1">
        <w:r w:rsidRPr="00B82495">
          <w:rPr>
            <w:rStyle w:val="Hyperlink"/>
            <w:noProof/>
          </w:rPr>
          <w:t>II.29</w:t>
        </w:r>
        <w:r>
          <w:rPr>
            <w:noProof/>
            <w:lang w:val="sv-SE" w:eastAsia="sv-SE"/>
          </w:rPr>
          <w:tab/>
        </w:r>
        <w:r w:rsidRPr="00B82495">
          <w:rPr>
            <w:rStyle w:val="Hyperlink"/>
            <w:noProof/>
          </w:rPr>
          <w:t>Z 09.04 – FMI-tjänster – centrala motparter – alternativa leverantörer (FMI 4)</w:t>
        </w:r>
        <w:r>
          <w:rPr>
            <w:noProof/>
            <w:webHidden/>
          </w:rPr>
          <w:tab/>
        </w:r>
        <w:r>
          <w:rPr>
            <w:noProof/>
            <w:webHidden/>
          </w:rPr>
          <w:fldChar w:fldCharType="begin"/>
        </w:r>
        <w:r>
          <w:rPr>
            <w:noProof/>
            <w:webHidden/>
          </w:rPr>
          <w:instrText xml:space="preserve"> PAGEREF _Toc210901312 \h </w:instrText>
        </w:r>
        <w:r>
          <w:rPr>
            <w:noProof/>
            <w:webHidden/>
          </w:rPr>
        </w:r>
        <w:r>
          <w:rPr>
            <w:noProof/>
            <w:webHidden/>
          </w:rPr>
          <w:fldChar w:fldCharType="separate"/>
        </w:r>
        <w:r>
          <w:rPr>
            <w:noProof/>
            <w:webHidden/>
          </w:rPr>
          <w:t>85</w:t>
        </w:r>
        <w:r>
          <w:rPr>
            <w:noProof/>
            <w:webHidden/>
          </w:rPr>
          <w:fldChar w:fldCharType="end"/>
        </w:r>
      </w:hyperlink>
    </w:p>
    <w:p w14:paraId="35176ED0" w14:textId="55842E5C" w:rsidR="004D0716" w:rsidRDefault="004D0716">
      <w:pPr>
        <w:pStyle w:val="TOC2"/>
        <w:rPr>
          <w:noProof/>
          <w:lang w:val="sv-SE" w:eastAsia="sv-SE"/>
        </w:rPr>
      </w:pPr>
      <w:hyperlink w:anchor="_Toc210901313" w:history="1">
        <w:r w:rsidRPr="00B82495">
          <w:rPr>
            <w:rStyle w:val="Hyperlink"/>
            <w:noProof/>
          </w:rPr>
          <w:t>II.30</w:t>
        </w:r>
        <w:r>
          <w:rPr>
            <w:noProof/>
            <w:lang w:val="sv-SE" w:eastAsia="sv-SE"/>
          </w:rPr>
          <w:tab/>
        </w:r>
        <w:r w:rsidRPr="00B82495">
          <w:rPr>
            <w:rStyle w:val="Hyperlink"/>
            <w:noProof/>
          </w:rPr>
          <w:t>Ansvarsanalys</w:t>
        </w:r>
        <w:r>
          <w:rPr>
            <w:noProof/>
            <w:webHidden/>
          </w:rPr>
          <w:tab/>
        </w:r>
        <w:r>
          <w:rPr>
            <w:noProof/>
            <w:webHidden/>
          </w:rPr>
          <w:fldChar w:fldCharType="begin"/>
        </w:r>
        <w:r>
          <w:rPr>
            <w:noProof/>
            <w:webHidden/>
          </w:rPr>
          <w:instrText xml:space="preserve"> PAGEREF _Toc210901313 \h </w:instrText>
        </w:r>
        <w:r>
          <w:rPr>
            <w:noProof/>
            <w:webHidden/>
          </w:rPr>
        </w:r>
        <w:r>
          <w:rPr>
            <w:noProof/>
            <w:webHidden/>
          </w:rPr>
          <w:fldChar w:fldCharType="separate"/>
        </w:r>
        <w:r>
          <w:rPr>
            <w:noProof/>
            <w:webHidden/>
          </w:rPr>
          <w:t>86</w:t>
        </w:r>
        <w:r>
          <w:rPr>
            <w:noProof/>
            <w:webHidden/>
          </w:rPr>
          <w:fldChar w:fldCharType="end"/>
        </w:r>
      </w:hyperlink>
    </w:p>
    <w:p w14:paraId="5F02F269" w14:textId="263BF010" w:rsidR="004D0716" w:rsidRDefault="004D0716">
      <w:pPr>
        <w:pStyle w:val="TOC2"/>
        <w:rPr>
          <w:noProof/>
          <w:lang w:val="sv-SE" w:eastAsia="sv-SE"/>
        </w:rPr>
      </w:pPr>
      <w:hyperlink w:anchor="_Toc210901314" w:history="1">
        <w:r w:rsidRPr="00B82495">
          <w:rPr>
            <w:rStyle w:val="Hyperlink"/>
            <w:rFonts w:ascii="Times New Roman" w:hAnsi="Times New Roman" w:cs="Times New Roman"/>
            <w:noProof/>
          </w:rPr>
          <w:t>II.31</w:t>
        </w:r>
        <w:r>
          <w:rPr>
            <w:noProof/>
            <w:lang w:val="sv-SE" w:eastAsia="sv-SE"/>
          </w:rPr>
          <w:tab/>
        </w:r>
        <w:r w:rsidRPr="00B82495">
          <w:rPr>
            <w:rStyle w:val="Hyperlink"/>
            <w:rFonts w:ascii="Times New Roman" w:hAnsi="Times New Roman" w:cs="Times New Roman"/>
            <w:noProof/>
          </w:rPr>
          <w:t>Z 11.00 Skulder inom gruppen</w:t>
        </w:r>
        <w:r w:rsidRPr="00B82495">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_Toc210901314 \h </w:instrText>
        </w:r>
        <w:r>
          <w:rPr>
            <w:noProof/>
            <w:webHidden/>
          </w:rPr>
        </w:r>
        <w:r>
          <w:rPr>
            <w:noProof/>
            <w:webHidden/>
          </w:rPr>
          <w:fldChar w:fldCharType="separate"/>
        </w:r>
        <w:r>
          <w:rPr>
            <w:noProof/>
            <w:webHidden/>
          </w:rPr>
          <w:t>86</w:t>
        </w:r>
        <w:r>
          <w:rPr>
            <w:noProof/>
            <w:webHidden/>
          </w:rPr>
          <w:fldChar w:fldCharType="end"/>
        </w:r>
      </w:hyperlink>
    </w:p>
    <w:p w14:paraId="0F1A7F9D" w14:textId="39FD4990" w:rsidR="004D0716" w:rsidRDefault="004D0716">
      <w:pPr>
        <w:pStyle w:val="TOC2"/>
        <w:rPr>
          <w:noProof/>
          <w:lang w:val="sv-SE" w:eastAsia="sv-SE"/>
        </w:rPr>
      </w:pPr>
      <w:hyperlink w:anchor="_Toc210901315" w:history="1">
        <w:r w:rsidRPr="00B82495">
          <w:rPr>
            <w:rStyle w:val="Hyperlink"/>
            <w:rFonts w:ascii="Times New Roman" w:hAnsi="Times New Roman" w:cs="Times New Roman"/>
            <w:noProof/>
          </w:rPr>
          <w:t>II.32</w:t>
        </w:r>
        <w:r>
          <w:rPr>
            <w:noProof/>
            <w:lang w:val="sv-SE" w:eastAsia="sv-SE"/>
          </w:rPr>
          <w:tab/>
        </w:r>
        <w:r w:rsidRPr="00B82495">
          <w:rPr>
            <w:rStyle w:val="Hyperlink"/>
            <w:rFonts w:ascii="Times New Roman" w:hAnsi="Times New Roman" w:cs="Times New Roman"/>
            <w:noProof/>
          </w:rPr>
          <w:t xml:space="preserve">Z 12.00 – </w:t>
        </w:r>
        <w:r w:rsidRPr="00B82495">
          <w:rPr>
            <w:rStyle w:val="Hyperlink"/>
            <w:rFonts w:ascii="Times New Roman" w:eastAsia="Cambria" w:hAnsi="Times New Roman" w:cs="Times New Roman"/>
            <w:noProof/>
          </w:rPr>
          <w:t xml:space="preserve">Värdepapper (inklusive CET1, AT1) nivå 2-instrument; utom inom gruppen) </w:t>
        </w:r>
        <w:r w:rsidRPr="00B82495">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_Toc210901315 \h </w:instrText>
        </w:r>
        <w:r>
          <w:rPr>
            <w:noProof/>
            <w:webHidden/>
          </w:rPr>
        </w:r>
        <w:r>
          <w:rPr>
            <w:noProof/>
            <w:webHidden/>
          </w:rPr>
          <w:fldChar w:fldCharType="separate"/>
        </w:r>
        <w:r>
          <w:rPr>
            <w:noProof/>
            <w:webHidden/>
          </w:rPr>
          <w:t>89</w:t>
        </w:r>
        <w:r>
          <w:rPr>
            <w:noProof/>
            <w:webHidden/>
          </w:rPr>
          <w:fldChar w:fldCharType="end"/>
        </w:r>
      </w:hyperlink>
    </w:p>
    <w:p w14:paraId="069E58DF" w14:textId="1EBECF52" w:rsidR="004D0716" w:rsidRDefault="004D0716">
      <w:pPr>
        <w:pStyle w:val="TOC2"/>
        <w:rPr>
          <w:noProof/>
          <w:lang w:val="sv-SE" w:eastAsia="sv-SE"/>
        </w:rPr>
      </w:pPr>
      <w:hyperlink w:anchor="_Toc210901316" w:history="1">
        <w:r w:rsidRPr="00B82495">
          <w:rPr>
            <w:rStyle w:val="Hyperlink"/>
            <w:rFonts w:ascii="Times New Roman" w:hAnsi="Times New Roman" w:cs="Times New Roman"/>
            <w:noProof/>
          </w:rPr>
          <w:t>II.33</w:t>
        </w:r>
        <w:r>
          <w:rPr>
            <w:noProof/>
            <w:lang w:val="sv-SE" w:eastAsia="sv-SE"/>
          </w:rPr>
          <w:tab/>
        </w:r>
        <w:r w:rsidRPr="00B82495">
          <w:rPr>
            <w:rStyle w:val="Hyperlink"/>
            <w:rFonts w:ascii="Times New Roman" w:hAnsi="Times New Roman" w:cs="Times New Roman"/>
            <w:noProof/>
          </w:rPr>
          <w:t xml:space="preserve">Z 13.00 – Alla insättningar (utom inom gruppen) </w:t>
        </w:r>
        <w:r w:rsidRPr="00B82495">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_Toc210901316 \h </w:instrText>
        </w:r>
        <w:r>
          <w:rPr>
            <w:noProof/>
            <w:webHidden/>
          </w:rPr>
        </w:r>
        <w:r>
          <w:rPr>
            <w:noProof/>
            <w:webHidden/>
          </w:rPr>
          <w:fldChar w:fldCharType="separate"/>
        </w:r>
        <w:r>
          <w:rPr>
            <w:noProof/>
            <w:webHidden/>
          </w:rPr>
          <w:t>93</w:t>
        </w:r>
        <w:r>
          <w:rPr>
            <w:noProof/>
            <w:webHidden/>
          </w:rPr>
          <w:fldChar w:fldCharType="end"/>
        </w:r>
      </w:hyperlink>
    </w:p>
    <w:p w14:paraId="03C40449" w14:textId="2FDA26E6" w:rsidR="004D0716" w:rsidRDefault="004D0716">
      <w:pPr>
        <w:pStyle w:val="TOC2"/>
        <w:rPr>
          <w:noProof/>
          <w:lang w:val="sv-SE" w:eastAsia="sv-SE"/>
        </w:rPr>
      </w:pPr>
      <w:hyperlink w:anchor="_Toc210901317" w:history="1">
        <w:r w:rsidRPr="00B82495">
          <w:rPr>
            <w:rStyle w:val="Hyperlink"/>
            <w:rFonts w:ascii="Times New Roman" w:hAnsi="Times New Roman" w:cs="Times New Roman"/>
            <w:noProof/>
          </w:rPr>
          <w:t>II.34</w:t>
        </w:r>
        <w:r>
          <w:rPr>
            <w:noProof/>
            <w:lang w:val="sv-SE" w:eastAsia="sv-SE"/>
          </w:rPr>
          <w:tab/>
        </w:r>
        <w:r w:rsidRPr="00B82495">
          <w:rPr>
            <w:rStyle w:val="Hyperlink"/>
            <w:rFonts w:ascii="Times New Roman" w:hAnsi="Times New Roman" w:cs="Times New Roman"/>
            <w:noProof/>
          </w:rPr>
          <w:t xml:space="preserve">Z 14.00 – Övriga finansiella skulder (som inte ingår i andra flikar, utom inom gruppen) </w:t>
        </w:r>
        <w:r w:rsidRPr="00B82495">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_Toc210901317 \h </w:instrText>
        </w:r>
        <w:r>
          <w:rPr>
            <w:noProof/>
            <w:webHidden/>
          </w:rPr>
        </w:r>
        <w:r>
          <w:rPr>
            <w:noProof/>
            <w:webHidden/>
          </w:rPr>
          <w:fldChar w:fldCharType="separate"/>
        </w:r>
        <w:r>
          <w:rPr>
            <w:noProof/>
            <w:webHidden/>
          </w:rPr>
          <w:t>95</w:t>
        </w:r>
        <w:r>
          <w:rPr>
            <w:noProof/>
            <w:webHidden/>
          </w:rPr>
          <w:fldChar w:fldCharType="end"/>
        </w:r>
      </w:hyperlink>
    </w:p>
    <w:p w14:paraId="11E50A83" w14:textId="06191A50" w:rsidR="004D0716" w:rsidRDefault="004D0716">
      <w:pPr>
        <w:pStyle w:val="TOC2"/>
        <w:rPr>
          <w:noProof/>
          <w:lang w:val="sv-SE" w:eastAsia="sv-SE"/>
        </w:rPr>
      </w:pPr>
      <w:hyperlink w:anchor="_Toc210901318" w:history="1">
        <w:r w:rsidRPr="00B82495">
          <w:rPr>
            <w:rStyle w:val="Hyperlink"/>
            <w:rFonts w:ascii="Times New Roman" w:hAnsi="Times New Roman" w:cs="Times New Roman"/>
            <w:noProof/>
          </w:rPr>
          <w:t>II.35</w:t>
        </w:r>
        <w:r>
          <w:rPr>
            <w:noProof/>
            <w:lang w:val="sv-SE" w:eastAsia="sv-SE"/>
          </w:rPr>
          <w:tab/>
        </w:r>
        <w:r w:rsidRPr="00B82495">
          <w:rPr>
            <w:rStyle w:val="Hyperlink"/>
            <w:rFonts w:ascii="Times New Roman" w:hAnsi="Times New Roman" w:cs="Times New Roman"/>
            <w:noProof/>
          </w:rPr>
          <w:t xml:space="preserve">Z 15.00 – Derivat </w:t>
        </w:r>
        <w:r w:rsidRPr="00B82495">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_Toc210901318 \h </w:instrText>
        </w:r>
        <w:r>
          <w:rPr>
            <w:noProof/>
            <w:webHidden/>
          </w:rPr>
        </w:r>
        <w:r>
          <w:rPr>
            <w:noProof/>
            <w:webHidden/>
          </w:rPr>
          <w:fldChar w:fldCharType="separate"/>
        </w:r>
        <w:r>
          <w:rPr>
            <w:noProof/>
            <w:webHidden/>
          </w:rPr>
          <w:t>98</w:t>
        </w:r>
        <w:r>
          <w:rPr>
            <w:noProof/>
            <w:webHidden/>
          </w:rPr>
          <w:fldChar w:fldCharType="end"/>
        </w:r>
      </w:hyperlink>
    </w:p>
    <w:p w14:paraId="1AD0FA97" w14:textId="1675A1E9" w:rsidR="004D0716" w:rsidRDefault="004D0716">
      <w:pPr>
        <w:pStyle w:val="TOC2"/>
        <w:rPr>
          <w:noProof/>
          <w:lang w:val="sv-SE" w:eastAsia="sv-SE"/>
        </w:rPr>
      </w:pPr>
      <w:hyperlink w:anchor="_Toc210901319" w:history="1">
        <w:r w:rsidRPr="00B82495">
          <w:rPr>
            <w:rStyle w:val="Hyperlink"/>
            <w:rFonts w:ascii="Times New Roman" w:hAnsi="Times New Roman" w:cs="Times New Roman"/>
            <w:noProof/>
          </w:rPr>
          <w:t>II.36</w:t>
        </w:r>
        <w:r>
          <w:rPr>
            <w:noProof/>
            <w:lang w:val="sv-SE" w:eastAsia="sv-SE"/>
          </w:rPr>
          <w:tab/>
        </w:r>
        <w:r w:rsidRPr="00B82495">
          <w:rPr>
            <w:rStyle w:val="Hyperlink"/>
            <w:rFonts w:ascii="Times New Roman" w:hAnsi="Times New Roman" w:cs="Times New Roman"/>
            <w:noProof/>
          </w:rPr>
          <w:t xml:space="preserve">Z 16.00 – Säkerställda finansiella transaktioner, exklusive koncerninterna transaktioner </w:t>
        </w:r>
        <w:r w:rsidRPr="00B82495">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_Toc210901319 \h </w:instrText>
        </w:r>
        <w:r>
          <w:rPr>
            <w:noProof/>
            <w:webHidden/>
          </w:rPr>
        </w:r>
        <w:r>
          <w:rPr>
            <w:noProof/>
            <w:webHidden/>
          </w:rPr>
          <w:fldChar w:fldCharType="separate"/>
        </w:r>
        <w:r>
          <w:rPr>
            <w:noProof/>
            <w:webHidden/>
          </w:rPr>
          <w:t>100</w:t>
        </w:r>
        <w:r>
          <w:rPr>
            <w:noProof/>
            <w:webHidden/>
          </w:rPr>
          <w:fldChar w:fldCharType="end"/>
        </w:r>
      </w:hyperlink>
    </w:p>
    <w:p w14:paraId="5E2A32C5" w14:textId="50974A39" w:rsidR="004D0716" w:rsidRDefault="004D0716">
      <w:pPr>
        <w:pStyle w:val="TOC2"/>
        <w:rPr>
          <w:noProof/>
          <w:lang w:val="sv-SE" w:eastAsia="sv-SE"/>
        </w:rPr>
      </w:pPr>
      <w:hyperlink w:anchor="_Toc210901320" w:history="1">
        <w:r w:rsidRPr="00B82495">
          <w:rPr>
            <w:rStyle w:val="Hyperlink"/>
            <w:rFonts w:ascii="Times New Roman" w:hAnsi="Times New Roman" w:cs="Times New Roman"/>
            <w:noProof/>
          </w:rPr>
          <w:t>II.37</w:t>
        </w:r>
        <w:r>
          <w:rPr>
            <w:noProof/>
            <w:lang w:val="sv-SE" w:eastAsia="sv-SE"/>
          </w:rPr>
          <w:tab/>
        </w:r>
        <w:r w:rsidRPr="00B82495">
          <w:rPr>
            <w:rStyle w:val="Hyperlink"/>
            <w:rFonts w:ascii="Times New Roman" w:hAnsi="Times New Roman" w:cs="Times New Roman"/>
            <w:noProof/>
          </w:rPr>
          <w:t xml:space="preserve">Z 17.00 – Övriga icke-finansiella skulder (som inte ingår i andra flikar, utom inom gruppen) </w:t>
        </w:r>
        <w:r w:rsidRPr="00B82495">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_Toc210901320 \h </w:instrText>
        </w:r>
        <w:r>
          <w:rPr>
            <w:noProof/>
            <w:webHidden/>
          </w:rPr>
        </w:r>
        <w:r>
          <w:rPr>
            <w:noProof/>
            <w:webHidden/>
          </w:rPr>
          <w:fldChar w:fldCharType="separate"/>
        </w:r>
        <w:r>
          <w:rPr>
            <w:noProof/>
            <w:webHidden/>
          </w:rPr>
          <w:t>101</w:t>
        </w:r>
        <w:r>
          <w:rPr>
            <w:noProof/>
            <w:webHidden/>
          </w:rPr>
          <w:fldChar w:fldCharType="end"/>
        </w:r>
      </w:hyperlink>
    </w:p>
    <w:p w14:paraId="13EA8716" w14:textId="029D2292" w:rsidR="004D0716" w:rsidRDefault="004D0716">
      <w:pPr>
        <w:pStyle w:val="TOC2"/>
        <w:rPr>
          <w:noProof/>
          <w:lang w:val="sv-SE" w:eastAsia="sv-SE"/>
        </w:rPr>
      </w:pPr>
      <w:hyperlink w:anchor="_Toc210901321" w:history="1">
        <w:r w:rsidRPr="00B82495">
          <w:rPr>
            <w:rStyle w:val="Hyperlink"/>
            <w:noProof/>
          </w:rPr>
          <w:t>II.38</w:t>
        </w:r>
        <w:r>
          <w:rPr>
            <w:noProof/>
            <w:lang w:val="sv-SE" w:eastAsia="sv-SE"/>
          </w:rPr>
          <w:tab/>
        </w:r>
        <w:r w:rsidRPr="00B82495">
          <w:rPr>
            <w:rStyle w:val="Hyperlink"/>
            <w:noProof/>
          </w:rPr>
          <w:t>Bilaga I – Förteckning över finansmarknadsinfrastrukturer som ska användas för Z 09.01 – c0050</w:t>
        </w:r>
        <w:r>
          <w:rPr>
            <w:noProof/>
            <w:webHidden/>
          </w:rPr>
          <w:tab/>
        </w:r>
        <w:r>
          <w:rPr>
            <w:noProof/>
            <w:webHidden/>
          </w:rPr>
          <w:fldChar w:fldCharType="begin"/>
        </w:r>
        <w:r>
          <w:rPr>
            <w:noProof/>
            <w:webHidden/>
          </w:rPr>
          <w:instrText xml:space="preserve"> PAGEREF _Toc210901321 \h </w:instrText>
        </w:r>
        <w:r>
          <w:rPr>
            <w:noProof/>
            <w:webHidden/>
          </w:rPr>
        </w:r>
        <w:r>
          <w:rPr>
            <w:noProof/>
            <w:webHidden/>
          </w:rPr>
          <w:fldChar w:fldCharType="separate"/>
        </w:r>
        <w:r>
          <w:rPr>
            <w:noProof/>
            <w:webHidden/>
          </w:rPr>
          <w:t>104</w:t>
        </w:r>
        <w:r>
          <w:rPr>
            <w:noProof/>
            <w:webHidden/>
          </w:rPr>
          <w:fldChar w:fldCharType="end"/>
        </w:r>
      </w:hyperlink>
    </w:p>
    <w:p w14:paraId="7FE1B2E2" w14:textId="69075594" w:rsidR="0057131B" w:rsidRDefault="00355A1C">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57131B" w:rsidRDefault="0057131B">
      <w:pPr>
        <w:rPr>
          <w:rFonts w:ascii="Times New Roman" w:hAnsi="Times New Roman" w:cs="Times New Roman"/>
          <w:b/>
          <w:color w:val="000000" w:themeColor="text1"/>
          <w:sz w:val="20"/>
          <w:szCs w:val="20"/>
        </w:rPr>
      </w:pPr>
    </w:p>
    <w:p w14:paraId="7FE1B2E4" w14:textId="77777777" w:rsidR="0057131B" w:rsidRDefault="0057131B">
      <w:pPr>
        <w:pStyle w:val="ListParagraph"/>
        <w:rPr>
          <w:rFonts w:ascii="Times New Roman" w:hAnsi="Times New Roman"/>
          <w:b/>
          <w:color w:val="000000" w:themeColor="text1"/>
          <w:sz w:val="20"/>
          <w:szCs w:val="20"/>
        </w:rPr>
      </w:pPr>
    </w:p>
    <w:p w14:paraId="7FE1B2E5" w14:textId="77777777" w:rsidR="0057131B" w:rsidRDefault="00355A1C">
      <w:pPr>
        <w:pStyle w:val="P68B1DB1-Normal3"/>
        <w:spacing w:after="200" w:line="276" w:lineRule="auto"/>
        <w:rPr>
          <w:rFonts w:eastAsiaTheme="majorEastAsia"/>
          <w:kern w:val="28"/>
        </w:rPr>
      </w:pPr>
      <w:bookmarkStart w:id="0" w:name="_Toc492542318"/>
      <w:r>
        <w:br w:type="page"/>
      </w:r>
    </w:p>
    <w:p w14:paraId="7FE1B2E6" w14:textId="77777777" w:rsidR="0057131B" w:rsidRDefault="00355A1C">
      <w:pPr>
        <w:pStyle w:val="P68B1DB1-Instructionsberschrift24"/>
        <w:numPr>
          <w:ilvl w:val="0"/>
          <w:numId w:val="49"/>
        </w:numPr>
        <w:ind w:left="357" w:hanging="357"/>
      </w:pPr>
      <w:bookmarkStart w:id="1" w:name="_Toc81454170"/>
      <w:bookmarkStart w:id="2" w:name="_Toc210901273"/>
      <w:r>
        <w:lastRenderedPageBreak/>
        <w:t>Allmänna instruktioner</w:t>
      </w:r>
      <w:bookmarkEnd w:id="0"/>
      <w:bookmarkEnd w:id="1"/>
      <w:bookmarkEnd w:id="2"/>
    </w:p>
    <w:p w14:paraId="7FE1B2E7" w14:textId="77777777" w:rsidR="0057131B" w:rsidRDefault="00355A1C">
      <w:pPr>
        <w:pStyle w:val="P68B1DB1-Instructionsberschrift25"/>
        <w:numPr>
          <w:ilvl w:val="1"/>
          <w:numId w:val="49"/>
        </w:numPr>
        <w:ind w:left="357" w:hanging="357"/>
      </w:pPr>
      <w:bookmarkStart w:id="3" w:name="_Toc81454171"/>
      <w:bookmarkStart w:id="4" w:name="_Toc210901274"/>
      <w:r>
        <w:t>Stöd</w:t>
      </w:r>
      <w:bookmarkEnd w:id="3"/>
      <w:bookmarkEnd w:id="4"/>
    </w:p>
    <w:p w14:paraId="7FE1B2E8" w14:textId="261F32BB" w:rsidR="0057131B" w:rsidRDefault="00355A1C">
      <w:pPr>
        <w:pStyle w:val="P68B1DB1-InstructionsText26"/>
        <w:numPr>
          <w:ilvl w:val="0"/>
          <w:numId w:val="71"/>
        </w:numPr>
        <w:spacing w:before="0"/>
        <w:ind w:left="714" w:hanging="357"/>
      </w:pPr>
      <w:r>
        <w:t>Ramverket består av 29 mallar organiserade i sex sektioner:</w:t>
      </w:r>
    </w:p>
    <w:p w14:paraId="7FE1B2EA" w14:textId="45B1FB28" w:rsidR="0057131B" w:rsidRDefault="00355A1C">
      <w:pPr>
        <w:pStyle w:val="P68B1DB1-body7"/>
        <w:numPr>
          <w:ilvl w:val="0"/>
          <w:numId w:val="61"/>
        </w:numPr>
      </w:pPr>
      <w:r>
        <w:t>”Allmän information”, som ger en överblick över organisationsstrukturen hos en koncern och dess enheter, fördelningen av tillgångar och riskexponeringsbeloppen. Denna sektion består av mallar:</w:t>
      </w:r>
    </w:p>
    <w:p w14:paraId="7FE1B2EB" w14:textId="75468367" w:rsidR="0057131B" w:rsidRDefault="00355A1C">
      <w:pPr>
        <w:pStyle w:val="P68B1DB1-body7"/>
        <w:numPr>
          <w:ilvl w:val="1"/>
          <w:numId w:val="207"/>
        </w:numPr>
      </w:pPr>
      <w:r>
        <w:t>Z 01.01 – Juridiska enheter (ORG 1) ”</w:t>
      </w:r>
    </w:p>
    <w:p w14:paraId="7FE1B2EC" w14:textId="77777777" w:rsidR="0057131B" w:rsidRDefault="00355A1C">
      <w:pPr>
        <w:pStyle w:val="P68B1DB1-body7"/>
        <w:numPr>
          <w:ilvl w:val="1"/>
          <w:numId w:val="207"/>
        </w:numPr>
      </w:pPr>
      <w:r>
        <w:t>Z 01.02 – Äganderelation (ORG 2)</w:t>
      </w:r>
    </w:p>
    <w:p w14:paraId="7FE1B2ED" w14:textId="0B29A8FB" w:rsidR="0057131B" w:rsidRDefault="00355A1C">
      <w:pPr>
        <w:pStyle w:val="P68B1DB1-body7"/>
        <w:numPr>
          <w:ilvl w:val="0"/>
          <w:numId w:val="61"/>
        </w:numPr>
      </w:pPr>
      <w:r>
        <w:t>”Sammanlagda data om poster på och utanför balansräkningen” som ger finansiell information om skulder, kapitalbas, finansiella relationer mellan koncernenheter, skulder gentemot större motparter och poster utanför balansräkningen som mottagits av större motparter samt insättningsgaranti. Denna sektion består av sju mallar:</w:t>
      </w:r>
    </w:p>
    <w:p w14:paraId="7FE1B2EE" w14:textId="77777777" w:rsidR="0057131B" w:rsidRDefault="00355A1C">
      <w:pPr>
        <w:pStyle w:val="P68B1DB1-body7"/>
        <w:numPr>
          <w:ilvl w:val="0"/>
          <w:numId w:val="208"/>
        </w:numPr>
      </w:pPr>
      <w:r>
        <w:t>”Z 02.00 – Skuldstruktur (LIAB 1)”.</w:t>
      </w:r>
    </w:p>
    <w:p w14:paraId="7FE1B2EF" w14:textId="584458BC" w:rsidR="0057131B" w:rsidRDefault="00355A1C">
      <w:pPr>
        <w:pStyle w:val="P68B1DB1-body7"/>
        <w:numPr>
          <w:ilvl w:val="0"/>
          <w:numId w:val="208"/>
        </w:numPr>
      </w:pPr>
      <w:r>
        <w:t>”Z 03.01 – Kapitalbaskrav för kreditinstitut (LIAB 2)”.</w:t>
      </w:r>
    </w:p>
    <w:p w14:paraId="7FE1B2F0" w14:textId="56619DCA" w:rsidR="0057131B" w:rsidRDefault="00355A1C">
      <w:pPr>
        <w:pStyle w:val="P68B1DB1-body7"/>
        <w:numPr>
          <w:ilvl w:val="0"/>
          <w:numId w:val="208"/>
        </w:numPr>
      </w:pPr>
      <w:r>
        <w:t xml:space="preserve">”Z 03.02 – Kapitalbaskrav för </w:t>
      </w:r>
      <w:r w:rsidR="00A533D8" w:rsidRPr="007505CF">
        <w:rPr>
          <w:lang w:val="sv-SE"/>
        </w:rPr>
        <w:t>värdepappersföretag</w:t>
      </w:r>
      <w:r w:rsidR="00A533D8" w:rsidDel="00A533D8">
        <w:t xml:space="preserve"> </w:t>
      </w:r>
      <w:r>
        <w:t>(LIAB 3)”.</w:t>
      </w:r>
    </w:p>
    <w:p w14:paraId="7FE1B2F2" w14:textId="77777777" w:rsidR="0057131B" w:rsidRDefault="00355A1C">
      <w:pPr>
        <w:pStyle w:val="P68B1DB1-body7"/>
        <w:numPr>
          <w:ilvl w:val="0"/>
          <w:numId w:val="208"/>
        </w:numPr>
      </w:pPr>
      <w:r>
        <w:t>”Z 04.00 – Finansiell sammanlänkning inom koncernen (LIAB 4)”.</w:t>
      </w:r>
    </w:p>
    <w:p w14:paraId="7FE1B2F3" w14:textId="780D871C" w:rsidR="0057131B" w:rsidRDefault="00355A1C">
      <w:pPr>
        <w:pStyle w:val="P68B1DB1-body7"/>
        <w:numPr>
          <w:ilvl w:val="0"/>
          <w:numId w:val="208"/>
        </w:numPr>
      </w:pPr>
      <w:r>
        <w:t>”Z 05.01 – Större gäldenärer (LIAB 5)”.</w:t>
      </w:r>
    </w:p>
    <w:p w14:paraId="7FE1B2F4" w14:textId="510CE128" w:rsidR="0057131B" w:rsidRDefault="00355A1C">
      <w:pPr>
        <w:pStyle w:val="P68B1DB1-body7"/>
        <w:numPr>
          <w:ilvl w:val="0"/>
          <w:numId w:val="208"/>
        </w:numPr>
      </w:pPr>
      <w:r>
        <w:t>’Z 05.02 – Större motparter utanför balansräkningen (LIAB 6)’;</w:t>
      </w:r>
    </w:p>
    <w:p w14:paraId="7FE1B2F5" w14:textId="762695F7" w:rsidR="0057131B" w:rsidRDefault="00355A1C">
      <w:pPr>
        <w:pStyle w:val="P68B1DB1-body7"/>
        <w:numPr>
          <w:ilvl w:val="0"/>
          <w:numId w:val="208"/>
        </w:numPr>
      </w:pPr>
      <w:r>
        <w:t>”Z 06.00 – Insättningsgaranti (LIAB 7)”</w:t>
      </w:r>
    </w:p>
    <w:p w14:paraId="7FE1B2F6" w14:textId="75559FD1" w:rsidR="0057131B" w:rsidRDefault="00355A1C">
      <w:pPr>
        <w:pStyle w:val="P68B1DB1-body7"/>
        <w:numPr>
          <w:ilvl w:val="0"/>
          <w:numId w:val="61"/>
        </w:numPr>
      </w:pPr>
      <w:r>
        <w:t>”Kritiska funktioner” som ger en översikt över kritiska funktioner och kartlägger dem för juridiska personer och kärnaffärsområden. Denna sektion består av fyra mallar:</w:t>
      </w:r>
    </w:p>
    <w:p w14:paraId="7FE1B2F7" w14:textId="433A5E71" w:rsidR="0057131B" w:rsidRDefault="00355A1C">
      <w:pPr>
        <w:pStyle w:val="P68B1DB1-body7"/>
        <w:numPr>
          <w:ilvl w:val="1"/>
          <w:numId w:val="209"/>
        </w:numPr>
      </w:pPr>
      <w:r>
        <w:t xml:space="preserve">Z 07.01 – Kriticitetsbedömning av ekonomiska funktioner (FUNC 1), </w:t>
      </w:r>
    </w:p>
    <w:p w14:paraId="7FE1B2F8" w14:textId="3145F629" w:rsidR="0057131B" w:rsidRDefault="00355A1C">
      <w:pPr>
        <w:pStyle w:val="P68B1DB1-body7"/>
        <w:numPr>
          <w:ilvl w:val="1"/>
          <w:numId w:val="209"/>
        </w:numPr>
      </w:pPr>
      <w:r>
        <w:t xml:space="preserve">Z 07.02 – Kartläggning av kritiska funktioner enligt juridisk person (FUNC 2) </w:t>
      </w:r>
    </w:p>
    <w:p w14:paraId="7FE1B2F9" w14:textId="1FE59149" w:rsidR="0057131B" w:rsidRDefault="00355A1C">
      <w:pPr>
        <w:pStyle w:val="P68B1DB1-body7"/>
        <w:numPr>
          <w:ilvl w:val="1"/>
          <w:numId w:val="209"/>
        </w:numPr>
      </w:pPr>
      <w:r>
        <w:t xml:space="preserve">Z 07.03 -Kartläggning av kärnaffärsområden enligt juridisk person (FUNC 3) </w:t>
      </w:r>
    </w:p>
    <w:p w14:paraId="7FE1B2FB" w14:textId="3D116B7E" w:rsidR="0057131B" w:rsidRDefault="00355A1C">
      <w:pPr>
        <w:pStyle w:val="P68B1DB1-body7"/>
        <w:ind w:left="1794"/>
      </w:pPr>
      <w:r>
        <w:t>Z 07.04 – Kartläggning av kritiska funktioner enligt kärnaffärsområden (FUNC 4);</w:t>
      </w:r>
    </w:p>
    <w:p w14:paraId="7FE1B2FC" w14:textId="77777777" w:rsidR="0057131B" w:rsidRDefault="00355A1C">
      <w:pPr>
        <w:pStyle w:val="P68B1DB1-body7"/>
        <w:numPr>
          <w:ilvl w:val="0"/>
          <w:numId w:val="61"/>
        </w:numPr>
      </w:pPr>
      <w:bookmarkStart w:id="5" w:name="_Hlk160696385"/>
      <w:r>
        <w:t>Tjänster och enheter, som tillhandahåller en uppdelning av användare och leverantörer av tjänster och kartlägger dem efter ekonomiska funktioner och affärsområden</w:t>
      </w:r>
      <w:bookmarkEnd w:id="5"/>
      <w:r>
        <w:t>:</w:t>
      </w:r>
    </w:p>
    <w:p w14:paraId="7FE1B2FD" w14:textId="77777777" w:rsidR="0057131B" w:rsidRDefault="00355A1C">
      <w:pPr>
        <w:pStyle w:val="P68B1DB1-body7"/>
        <w:numPr>
          <w:ilvl w:val="1"/>
          <w:numId w:val="210"/>
        </w:numPr>
      </w:pPr>
      <w:r>
        <w:t>Z 08.01 – Relevanta tjänster (SERV 1)</w:t>
      </w:r>
    </w:p>
    <w:p w14:paraId="7FE1B2FE" w14:textId="77777777" w:rsidR="0057131B" w:rsidRDefault="00355A1C">
      <w:pPr>
        <w:pStyle w:val="P68B1DB1-body7"/>
        <w:numPr>
          <w:ilvl w:val="1"/>
          <w:numId w:val="210"/>
        </w:numPr>
      </w:pPr>
      <w:r>
        <w:t>Z 08.02 – Relevanta tjänster – kartläggning av tillgångar (SERV 2)</w:t>
      </w:r>
    </w:p>
    <w:p w14:paraId="7FE1B2FF" w14:textId="77777777" w:rsidR="0057131B" w:rsidRDefault="00355A1C">
      <w:pPr>
        <w:pStyle w:val="P68B1DB1-body7"/>
        <w:numPr>
          <w:ilvl w:val="1"/>
          <w:numId w:val="210"/>
        </w:numPr>
      </w:pPr>
      <w:r>
        <w:t>Z 08.03 – Relevanta tjänster – kartläggning av roller (SERV 3)</w:t>
      </w:r>
    </w:p>
    <w:p w14:paraId="7FE1B300" w14:textId="77777777" w:rsidR="0057131B" w:rsidRDefault="00355A1C">
      <w:pPr>
        <w:pStyle w:val="P68B1DB1-body7"/>
        <w:numPr>
          <w:ilvl w:val="1"/>
          <w:numId w:val="210"/>
        </w:numPr>
      </w:pPr>
      <w:r>
        <w:t>Z 08.04 – Relevanta tjänster – kartläggning av kritiska funktioner (SERV 4)</w:t>
      </w:r>
    </w:p>
    <w:p w14:paraId="7FE1B301" w14:textId="77777777" w:rsidR="0057131B" w:rsidRDefault="00355A1C">
      <w:pPr>
        <w:pStyle w:val="P68B1DB1-body7"/>
        <w:numPr>
          <w:ilvl w:val="1"/>
          <w:numId w:val="210"/>
        </w:numPr>
      </w:pPr>
      <w:r>
        <w:lastRenderedPageBreak/>
        <w:t>Z 08.05 – Relevanta tjänster – kartläggning av centrala affärsområden (SERV 5)</w:t>
      </w:r>
    </w:p>
    <w:p w14:paraId="7FE1B303" w14:textId="397A4C74" w:rsidR="0057131B" w:rsidRDefault="00355A1C">
      <w:pPr>
        <w:pStyle w:val="P68B1DB1-body7"/>
        <w:numPr>
          <w:ilvl w:val="0"/>
          <w:numId w:val="61"/>
        </w:numPr>
      </w:pPr>
      <w:r>
        <w:t>Rapportering om FMI-tjänster</w:t>
      </w:r>
    </w:p>
    <w:p w14:paraId="7FE1B304" w14:textId="110EA9FD" w:rsidR="0057131B" w:rsidRDefault="00355A1C">
      <w:pPr>
        <w:pStyle w:val="P68B1DB1-body7"/>
        <w:numPr>
          <w:ilvl w:val="1"/>
          <w:numId w:val="211"/>
        </w:numPr>
      </w:pPr>
      <w:r>
        <w:t>Z 09.01 – FMI-tjänster – leverantörer och användare (FMI 1)</w:t>
      </w:r>
    </w:p>
    <w:p w14:paraId="7FE1B305" w14:textId="77777777" w:rsidR="0057131B" w:rsidRDefault="00355A1C">
      <w:pPr>
        <w:pStyle w:val="P68B1DB1-body7"/>
        <w:numPr>
          <w:ilvl w:val="1"/>
          <w:numId w:val="211"/>
        </w:numPr>
      </w:pPr>
      <w:r>
        <w:t>Z 09.02 – FMI-tjänster – kartläggning av kritiska och väsentliga finansmarknadsinfrastrukturer (FMI 2)</w:t>
      </w:r>
    </w:p>
    <w:p w14:paraId="7FE1B306" w14:textId="77777777" w:rsidR="0057131B" w:rsidRDefault="00355A1C">
      <w:pPr>
        <w:pStyle w:val="P68B1DB1-body7"/>
        <w:numPr>
          <w:ilvl w:val="1"/>
          <w:numId w:val="211"/>
        </w:numPr>
      </w:pPr>
      <w:r>
        <w:t>Z 09.03 – FMI-tjänster – nyckelmått (FMI 3)</w:t>
      </w:r>
    </w:p>
    <w:p w14:paraId="7FE1B307" w14:textId="77777777" w:rsidR="0057131B" w:rsidRDefault="00355A1C">
      <w:pPr>
        <w:pStyle w:val="P68B1DB1-body7"/>
        <w:numPr>
          <w:ilvl w:val="1"/>
          <w:numId w:val="211"/>
        </w:numPr>
      </w:pPr>
      <w:r>
        <w:t>Z 09.04 – FMI-tjänster – centrala motparter – alternativa leverantörer (FMI 4)</w:t>
      </w:r>
    </w:p>
    <w:p w14:paraId="7FE1B30B" w14:textId="668DC863" w:rsidR="0057131B" w:rsidRDefault="00355A1C">
      <w:pPr>
        <w:pStyle w:val="P68B1DB1-body7"/>
        <w:numPr>
          <w:ilvl w:val="0"/>
          <w:numId w:val="61"/>
        </w:numPr>
      </w:pPr>
      <w:r>
        <w:t xml:space="preserve">Detaljerad rapportering av skulduppgifter för bedömning av </w:t>
      </w:r>
      <w:r w:rsidR="00F83180" w:rsidRPr="00F83180">
        <w:t xml:space="preserve">skuldnedskrivning </w:t>
      </w:r>
    </w:p>
    <w:p w14:paraId="7FE1B30C" w14:textId="6ACC8549" w:rsidR="0057131B" w:rsidRDefault="00355A1C">
      <w:pPr>
        <w:pStyle w:val="P68B1DB1-body7"/>
        <w:numPr>
          <w:ilvl w:val="0"/>
          <w:numId w:val="217"/>
        </w:numPr>
      </w:pPr>
      <w:r>
        <w:t>Z 11.00 – Skulder inom gruppen (exklusive derivat) (LIAB-G-1)</w:t>
      </w:r>
    </w:p>
    <w:p w14:paraId="7FE1B30D" w14:textId="140BB302" w:rsidR="0057131B" w:rsidRDefault="00355A1C">
      <w:pPr>
        <w:pStyle w:val="P68B1DB1-body7"/>
        <w:numPr>
          <w:ilvl w:val="0"/>
          <w:numId w:val="217"/>
        </w:numPr>
      </w:pPr>
      <w:r>
        <w:t>Z 12.00 – Värdepapper (inklusive CET1, AT1 – nivå 2-instrument, exklusive koncerninterna instrument) (LIAB-G-2)</w:t>
      </w:r>
    </w:p>
    <w:p w14:paraId="7FE1B30E" w14:textId="67922446" w:rsidR="0057131B" w:rsidRDefault="00355A1C">
      <w:pPr>
        <w:pStyle w:val="P68B1DB1-body7"/>
        <w:numPr>
          <w:ilvl w:val="0"/>
          <w:numId w:val="217"/>
        </w:numPr>
      </w:pPr>
      <w:r>
        <w:t>Z 13.00 – Alla insättningar (utom inom gruppen) (LIAB-G-3)</w:t>
      </w:r>
    </w:p>
    <w:p w14:paraId="7FE1B30F" w14:textId="2D8F046E" w:rsidR="0057131B" w:rsidRDefault="00355A1C">
      <w:pPr>
        <w:pStyle w:val="P68B1DB1-body7"/>
        <w:numPr>
          <w:ilvl w:val="0"/>
          <w:numId w:val="217"/>
        </w:numPr>
      </w:pPr>
      <w:r>
        <w:t>Z 14.00 – Övriga finansiella skulder (LIAB-G-4)</w:t>
      </w:r>
    </w:p>
    <w:p w14:paraId="7FE1B310" w14:textId="69B08C3E" w:rsidR="0057131B" w:rsidRDefault="00355A1C">
      <w:pPr>
        <w:pStyle w:val="P68B1DB1-body7"/>
        <w:numPr>
          <w:ilvl w:val="1"/>
          <w:numId w:val="211"/>
        </w:numPr>
      </w:pPr>
      <w:r>
        <w:t>Z 15.00 – Derivat (LIAB-G-5)</w:t>
      </w:r>
    </w:p>
    <w:p w14:paraId="7FE1B311" w14:textId="2130BFF9" w:rsidR="0057131B" w:rsidRDefault="00355A1C">
      <w:pPr>
        <w:pStyle w:val="P68B1DB1-body7"/>
        <w:numPr>
          <w:ilvl w:val="1"/>
          <w:numId w:val="211"/>
        </w:numPr>
      </w:pPr>
      <w:r>
        <w:t>Z 16.00 – Säkerställd finansiering, exklusive koncernintern finansiering (LIAB-G-6)</w:t>
      </w:r>
    </w:p>
    <w:p w14:paraId="7FE1B312" w14:textId="77742066" w:rsidR="0057131B" w:rsidRDefault="00355A1C">
      <w:pPr>
        <w:pStyle w:val="P68B1DB1-body7"/>
        <w:numPr>
          <w:ilvl w:val="1"/>
          <w:numId w:val="211"/>
        </w:numPr>
      </w:pPr>
      <w:r>
        <w:t>Z 17.00 – Övriga icke-finansiella skulder (LIAB-G-7)</w:t>
      </w:r>
    </w:p>
    <w:p w14:paraId="7FE1B313" w14:textId="77777777" w:rsidR="0057131B" w:rsidRDefault="0057131B">
      <w:pPr>
        <w:pStyle w:val="body"/>
        <w:ind w:left="426"/>
        <w:rPr>
          <w:rFonts w:ascii="Times New Roman" w:hAnsi="Times New Roman" w:cs="Times New Roman"/>
          <w:color w:val="000000" w:themeColor="text1"/>
          <w:sz w:val="20"/>
          <w:szCs w:val="20"/>
        </w:rPr>
      </w:pPr>
    </w:p>
    <w:p w14:paraId="7FE1B314" w14:textId="77777777" w:rsidR="0057131B" w:rsidRDefault="00355A1C">
      <w:pPr>
        <w:pStyle w:val="P68B1DB1-Instructionsberschrift25"/>
        <w:numPr>
          <w:ilvl w:val="1"/>
          <w:numId w:val="49"/>
        </w:numPr>
        <w:ind w:left="357" w:hanging="357"/>
      </w:pPr>
      <w:bookmarkStart w:id="6" w:name="_Toc81454172"/>
      <w:bookmarkStart w:id="7" w:name="_Toc210901275"/>
      <w:r>
        <w:t>Referensnummer</w:t>
      </w:r>
      <w:bookmarkEnd w:id="6"/>
      <w:bookmarkEnd w:id="7"/>
    </w:p>
    <w:p w14:paraId="7FE1B315" w14:textId="77777777" w:rsidR="0057131B" w:rsidRDefault="00355A1C">
      <w:pPr>
        <w:pStyle w:val="P68B1DB1-InstructionsText26"/>
        <w:numPr>
          <w:ilvl w:val="0"/>
          <w:numId w:val="225"/>
        </w:numPr>
        <w:spacing w:before="0"/>
      </w:pPr>
      <w:r>
        <w:t>I denna bilaga används följande förkortningar:</w:t>
      </w:r>
    </w:p>
    <w:p w14:paraId="7FE1B317" w14:textId="77777777" w:rsidR="0057131B" w:rsidRDefault="00355A1C">
      <w:pPr>
        <w:pStyle w:val="P68B1DB1-ListParagraph8"/>
        <w:numPr>
          <w:ilvl w:val="0"/>
          <w:numId w:val="60"/>
        </w:numPr>
        <w:ind w:left="1074"/>
        <w:jc w:val="both"/>
      </w:pPr>
      <w:r>
        <w:t>Med ”CPMI” avses kommittén för betalningar och marknadsinfrastruktur vid Banken för internationell betalningsutjämning.</w:t>
      </w:r>
    </w:p>
    <w:p w14:paraId="7FE1B318" w14:textId="36318AB0" w:rsidR="0057131B" w:rsidRDefault="00355A1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Finrep-mallar i bilaga I till kommissionens genomförandeförordning (EU) 2024/3117.</w:t>
      </w:r>
      <w:r>
        <w:rPr>
          <w:rStyle w:val="FootnoteReference"/>
          <w:rFonts w:ascii="Times New Roman" w:hAnsi="Times New Roman"/>
          <w:sz w:val="20"/>
          <w:szCs w:val="20"/>
        </w:rPr>
        <w:footnoteReference w:id="2"/>
      </w:r>
    </w:p>
    <w:p w14:paraId="7FE1B319" w14:textId="5E436E82" w:rsidR="0057131B" w:rsidRDefault="00355A1C">
      <w:pPr>
        <w:pStyle w:val="P68B1DB1-ListParagraph8"/>
        <w:numPr>
          <w:ilvl w:val="0"/>
          <w:numId w:val="60"/>
        </w:numPr>
        <w:ind w:left="1074"/>
        <w:jc w:val="both"/>
      </w:pPr>
      <w:r>
        <w:t>COREP (OF): COREP-mallar i bilaga I till kommissionens genomförandeförordning (EU) 2024/3117.</w:t>
      </w:r>
    </w:p>
    <w:p w14:paraId="7FE1B31A" w14:textId="2492C34D" w:rsidR="0057131B" w:rsidRDefault="00355A1C">
      <w:pPr>
        <w:pStyle w:val="P68B1DB1-ListParagraph8"/>
        <w:numPr>
          <w:ilvl w:val="0"/>
          <w:numId w:val="60"/>
        </w:numPr>
        <w:ind w:left="1074"/>
        <w:jc w:val="both"/>
      </w:pPr>
      <w:r>
        <w:t>COREP (LR): Corep-mallar (LR) i bilaga I till kommissionens genomförandeförordning (EU) 2024/3117.</w:t>
      </w:r>
    </w:p>
    <w:p w14:paraId="7FE1B31B" w14:textId="77777777" w:rsidR="0057131B" w:rsidRDefault="00355A1C">
      <w:pPr>
        <w:pStyle w:val="P68B1DB1-ListParagraph8"/>
        <w:numPr>
          <w:ilvl w:val="0"/>
          <w:numId w:val="60"/>
        </w:numPr>
        <w:ind w:left="1074"/>
        <w:jc w:val="both"/>
      </w:pPr>
      <w:r>
        <w:t>Med ”FSB” avses rådet för finansiell stabilitet.</w:t>
      </w:r>
    </w:p>
    <w:p w14:paraId="7FE1B31C" w14:textId="77777777" w:rsidR="0057131B" w:rsidRDefault="00355A1C">
      <w:pPr>
        <w:pStyle w:val="P68B1DB1-ListParagraph9"/>
        <w:numPr>
          <w:ilvl w:val="0"/>
          <w:numId w:val="60"/>
        </w:numPr>
        <w:ind w:left="1074"/>
        <w:jc w:val="both"/>
        <w:rPr>
          <w:color w:val="000000" w:themeColor="text1"/>
          <w:sz w:val="20"/>
          <w:szCs w:val="20"/>
        </w:rPr>
      </w:pPr>
      <w:r>
        <w:rPr>
          <w:color w:val="000000" w:themeColor="text1"/>
          <w:sz w:val="20"/>
          <w:szCs w:val="20"/>
        </w:rPr>
        <w:t>Med ”IAS-standard” avses internationell redovisningsstandard enligt definitionen i artikel 2 i Europaparlamentets och rådets förordning (EG) nr 1606/2002</w:t>
      </w:r>
      <w:r>
        <w:footnoteReference w:id="3"/>
      </w:r>
      <w:r>
        <w:rPr>
          <w:color w:val="000000" w:themeColor="text1"/>
          <w:sz w:val="20"/>
          <w:szCs w:val="20"/>
        </w:rPr>
        <w:t>.</w:t>
      </w:r>
    </w:p>
    <w:p w14:paraId="7FE1B31D" w14:textId="77777777" w:rsidR="0057131B" w:rsidRDefault="00355A1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Med ”IFRS-standard” avses internationell redovisningsstandard (International Financial Reporting Standard) enligt definitionen i artikel 2 i Europaparlamentets och rådets förordning (EG) nr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57131B" w:rsidRDefault="00355A1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Med ”LEI-kod” avses identifieringskod för juridiska personer, en referenskod som föreslagits av rådet för finansiell stabilitet (FSB) och godkänts av G20 och som syftar till att skapa en unik och världsomspännande identifikation av parter i finansiella transaktioner. Till dess att LEI-systemet fungerar fullt ut tilldelas motparter koder som föregår LEI-koderna av en lokal operativ enhet som godkänts av den föreskrivande tillsynskommittén för det globala systemet med identifieringskod för juridiska personer (ROC, närmare upplysningar finns på följande webbplats: </w:t>
      </w:r>
      <w:r>
        <w:fldChar w:fldCharType="begin"/>
      </w:r>
      <w:r>
        <w:instrText>HYPERLINK "http://www.leiroc.org"</w:instrText>
      </w:r>
      <w:r>
        <w:fldChar w:fldCharType="separate"/>
      </w:r>
      <w:r>
        <w:rPr>
          <w:rStyle w:val="Hyperlink"/>
          <w:rFonts w:ascii="Times New Roman" w:hAnsi="Times New Roman"/>
          <w:color w:val="000000" w:themeColor="text1"/>
          <w:sz w:val="20"/>
          <w:szCs w:val="20"/>
        </w:rPr>
        <w:t>www.leiroc.org</w:t>
      </w:r>
      <w:r>
        <w:fldChar w:fldCharType="end"/>
      </w:r>
      <w:r>
        <w:rPr>
          <w:rFonts w:ascii="Times New Roman" w:hAnsi="Times New Roman"/>
          <w:color w:val="000000" w:themeColor="text1"/>
          <w:sz w:val="20"/>
          <w:szCs w:val="20"/>
        </w:rPr>
        <w:t>). Om en identifieringskod för juridiska personer (LEI-kod) finns för en given motpart ska den användas för att identifiera motparten.</w:t>
      </w:r>
    </w:p>
    <w:p w14:paraId="7FE1B31F" w14:textId="34CF2B95" w:rsidR="0057131B" w:rsidRDefault="00355A1C">
      <w:pPr>
        <w:pStyle w:val="P68B1DB1-ListParagraph8"/>
        <w:numPr>
          <w:ilvl w:val="0"/>
          <w:numId w:val="60"/>
        </w:numPr>
        <w:ind w:left="1074"/>
        <w:jc w:val="both"/>
      </w:pPr>
      <w:r>
        <w:t>MFI-ID eller MFI-ID är en unik identifieringskod för ett MFI i den förteckning över MFI som ECB upprätthåller och offentliggör för statistiska ändamål i enlighet med Europeiska centralbankens förordning (EU) 2021/379 av den 22 januari 2021 om kreditinstituts och monetära finansinstituts balansräkningsposter (omarbetning) (ECB/2021/2), som ska rapporteras om en LEI-kod inte redan finns.</w:t>
      </w:r>
    </w:p>
    <w:p w14:paraId="7FE1B320" w14:textId="0AC7C627" w:rsidR="0057131B" w:rsidRDefault="00355A1C">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Med ”NGAAP” eller ”nationella allmänt accepterade redovisningsprinciper” avses nationella redovisningsregler som har utvecklats enligt Europaparlamentets och rådets direktiv 86/635/EEC</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57131B" w:rsidRDefault="00355A1C">
      <w:pPr>
        <w:pStyle w:val="P68B1DB1-ListParagraph8"/>
        <w:numPr>
          <w:ilvl w:val="0"/>
          <w:numId w:val="60"/>
        </w:numPr>
        <w:ind w:left="1074"/>
        <w:jc w:val="both"/>
      </w:pPr>
      <w:r>
        <w:t>Operativ tillgång: en tillgång som inte är en finansiell tillgång och som krävs för att utföra relevanta tjänster, såsom fastigheter. immateriella rättigheter, inbegripet varumärken, patent och programvara. maskinvara, It-system och it-tillämpningar. och datalager. Operativa tillgångar är kritiska/väsentliga om det krävs tillgång till dem för att utföra en kritisk/samhällsviktig tjänst.</w:t>
      </w:r>
    </w:p>
    <w:p w14:paraId="7FE1B322" w14:textId="77777777" w:rsidR="0057131B" w:rsidRDefault="00355A1C">
      <w:pPr>
        <w:pStyle w:val="P68B1DB1-ListParagraph8"/>
        <w:numPr>
          <w:ilvl w:val="0"/>
          <w:numId w:val="60"/>
        </w:numPr>
        <w:ind w:left="1074"/>
        <w:jc w:val="both"/>
      </w:pPr>
      <w:r>
        <w:t>”Relevanta tjänster” – tjänster som ligger till grund för i) bankens kritiska funktioner för ekonomin (kritiska tjänster) och ii) centrala affärsområden (väsentliga tjänster) för vilka kontinuitet är nödvändig för ett effektivt genomförande av resolutionsstrategin. Dessa kategorier kan överlappa varandra. Detta gäller analogt för operativa tillgångar och personal.</w:t>
      </w:r>
    </w:p>
    <w:p w14:paraId="7FE1B323" w14:textId="77777777" w:rsidR="0057131B" w:rsidRDefault="00355A1C">
      <w:pPr>
        <w:pStyle w:val="P68B1DB1-ListParagraph8"/>
        <w:numPr>
          <w:ilvl w:val="0"/>
          <w:numId w:val="60"/>
        </w:numPr>
        <w:ind w:left="1074"/>
        <w:jc w:val="both"/>
      </w:pPr>
      <w:r>
        <w:t>”Relevanta roller” – Arbetsroller vars vakans vid resolution kan utgöra ett hinder för kontinuiteten i kritiska funktioner och de centrala affärsområden som krävs för ett effektivt genomförande av resolutionsstrategin och eventuella efterföljande omstruktureringar.</w:t>
      </w:r>
    </w:p>
    <w:p w14:paraId="7FE1B324" w14:textId="77777777" w:rsidR="0057131B" w:rsidRDefault="0057131B">
      <w:pPr>
        <w:pStyle w:val="ListParagraph"/>
        <w:ind w:left="1074"/>
        <w:rPr>
          <w:rFonts w:ascii="Times New Roman" w:hAnsi="Times New Roman"/>
          <w:color w:val="000000" w:themeColor="text1"/>
          <w:sz w:val="20"/>
          <w:szCs w:val="20"/>
        </w:rPr>
      </w:pPr>
    </w:p>
    <w:p w14:paraId="7FE1B325" w14:textId="77777777" w:rsidR="0057131B" w:rsidRDefault="00355A1C">
      <w:pPr>
        <w:pStyle w:val="P68B1DB1-Instructionsberschrift25"/>
        <w:numPr>
          <w:ilvl w:val="1"/>
          <w:numId w:val="49"/>
        </w:numPr>
        <w:ind w:left="357" w:hanging="357"/>
      </w:pPr>
      <w:bookmarkStart w:id="8" w:name="_Toc81454173"/>
      <w:bookmarkStart w:id="9" w:name="_Toc210901276"/>
      <w:r>
        <w:t>Redovisningsregler</w:t>
      </w:r>
      <w:bookmarkEnd w:id="8"/>
      <w:bookmarkEnd w:id="9"/>
    </w:p>
    <w:p w14:paraId="7FE1B326" w14:textId="6C573E68" w:rsidR="0057131B" w:rsidRDefault="00355A1C">
      <w:pPr>
        <w:pStyle w:val="P68B1DB1-InstructionsText26"/>
        <w:numPr>
          <w:ilvl w:val="0"/>
          <w:numId w:val="71"/>
        </w:numPr>
        <w:spacing w:before="0"/>
        <w:ind w:left="714" w:hanging="357"/>
      </w:pPr>
      <w:r>
        <w:t xml:space="preserve">Ifall inget annat har angivits i dessa instruktioner ska instituten rapportera samtliga summor baserat på det redovisningsregler som de använder för att rapportera finansiell information, i enlighet med artiklarna 9 till 11 i kommissionens genomförandeförordning (EU) 2024/3117. De institut som inte är skyldiga att rapportera finansiell information i enlighet med kommissionens genomförandeförordning (EU) 2024/3117 ska följa reglerna i sina respektive redovisningsregler. </w:t>
      </w:r>
    </w:p>
    <w:p w14:paraId="7FE1B327" w14:textId="77777777" w:rsidR="0057131B" w:rsidRDefault="00355A1C">
      <w:pPr>
        <w:pStyle w:val="P68B1DB1-InstructionsText26"/>
        <w:numPr>
          <w:ilvl w:val="0"/>
          <w:numId w:val="227"/>
        </w:numPr>
        <w:spacing w:before="0"/>
      </w:pPr>
      <w:r>
        <w:t>För institut som rapporterar enligt IFRS-standarder har hänvisningar infogats till berörda IFRS-standarder.</w:t>
      </w:r>
    </w:p>
    <w:p w14:paraId="7FE1B328" w14:textId="77777777" w:rsidR="0057131B" w:rsidRDefault="00355A1C">
      <w:pPr>
        <w:pStyle w:val="P68B1DB1-Instructionsberschrift25"/>
        <w:numPr>
          <w:ilvl w:val="1"/>
          <w:numId w:val="49"/>
        </w:numPr>
        <w:ind w:left="357" w:hanging="357"/>
      </w:pPr>
      <w:bookmarkStart w:id="10" w:name="_Toc210901277"/>
      <w:bookmarkStart w:id="11" w:name="_Hlk167181695"/>
      <w:bookmarkStart w:id="12" w:name="_Toc81454174"/>
      <w:r>
        <w:t>Rapportering av tillsynsuppgifter</w:t>
      </w:r>
      <w:bookmarkEnd w:id="10"/>
    </w:p>
    <w:p w14:paraId="7FE1B329" w14:textId="37755A47" w:rsidR="0057131B" w:rsidRPr="007505CF" w:rsidRDefault="00355A1C">
      <w:pPr>
        <w:pStyle w:val="P68B1DB1-Instructionsberschrift310"/>
        <w:numPr>
          <w:ilvl w:val="4"/>
          <w:numId w:val="49"/>
        </w:numPr>
      </w:pPr>
      <w:r w:rsidRPr="007505CF">
        <w:t>Om den rapporterande enheten omfattas av tillsynsrapportering enligt förordning (EU) nr 575/2013</w:t>
      </w:r>
      <w:r w:rsidR="00B344D8">
        <w:rPr>
          <w:rStyle w:val="FootnoteReference"/>
        </w:rPr>
        <w:footnoteReference w:id="6"/>
      </w:r>
      <w:r w:rsidRPr="007505CF">
        <w:t>på konsoliderad eller individuell nivå vid det begärda referensdatumet för resolutionsplanering är enheten inte skyldig att deklarera de datapunkter som redan har rapporterats. Resolutionsmyndigheterna kommer att få dessa datapunkter direkt från de tillsynsrapporter som redan redovisats av den rapporterande enheten.</w:t>
      </w:r>
    </w:p>
    <w:p w14:paraId="7FE1B32A" w14:textId="05B0296B" w:rsidR="0057131B" w:rsidRDefault="00355A1C">
      <w:pPr>
        <w:pStyle w:val="Instructionsberschrift3"/>
        <w:numPr>
          <w:ilvl w:val="4"/>
          <w:numId w:val="49"/>
        </w:numPr>
      </w:pPr>
      <w:r>
        <w:rPr>
          <w:u w:val="none"/>
        </w:rPr>
        <w:lastRenderedPageBreak/>
        <w:t xml:space="preserve">Om enheten inte omfattas av tillsynsrapportering vid det angivna referensdatumet kommer enheten att vara skyldig att deklarera dessa datapunkter i enlighet med genomförandeförordning (EU) nr </w:t>
      </w:r>
      <w:r>
        <w:rPr>
          <w:highlight w:val="yellow"/>
          <w:u w:val="none"/>
        </w:rPr>
        <w:t>20XX/XXX</w:t>
      </w:r>
      <w:r>
        <w:t xml:space="preserve">. </w:t>
      </w:r>
      <w:r>
        <w:rPr>
          <w:u w:val="none"/>
        </w:rPr>
        <w:t>.</w:t>
      </w:r>
    </w:p>
    <w:p w14:paraId="7FE1B32B" w14:textId="77777777" w:rsidR="0057131B" w:rsidRDefault="00355A1C">
      <w:pPr>
        <w:pStyle w:val="P68B1DB1-Instructionsberschrift25"/>
        <w:numPr>
          <w:ilvl w:val="1"/>
          <w:numId w:val="49"/>
        </w:numPr>
        <w:ind w:left="357" w:hanging="357"/>
      </w:pPr>
      <w:bookmarkStart w:id="13" w:name="_Toc210901278"/>
      <w:bookmarkEnd w:id="11"/>
      <w:r>
        <w:t>Konsolideringens omfattning</w:t>
      </w:r>
      <w:bookmarkEnd w:id="12"/>
      <w:bookmarkEnd w:id="13"/>
    </w:p>
    <w:p w14:paraId="7FE1B32C" w14:textId="77777777" w:rsidR="0057131B" w:rsidRDefault="00355A1C">
      <w:pPr>
        <w:pStyle w:val="P68B1DB1-InstructionsText26"/>
        <w:numPr>
          <w:ilvl w:val="0"/>
          <w:numId w:val="228"/>
        </w:numPr>
        <w:spacing w:before="0"/>
      </w:pPr>
      <w:r>
        <w:t>Detta ramverk gäller, beroende på mall</w:t>
      </w:r>
    </w:p>
    <w:p w14:paraId="7FE1B32D" w14:textId="77777777" w:rsidR="0057131B" w:rsidRDefault="00355A1C">
      <w:pPr>
        <w:pStyle w:val="P68B1DB1-numberedparagraph11"/>
        <w:numPr>
          <w:ilvl w:val="0"/>
          <w:numId w:val="81"/>
        </w:numPr>
        <w:rPr>
          <w:rFonts w:eastAsiaTheme="majorEastAsia"/>
        </w:rPr>
      </w:pPr>
      <w:r>
        <w:t>konsolidering som grundar sig på redovisningskonsolidering (enheter som är inkluderade i konsoliderade finansiella rapporter i enlighet med tillämpliga redovisningsregler),</w:t>
      </w:r>
    </w:p>
    <w:p w14:paraId="7FE1B32E" w14:textId="179BBDC6" w:rsidR="0057131B" w:rsidRDefault="00355A1C">
      <w:pPr>
        <w:pStyle w:val="P68B1DB1-numberedparagraph11"/>
        <w:numPr>
          <w:ilvl w:val="0"/>
          <w:numId w:val="81"/>
        </w:numPr>
        <w:rPr>
          <w:rFonts w:eastAsiaTheme="majorEastAsia"/>
        </w:rPr>
      </w:pPr>
      <w:r>
        <w:t xml:space="preserve">konsoliderad tillsyn (enheter som omfattas av konsolideringen i enlighet med avsnitt II kapitel 2 i del ett av Europaparlamentets och rådets förordning (EU) nr 575/2013) på nivån för moderföretaget inom unionen, </w:t>
      </w:r>
    </w:p>
    <w:p w14:paraId="7FE1B32F" w14:textId="77777777" w:rsidR="0057131B" w:rsidRDefault="00355A1C">
      <w:pPr>
        <w:pStyle w:val="P68B1DB1-numberedparagraph11"/>
        <w:numPr>
          <w:ilvl w:val="0"/>
          <w:numId w:val="81"/>
        </w:numPr>
        <w:rPr>
          <w:rFonts w:eastAsiaTheme="majorEastAsia"/>
        </w:rPr>
      </w:pPr>
      <w:r>
        <w:t>konsolidering på nivån för resolutionsenheten för resolutionskoncernen.</w:t>
      </w:r>
    </w:p>
    <w:p w14:paraId="7FE1B330" w14:textId="4B5FA476" w:rsidR="0057131B" w:rsidRDefault="00355A1C">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För varje mall ska instituten följa den eller de konsolideringsgrunder som är tillämpliga enligt artikel 2 – artikel 5 i genomförandeförordning (EU</w:t>
      </w:r>
      <w:r>
        <w:rPr>
          <w:rFonts w:ascii="Times New Roman" w:hAnsi="Times New Roman" w:cs="Times New Roman"/>
          <w:sz w:val="20"/>
          <w:szCs w:val="20"/>
          <w:highlight w:val="yellow"/>
        </w:rPr>
        <w:t>)</w:t>
      </w:r>
      <w:r>
        <w:rPr>
          <w:highlight w:val="yellow"/>
        </w:rPr>
        <w:t>nr</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57131B" w:rsidRDefault="00355A1C">
      <w:pPr>
        <w:pStyle w:val="P68B1DB1-Instructionsberschrift25"/>
        <w:numPr>
          <w:ilvl w:val="1"/>
          <w:numId w:val="49"/>
        </w:numPr>
        <w:ind w:left="357" w:hanging="357"/>
      </w:pPr>
      <w:bookmarkStart w:id="14" w:name="_Toc81454175"/>
      <w:bookmarkStart w:id="15" w:name="_Toc210901279"/>
      <w:r>
        <w:t>Numrering och övriga konventioner</w:t>
      </w:r>
      <w:bookmarkEnd w:id="14"/>
      <w:bookmarkEnd w:id="15"/>
    </w:p>
    <w:p w14:paraId="7FE1B332" w14:textId="639ED14D" w:rsidR="0057131B" w:rsidRDefault="00355A1C">
      <w:pPr>
        <w:pStyle w:val="P68B1DB1-InstructionsText26"/>
        <w:numPr>
          <w:ilvl w:val="0"/>
          <w:numId w:val="230"/>
        </w:numPr>
        <w:spacing w:before="0"/>
      </w:pPr>
      <w:r>
        <w:t>Dessa instruktioner följer den benämningssed som anges i punkterna nedan vid hänvisning till mallars kolumner, rader och celler. I valideringsbestämmelserna hänvisas ofta till dessa sifferkoder.</w:t>
      </w:r>
    </w:p>
    <w:p w14:paraId="7FE1B333" w14:textId="24776AD5" w:rsidR="0057131B" w:rsidRDefault="00355A1C">
      <w:pPr>
        <w:pStyle w:val="P68B1DB1-InstructionsText26"/>
        <w:numPr>
          <w:ilvl w:val="0"/>
          <w:numId w:val="230"/>
        </w:numPr>
        <w:spacing w:before="0"/>
      </w:pPr>
      <w:r>
        <w:t>Följande allmänna beteckningssystem används i dessa instruktioner för att hänvisa till kolumner, rader och celler i en mall: {Mall;Rad;Kolumn}.</w:t>
      </w:r>
    </w:p>
    <w:p w14:paraId="7FE1B334" w14:textId="144A32B1" w:rsidR="0057131B" w:rsidRDefault="00355A1C">
      <w:pPr>
        <w:pStyle w:val="P68B1DB1-InstructionsText26"/>
        <w:numPr>
          <w:ilvl w:val="0"/>
          <w:numId w:val="230"/>
        </w:numPr>
        <w:spacing w:before="0"/>
      </w:pPr>
      <w:r>
        <w:t>Vid validering inom en mall där man endast använder uppgiftsposter från den mallen anges inte mallen i beteckningen: Följande kolumner: Kolonnrad:</w:t>
      </w:r>
    </w:p>
    <w:p w14:paraId="7FE1B335" w14:textId="77777777" w:rsidR="0057131B" w:rsidRDefault="00355A1C">
      <w:pPr>
        <w:pStyle w:val="P68B1DB1-InstructionsText26"/>
        <w:numPr>
          <w:ilvl w:val="0"/>
          <w:numId w:val="230"/>
        </w:numPr>
        <w:spacing w:before="0"/>
      </w:pPr>
      <w:r>
        <w:t>Om mallen bara har en kolumn, anges endast rader: — Mall; Rå.</w:t>
      </w:r>
    </w:p>
    <w:p w14:paraId="7FE1B336" w14:textId="77777777" w:rsidR="0057131B" w:rsidRDefault="00355A1C">
      <w:pPr>
        <w:pStyle w:val="P68B1DB1-InstructionsText26"/>
        <w:numPr>
          <w:ilvl w:val="0"/>
          <w:numId w:val="230"/>
        </w:numPr>
        <w:spacing w:before="0"/>
      </w:pPr>
      <w:r>
        <w:t>En asterisk betyder att valideringen avser de rader eller kolumner som anges före den.</w:t>
      </w:r>
    </w:p>
    <w:p w14:paraId="7FE1B337" w14:textId="77777777" w:rsidR="0057131B" w:rsidRDefault="00355A1C">
      <w:pPr>
        <w:pStyle w:val="P68B1DB1-InstructionsText26"/>
        <w:numPr>
          <w:ilvl w:val="0"/>
          <w:numId w:val="230"/>
        </w:numPr>
        <w:spacing w:before="0"/>
      </w:pPr>
      <w:r>
        <w:t>Om en uppgiftspost inte är tillämplig för de enheter som rapporten lämnas in för ska motsvarande fält lämnas tomt.</w:t>
      </w:r>
    </w:p>
    <w:p w14:paraId="7FE1B338" w14:textId="77777777" w:rsidR="0057131B" w:rsidRDefault="00355A1C">
      <w:pPr>
        <w:pStyle w:val="P68B1DB1-InstructionsText26"/>
        <w:numPr>
          <w:ilvl w:val="0"/>
          <w:numId w:val="230"/>
        </w:numPr>
        <w:spacing w:before="0"/>
      </w:pPr>
      <w:r>
        <w:t>I det fall dessa instruktioner hänvisar till en primärnyckel innebär detta att en kolumn eller en kombination av kolumner är avsedda för att identifiera samtliga rader i mallen unikt. En primärnyckel ska innehålla ett unikt värde för varje rad i mallen. Den får inte innehålla ett nollvärde.</w:t>
      </w:r>
    </w:p>
    <w:p w14:paraId="7FE1B339" w14:textId="77777777" w:rsidR="0057131B" w:rsidRDefault="00355A1C">
      <w:pPr>
        <w:pStyle w:val="P68B1DB1-Instructionsberschrift24"/>
        <w:numPr>
          <w:ilvl w:val="0"/>
          <w:numId w:val="49"/>
        </w:numPr>
        <w:ind w:left="357" w:hanging="357"/>
      </w:pPr>
      <w:bookmarkStart w:id="16" w:name="_Toc492542319"/>
      <w:bookmarkStart w:id="17" w:name="_Toc81454176"/>
      <w:bookmarkStart w:id="18" w:name="_Toc210901280"/>
      <w:r>
        <w:t>Mallrelaterade anvisningar</w:t>
      </w:r>
      <w:bookmarkEnd w:id="16"/>
      <w:bookmarkEnd w:id="17"/>
      <w:bookmarkEnd w:id="18"/>
    </w:p>
    <w:p w14:paraId="7FE1B33A" w14:textId="0E76C32D" w:rsidR="0057131B" w:rsidRDefault="00355A1C">
      <w:pPr>
        <w:pStyle w:val="P68B1DB1-Instructionsberschrift25"/>
        <w:numPr>
          <w:ilvl w:val="1"/>
          <w:numId w:val="49"/>
        </w:numPr>
        <w:ind w:left="357" w:hanging="357"/>
      </w:pPr>
      <w:bookmarkStart w:id="19" w:name="_Toc493236007"/>
      <w:bookmarkStart w:id="20" w:name="_Toc81454177"/>
      <w:bookmarkStart w:id="21" w:name="_Toc210901281"/>
      <w:bookmarkEnd w:id="19"/>
      <w:r>
        <w:t>Z 01.01 – Juridiska enheter (ORG 1)</w:t>
      </w:r>
      <w:bookmarkEnd w:id="20"/>
      <w:bookmarkEnd w:id="21"/>
    </w:p>
    <w:p w14:paraId="7FE1B33B" w14:textId="77777777" w:rsidR="0057131B" w:rsidRDefault="00355A1C">
      <w:pPr>
        <w:pStyle w:val="Instructionsberschrift3"/>
      </w:pPr>
      <w:r>
        <w:t>Allmänna kommentarer</w:t>
      </w:r>
    </w:p>
    <w:p w14:paraId="7FE1B33C" w14:textId="73410408" w:rsidR="0057131B" w:rsidRDefault="00355A1C">
      <w:pPr>
        <w:pStyle w:val="P68B1DB1-InstructionsText26"/>
        <w:numPr>
          <w:ilvl w:val="0"/>
          <w:numId w:val="231"/>
        </w:numPr>
        <w:spacing w:before="0"/>
      </w:pPr>
      <w:r>
        <w:t xml:space="preserve">En enda mall ska lämnas in för alla koncernenheter som omfattas av sammanställd redovisning. Endast juridiska personer ska anges i denna mall. </w:t>
      </w:r>
    </w:p>
    <w:p w14:paraId="7FE1B33D" w14:textId="32A49085" w:rsidR="0057131B" w:rsidRDefault="00355A1C">
      <w:pPr>
        <w:pStyle w:val="P68B1DB1-InstructionsText26"/>
        <w:numPr>
          <w:ilvl w:val="0"/>
          <w:numId w:val="231"/>
        </w:numPr>
        <w:spacing w:before="0"/>
      </w:pPr>
      <w:r>
        <w:t xml:space="preserve">Begreppet relevanta juridiska personer är inte begränsat till enbart bankverksamhet, utan omfattar även andra enheter som behövs för att stödja bankkoncernens verksamhet på ett betydande sätt. Detta inbegriper tjänsteleverantörer för kritiska funktioner eller/och betydande affärsområden, finansiering som tillhandahåller enheter och andra enheter som </w:t>
      </w:r>
      <w:r>
        <w:lastRenderedPageBreak/>
        <w:t>är starkt sammanflätade (ekonomiskt) med koncernen. Identifieringen av dessa ytterligare enheter förväntas vägledas av kraven i resolutionsstrategin, som fastställs av resolutionsmyndigheterna.</w:t>
      </w:r>
    </w:p>
    <w:p w14:paraId="7FE1B33E" w14:textId="77777777" w:rsidR="0057131B" w:rsidRDefault="00355A1C">
      <w:pPr>
        <w:pStyle w:val="P68B1DB1-Instructionsberschrift312"/>
      </w:pPr>
      <w:r>
        <w:t>Instruktioner för specifika positioner</w:t>
      </w:r>
    </w:p>
    <w:p w14:paraId="7FE1B33F" w14:textId="77777777" w:rsidR="0057131B" w:rsidRDefault="0057131B">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58"/>
        <w:gridCol w:w="8068"/>
      </w:tblGrid>
      <w:tr w:rsidR="0057131B"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57131B" w:rsidRDefault="00355A1C">
            <w:pPr>
              <w:pStyle w:val="P68B1DB1-TableParagraph13"/>
              <w:spacing w:before="66"/>
              <w:rPr>
                <w:rFonts w:eastAsia="Cambria"/>
              </w:rPr>
            </w:pPr>
            <w:r>
              <w:t>Kolumner</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57131B" w:rsidRDefault="00355A1C">
            <w:pPr>
              <w:pStyle w:val="P68B1DB1-TableParagraph13"/>
              <w:spacing w:before="66"/>
              <w:ind w:right="1"/>
              <w:jc w:val="center"/>
              <w:rPr>
                <w:rFonts w:eastAsia="Cambria"/>
              </w:rPr>
            </w:pPr>
            <w:r>
              <w:t>Anvisningar</w:t>
            </w:r>
          </w:p>
        </w:tc>
      </w:tr>
      <w:tr w:rsidR="0057131B"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57131B" w:rsidRDefault="00355A1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57131B" w:rsidRDefault="00355A1C">
            <w:pPr>
              <w:pStyle w:val="P68B1DB1-TableParagraph14"/>
              <w:spacing w:before="108"/>
              <w:ind w:left="85"/>
            </w:pPr>
            <w:r>
              <w:t>Namn</w:t>
            </w:r>
          </w:p>
          <w:p w14:paraId="7FE1B348" w14:textId="3D2D6D6A" w:rsidR="0057131B" w:rsidRDefault="00355A1C">
            <w:pPr>
              <w:pStyle w:val="P68B1DB1-TableParagraph15"/>
              <w:spacing w:before="108"/>
              <w:ind w:left="85"/>
            </w:pPr>
            <w:r>
              <w:t>Enhetens namn. Officiellt namn så som detta anges i bolagshandlingar, med angivelse av dess juridiska form.</w:t>
            </w:r>
          </w:p>
        </w:tc>
      </w:tr>
      <w:tr w:rsidR="0057131B"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57131B" w:rsidRDefault="00355A1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57131B" w:rsidRDefault="00355A1C">
            <w:pPr>
              <w:pStyle w:val="P68B1DB1-TableParagraph14"/>
              <w:spacing w:before="108"/>
              <w:ind w:left="85"/>
            </w:pPr>
            <w:r>
              <w:t>Kod</w:t>
            </w:r>
          </w:p>
          <w:p w14:paraId="7FE1B34C" w14:textId="5527678D" w:rsidR="0057131B" w:rsidRDefault="00355A1C">
            <w:pPr>
              <w:pStyle w:val="P68B1DB1-TableParagraph13"/>
              <w:spacing w:before="108"/>
              <w:ind w:left="85"/>
            </w:pPr>
            <w:r>
              <w:t>Enhetens kod. Institut ska ha den 20-siffriga alfanumeriska LEI-koden. För andra enheter ska koden vara den 20-siffriga alfanumeriska LEI-koden eller, om sådan inte är tillgänglig, MFI-ID eller en kod enligt en enhetlig kodifiering som är tillämplig i unionen.</w:t>
            </w:r>
          </w:p>
          <w:p w14:paraId="7FE1B34D" w14:textId="77777777" w:rsidR="0057131B" w:rsidRDefault="00355A1C">
            <w:pPr>
              <w:pStyle w:val="P68B1DB1-TableParagraph13"/>
              <w:spacing w:before="108"/>
              <w:ind w:left="85"/>
            </w:pPr>
            <w:r>
              <w:t>Koden ska vara unik och användas konsekvent i mallarna. Koden ska alltid ha ett värde.</w:t>
            </w:r>
          </w:p>
        </w:tc>
      </w:tr>
      <w:tr w:rsidR="0057131B"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57131B" w:rsidRDefault="00355A1C">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57131B" w:rsidRDefault="00355A1C">
            <w:pPr>
              <w:pStyle w:val="P68B1DB1-TableParagraph14"/>
              <w:spacing w:before="108"/>
              <w:ind w:left="85"/>
              <w:jc w:val="both"/>
            </w:pPr>
            <w:r>
              <w:t>Typ av koder</w:t>
            </w:r>
          </w:p>
          <w:p w14:paraId="7FE1B352" w14:textId="7C9FB737" w:rsidR="0057131B" w:rsidRDefault="00355A1C">
            <w:pPr>
              <w:pStyle w:val="P68B1DB1-TableParagraph13"/>
              <w:spacing w:before="108"/>
            </w:pPr>
            <w:r>
              <w:t>Välj en av följande alternativ: ”LEI-kod”, ”MFI-kod” eller ”Typ av identifierare, utom LEI-kod eller MFI-kod.</w:t>
            </w:r>
          </w:p>
          <w:p w14:paraId="7FE1B353" w14:textId="77777777" w:rsidR="0057131B" w:rsidRDefault="00355A1C">
            <w:pPr>
              <w:pStyle w:val="P68B1DB1-TableParagraph13"/>
              <w:spacing w:before="108"/>
              <w:ind w:left="85"/>
              <w:jc w:val="both"/>
              <w:rPr>
                <w:b/>
              </w:rPr>
            </w:pPr>
            <w:r>
              <w:t>Identifieringen av enheter ska göras på ett enhetligt sätt i mallarna.</w:t>
            </w:r>
          </w:p>
        </w:tc>
      </w:tr>
      <w:tr w:rsidR="0057131B"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57131B" w:rsidRDefault="00355A1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57131B" w:rsidRDefault="00355A1C">
            <w:pPr>
              <w:pStyle w:val="P68B1DB1-TableParagraph14"/>
              <w:spacing w:before="108"/>
              <w:ind w:left="85"/>
            </w:pPr>
            <w:r>
              <w:t>Enhetstyp</w:t>
            </w:r>
          </w:p>
          <w:p w14:paraId="7FE1B35B" w14:textId="77777777" w:rsidR="0057131B" w:rsidRDefault="00355A1C">
            <w:pPr>
              <w:pStyle w:val="P68B1DB1-TableParagraph13"/>
              <w:spacing w:before="108"/>
              <w:ind w:left="85"/>
            </w:pPr>
            <w:r>
              <w:t>Typen av enhet, efter prioriteringsordning, ska vara en av följande:</w:t>
            </w:r>
          </w:p>
          <w:p w14:paraId="7FE1B35C" w14:textId="77777777" w:rsidR="0057131B" w:rsidRDefault="00355A1C">
            <w:pPr>
              <w:pStyle w:val="P68B1DB1-TableParagraph13"/>
              <w:numPr>
                <w:ilvl w:val="0"/>
                <w:numId w:val="67"/>
              </w:numPr>
              <w:spacing w:before="108"/>
            </w:pPr>
            <w:r>
              <w:t>”Kreditinstitut”</w:t>
            </w:r>
          </w:p>
          <w:p w14:paraId="7FE1B35D" w14:textId="653C7762" w:rsidR="0057131B" w:rsidRDefault="00355A1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Denna kategori ska omfatta kreditinstitut enligt definitionen i artikel 4.1.1 i förordning (EU) nr 575/2013, med undantag för de enheter som avses i artikel 2.5 i direktiv 2013/36/EU</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57131B" w:rsidRDefault="00355A1C">
            <w:pPr>
              <w:pStyle w:val="P68B1DB1-TableParagraph13"/>
              <w:numPr>
                <w:ilvl w:val="0"/>
                <w:numId w:val="67"/>
              </w:numPr>
              <w:spacing w:before="108"/>
            </w:pPr>
            <w:r>
              <w:t>”Värdepappersföretag som lyder under krav på startkapital som föreskrivs i artikel 9.1 i Europaparlamentets och rådets direktiv (EU) 2019/2034”</w:t>
            </w:r>
          </w:p>
          <w:p w14:paraId="7FE1B35F" w14:textId="3246B488" w:rsidR="0057131B" w:rsidRDefault="00355A1C">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Denna kategori ska omfatta värdepappersföretag enligt definitionen i artikel 4.1.22 i förordning (EU)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som omfattas av de krav på startkapital som föreskrivs i artikel 9.1 i direktiv (EU)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57131B" w:rsidRDefault="00355A1C">
            <w:pPr>
              <w:pStyle w:val="P68B1DB1-TableParagraph13"/>
              <w:numPr>
                <w:ilvl w:val="0"/>
                <w:numId w:val="67"/>
              </w:numPr>
              <w:spacing w:before="108"/>
            </w:pPr>
            <w:r>
              <w:t>”Värdepappersföretag som inte lyder under de krav på startkapital som föreskrivs i artikel 9.1 i Europaparlamentets och rådets direktiv (EU) 2019/2034”</w:t>
            </w:r>
          </w:p>
          <w:p w14:paraId="7FE1B361" w14:textId="77777777" w:rsidR="0057131B" w:rsidRDefault="00355A1C">
            <w:pPr>
              <w:pStyle w:val="P68B1DB1-TableParagraph13"/>
              <w:numPr>
                <w:ilvl w:val="0"/>
                <w:numId w:val="67"/>
              </w:numPr>
              <w:spacing w:before="108"/>
            </w:pPr>
            <w:r>
              <w:t>”Finansiellt institut”</w:t>
            </w:r>
          </w:p>
          <w:p w14:paraId="7FE1B362" w14:textId="77777777" w:rsidR="0057131B" w:rsidRDefault="00355A1C">
            <w:pPr>
              <w:pStyle w:val="P68B1DB1-TableParagraph13"/>
              <w:spacing w:before="108"/>
              <w:ind w:left="445"/>
            </w:pPr>
            <w:r>
              <w:t>Denna kategori ska omfatta finansiella institut enligt definitionen i led 26 i artikel 4.1 i förordning (EU) nr 575/2013, med undantag för dem som klassas som ”holdingbolag” enligt beskrivningen i punkt e) nedan.</w:t>
            </w:r>
          </w:p>
          <w:p w14:paraId="7FE1B363" w14:textId="77777777" w:rsidR="0057131B" w:rsidRDefault="00355A1C">
            <w:pPr>
              <w:pStyle w:val="P68B1DB1-TableParagraph13"/>
              <w:numPr>
                <w:ilvl w:val="0"/>
                <w:numId w:val="67"/>
              </w:numPr>
              <w:spacing w:before="108"/>
            </w:pPr>
            <w:r>
              <w:t>”Holdingbolag”</w:t>
            </w:r>
          </w:p>
          <w:p w14:paraId="7FE1B364" w14:textId="77777777" w:rsidR="0057131B" w:rsidRDefault="00355A1C">
            <w:pPr>
              <w:pStyle w:val="P68B1DB1-TableParagraph13"/>
              <w:spacing w:before="108"/>
              <w:ind w:left="445"/>
            </w:pPr>
            <w:r>
              <w:lastRenderedPageBreak/>
              <w:t>Denna kategori ska omfatta samtliga följande:</w:t>
            </w:r>
          </w:p>
          <w:p w14:paraId="7FE1B365" w14:textId="77777777" w:rsidR="0057131B" w:rsidRDefault="00355A1C">
            <w:pPr>
              <w:pStyle w:val="P68B1DB1-TableParagraph13"/>
              <w:numPr>
                <w:ilvl w:val="0"/>
                <w:numId w:val="68"/>
              </w:numPr>
              <w:spacing w:before="108"/>
            </w:pPr>
            <w:r>
              <w:t>Finansiella holdingbolag enligt definitionen i led 20 i artikel 4.1 i förordning (EU) nr 575/2013.</w:t>
            </w:r>
          </w:p>
          <w:p w14:paraId="7FE1B366" w14:textId="77777777" w:rsidR="0057131B" w:rsidRDefault="00355A1C">
            <w:pPr>
              <w:pStyle w:val="P68B1DB1-TableParagraph13"/>
              <w:numPr>
                <w:ilvl w:val="0"/>
                <w:numId w:val="68"/>
              </w:numPr>
              <w:spacing w:before="108"/>
            </w:pPr>
            <w:r>
              <w:t>Blandade finansiella holdingbolag enligt definitionen i led 21 i artikel 4.1 i förordning (EU) nr 575/2013.</w:t>
            </w:r>
          </w:p>
          <w:p w14:paraId="7FE1B367" w14:textId="77777777" w:rsidR="0057131B" w:rsidRDefault="00355A1C">
            <w:pPr>
              <w:pStyle w:val="P68B1DB1-TableParagraph13"/>
              <w:numPr>
                <w:ilvl w:val="0"/>
                <w:numId w:val="68"/>
              </w:numPr>
              <w:spacing w:before="108"/>
            </w:pPr>
            <w:r>
              <w:t>Holdingbolag med blandad verksamhet enligt definitionen i led 22 i artikel 4.1 i förordning (EU) nr 575/2013.</w:t>
            </w:r>
          </w:p>
          <w:p w14:paraId="7FE1B368" w14:textId="77777777" w:rsidR="0057131B" w:rsidRDefault="00355A1C">
            <w:pPr>
              <w:pStyle w:val="P68B1DB1-TableParagraph13"/>
              <w:numPr>
                <w:ilvl w:val="0"/>
                <w:numId w:val="68"/>
              </w:numPr>
              <w:spacing w:before="108"/>
            </w:pPr>
            <w:r>
              <w:t>Finansiella moderholdingbolag enligt definitionen i led 30 i artikel 4.1 i förordning (EU) nr 575/2013.</w:t>
            </w:r>
          </w:p>
          <w:p w14:paraId="7FE1B369" w14:textId="77777777" w:rsidR="0057131B" w:rsidRDefault="00355A1C">
            <w:pPr>
              <w:pStyle w:val="P68B1DB1-TableParagraph13"/>
              <w:numPr>
                <w:ilvl w:val="0"/>
                <w:numId w:val="68"/>
              </w:numPr>
              <w:spacing w:before="108"/>
            </w:pPr>
            <w:r>
              <w:t>Finansiella moderholdingbolag inom unionen enligt definitionen i led 31 i artikel 4.1 i förordning (EU) nr 575/2013.</w:t>
            </w:r>
          </w:p>
          <w:p w14:paraId="7FE1B36A" w14:textId="77777777" w:rsidR="0057131B" w:rsidRDefault="00355A1C">
            <w:pPr>
              <w:pStyle w:val="P68B1DB1-TableParagraph13"/>
              <w:numPr>
                <w:ilvl w:val="0"/>
                <w:numId w:val="68"/>
              </w:numPr>
              <w:spacing w:before="108"/>
            </w:pPr>
            <w:r>
              <w:t>Blandade finansiella moderholdingföretag i en medlemsstat enligt definitionen i led 32 i artikel 4.1 i förordning (EU) nr 575/2013.</w:t>
            </w:r>
          </w:p>
          <w:p w14:paraId="7FE1B36B" w14:textId="77777777" w:rsidR="0057131B" w:rsidRDefault="00355A1C">
            <w:pPr>
              <w:pStyle w:val="P68B1DB1-TableParagraph13"/>
              <w:numPr>
                <w:ilvl w:val="0"/>
                <w:numId w:val="68"/>
              </w:numPr>
              <w:spacing w:before="108"/>
            </w:pPr>
            <w:r>
              <w:t>Blandade finansiella moderholdingbolag inom unionen enligt definitionen i led 33 i artikel 4.1 i förordning (EU) nr 575/2013.</w:t>
            </w:r>
          </w:p>
          <w:p w14:paraId="7FE1B36C" w14:textId="0F68F780" w:rsidR="0057131B" w:rsidRDefault="00355A1C">
            <w:pPr>
              <w:pStyle w:val="P68B1DB1-TableParagraph13"/>
              <w:numPr>
                <w:ilvl w:val="0"/>
                <w:numId w:val="67"/>
              </w:numPr>
              <w:spacing w:before="108"/>
            </w:pPr>
            <w:r>
              <w:t>”Försäkringsföretag”</w:t>
            </w:r>
          </w:p>
          <w:p w14:paraId="7FE1B36D" w14:textId="77777777" w:rsidR="0057131B" w:rsidRDefault="00355A1C">
            <w:pPr>
              <w:pStyle w:val="P68B1DB1-TableParagraph16"/>
              <w:numPr>
                <w:ilvl w:val="0"/>
                <w:numId w:val="68"/>
              </w:numPr>
              <w:spacing w:before="108"/>
              <w:rPr>
                <w:color w:val="000000" w:themeColor="text1"/>
                <w:sz w:val="20"/>
                <w:szCs w:val="20"/>
              </w:rPr>
            </w:pPr>
            <w:r>
              <w:rPr>
                <w:color w:val="000000" w:themeColor="text1"/>
                <w:sz w:val="20"/>
                <w:szCs w:val="20"/>
              </w:rPr>
              <w:t>Denna kategori ska omfatta försäkringsföretag enligt definitionen i artikel 13 i Europaparlamentets och rådets direktiv 2009/138/EG</w:t>
            </w:r>
            <w:r>
              <w:footnoteReference w:id="10"/>
            </w:r>
            <w:r>
              <w:rPr>
                <w:color w:val="000000" w:themeColor="text1"/>
                <w:sz w:val="20"/>
                <w:szCs w:val="20"/>
              </w:rPr>
              <w:t>.</w:t>
            </w:r>
          </w:p>
          <w:p w14:paraId="7FE1B36E" w14:textId="15AC498F" w:rsidR="0057131B" w:rsidRDefault="00355A1C">
            <w:pPr>
              <w:pStyle w:val="P68B1DB1-TableParagraph13"/>
              <w:numPr>
                <w:ilvl w:val="0"/>
                <w:numId w:val="67"/>
              </w:numPr>
              <w:spacing w:before="108"/>
            </w:pPr>
            <w:r>
              <w:t>Relevant tjänsteleverantör inom koncernen, kopplad till kritiska funktioner och/eller betydande ekonomisk verksamhet.</w:t>
            </w:r>
          </w:p>
          <w:p w14:paraId="7FE1B370" w14:textId="77777777" w:rsidR="0057131B" w:rsidRDefault="0057131B">
            <w:pPr>
              <w:pStyle w:val="TableParagraph"/>
              <w:spacing w:before="108"/>
              <w:rPr>
                <w:rFonts w:ascii="Times New Roman" w:hAnsi="Times New Roman" w:cs="Times New Roman"/>
                <w:color w:val="000000" w:themeColor="text1"/>
                <w:sz w:val="20"/>
                <w:szCs w:val="20"/>
              </w:rPr>
            </w:pPr>
          </w:p>
          <w:p w14:paraId="7FE1B371" w14:textId="77777777" w:rsidR="0057131B" w:rsidRDefault="00355A1C">
            <w:pPr>
              <w:pStyle w:val="P68B1DB1-TableParagraph16"/>
              <w:numPr>
                <w:ilvl w:val="0"/>
                <w:numId w:val="67"/>
              </w:numPr>
              <w:spacing w:before="108"/>
              <w:rPr>
                <w:color w:val="000000" w:themeColor="text1"/>
                <w:sz w:val="20"/>
                <w:szCs w:val="20"/>
              </w:rPr>
            </w:pPr>
            <w:r>
              <w:rPr>
                <w:color w:val="000000" w:themeColor="text1"/>
                <w:sz w:val="20"/>
                <w:szCs w:val="20"/>
              </w:rPr>
              <w:t>”Annan typ av enhet”, för enheter som inte omfattas av någon av ovan nämnda kategorier.</w:t>
            </w:r>
            <w:r>
              <w:br/>
            </w:r>
            <w:r>
              <w:rPr>
                <w:color w:val="000000" w:themeColor="text1"/>
                <w:sz w:val="20"/>
                <w:szCs w:val="20"/>
              </w:rPr>
              <w:t>(dvs. viktig finansiär)</w:t>
            </w:r>
          </w:p>
        </w:tc>
      </w:tr>
      <w:tr w:rsidR="0057131B"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57131B" w:rsidRDefault="00355A1C">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57131B" w:rsidRDefault="00355A1C">
            <w:pPr>
              <w:pStyle w:val="P68B1DB1-TableParagraph14"/>
              <w:spacing w:before="108"/>
              <w:ind w:left="85"/>
            </w:pPr>
            <w:r>
              <w:t>Land</w:t>
            </w:r>
          </w:p>
          <w:p w14:paraId="7FE1B375" w14:textId="77777777" w:rsidR="0057131B" w:rsidRDefault="00355A1C">
            <w:pPr>
              <w:pStyle w:val="P68B1DB1-TableParagraph13"/>
              <w:spacing w:before="108"/>
              <w:ind w:left="85"/>
              <w:jc w:val="both"/>
            </w:pPr>
            <w:r>
              <w:t>ISO-koden 3166–1-alfa-2-kod för enhetens bolagsbildningsland, det kan röra sig om en medlemsstat eller ett tredjeland.</w:t>
            </w:r>
          </w:p>
        </w:tc>
      </w:tr>
      <w:tr w:rsidR="0057131B"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57131B" w:rsidRDefault="00355A1C">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57131B" w:rsidRDefault="00355A1C">
            <w:pPr>
              <w:pStyle w:val="P68B1DB1-TableParagraph14"/>
              <w:spacing w:before="108"/>
              <w:ind w:left="85"/>
            </w:pPr>
            <w:r>
              <w:t>LEI-kod för POE i resolutionsgruppen</w:t>
            </w:r>
          </w:p>
          <w:p w14:paraId="7FE1B379" w14:textId="77777777" w:rsidR="0057131B" w:rsidRDefault="00355A1C">
            <w:pPr>
              <w:pStyle w:val="P68B1DB1-TableParagraph13"/>
              <w:spacing w:before="108"/>
              <w:ind w:left="85"/>
              <w:rPr>
                <w:bCs/>
              </w:rPr>
            </w:pPr>
            <w:r>
              <w:t>LEI-kod som anger ingångspunkten för den resolutionskoncern som den enhet som identifieras i 0010 tillhör.</w:t>
            </w:r>
          </w:p>
        </w:tc>
      </w:tr>
      <w:tr w:rsidR="0057131B"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57131B" w:rsidRDefault="00355A1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57131B" w:rsidRDefault="00355A1C">
            <w:pPr>
              <w:pStyle w:val="P68B1DB1-TableParagraph14"/>
              <w:spacing w:before="108"/>
              <w:ind w:left="85"/>
              <w:jc w:val="both"/>
              <w:rPr>
                <w:bCs/>
              </w:rPr>
            </w:pPr>
            <w:r>
              <w:t>Artikel 7 CRR-undantag</w:t>
            </w:r>
          </w:p>
          <w:p w14:paraId="7FE1B383" w14:textId="77777777" w:rsidR="0057131B" w:rsidRDefault="00355A1C">
            <w:pPr>
              <w:pStyle w:val="P68B1DB1-TableParagraph13"/>
              <w:spacing w:before="108"/>
              <w:ind w:left="85"/>
              <w:jc w:val="both"/>
            </w:pPr>
            <w:r>
              <w:t>Följande förkortningar rapporteras:</w:t>
            </w:r>
          </w:p>
          <w:p w14:paraId="7FE1B384" w14:textId="6DF8D995" w:rsidR="0057131B" w:rsidRDefault="00355A1C">
            <w:pPr>
              <w:pStyle w:val="P68B1DB1-TableParagraph13"/>
              <w:spacing w:before="108"/>
              <w:ind w:left="85"/>
              <w:jc w:val="both"/>
            </w:pPr>
            <w:r>
              <w:t>Ja –om behörig myndighet har avstått från att tillämpa artikel 6.1 i förordning (EU) nr 575/2013 i enlighet med artikel 7 i förordning (EU) nr 575/2013.</w:t>
            </w:r>
          </w:p>
          <w:p w14:paraId="7FE1B385" w14:textId="7EC01EC3" w:rsidR="0057131B" w:rsidRDefault="00355A1C">
            <w:pPr>
              <w:pStyle w:val="P68B1DB1-TableParagraph13"/>
              <w:spacing w:before="108"/>
              <w:ind w:left="85"/>
              <w:jc w:val="both"/>
              <w:rPr>
                <w:b/>
              </w:rPr>
            </w:pPr>
            <w:r>
              <w:t>Nej – i övriga fall</w:t>
            </w:r>
          </w:p>
        </w:tc>
      </w:tr>
      <w:tr w:rsidR="0057131B"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57131B" w:rsidRDefault="00355A1C">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57131B" w:rsidRDefault="00355A1C">
            <w:pPr>
              <w:pStyle w:val="P68B1DB1-TableParagraph14"/>
              <w:jc w:val="both"/>
              <w:rPr>
                <w:bCs/>
              </w:rPr>
            </w:pPr>
            <w:r>
              <w:t>Artikel 8 CRR-undantag</w:t>
            </w:r>
          </w:p>
          <w:p w14:paraId="7FE1B389" w14:textId="77777777" w:rsidR="0057131B" w:rsidRDefault="0057131B">
            <w:pPr>
              <w:pStyle w:val="TableParagraph"/>
              <w:jc w:val="both"/>
              <w:rPr>
                <w:rFonts w:ascii="Times New Roman" w:hAnsi="Times New Roman" w:cs="Times New Roman"/>
                <w:b/>
                <w:bCs/>
                <w:color w:val="000000" w:themeColor="text1"/>
                <w:sz w:val="20"/>
                <w:szCs w:val="20"/>
              </w:rPr>
            </w:pPr>
          </w:p>
          <w:p w14:paraId="7FE1B38A" w14:textId="77777777" w:rsidR="0057131B" w:rsidRDefault="00355A1C">
            <w:pPr>
              <w:pStyle w:val="P68B1DB1-TableParagraph13"/>
              <w:spacing w:before="108"/>
              <w:ind w:left="85"/>
              <w:jc w:val="both"/>
            </w:pPr>
            <w:r>
              <w:t>Följande förkortningar rapporteras:</w:t>
            </w:r>
          </w:p>
          <w:p w14:paraId="7FE1B38B" w14:textId="7BE12ED7" w:rsidR="0057131B" w:rsidRDefault="00355A1C">
            <w:pPr>
              <w:pStyle w:val="P68B1DB1-TableParagraph13"/>
              <w:spacing w:before="108"/>
              <w:ind w:left="85"/>
              <w:jc w:val="both"/>
            </w:pPr>
            <w:r>
              <w:t>Ja –om behörig myndighet har avstått från att tillämpa del sex i förordning (EU) nr 575/2013 i enlighet med artikel 8 i förordning (EU) nr 575/2013.</w:t>
            </w:r>
          </w:p>
          <w:p w14:paraId="7FE1B38C" w14:textId="08CEF953" w:rsidR="0057131B" w:rsidRDefault="00355A1C">
            <w:pPr>
              <w:pStyle w:val="P68B1DB1-TableParagraph13"/>
              <w:jc w:val="both"/>
              <w:rPr>
                <w:b/>
                <w:bCs/>
              </w:rPr>
            </w:pPr>
            <w:r>
              <w:t>Nej – i övriga fall</w:t>
            </w:r>
          </w:p>
        </w:tc>
      </w:tr>
      <w:tr w:rsidR="0057131B"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57131B" w:rsidRDefault="00355A1C">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57131B" w:rsidRDefault="00355A1C">
            <w:pPr>
              <w:pStyle w:val="P68B1DB1-TableParagraph14"/>
              <w:jc w:val="both"/>
              <w:rPr>
                <w:bCs/>
              </w:rPr>
            </w:pPr>
            <w:r>
              <w:t>Om inte annat följer av artikel 9 CRR</w:t>
            </w:r>
          </w:p>
          <w:p w14:paraId="7FE1B390" w14:textId="77777777" w:rsidR="0057131B" w:rsidRDefault="0057131B">
            <w:pPr>
              <w:pStyle w:val="TableParagraph"/>
              <w:jc w:val="both"/>
              <w:rPr>
                <w:rFonts w:ascii="Times New Roman" w:hAnsi="Times New Roman" w:cs="Times New Roman"/>
                <w:b/>
                <w:bCs/>
                <w:color w:val="000000" w:themeColor="text1"/>
                <w:sz w:val="20"/>
                <w:szCs w:val="20"/>
              </w:rPr>
            </w:pPr>
          </w:p>
          <w:p w14:paraId="7FE1B391" w14:textId="77777777" w:rsidR="0057131B" w:rsidRDefault="00355A1C">
            <w:pPr>
              <w:pStyle w:val="P68B1DB1-TableParagraph13"/>
              <w:spacing w:before="108"/>
              <w:ind w:left="85"/>
              <w:jc w:val="both"/>
            </w:pPr>
            <w:r>
              <w:t>Följande förkortningar rapporteras:</w:t>
            </w:r>
          </w:p>
          <w:p w14:paraId="7FE1B392" w14:textId="30A38992" w:rsidR="0057131B" w:rsidRDefault="00355A1C">
            <w:pPr>
              <w:pStyle w:val="P68B1DB1-TableParagraph13"/>
              <w:spacing w:before="108"/>
              <w:ind w:left="85"/>
              <w:jc w:val="both"/>
            </w:pPr>
            <w:r>
              <w:t>Ja – om enheten uppfyller villkoren i artikel 7.1 c och d och dess väsentliga exponeringar eller väsentliga skulder avser moderinstitutet förordning (EU) nr 575/2013 i enlighet med artikel 8 i förordning (EU) nr 575/2013 och därför ingår i beräkningen av moderinstitutets krav enligt artikel 6.1.</w:t>
            </w:r>
          </w:p>
          <w:p w14:paraId="7FE1B393" w14:textId="0CE17CBC" w:rsidR="0057131B" w:rsidRDefault="00355A1C">
            <w:pPr>
              <w:pStyle w:val="P68B1DB1-TableParagraph13"/>
              <w:jc w:val="both"/>
              <w:rPr>
                <w:b/>
                <w:bCs/>
              </w:rPr>
            </w:pPr>
            <w:r>
              <w:t>Nej – i övriga fall</w:t>
            </w:r>
          </w:p>
          <w:p w14:paraId="7FE1B394" w14:textId="77777777" w:rsidR="0057131B" w:rsidRDefault="0057131B">
            <w:pPr>
              <w:pStyle w:val="TableParagraph"/>
              <w:jc w:val="both"/>
              <w:rPr>
                <w:rFonts w:ascii="Times New Roman" w:hAnsi="Times New Roman" w:cs="Times New Roman"/>
                <w:b/>
                <w:bCs/>
                <w:color w:val="000000" w:themeColor="text1"/>
                <w:sz w:val="20"/>
                <w:szCs w:val="20"/>
              </w:rPr>
            </w:pPr>
          </w:p>
        </w:tc>
      </w:tr>
      <w:tr w:rsidR="0057131B"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57131B" w:rsidRDefault="00355A1C">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57131B" w:rsidRDefault="00355A1C">
            <w:pPr>
              <w:pStyle w:val="P68B1DB1-TableParagraph14"/>
              <w:spacing w:before="108"/>
              <w:ind w:left="85"/>
              <w:jc w:val="both"/>
            </w:pPr>
            <w:r>
              <w:t>Artikel 10 CRR-undantag</w:t>
            </w:r>
          </w:p>
          <w:p w14:paraId="7FE1B398" w14:textId="77777777" w:rsidR="0057131B" w:rsidRDefault="00355A1C">
            <w:pPr>
              <w:pStyle w:val="P68B1DB1-TableParagraph13"/>
              <w:spacing w:before="108"/>
              <w:ind w:left="85"/>
              <w:jc w:val="both"/>
            </w:pPr>
            <w:r>
              <w:t>Följande förkortningar rapporteras:</w:t>
            </w:r>
          </w:p>
          <w:p w14:paraId="7FE1B399" w14:textId="249CB221" w:rsidR="0057131B" w:rsidRDefault="00355A1C">
            <w:pPr>
              <w:pStyle w:val="P68B1DB1-TableParagraph13"/>
              <w:spacing w:before="108"/>
              <w:ind w:left="85"/>
              <w:jc w:val="both"/>
            </w:pPr>
            <w:r>
              <w:t>Ja – om behörig myndighet har tillämpat ett undantag i enlighet med artikel 10 i förordning (EU) nr 575/2013.</w:t>
            </w:r>
          </w:p>
          <w:p w14:paraId="7FE1B39A" w14:textId="2A6A5A7B" w:rsidR="0057131B" w:rsidRDefault="00355A1C">
            <w:pPr>
              <w:pStyle w:val="P68B1DB1-TableParagraph13"/>
              <w:spacing w:before="108"/>
              <w:ind w:left="85"/>
              <w:jc w:val="both"/>
              <w:rPr>
                <w:b/>
              </w:rPr>
            </w:pPr>
            <w:r>
              <w:t>Nej – i övriga fall</w:t>
            </w:r>
          </w:p>
        </w:tc>
      </w:tr>
      <w:tr w:rsidR="0057131B"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57131B" w:rsidRDefault="00355A1C">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57131B" w:rsidRDefault="00355A1C">
            <w:pPr>
              <w:pStyle w:val="P68B1DB1-TableParagraph14"/>
              <w:spacing w:before="108"/>
              <w:jc w:val="both"/>
            </w:pPr>
            <w:r>
              <w:t>Summa tillgångar</w:t>
            </w:r>
          </w:p>
          <w:p w14:paraId="7FE1B39E" w14:textId="77777777" w:rsidR="0057131B" w:rsidRDefault="00355A1C">
            <w:pPr>
              <w:pStyle w:val="P68B1DB1-TableParagraph13"/>
              <w:spacing w:before="108"/>
              <w:jc w:val="both"/>
              <w:rPr>
                <w:b/>
              </w:rPr>
            </w:pPr>
            <w:r>
              <w:t>Summa tillgångar enligt definitionen för Finrep {F 01.01;380,010}</w:t>
            </w:r>
          </w:p>
        </w:tc>
      </w:tr>
      <w:tr w:rsidR="0057131B"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57131B" w:rsidRDefault="00355A1C">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57131B" w:rsidRDefault="00355A1C">
            <w:pPr>
              <w:pStyle w:val="P68B1DB1-TableParagraph14"/>
              <w:spacing w:before="108"/>
              <w:jc w:val="both"/>
            </w:pPr>
            <w:r>
              <w:t>Totalt riskexponeringsbelopp</w:t>
            </w:r>
          </w:p>
          <w:p w14:paraId="7FE1B3AA" w14:textId="77777777" w:rsidR="0057131B" w:rsidRDefault="00355A1C">
            <w:pPr>
              <w:pStyle w:val="P68B1DB1-TableParagraph13"/>
              <w:spacing w:before="108"/>
              <w:jc w:val="both"/>
            </w:pPr>
            <w:r>
              <w:t>Totalt riskexponeringsbelopp enligt definitionen för Corep (OF): DUBLIC 02.00; 010; 010 —</w:t>
            </w:r>
          </w:p>
          <w:p w14:paraId="7FE1B3AB" w14:textId="77777777" w:rsidR="0057131B" w:rsidRDefault="00355A1C">
            <w:pPr>
              <w:pStyle w:val="P68B1DB1-TableParagraph13"/>
              <w:spacing w:before="108"/>
              <w:jc w:val="both"/>
              <w:rPr>
                <w:b/>
              </w:rPr>
            </w:pPr>
            <w:r>
              <w:t>Denna post ska inte rapporteras för enheter som inte är institut eller för enheter som omfattas av ett undantag i enlighet med artikel 7 eller artikel 10 i förordning (EU) nr 575/2013.</w:t>
            </w:r>
          </w:p>
        </w:tc>
      </w:tr>
      <w:tr w:rsidR="0057131B"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57131B" w:rsidRDefault="00355A1C">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57131B" w:rsidRDefault="00355A1C">
            <w:pPr>
              <w:pStyle w:val="P68B1DB1-TableParagraph14"/>
              <w:spacing w:before="108"/>
              <w:ind w:left="85"/>
              <w:jc w:val="both"/>
            </w:pPr>
            <w:r>
              <w:t>Totalt exponeringsmått</w:t>
            </w:r>
          </w:p>
          <w:p w14:paraId="7FE1B3AF" w14:textId="32D53B0C" w:rsidR="0057131B" w:rsidRDefault="00355A1C">
            <w:pPr>
              <w:pStyle w:val="P68B1DB1-TableParagraph13"/>
              <w:spacing w:before="108"/>
              <w:ind w:left="85"/>
              <w:jc w:val="both"/>
            </w:pPr>
            <w:r>
              <w:t>Totalt exponeringsmått för bruttosoliditetsgraden enligt definitionen för COREP (LR): DUBLIC 47.00; 0290; 0010 —</w:t>
            </w:r>
          </w:p>
          <w:p w14:paraId="7FE1B3B0" w14:textId="77777777" w:rsidR="0057131B" w:rsidRDefault="00355A1C">
            <w:pPr>
              <w:pStyle w:val="P68B1DB1-TableParagraph13"/>
              <w:spacing w:before="108"/>
              <w:ind w:left="85"/>
              <w:jc w:val="both"/>
            </w:pPr>
            <w:r>
              <w:t>Denna post ska inte rapporteras för enheter som inte är institut eller för enheter som omfattas av ett undantag i enlighet med artikel 7 eller artikel 10 i förordning (EU) nr 575/2013.</w:t>
            </w:r>
          </w:p>
        </w:tc>
      </w:tr>
      <w:tr w:rsidR="0057131B"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57131B" w:rsidRDefault="00355A1C">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57131B" w:rsidRDefault="00355A1C">
            <w:pPr>
              <w:pStyle w:val="P68B1DB1-TableParagraph14"/>
              <w:jc w:val="both"/>
              <w:rPr>
                <w:bCs/>
              </w:rPr>
            </w:pPr>
            <w:r>
              <w:t>Total rörelseintäkt</w:t>
            </w:r>
          </w:p>
          <w:p w14:paraId="7FE1B3B4" w14:textId="77777777" w:rsidR="0057131B" w:rsidRDefault="0057131B">
            <w:pPr>
              <w:pStyle w:val="TableParagraph"/>
              <w:jc w:val="both"/>
              <w:rPr>
                <w:rFonts w:ascii="Times New Roman" w:hAnsi="Times New Roman" w:cs="Times New Roman"/>
                <w:b/>
                <w:bCs/>
                <w:color w:val="000000" w:themeColor="text1"/>
                <w:sz w:val="20"/>
                <w:szCs w:val="20"/>
              </w:rPr>
            </w:pPr>
          </w:p>
          <w:p w14:paraId="7FE1B3B5" w14:textId="77777777" w:rsidR="0057131B" w:rsidRDefault="00355A1C">
            <w:pPr>
              <w:pStyle w:val="P68B1DB1-TableParagraph13"/>
              <w:jc w:val="both"/>
            </w:pPr>
            <w:r>
              <w:t>Totala rörelseintäkter enligt definitionen i Finrep nivån F 02.00; 355; 010</w:t>
            </w:r>
          </w:p>
          <w:p w14:paraId="7FE1B3B6" w14:textId="77777777" w:rsidR="0057131B" w:rsidRDefault="0057131B">
            <w:pPr>
              <w:pStyle w:val="TableParagraph"/>
              <w:jc w:val="both"/>
              <w:rPr>
                <w:rFonts w:ascii="Times New Roman" w:hAnsi="Times New Roman" w:cs="Times New Roman"/>
                <w:b/>
                <w:bCs/>
                <w:color w:val="000000" w:themeColor="text1"/>
                <w:sz w:val="20"/>
                <w:szCs w:val="20"/>
              </w:rPr>
            </w:pPr>
          </w:p>
        </w:tc>
      </w:tr>
      <w:tr w:rsidR="0057131B"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57131B" w:rsidRDefault="00355A1C">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57131B" w:rsidRDefault="00355A1C">
            <w:pPr>
              <w:pStyle w:val="P68B1DB1-TableParagraph14"/>
              <w:spacing w:before="108"/>
              <w:jc w:val="both"/>
            </w:pPr>
            <w:r>
              <w:t>Redovisningsstandard</w:t>
            </w:r>
          </w:p>
          <w:p w14:paraId="7FE1B3BF" w14:textId="77777777" w:rsidR="0057131B" w:rsidRDefault="00355A1C">
            <w:pPr>
              <w:pStyle w:val="P68B1DB1-TableParagraph13"/>
              <w:spacing w:before="108"/>
              <w:jc w:val="both"/>
            </w:pPr>
            <w:r>
              <w:t>Enhetens tillämpade redovisningsstandarder. Följande förkortningar rapporteras:</w:t>
            </w:r>
          </w:p>
          <w:p w14:paraId="7FE1B3C0" w14:textId="77777777" w:rsidR="0057131B" w:rsidRDefault="00355A1C">
            <w:pPr>
              <w:pStyle w:val="P68B1DB1-TableParagraph13"/>
              <w:numPr>
                <w:ilvl w:val="0"/>
                <w:numId w:val="68"/>
              </w:numPr>
              <w:spacing w:before="108"/>
              <w:jc w:val="both"/>
            </w:pPr>
            <w:r>
              <w:t>IFRS-STANDARDER</w:t>
            </w:r>
          </w:p>
          <w:p w14:paraId="7FE1B3C1" w14:textId="77777777" w:rsidR="0057131B" w:rsidRDefault="00355A1C">
            <w:pPr>
              <w:pStyle w:val="P68B1DB1-TableParagraph13"/>
              <w:numPr>
                <w:ilvl w:val="0"/>
                <w:numId w:val="68"/>
              </w:numPr>
              <w:spacing w:before="108"/>
              <w:jc w:val="both"/>
            </w:pPr>
            <w:r>
              <w:t>nGAAP</w:t>
            </w:r>
          </w:p>
        </w:tc>
      </w:tr>
      <w:tr w:rsidR="0057131B"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57131B" w:rsidRDefault="00355A1C">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57131B" w:rsidRDefault="00355A1C">
            <w:pPr>
              <w:pStyle w:val="P68B1DB1-TableParagraph14"/>
              <w:spacing w:before="108"/>
              <w:jc w:val="both"/>
            </w:pPr>
            <w:r>
              <w:t xml:space="preserve">Bidrag till det sammanställda totala riskexponeringsbeloppet </w:t>
            </w:r>
          </w:p>
          <w:p w14:paraId="7FE1B3D5" w14:textId="77777777" w:rsidR="0057131B" w:rsidRDefault="00355A1C">
            <w:pPr>
              <w:pStyle w:val="P68B1DB1-TableParagraph13"/>
              <w:spacing w:before="108"/>
              <w:jc w:val="both"/>
              <w:rPr>
                <w:b/>
              </w:rPr>
            </w:pPr>
            <w:r>
              <w:t xml:space="preserve">Det belopp som enheten bidrar med till koncernens totala sammanställda riskexponeringsbelopp som redovisas i rapporten. </w:t>
            </w:r>
          </w:p>
        </w:tc>
      </w:tr>
      <w:tr w:rsidR="0057131B"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57131B" w:rsidRDefault="00355A1C">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57131B" w:rsidRDefault="00355A1C">
            <w:pPr>
              <w:pStyle w:val="P68B1DB1-TableParagraph14"/>
              <w:spacing w:before="108"/>
              <w:ind w:left="85"/>
              <w:jc w:val="both"/>
            </w:pPr>
            <w:r>
              <w:t>Bidrag till konsoliderat totalt exponeringsmått</w:t>
            </w:r>
          </w:p>
          <w:p w14:paraId="7FE1B3D9" w14:textId="61219862" w:rsidR="0057131B" w:rsidRDefault="00355A1C">
            <w:pPr>
              <w:pStyle w:val="P68B1DB1-TableParagraph13"/>
              <w:spacing w:before="108"/>
              <w:ind w:left="85"/>
              <w:jc w:val="both"/>
              <w:rPr>
                <w:b/>
              </w:rPr>
            </w:pPr>
            <w:r>
              <w:t>Det belopp som enheten bidrar med till den totala exponering som redovisas i rapporten.</w:t>
            </w:r>
          </w:p>
        </w:tc>
      </w:tr>
      <w:tr w:rsidR="0057131B"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57131B" w:rsidRDefault="00355A1C">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57131B" w:rsidRDefault="00355A1C">
            <w:pPr>
              <w:pStyle w:val="P68B1DB1-TableParagraph14"/>
              <w:jc w:val="both"/>
              <w:rPr>
                <w:bCs/>
              </w:rPr>
            </w:pPr>
            <w:r>
              <w:t>Bidrag till konsoliderade rörelseintäkter</w:t>
            </w:r>
          </w:p>
          <w:p w14:paraId="7FE1B3DD" w14:textId="77777777" w:rsidR="0057131B" w:rsidRDefault="0057131B">
            <w:pPr>
              <w:pStyle w:val="TableParagraph"/>
              <w:jc w:val="both"/>
              <w:rPr>
                <w:rFonts w:ascii="Times New Roman" w:hAnsi="Times New Roman" w:cs="Times New Roman"/>
                <w:color w:val="000000" w:themeColor="text1"/>
                <w:sz w:val="20"/>
                <w:szCs w:val="20"/>
              </w:rPr>
            </w:pPr>
          </w:p>
          <w:p w14:paraId="7FE1B3DE" w14:textId="1B38FEC1" w:rsidR="0057131B" w:rsidRDefault="00355A1C">
            <w:pPr>
              <w:pStyle w:val="P68B1DB1-TableParagraph13"/>
              <w:jc w:val="both"/>
            </w:pPr>
            <w:r>
              <w:t>Det belopp som Enheten bidrar med till koncernens totala redovisade konsoliderade rörelseintäkter.</w:t>
            </w:r>
          </w:p>
        </w:tc>
      </w:tr>
      <w:tr w:rsidR="0057131B"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57131B" w:rsidRDefault="00355A1C">
            <w:pPr>
              <w:pStyle w:val="P68B1DB1-TableParagraph13"/>
              <w:spacing w:before="106"/>
              <w:ind w:left="-1"/>
            </w:pPr>
            <w:r>
              <w:lastRenderedPageBreak/>
              <w:t>0320</w:t>
            </w:r>
          </w:p>
        </w:tc>
        <w:tc>
          <w:tcPr>
            <w:tcW w:w="0" w:type="auto"/>
            <w:tcBorders>
              <w:top w:val="single" w:sz="4" w:space="0" w:color="1A171C"/>
              <w:left w:val="single" w:sz="4" w:space="0" w:color="1A171C"/>
              <w:bottom w:val="single" w:sz="4" w:space="0" w:color="1A171C"/>
              <w:right w:val="nil"/>
            </w:tcBorders>
          </w:tcPr>
          <w:p w14:paraId="7FE1B3F0" w14:textId="3CC98567" w:rsidR="0057131B" w:rsidRDefault="00355A1C">
            <w:pPr>
              <w:pStyle w:val="P68B1DB1-TableParagraph14"/>
              <w:spacing w:before="108"/>
              <w:ind w:left="85"/>
              <w:jc w:val="both"/>
              <w:rPr>
                <w:bCs/>
              </w:rPr>
            </w:pPr>
            <w:r>
              <w:t>Relevant juridisk person</w:t>
            </w:r>
          </w:p>
          <w:p w14:paraId="7FE1B3F1" w14:textId="75C7B029" w:rsidR="0057131B" w:rsidRDefault="00355A1C">
            <w:pPr>
              <w:pStyle w:val="P68B1DB1-TableParagraph13"/>
              <w:spacing w:before="108"/>
              <w:jc w:val="both"/>
            </w:pPr>
            <w:r>
              <w:t>Ifall enheten utgör en relevant juridisk person enligt definitionen i artikel 1 i denna förordning.</w:t>
            </w:r>
          </w:p>
          <w:p w14:paraId="7FE1B3F2" w14:textId="0E42CD28" w:rsidR="0057131B" w:rsidRDefault="0057131B">
            <w:pPr>
              <w:pStyle w:val="TableParagraph"/>
              <w:spacing w:before="108"/>
              <w:jc w:val="both"/>
              <w:rPr>
                <w:rFonts w:ascii="Times New Roman" w:hAnsi="Times New Roman" w:cs="Times New Roman"/>
                <w:color w:val="000000" w:themeColor="text1"/>
                <w:sz w:val="20"/>
                <w:szCs w:val="20"/>
              </w:rPr>
            </w:pPr>
          </w:p>
        </w:tc>
      </w:tr>
    </w:tbl>
    <w:p w14:paraId="7FE1B491" w14:textId="77777777" w:rsidR="0057131B" w:rsidRDefault="0057131B">
      <w:pPr>
        <w:rPr>
          <w:rFonts w:ascii="Times New Roman" w:hAnsi="Times New Roman" w:cs="Times New Roman"/>
        </w:rPr>
      </w:pPr>
    </w:p>
    <w:p w14:paraId="7FE1B492" w14:textId="77777777" w:rsidR="0057131B" w:rsidRDefault="00355A1C">
      <w:pPr>
        <w:pStyle w:val="P68B1DB1-Instructionsberschrift25"/>
        <w:numPr>
          <w:ilvl w:val="1"/>
          <w:numId w:val="49"/>
        </w:numPr>
        <w:ind w:left="357" w:hanging="357"/>
      </w:pPr>
      <w:bookmarkStart w:id="22" w:name="_Toc81454178"/>
      <w:bookmarkStart w:id="23" w:name="_Toc210901282"/>
      <w:r>
        <w:t>Z 01.02 – Äganderelation (ORG 2)</w:t>
      </w:r>
      <w:bookmarkEnd w:id="22"/>
      <w:bookmarkEnd w:id="23"/>
    </w:p>
    <w:p w14:paraId="7FE1B493" w14:textId="77777777" w:rsidR="0057131B" w:rsidRDefault="00355A1C">
      <w:pPr>
        <w:pStyle w:val="Instructionsberschrift3"/>
      </w:pPr>
      <w:r>
        <w:t>Allmänna kommentarer</w:t>
      </w:r>
    </w:p>
    <w:p w14:paraId="50A00AA9" w14:textId="77777777" w:rsidR="0057131B" w:rsidRDefault="00355A1C">
      <w:pPr>
        <w:pStyle w:val="P68B1DB1-InstructionsText26"/>
        <w:numPr>
          <w:ilvl w:val="0"/>
          <w:numId w:val="234"/>
        </w:numPr>
        <w:spacing w:before="0"/>
      </w:pPr>
      <w:r>
        <w:t xml:space="preserve">Denna mall ger en överblick över koncernens legala struktur och ägarstruktur. En enda mall ska lämnas in för alla koncernenheter som omfattas av sammanställd redovisning. </w:t>
      </w:r>
    </w:p>
    <w:p w14:paraId="7FE1B494" w14:textId="57A6BCE4" w:rsidR="0057131B" w:rsidRDefault="00355A1C">
      <w:pPr>
        <w:pStyle w:val="P68B1DB1-InstructionsText26"/>
        <w:numPr>
          <w:ilvl w:val="0"/>
          <w:numId w:val="234"/>
        </w:numPr>
        <w:spacing w:before="0"/>
      </w:pPr>
      <w:r>
        <w:t xml:space="preserve">Resolutionsenheter som inte ingår i en koncern som är föremål för gruppbaserad tillsyn förväntas också lämna denna rapport. </w:t>
      </w:r>
    </w:p>
    <w:p w14:paraId="7FE1B496" w14:textId="77777777" w:rsidR="0057131B" w:rsidRDefault="00355A1C">
      <w:pPr>
        <w:pStyle w:val="P68B1DB1-InstructionsText26"/>
        <w:numPr>
          <w:ilvl w:val="0"/>
          <w:numId w:val="234"/>
        </w:numPr>
        <w:spacing w:before="0"/>
      </w:pPr>
      <w:r>
        <w:t>Denna mall ska innehålla en förteckning över alla aktieägare (eller motsvarande) i koncernens enheter med mer än 2 % av aktiekapitalet (eller motsvarande) eller rösträtterna och alla aktieinnehav (eller motsvarande) som innehas av enheter i gruppen.</w:t>
      </w:r>
    </w:p>
    <w:p w14:paraId="7FE1B497" w14:textId="77777777" w:rsidR="0057131B" w:rsidRDefault="00355A1C">
      <w:pPr>
        <w:pStyle w:val="P68B1DB1-Instructionsberschrift312"/>
      </w:pPr>
      <w:r>
        <w:t>Instruktioner för specifika positioner</w:t>
      </w:r>
    </w:p>
    <w:tbl>
      <w:tblPr>
        <w:tblW w:w="0" w:type="auto"/>
        <w:tblCellMar>
          <w:top w:w="57" w:type="dxa"/>
          <w:left w:w="57" w:type="dxa"/>
          <w:bottom w:w="57" w:type="dxa"/>
          <w:right w:w="0" w:type="dxa"/>
        </w:tblCellMar>
        <w:tblLook w:val="01E0" w:firstRow="1" w:lastRow="1" w:firstColumn="1" w:lastColumn="1" w:noHBand="0" w:noVBand="0"/>
      </w:tblPr>
      <w:tblGrid>
        <w:gridCol w:w="900"/>
        <w:gridCol w:w="8126"/>
      </w:tblGrid>
      <w:tr w:rsidR="0057131B"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57131B" w:rsidRDefault="00355A1C">
            <w:pPr>
              <w:pStyle w:val="P68B1DB1-TableParagraph13"/>
              <w:spacing w:before="66"/>
              <w:rPr>
                <w:rFonts w:eastAsia="Cambria"/>
              </w:rPr>
            </w:pPr>
            <w:r>
              <w:t>Kolumner</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57131B" w:rsidRDefault="00355A1C">
            <w:pPr>
              <w:pStyle w:val="P68B1DB1-TableParagraph13"/>
              <w:spacing w:before="66"/>
              <w:ind w:right="1"/>
              <w:jc w:val="center"/>
              <w:rPr>
                <w:rFonts w:eastAsia="Cambria"/>
              </w:rPr>
            </w:pPr>
            <w:r>
              <w:t>Anvisningar</w:t>
            </w:r>
          </w:p>
        </w:tc>
      </w:tr>
      <w:tr w:rsidR="0057131B"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57131B" w:rsidRDefault="00355A1C">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57131B" w:rsidRDefault="00355A1C">
            <w:pPr>
              <w:pStyle w:val="P68B1DB1-TableParagraph14"/>
              <w:spacing w:before="108"/>
              <w:ind w:left="85"/>
            </w:pPr>
            <w:r>
              <w:t>Investerare</w:t>
            </w:r>
          </w:p>
        </w:tc>
      </w:tr>
      <w:tr w:rsidR="0057131B"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57131B" w:rsidRDefault="00355A1C">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57131B" w:rsidRDefault="00355A1C">
            <w:pPr>
              <w:pStyle w:val="P68B1DB1-TableParagraph14"/>
              <w:spacing w:before="108"/>
              <w:ind w:left="85"/>
              <w:jc w:val="both"/>
              <w:rPr>
                <w:bCs/>
              </w:rPr>
            </w:pPr>
            <w:r>
              <w:t xml:space="preserve">Namn </w:t>
            </w:r>
          </w:p>
          <w:p w14:paraId="7FE1B4A1" w14:textId="77777777" w:rsidR="0057131B" w:rsidRDefault="00355A1C">
            <w:pPr>
              <w:pStyle w:val="P68B1DB1-TableParagraph17"/>
              <w:spacing w:before="108"/>
              <w:ind w:left="85"/>
              <w:rPr>
                <w:rFonts w:eastAsia="Book Antiqua"/>
              </w:rPr>
            </w:pPr>
            <w:r>
              <w:t>Investerarens fullständiga namn eller beteckning.</w:t>
            </w:r>
          </w:p>
        </w:tc>
      </w:tr>
      <w:tr w:rsidR="0057131B"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57131B" w:rsidRDefault="00355A1C">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57131B" w:rsidRDefault="00355A1C">
            <w:pPr>
              <w:pStyle w:val="P68B1DB1-TableParagraph14"/>
              <w:spacing w:before="108"/>
              <w:ind w:left="85"/>
              <w:jc w:val="both"/>
              <w:rPr>
                <w:bCs/>
              </w:rPr>
            </w:pPr>
            <w:r>
              <w:t xml:space="preserve">Kod </w:t>
            </w:r>
          </w:p>
          <w:p w14:paraId="7FE1B4A5" w14:textId="77777777" w:rsidR="0057131B" w:rsidRDefault="00355A1C">
            <w:pPr>
              <w:pStyle w:val="P68B1DB1-TableParagraph17"/>
              <w:spacing w:before="108"/>
              <w:ind w:left="85"/>
            </w:pPr>
            <w:r>
              <w:t>Unik identifieringskod för den juridiska personen eller investeraren som anges i kolumn 0010.</w:t>
            </w:r>
          </w:p>
          <w:p w14:paraId="7FE1B4A6" w14:textId="77777777" w:rsidR="0057131B" w:rsidRDefault="00355A1C">
            <w:pPr>
              <w:pStyle w:val="P68B1DB1-TableParagraph17"/>
              <w:spacing w:before="108"/>
              <w:ind w:left="85"/>
            </w:pPr>
            <w:r>
              <w:t>Om investeraren är en enhet inom koncernen ska koden vara densamma som den som redovisas i mall Z 01.01 (ORG 1). Om investeraren inte är en enhet inom koncernen ska enhetskoden vara följande:</w:t>
            </w:r>
          </w:p>
          <w:p w14:paraId="7FE1B4A7" w14:textId="77777777" w:rsidR="0057131B" w:rsidRDefault="00355A1C">
            <w:pPr>
              <w:pStyle w:val="P68B1DB1-TableParagraph17"/>
              <w:numPr>
                <w:ilvl w:val="0"/>
                <w:numId w:val="64"/>
              </w:numPr>
              <w:spacing w:before="108"/>
            </w:pPr>
            <w:r>
              <w:t>för institut med identifieringskod för juridiska personer (LEI-kod), den 20-siffriga alfanumeriska LEI-koden.</w:t>
            </w:r>
          </w:p>
          <w:p w14:paraId="7FE1B4A8" w14:textId="7457E21A" w:rsidR="0057131B" w:rsidRDefault="00355A1C">
            <w:pPr>
              <w:pStyle w:val="P68B1DB1-TableParagraph17"/>
              <w:numPr>
                <w:ilvl w:val="0"/>
                <w:numId w:val="64"/>
              </w:numPr>
              <w:spacing w:before="108"/>
            </w:pPr>
            <w:r>
              <w:t>om den inte är tillgänglig, använd MFI-koden eller en kod enligt en enhetlig kodifiering som är tillämplig i unionen.</w:t>
            </w:r>
          </w:p>
          <w:p w14:paraId="7FE1B4A9" w14:textId="77777777" w:rsidR="0057131B" w:rsidRDefault="00355A1C">
            <w:pPr>
              <w:pStyle w:val="P68B1DB1-TableParagraph17"/>
              <w:spacing w:before="108"/>
              <w:ind w:left="85"/>
            </w:pPr>
            <w:r>
              <w:t>För båda fallen ska koden vara unik och användas konsekvent i mallarna.</w:t>
            </w:r>
          </w:p>
        </w:tc>
      </w:tr>
      <w:tr w:rsidR="0057131B"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57131B" w:rsidRDefault="00355A1C">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57131B" w:rsidRDefault="00355A1C">
            <w:pPr>
              <w:pStyle w:val="P68B1DB1-TableParagraph14"/>
              <w:spacing w:before="108"/>
              <w:ind w:left="85"/>
              <w:jc w:val="both"/>
              <w:rPr>
                <w:bCs/>
              </w:rPr>
            </w:pPr>
            <w:r>
              <w:t>Typ av kod</w:t>
            </w:r>
          </w:p>
          <w:p w14:paraId="560AED27" w14:textId="77777777" w:rsidR="0057131B" w:rsidRDefault="00355A1C">
            <w:pPr>
              <w:pStyle w:val="P68B1DB1-Normal18"/>
            </w:pPr>
            <w:r>
              <w:t xml:space="preserve">Om investeraren är en enhet inom koncernen ska koden vara densamma som den som redovisas i mall Z 01.01 (ORG 1). </w:t>
            </w:r>
          </w:p>
          <w:p w14:paraId="2DC78FBF" w14:textId="77777777" w:rsidR="0057131B" w:rsidRDefault="0057131B">
            <w:pPr>
              <w:rPr>
                <w:rFonts w:ascii="Times New Roman" w:hAnsi="Times New Roman" w:cs="Times New Roman"/>
                <w:sz w:val="20"/>
                <w:szCs w:val="20"/>
              </w:rPr>
            </w:pPr>
          </w:p>
          <w:p w14:paraId="3C91DA4D" w14:textId="535D128A" w:rsidR="0057131B" w:rsidRDefault="00355A1C">
            <w:pPr>
              <w:pStyle w:val="P68B1DB1-Normal19"/>
              <w:rPr>
                <w:rFonts w:eastAsiaTheme="minorHAnsi"/>
              </w:rPr>
            </w:pPr>
            <w:r>
              <w:t>Välj en av följande alternativ: ”LEI-kod”, ”MFI-kod” eller ”Typ av identifierare, annan än LEI-kod eller MFI-kod”.</w:t>
            </w:r>
          </w:p>
          <w:p w14:paraId="7FE1B4B2" w14:textId="77777777" w:rsidR="0057131B" w:rsidRDefault="00355A1C">
            <w:pPr>
              <w:pStyle w:val="P68B1DB1-TableParagraph17"/>
              <w:spacing w:before="108"/>
            </w:pPr>
            <w:r>
              <w:t>För identifiering av enheter eller investerare ska kod- och typparet användas konsekvent i mallarna.</w:t>
            </w:r>
          </w:p>
        </w:tc>
      </w:tr>
      <w:tr w:rsidR="0057131B"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57131B" w:rsidRDefault="00355A1C">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57131B" w:rsidRDefault="00355A1C">
            <w:pPr>
              <w:pStyle w:val="P68B1DB1-TableParagraph14"/>
              <w:spacing w:before="108"/>
              <w:ind w:left="85"/>
              <w:jc w:val="both"/>
              <w:rPr>
                <w:bCs/>
              </w:rPr>
            </w:pPr>
            <w:r>
              <w:t>Investeringsobjekt</w:t>
            </w:r>
          </w:p>
        </w:tc>
      </w:tr>
      <w:tr w:rsidR="0057131B"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57131B" w:rsidRDefault="00355A1C">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57131B" w:rsidRDefault="00355A1C">
            <w:pPr>
              <w:pStyle w:val="P68B1DB1-TableParagraph14"/>
              <w:spacing w:before="108"/>
              <w:ind w:left="85"/>
              <w:jc w:val="both"/>
              <w:rPr>
                <w:bCs/>
              </w:rPr>
            </w:pPr>
            <w:r>
              <w:t xml:space="preserve">Namn </w:t>
            </w:r>
          </w:p>
          <w:p w14:paraId="7FE1B4B9" w14:textId="77777777" w:rsidR="0057131B" w:rsidRDefault="00355A1C">
            <w:pPr>
              <w:pStyle w:val="P68B1DB1-TableParagraph13"/>
              <w:spacing w:before="108"/>
              <w:ind w:left="85"/>
              <w:jc w:val="both"/>
              <w:rPr>
                <w:bCs/>
              </w:rPr>
            </w:pPr>
            <w:r>
              <w:lastRenderedPageBreak/>
              <w:t>Investeringsobjektets fullständiga namn eller beteckning.</w:t>
            </w:r>
          </w:p>
        </w:tc>
      </w:tr>
      <w:tr w:rsidR="0057131B"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57131B" w:rsidRDefault="00355A1C">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57131B" w:rsidRDefault="00355A1C">
            <w:pPr>
              <w:pStyle w:val="P68B1DB1-TableParagraph14"/>
              <w:spacing w:before="108"/>
              <w:ind w:left="85"/>
              <w:jc w:val="both"/>
              <w:rPr>
                <w:bCs/>
              </w:rPr>
            </w:pPr>
            <w:r>
              <w:t xml:space="preserve">Kod </w:t>
            </w:r>
          </w:p>
          <w:p w14:paraId="7FE1B4BD" w14:textId="77777777" w:rsidR="0057131B" w:rsidRDefault="00355A1C">
            <w:pPr>
              <w:pStyle w:val="P68B1DB1-TableParagraph13"/>
              <w:spacing w:before="108"/>
              <w:ind w:left="85"/>
              <w:jc w:val="both"/>
              <w:rPr>
                <w:bCs/>
              </w:rPr>
            </w:pPr>
            <w:r>
              <w:t>Unik identifieringskod för den juridiska personen eller investeraren som anges i kolumn 0010.</w:t>
            </w:r>
          </w:p>
          <w:p w14:paraId="7FE1B4BE" w14:textId="77777777" w:rsidR="0057131B" w:rsidRDefault="00355A1C">
            <w:pPr>
              <w:pStyle w:val="P68B1DB1-TableParagraph13"/>
              <w:spacing w:before="108"/>
              <w:ind w:left="85"/>
              <w:jc w:val="both"/>
              <w:rPr>
                <w:bCs/>
              </w:rPr>
            </w:pPr>
            <w:r>
              <w:t>Om investeraren är en enhet inom koncernen ska koden vara densamma som den som redovisas i mall Z 01.01 (ORG 1). Om investeraren inte är en enhet inom koncernen ska enhetskoden vara följande:</w:t>
            </w:r>
          </w:p>
          <w:p w14:paraId="4B3351AF" w14:textId="77777777" w:rsidR="0057131B" w:rsidRDefault="00355A1C">
            <w:pPr>
              <w:pStyle w:val="P68B1DB1-TableParagraph13"/>
              <w:numPr>
                <w:ilvl w:val="0"/>
                <w:numId w:val="64"/>
              </w:numPr>
              <w:spacing w:before="108"/>
              <w:rPr>
                <w:bCs/>
              </w:rPr>
            </w:pPr>
            <w:r>
              <w:t>för institut med identifieringskod för juridiska personer (LEI-kod), den 20-siffriga alfanumeriska LEI-koden.</w:t>
            </w:r>
          </w:p>
          <w:p w14:paraId="7FE1B4C0" w14:textId="1326FF82" w:rsidR="0057131B" w:rsidRDefault="00355A1C">
            <w:pPr>
              <w:pStyle w:val="P68B1DB1-TableParagraph13"/>
              <w:numPr>
                <w:ilvl w:val="0"/>
                <w:numId w:val="64"/>
              </w:numPr>
              <w:spacing w:before="108"/>
              <w:rPr>
                <w:bCs/>
              </w:rPr>
            </w:pPr>
            <w:r>
              <w:t>—</w:t>
            </w:r>
            <w:r>
              <w:tab/>
              <w:t>om den inte är tillgänglig, använd MFI-koden eller en kod enligt en enhetlig kodifiering som är tillämplig i unionen.</w:t>
            </w:r>
          </w:p>
          <w:p w14:paraId="7FE1B4C1" w14:textId="77777777" w:rsidR="0057131B" w:rsidRDefault="00355A1C">
            <w:pPr>
              <w:pStyle w:val="P68B1DB1-TableParagraph13"/>
              <w:spacing w:before="108"/>
              <w:ind w:left="85"/>
              <w:jc w:val="both"/>
              <w:rPr>
                <w:b/>
                <w:bCs/>
              </w:rPr>
            </w:pPr>
            <w:r>
              <w:t>För båda fallen ska koden vara unik och användas konsekvent i mallarna.</w:t>
            </w:r>
          </w:p>
        </w:tc>
      </w:tr>
      <w:tr w:rsidR="0057131B"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57131B" w:rsidRDefault="00355A1C">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57131B" w:rsidRDefault="00355A1C">
            <w:pPr>
              <w:pStyle w:val="P68B1DB1-TableParagraph14"/>
              <w:spacing w:before="108"/>
              <w:ind w:left="85"/>
              <w:jc w:val="both"/>
              <w:rPr>
                <w:bCs/>
              </w:rPr>
            </w:pPr>
            <w:r>
              <w:t>Typ av kod</w:t>
            </w:r>
          </w:p>
          <w:p w14:paraId="7FE1B4C5" w14:textId="77777777" w:rsidR="0057131B" w:rsidRDefault="00355A1C">
            <w:pPr>
              <w:pStyle w:val="P68B1DB1-TableParagraph13"/>
              <w:spacing w:before="108"/>
              <w:ind w:left="85"/>
              <w:jc w:val="both"/>
              <w:rPr>
                <w:bCs/>
              </w:rPr>
            </w:pPr>
            <w:r>
              <w:t xml:space="preserve">Om investeraren är en enhet inom koncernen ska koden vara densamma som den som redovisas i mall Z 01.01 (ORG 1). </w:t>
            </w:r>
          </w:p>
          <w:p w14:paraId="783CEC76" w14:textId="13C64C21" w:rsidR="0057131B" w:rsidRDefault="00355A1C">
            <w:pPr>
              <w:pStyle w:val="P68B1DB1-TableParagraph13"/>
              <w:spacing w:before="108"/>
              <w:ind w:left="85"/>
              <w:jc w:val="both"/>
              <w:rPr>
                <w:bCs/>
              </w:rPr>
            </w:pPr>
            <w:r>
              <w:t>Välj en av följande alternativ: ”LEI-kod”, ”MFI-kod” eller ”Typ av identifierare, annan än LEI-kod eller MFI-kod”.</w:t>
            </w:r>
          </w:p>
          <w:p w14:paraId="7FE1B4CA" w14:textId="092DA599" w:rsidR="0057131B" w:rsidRDefault="00355A1C">
            <w:pPr>
              <w:pStyle w:val="P68B1DB1-TableParagraph17"/>
              <w:spacing w:before="108"/>
            </w:pPr>
            <w:r>
              <w:t>Typen av kod ska alltid rapporteras.</w:t>
            </w:r>
          </w:p>
          <w:p w14:paraId="7FE1B4CB" w14:textId="77777777" w:rsidR="0057131B" w:rsidRDefault="00355A1C">
            <w:pPr>
              <w:pStyle w:val="P68B1DB1-TableParagraph13"/>
              <w:spacing w:before="108"/>
              <w:ind w:left="85"/>
              <w:rPr>
                <w:b/>
                <w:bCs/>
              </w:rPr>
            </w:pPr>
            <w:r>
              <w:t>För identifiering av enheter eller investeringsobjekt ska båda koderna och typerna användas konsekvent i mallarna.</w:t>
            </w:r>
          </w:p>
        </w:tc>
      </w:tr>
      <w:tr w:rsidR="0057131B"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57131B" w:rsidRDefault="00355A1C">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57131B" w:rsidRDefault="00355A1C">
            <w:pPr>
              <w:pStyle w:val="P68B1DB1-TableParagraph14"/>
              <w:spacing w:before="108"/>
              <w:ind w:left="85"/>
            </w:pPr>
            <w:r>
              <w:t>Internationella avdelningen</w:t>
            </w:r>
          </w:p>
          <w:p w14:paraId="7FE1B4CF" w14:textId="77777777" w:rsidR="0057131B" w:rsidRDefault="00355A1C">
            <w:pPr>
              <w:pStyle w:val="P68B1DB1-TableParagraph13"/>
              <w:spacing w:before="108"/>
              <w:ind w:left="85"/>
              <w:jc w:val="both"/>
            </w:pPr>
            <w:r>
              <w:t>Följande förkortningar rapporteras:</w:t>
            </w:r>
          </w:p>
          <w:p w14:paraId="7FE1B4D0" w14:textId="0F2F9A3D" w:rsidR="0057131B" w:rsidRDefault="00355A1C">
            <w:pPr>
              <w:pStyle w:val="P68B1DB1-TableParagraph13"/>
              <w:spacing w:before="108"/>
              <w:ind w:left="85"/>
              <w:jc w:val="both"/>
            </w:pPr>
            <w:r>
              <w:t>Ja – om investeringsobjektet är en internationell filial till investeraren.</w:t>
            </w:r>
          </w:p>
          <w:p w14:paraId="7FE1B4D1" w14:textId="303CCEBB" w:rsidR="0057131B" w:rsidRDefault="00355A1C">
            <w:pPr>
              <w:pStyle w:val="P68B1DB1-TableParagraph13"/>
              <w:spacing w:before="108"/>
              <w:ind w:left="85"/>
              <w:jc w:val="both"/>
              <w:rPr>
                <w:b/>
                <w:bCs/>
              </w:rPr>
            </w:pPr>
            <w:r>
              <w:t>Nej – om det rör sig om en juridisk person.</w:t>
            </w:r>
          </w:p>
        </w:tc>
      </w:tr>
      <w:tr w:rsidR="0057131B"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57131B" w:rsidRDefault="00355A1C">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57131B" w:rsidRDefault="00355A1C">
            <w:pPr>
              <w:pStyle w:val="P68B1DB1-TableParagraph14"/>
              <w:spacing w:before="108"/>
              <w:ind w:left="85"/>
              <w:jc w:val="both"/>
              <w:rPr>
                <w:bCs/>
              </w:rPr>
            </w:pPr>
            <w:r>
              <w:t>Äganderätt</w:t>
            </w:r>
          </w:p>
        </w:tc>
      </w:tr>
      <w:tr w:rsidR="0057131B"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57131B" w:rsidRDefault="00355A1C">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57131B" w:rsidRDefault="00355A1C">
            <w:pPr>
              <w:pStyle w:val="P68B1DB1-TableParagraph14"/>
              <w:spacing w:before="108"/>
              <w:ind w:left="85"/>
              <w:jc w:val="both"/>
            </w:pPr>
            <w:r>
              <w:t>Aktiekapital</w:t>
            </w:r>
          </w:p>
          <w:p w14:paraId="7FE1B4D8" w14:textId="77777777" w:rsidR="0057131B" w:rsidRDefault="00355A1C">
            <w:pPr>
              <w:pStyle w:val="P68B1DB1-TableParagraph17"/>
              <w:spacing w:before="108"/>
              <w:ind w:left="85"/>
              <w:jc w:val="both"/>
            </w:pPr>
            <w:r>
              <w:t>Investerarens aktiekapital, exklusive reserver. Om det rör sig om en internationell filial ska fältet vara tomt.</w:t>
            </w:r>
          </w:p>
        </w:tc>
      </w:tr>
      <w:tr w:rsidR="0057131B"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57131B" w:rsidRDefault="00355A1C">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57131B" w:rsidRDefault="00355A1C">
            <w:pPr>
              <w:pStyle w:val="P68B1DB1-TableParagraph14"/>
              <w:spacing w:before="108"/>
              <w:ind w:left="85"/>
              <w:rPr>
                <w:rFonts w:eastAsia="Book Antiqua"/>
              </w:rPr>
            </w:pPr>
            <w:r>
              <w:t>Rösträtt i enheten</w:t>
            </w:r>
          </w:p>
          <w:p w14:paraId="7FE1B4DC" w14:textId="77777777" w:rsidR="0057131B" w:rsidRDefault="00355A1C">
            <w:pPr>
              <w:pStyle w:val="P68B1DB1-TableParagraph17"/>
              <w:spacing w:before="108"/>
              <w:ind w:left="85"/>
              <w:jc w:val="both"/>
              <w:rPr>
                <w:b/>
              </w:rPr>
            </w:pPr>
            <w:r>
              <w:t>Andel rösträtter som innehas av investeraren. Denna information krävs endast ifall en aktie inte motsvaras av en röst (eftersom rösträtterna då inte motsvaras av aktiekapitalet). Om det rör sig om en internationell filial ska fältet vara tomt.</w:t>
            </w:r>
          </w:p>
        </w:tc>
      </w:tr>
    </w:tbl>
    <w:p w14:paraId="7FE1B4DE" w14:textId="77777777" w:rsidR="0057131B" w:rsidRDefault="0057131B">
      <w:pPr>
        <w:rPr>
          <w:rFonts w:ascii="Times New Roman" w:hAnsi="Times New Roman" w:cs="Times New Roman"/>
        </w:rPr>
      </w:pPr>
    </w:p>
    <w:p w14:paraId="7FE1B4DF" w14:textId="77777777" w:rsidR="0057131B" w:rsidRDefault="0057131B">
      <w:pPr>
        <w:rPr>
          <w:rFonts w:ascii="Times New Roman" w:hAnsi="Times New Roman" w:cs="Times New Roman"/>
        </w:rPr>
      </w:pPr>
    </w:p>
    <w:p w14:paraId="7FE1B4E1" w14:textId="77777777" w:rsidR="0057131B" w:rsidRDefault="00355A1C">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1090128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Skuldstruktur (LIAB 1)</w:t>
      </w:r>
      <w:bookmarkEnd w:id="54"/>
      <w:bookmarkEnd w:id="55"/>
      <w:bookmarkEnd w:id="56"/>
    </w:p>
    <w:p w14:paraId="7FE1B4E2" w14:textId="77777777" w:rsidR="0057131B" w:rsidRDefault="00355A1C">
      <w:pPr>
        <w:pStyle w:val="Instructionsberschrift3"/>
      </w:pPr>
      <w:r>
        <w:t>Allmänna kommentarer</w:t>
      </w:r>
    </w:p>
    <w:p w14:paraId="7FE1B4E3" w14:textId="190D578F" w:rsidR="0057131B" w:rsidRDefault="00355A1C">
      <w:pPr>
        <w:pStyle w:val="P68B1DB1-InstructionsText26"/>
        <w:numPr>
          <w:ilvl w:val="0"/>
          <w:numId w:val="233"/>
        </w:numPr>
        <w:spacing w:before="0"/>
      </w:pPr>
      <w:r>
        <w:t>Denna mall innehåller detaljerad information om enhetens eller koncernens skuldstruktur. Skulder delas in i skulder som är exkluderade från skuldnedskrivning och skulder som inte är exkluderade från skuldnedskrivning. Ytterligare uppdelningar per skuldkategori, motpart och återstående löptid tillhandahålls.</w:t>
      </w:r>
    </w:p>
    <w:p w14:paraId="7FE1B4E4" w14:textId="77777777" w:rsidR="0057131B" w:rsidRDefault="00355A1C">
      <w:pPr>
        <w:pStyle w:val="P68B1DB1-InstructionsText26"/>
        <w:numPr>
          <w:ilvl w:val="0"/>
          <w:numId w:val="233"/>
        </w:numPr>
        <w:spacing w:before="0"/>
      </w:pPr>
      <w:r>
        <w:lastRenderedPageBreak/>
        <w:t>Om en uppdelning av löptiden anges i denna mall ska återstående löptid vara tiden fram till den avtalsenliga förfallodagen. Dock gäller följande undantag:</w:t>
      </w:r>
    </w:p>
    <w:p w14:paraId="7FE1B4E5" w14:textId="77777777" w:rsidR="0057131B" w:rsidRDefault="00355A1C">
      <w:pPr>
        <w:pStyle w:val="P68B1DB1-InstructionsText26"/>
        <w:numPr>
          <w:ilvl w:val="1"/>
          <w:numId w:val="233"/>
        </w:numPr>
        <w:spacing w:before="0"/>
      </w:pPr>
      <w:r>
        <w:t>Om ett skuldinstrument inbegriper en inlösenoption för innehavaren som kan utnyttjas före instrumentets ursprungliga förfallodag, ska instrumentets förfallodag vara den dag då innehavaren tidigast kan utnyttja inlösenoptionen och begära inlösen eller återbetalning av instrumentet.</w:t>
      </w:r>
    </w:p>
    <w:p w14:paraId="7FE1B4E6" w14:textId="77777777" w:rsidR="0057131B" w:rsidRDefault="00355A1C">
      <w:pPr>
        <w:pStyle w:val="P68B1DB1-InstructionsText26"/>
        <w:numPr>
          <w:ilvl w:val="1"/>
          <w:numId w:val="233"/>
        </w:numPr>
        <w:spacing w:before="0"/>
      </w:pPr>
      <w:r>
        <w:t>Om ett skuldinstrument inbegriper ett incitament till inlösen, återbetalning eller återköp för emittenten som kan utnyttjas före instrumentets ursprungliga förfallodag, ska instrumentets förfallodag vara den dag då emittenten tidigast kan utnyttja denna option och begära inlösen eller återbetalning av instrumentet.</w:t>
      </w:r>
    </w:p>
    <w:p w14:paraId="7FE1B4E8" w14:textId="77777777" w:rsidR="0057131B" w:rsidRDefault="00355A1C">
      <w:pPr>
        <w:pStyle w:val="P68B1DB1-InstructionsText26"/>
        <w:numPr>
          <w:ilvl w:val="0"/>
          <w:numId w:val="233"/>
        </w:numPr>
        <w:spacing w:before="0"/>
      </w:pPr>
      <w:r>
        <w:t>Vid mellanliggande betalningar av kapitalbeloppet ska kapitalbeloppet delas upp och fördelas i motsvarande löptidsintervall. I förekommande fall ska löptiden beaktas separat för både kapitalbeloppet och den upplupna räntan.</w:t>
      </w:r>
    </w:p>
    <w:p w14:paraId="7FE1B4E9" w14:textId="7225004D" w:rsidR="0057131B" w:rsidRDefault="00355A1C">
      <w:pPr>
        <w:pStyle w:val="P68B1DB1-InstructionsText26"/>
        <w:numPr>
          <w:ilvl w:val="0"/>
          <w:numId w:val="233"/>
        </w:numPr>
        <w:spacing w:before="0"/>
      </w:pPr>
      <w:r>
        <w:t>I vissa specifika fall beror löptiden för ett visst instrument på externa faktorer som institutet har litet eller inget inflytande på. I sådana fall ska det första datum då sådana händelser kan leda till återbetalning anses vara det tidigaste inlösendatumet.</w:t>
      </w:r>
    </w:p>
    <w:p w14:paraId="7FE1B4EA" w14:textId="77777777" w:rsidR="0057131B" w:rsidRDefault="00355A1C">
      <w:pPr>
        <w:pStyle w:val="P68B1DB1-InstructionsText26"/>
        <w:numPr>
          <w:ilvl w:val="0"/>
          <w:numId w:val="233"/>
        </w:numPr>
        <w:spacing w:before="0"/>
      </w:pPr>
      <w:r>
        <w:t>I andra fall anges i avtalen inte någon specifik förfallodag, såsom avistainlåning eller inlåning över natten. I sådana fall ska skulderna anses ha en möjlig löptid på den första möjliga dagen, dvs. nästa/en dag efter rapporteringsdagen.</w:t>
      </w:r>
    </w:p>
    <w:p w14:paraId="7FE1B4EB" w14:textId="7998FDEF" w:rsidR="0057131B" w:rsidRDefault="00355A1C">
      <w:pPr>
        <w:pStyle w:val="P68B1DB1-InstructionsText26"/>
        <w:numPr>
          <w:ilvl w:val="0"/>
          <w:numId w:val="233"/>
        </w:numPr>
        <w:spacing w:before="0"/>
      </w:pPr>
      <w:r>
        <w:t>När det gäller insättningar skiljer man inte nödvändigtvis mellan de löptider som anses vara täckta om det finns olika löptider. För att dela upp den icke täckta delen i löptidsintervall uppmanas instituten att tillämpa en pro rata-metod för den totala täckningen och fördela den icke täckta delen i enlighet därmed över löptiden för de underliggande insättningarna, såvida inte särskilda bestämmelser som följer av införlivandet av direktiv 2014/49/EU i nationell lagstiftning är tillämpliga.</w:t>
      </w:r>
    </w:p>
    <w:p w14:paraId="7FE1B4EC" w14:textId="333CC915" w:rsidR="0057131B" w:rsidRDefault="00355A1C">
      <w:pPr>
        <w:pStyle w:val="P68B1DB1-InstructionsText26"/>
        <w:numPr>
          <w:ilvl w:val="0"/>
          <w:numId w:val="233"/>
        </w:numPr>
        <w:spacing w:before="0"/>
      </w:pPr>
      <w:r>
        <w:t>Om en skuld uppfyller flera kriterier och kan rapporteras på flera rader i intervallet r0110 till r0210, rapportera den endast på en rad, dvs. den rad som har det lägsta radnumret i denna mall.</w:t>
      </w:r>
    </w:p>
    <w:p w14:paraId="7FE1B4ED" w14:textId="0B0F63BC" w:rsidR="0057131B" w:rsidRDefault="00355A1C">
      <w:pPr>
        <w:pStyle w:val="P68B1DB1-InstructionsText26"/>
        <w:numPr>
          <w:ilvl w:val="0"/>
          <w:numId w:val="233"/>
        </w:numPr>
      </w:pPr>
      <w:r>
        <w:t>Belopp i denna mall ska rapporteras både som utestående och redovisade värden:</w:t>
      </w:r>
    </w:p>
    <w:p w14:paraId="7FE1B4EE" w14:textId="77777777" w:rsidR="0057131B" w:rsidRDefault="00355A1C">
      <w:pPr>
        <w:pStyle w:val="P68B1DB1-InstructionsText26"/>
        <w:numPr>
          <w:ilvl w:val="1"/>
          <w:numId w:val="233"/>
        </w:numPr>
      </w:pPr>
      <w:r>
        <w:t xml:space="preserve">Det utestående beloppet av en fordran eller ett instrument utgörs av fordrans eller instrumentets kapitalbelopp plus upplupen ränta. Det utestående beloppet är lika med värdet av den fordran som borgenären lämnar in enligt ett insolvensförfarande, utan beaktande av bestämmelser om kvittning vid insolvens, och omfattar inte några överkurser eller rabatter på skuldebrev. I de fall där ingen fordran anmäls inom ramen för ett insolvensförfarande förväntas det utestående beloppet vara lika med noll. </w:t>
      </w:r>
    </w:p>
    <w:p w14:paraId="7FE1B4EF" w14:textId="77777777" w:rsidR="0057131B" w:rsidRDefault="00355A1C">
      <w:pPr>
        <w:pStyle w:val="P68B1DB1-InstructionsText26"/>
        <w:numPr>
          <w:ilvl w:val="1"/>
          <w:numId w:val="233"/>
        </w:numPr>
      </w:pPr>
      <w:r>
        <w:t xml:space="preserve">Det redovisade värdet ska vara redovisat värde enligt definitionen för Finrep, antingen enligt IFRS eller nGAAP, beroende på vad som är tillämpligt. För övriga fall ska siffror enligt nGAAP-rapportering användas. </w:t>
      </w:r>
    </w:p>
    <w:p w14:paraId="7FE1B4F1" w14:textId="1849D60B" w:rsidR="0057131B" w:rsidRDefault="00355A1C">
      <w:pPr>
        <w:pStyle w:val="P68B1DB1-InstructionsText26"/>
        <w:numPr>
          <w:ilvl w:val="0"/>
          <w:numId w:val="233"/>
        </w:numPr>
        <w:spacing w:before="0"/>
      </w:pPr>
      <w:r>
        <w:t>Denna rapport hänvisar till datapunkter som enheten redan kan ha rapporterat i Finrep och COREP för samma referensdatum och rapporteringsomfattning (se COREP/FINREP-hänvisningar i instruktionerna). Om så är fallet behöver den rapporterande enheten inte rapportera dessa uppgifter en andra gång. Till exempel måste COREP/Finrep-datapunkter rapporteras här om den rapporterande enheten har undantagits från finansiella eller tillsynsmässiga rapporteringsskyldigheter, i vilket fall den enda datakällan för resolutionsmyndigheterna för dessa datapunkter är denna rapport.</w:t>
      </w:r>
    </w:p>
    <w:p w14:paraId="7FE1B4F2" w14:textId="77777777" w:rsidR="0057131B" w:rsidRDefault="00355A1C">
      <w:pPr>
        <w:pStyle w:val="P68B1DB1-Instructionsberschrift312"/>
      </w:pPr>
      <w:r>
        <w:t>Instruktioner för specifika positioner</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57131B"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57131B" w:rsidRDefault="00355A1C">
            <w:pPr>
              <w:pStyle w:val="P68B1DB1-TableParagraph13"/>
              <w:spacing w:before="66"/>
              <w:rPr>
                <w:rFonts w:eastAsia="Cambria"/>
              </w:rPr>
            </w:pPr>
            <w:r>
              <w:lastRenderedPageBreak/>
              <w:t>Kolumner</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57131B" w:rsidRDefault="00355A1C">
            <w:pPr>
              <w:pStyle w:val="P68B1DB1-TableParagraph13"/>
              <w:spacing w:before="66"/>
              <w:ind w:right="1"/>
              <w:jc w:val="center"/>
              <w:rPr>
                <w:rFonts w:eastAsia="Cambria"/>
              </w:rPr>
            </w:pPr>
            <w:r>
              <w:t>Anvisningar</w:t>
            </w:r>
          </w:p>
        </w:tc>
      </w:tr>
      <w:tr w:rsidR="0057131B"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57131B" w:rsidRDefault="00355A1C">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57131B" w:rsidRDefault="00355A1C">
            <w:pPr>
              <w:pStyle w:val="P68B1DB1-TableParagraph14"/>
              <w:spacing w:before="108"/>
              <w:ind w:left="85"/>
              <w:jc w:val="both"/>
            </w:pPr>
            <w:r>
              <w:t>Hushåll</w:t>
            </w:r>
          </w:p>
          <w:p w14:paraId="7FE1B4F8" w14:textId="77777777" w:rsidR="0057131B" w:rsidRDefault="00355A1C">
            <w:pPr>
              <w:pStyle w:val="P68B1DB1-TableParagraph17"/>
              <w:spacing w:before="108"/>
              <w:ind w:left="85"/>
              <w:jc w:val="both"/>
            </w:pPr>
            <w:r>
              <w:t xml:space="preserve">Finrep, bilaga V, del 1, punkt 42 (f) </w:t>
            </w:r>
          </w:p>
          <w:p w14:paraId="7FE1B4F9" w14:textId="77777777" w:rsidR="0057131B" w:rsidRDefault="00355A1C">
            <w:pPr>
              <w:pStyle w:val="P68B1DB1-TableParagraph17"/>
              <w:spacing w:before="108"/>
              <w:ind w:left="85"/>
              <w:jc w:val="both"/>
              <w:rPr>
                <w:b/>
              </w:rPr>
            </w:pPr>
            <w:r>
              <w:t>Individer eller grupper av individer i egenskap av konsumenter och producenter av varor och icke-finansiella tjänster uteslutande för egen slutlig användning, och som producenter av marknadsförda varor och icke-finansiella och finansiella tjänster, förutsatt att dessa aktiviteter inte utförs av kvasibolag. Här ingår hushållens ideella organisationer som betjänar hushåll och som främst ägnar sig åt produktion av varor och tjänster avsedda för specifika grupper av hushåll utanför marknaden.</w:t>
            </w:r>
          </w:p>
        </w:tc>
      </w:tr>
      <w:tr w:rsidR="0057131B"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57131B" w:rsidRDefault="00355A1C">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57131B" w:rsidRDefault="00355A1C">
            <w:pPr>
              <w:pStyle w:val="P68B1DB1-TableParagraph14"/>
              <w:spacing w:before="108"/>
              <w:ind w:left="85"/>
              <w:jc w:val="both"/>
            </w:pPr>
            <w:r>
              <w:t>Icke-finansiella företag (SMF)</w:t>
            </w:r>
          </w:p>
          <w:p w14:paraId="7FE1B4FD" w14:textId="77777777" w:rsidR="0057131B" w:rsidRDefault="00355A1C">
            <w:pPr>
              <w:pStyle w:val="P68B1DB1-TableParagraph17"/>
              <w:spacing w:before="108"/>
              <w:ind w:left="85"/>
              <w:jc w:val="both"/>
            </w:pPr>
            <w:r>
              <w:t>Finrep, bilaga V, del 1, punkt 42 (e).</w:t>
            </w:r>
          </w:p>
          <w:p w14:paraId="7FE1B4FE" w14:textId="63A52B7A" w:rsidR="0057131B" w:rsidRDefault="00355A1C">
            <w:pPr>
              <w:pStyle w:val="P68B1DB1-TableParagraph13"/>
              <w:spacing w:before="108"/>
              <w:ind w:left="85"/>
              <w:jc w:val="both"/>
              <w:rPr>
                <w:rFonts w:eastAsia="Cambria"/>
              </w:rPr>
            </w:pPr>
            <w:r>
              <w:t>Företag och kvasibolag som inte ägnar sig åt finansförmedling utan främst åt produktion av handelsvaror och icke-finansiella tjänster i enlighet med Europeiska centralbankens förordning (EU) 2021/379</w:t>
            </w:r>
            <w:r>
              <w:footnoteReference w:id="11"/>
            </w:r>
            <w:r>
              <w:t>, som också uppfyller följande definition av SME:</w:t>
            </w:r>
          </w:p>
          <w:p w14:paraId="7FE1B4FF" w14:textId="77777777"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Avdelning I artikel 2.1 i bilagan till kommissionens rekommendation av den 6 maj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bilaga V, del 1, punkt 5 (i).</w:t>
            </w:r>
          </w:p>
          <w:p w14:paraId="7FE1B500" w14:textId="77777777" w:rsidR="0057131B" w:rsidRDefault="00355A1C">
            <w:pPr>
              <w:pStyle w:val="P68B1DB1-TableParagraph17"/>
              <w:spacing w:before="108"/>
              <w:ind w:left="85"/>
              <w:jc w:val="both"/>
              <w:rPr>
                <w:rFonts w:eastAsia="Book Antiqua"/>
              </w:rPr>
            </w:pPr>
            <w:r>
              <w:t>Företag som sysselsätter färre än 250 personer och vars årsomsättning inte överskrider 50 miljoner euro och/eller vars årliga totala balansomslutning inte överskrider 43 miljoner euro.</w:t>
            </w:r>
          </w:p>
        </w:tc>
      </w:tr>
      <w:tr w:rsidR="0057131B"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57131B" w:rsidRDefault="00355A1C">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57131B" w:rsidRDefault="00355A1C">
            <w:pPr>
              <w:pStyle w:val="P68B1DB1-TableParagraph14"/>
              <w:spacing w:before="108"/>
              <w:ind w:left="85"/>
              <w:jc w:val="both"/>
            </w:pPr>
            <w:r>
              <w:t>Icke-finansiella företag (icke-SMF)</w:t>
            </w:r>
          </w:p>
          <w:p w14:paraId="7FE1B504" w14:textId="77777777" w:rsidR="0057131B" w:rsidRDefault="00355A1C">
            <w:pPr>
              <w:pStyle w:val="P68B1DB1-TableParagraph17"/>
              <w:spacing w:before="108"/>
              <w:ind w:left="85"/>
              <w:jc w:val="both"/>
            </w:pPr>
            <w:r>
              <w:t>Finrep, bilaga V, del 1, punkt 42 (e).</w:t>
            </w:r>
          </w:p>
          <w:p w14:paraId="7FE1B505" w14:textId="53EEC701" w:rsidR="0057131B" w:rsidRDefault="00355A1C">
            <w:pPr>
              <w:pStyle w:val="P68B1DB1-TableParagraph13"/>
              <w:spacing w:before="108"/>
              <w:ind w:left="85"/>
              <w:jc w:val="both"/>
              <w:rPr>
                <w:rFonts w:eastAsia="Cambria"/>
              </w:rPr>
            </w:pPr>
            <w:r>
              <w:t>Företag och kvasibolag som inte ägnar sig åt finansförmedling utan främst åt produktion av handelsvaror och icke-finansiella tjänster i enlighet med Europeiska centralbankens förordning (EU) 2021/379.</w:t>
            </w:r>
          </w:p>
          <w:p w14:paraId="7FE1B506" w14:textId="77777777" w:rsidR="0057131B" w:rsidRDefault="00355A1C">
            <w:pPr>
              <w:pStyle w:val="P68B1DB1-TableParagraph17"/>
              <w:spacing w:before="108"/>
              <w:ind w:left="85"/>
              <w:jc w:val="both"/>
              <w:rPr>
                <w:b/>
                <w:bCs/>
              </w:rPr>
            </w:pPr>
            <w:r>
              <w:t xml:space="preserve">Exklusive de ”SMF” som redovisas i kolumn 0020. </w:t>
            </w:r>
          </w:p>
        </w:tc>
      </w:tr>
      <w:tr w:rsidR="0057131B"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57131B" w:rsidRDefault="00355A1C">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57131B" w:rsidRDefault="00355A1C">
            <w:pPr>
              <w:pStyle w:val="P68B1DB1-TableParagraph14"/>
              <w:spacing w:before="108"/>
              <w:ind w:left="85"/>
              <w:jc w:val="both"/>
            </w:pPr>
            <w:r>
              <w:t>Kreditinstitut</w:t>
            </w:r>
          </w:p>
          <w:p w14:paraId="7FE1B50A" w14:textId="77777777" w:rsidR="0057131B" w:rsidRDefault="00355A1C">
            <w:pPr>
              <w:pStyle w:val="P68B1DB1-TableParagraph17"/>
              <w:spacing w:before="108"/>
              <w:ind w:left="85"/>
              <w:jc w:val="both"/>
            </w:pPr>
            <w:r>
              <w:t>Finrep, bilaga V, del 1, punkt 42 (c).</w:t>
            </w:r>
          </w:p>
          <w:p w14:paraId="7FE1B50B" w14:textId="77777777" w:rsidR="0057131B" w:rsidRDefault="00355A1C">
            <w:pPr>
              <w:pStyle w:val="P68B1DB1-TableParagraph13"/>
              <w:spacing w:before="108"/>
              <w:ind w:left="85"/>
              <w:jc w:val="both"/>
              <w:rPr>
                <w:b/>
                <w:bCs/>
              </w:rPr>
            </w:pPr>
            <w:r>
              <w:t>Kreditinstitut enligt betydelsen i artikel 4.1 led 1 i förordning (EU) nr 575/2013 samt multilaterala utvecklingsbanker.</w:t>
            </w:r>
          </w:p>
        </w:tc>
      </w:tr>
      <w:tr w:rsidR="0057131B"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57131B" w:rsidRDefault="00355A1C">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57131B" w:rsidRDefault="00355A1C">
            <w:pPr>
              <w:pStyle w:val="P68B1DB1-TableParagraph14"/>
              <w:spacing w:before="108"/>
              <w:ind w:left="85"/>
              <w:jc w:val="both"/>
            </w:pPr>
            <w:r>
              <w:t>Övriga finansiella bolag</w:t>
            </w:r>
          </w:p>
          <w:p w14:paraId="7FE1B50F" w14:textId="77777777" w:rsidR="0057131B" w:rsidRDefault="00355A1C">
            <w:pPr>
              <w:pStyle w:val="P68B1DB1-TableParagraph17"/>
              <w:spacing w:before="108"/>
              <w:ind w:left="85"/>
              <w:jc w:val="both"/>
            </w:pPr>
            <w:r>
              <w:t>Finrep, bilaga V, del 1, punkt 42 (d).</w:t>
            </w:r>
          </w:p>
          <w:p w14:paraId="7FE1B510" w14:textId="06860C4E" w:rsidR="0057131B" w:rsidRDefault="00355A1C">
            <w:pPr>
              <w:pStyle w:val="P68B1DB1-TableParagraph17"/>
              <w:spacing w:before="108"/>
              <w:ind w:left="85"/>
              <w:jc w:val="both"/>
              <w:rPr>
                <w:b/>
                <w:bCs/>
              </w:rPr>
            </w:pPr>
            <w:r>
              <w:t>Alla finansiella företag och kvasibolag som inte är kreditinstitut, såsom värdepappersföretag, värdepappersfonder, försäkringsbolag, pensionsfonder, fondbolag och clearingorganisationer liksom återstående finansiella mellanhänder, finansiella serviceföretag och interna finansinstitut och utlåningsföretag.</w:t>
            </w:r>
          </w:p>
        </w:tc>
      </w:tr>
      <w:tr w:rsidR="0057131B"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57131B" w:rsidRDefault="00355A1C">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57131B" w:rsidRDefault="00355A1C">
            <w:pPr>
              <w:pStyle w:val="P68B1DB1-TableParagraph14"/>
              <w:spacing w:before="108"/>
              <w:ind w:left="85"/>
              <w:jc w:val="both"/>
            </w:pPr>
            <w:r>
              <w:t>Varav försäkringsföretag – pensionsfonder</w:t>
            </w:r>
          </w:p>
          <w:p w14:paraId="7FE1B514" w14:textId="77777777" w:rsidR="0057131B" w:rsidRDefault="00355A1C">
            <w:pPr>
              <w:pStyle w:val="P68B1DB1-TableParagraph17"/>
              <w:spacing w:before="108"/>
              <w:ind w:left="85"/>
              <w:jc w:val="both"/>
              <w:rPr>
                <w:b/>
              </w:rPr>
            </w:pPr>
            <w:r>
              <w:t>Försäkringsföretag, återförsäkringsföretag (som avses i artikel 13.1 – (6) i Europaparlamentets och rådets direktiv 2009/138/EG) och pensions- och pensionsfonder.</w:t>
            </w:r>
          </w:p>
        </w:tc>
      </w:tr>
      <w:tr w:rsidR="0057131B"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57131B" w:rsidRDefault="00355A1C">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57131B" w:rsidRDefault="00355A1C">
            <w:pPr>
              <w:pStyle w:val="P68B1DB1-TableParagraph14"/>
              <w:spacing w:before="108"/>
              <w:ind w:left="85"/>
              <w:jc w:val="both"/>
            </w:pPr>
            <w:r>
              <w:t>Nationella regeringar &amp; centralbanker</w:t>
            </w:r>
          </w:p>
          <w:p w14:paraId="7FE1B518" w14:textId="77777777" w:rsidR="0057131B" w:rsidRDefault="00355A1C">
            <w:pPr>
              <w:pStyle w:val="P68B1DB1-TableParagraph17"/>
              <w:spacing w:before="108"/>
              <w:ind w:left="85"/>
              <w:jc w:val="both"/>
            </w:pPr>
            <w:r>
              <w:t>Finrep, bilaga V, del 1, punkt 42 (a) och (b).</w:t>
            </w:r>
          </w:p>
          <w:p w14:paraId="7FE1B519" w14:textId="77777777" w:rsidR="0057131B" w:rsidRDefault="00355A1C">
            <w:pPr>
              <w:pStyle w:val="P68B1DB1-TableParagraph17"/>
              <w:spacing w:before="108"/>
              <w:ind w:left="85"/>
              <w:jc w:val="both"/>
              <w:rPr>
                <w:b/>
                <w:bCs/>
              </w:rPr>
            </w:pPr>
            <w:r>
              <w:lastRenderedPageBreak/>
              <w:t>Centralbanker och nationella regeringar, statliga eller regionala myndigheter samt lokala myndigheter, däribland administrativa organ och icke-kommersiella företag, dock undantaget offentliga företag och privata företag som ägs av dessa administrativa organ och har kommersiell verksamhet (dessa ska rapporteras under ”kreditinstitut”, ”övriga finansiella företag” eller ”icke-finansiella företag” beroende på deras verksamhet), socialförsäkring; internationella organisationer såsom Europeiska gemenskapen, Internationella valutafonden och Banken för internationell betalningsutjämning.</w:t>
            </w:r>
          </w:p>
        </w:tc>
      </w:tr>
      <w:tr w:rsidR="0057131B"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57131B" w:rsidRDefault="00355A1C">
            <w:pPr>
              <w:pStyle w:val="P68B1DB1-TableParagraph13"/>
              <w:spacing w:before="106"/>
              <w:ind w:left="-1"/>
            </w:pPr>
            <w:r>
              <w:lastRenderedPageBreak/>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57131B" w:rsidRDefault="00355A1C">
            <w:pPr>
              <w:pStyle w:val="P68B1DB1-TableParagraph14"/>
              <w:spacing w:before="108"/>
              <w:ind w:left="85"/>
              <w:jc w:val="both"/>
            </w:pPr>
            <w:r>
              <w:t>Oidentifierade, listade på en handelsplats</w:t>
            </w:r>
          </w:p>
          <w:p w14:paraId="7FE1B51D" w14:textId="5F92CBCC" w:rsidR="0057131B" w:rsidRDefault="00355A1C">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När en innehavares identitet är okänd på grund av att instrumentet har listats på en handelsplats, enligt definitionen i direktiv 2014/65/EU</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ska beloppen redovisas i denna kolumn.</w:t>
            </w:r>
          </w:p>
        </w:tc>
      </w:tr>
      <w:tr w:rsidR="0057131B"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57131B" w:rsidRDefault="00355A1C">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57131B" w:rsidRDefault="00355A1C">
            <w:pPr>
              <w:pStyle w:val="P68B1DB1-TableParagraph14"/>
              <w:spacing w:before="108"/>
              <w:ind w:left="85"/>
              <w:jc w:val="both"/>
            </w:pPr>
            <w:r>
              <w:t>Oidentifierade, ej listade på en handelsplats</w:t>
            </w:r>
          </w:p>
          <w:p w14:paraId="7FE1B521" w14:textId="4FDBE5B1" w:rsidR="0057131B" w:rsidRDefault="00355A1C">
            <w:pPr>
              <w:pStyle w:val="P68B1DB1-TableParagraph17"/>
              <w:spacing w:before="108"/>
              <w:ind w:left="85"/>
              <w:jc w:val="both"/>
            </w:pPr>
            <w:r>
              <w:t>När en innehavares identitet är okänd utan att instrumentet har listats på en handelsplats, ska beloppen redovisas i denna kolumn och ingen vidare uppdelning av motparterna krävs. Rapporterande enheter uppmuntras att identifiera motparter och begränsa användandet av denna kolumn till ett minimum.</w:t>
            </w:r>
          </w:p>
        </w:tc>
      </w:tr>
      <w:tr w:rsidR="0057131B"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57131B" w:rsidRDefault="00355A1C">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57131B" w:rsidRDefault="00355A1C">
            <w:pPr>
              <w:pStyle w:val="P68B1DB1-TableParagraph14"/>
              <w:spacing w:before="108"/>
              <w:ind w:left="85"/>
              <w:jc w:val="both"/>
              <w:rPr>
                <w:bCs/>
              </w:rPr>
            </w:pPr>
            <w:r>
              <w:t>Totalt</w:t>
            </w:r>
          </w:p>
        </w:tc>
      </w:tr>
      <w:tr w:rsidR="0057131B"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57131B" w:rsidRDefault="00355A1C">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57131B" w:rsidRDefault="00355A1C">
            <w:pPr>
              <w:pStyle w:val="P68B1DB1-TableParagraph14"/>
              <w:spacing w:before="108"/>
              <w:ind w:left="85"/>
              <w:jc w:val="both"/>
            </w:pPr>
            <w:r>
              <w:t>Varav: inom koncernen</w:t>
            </w:r>
          </w:p>
          <w:p w14:paraId="7FE1B528" w14:textId="1BF72D2B" w:rsidR="0057131B" w:rsidRDefault="00355A1C">
            <w:pPr>
              <w:pStyle w:val="P68B1DB1-TableParagraph13"/>
              <w:spacing w:before="108"/>
              <w:ind w:left="85"/>
              <w:jc w:val="both"/>
              <w:rPr>
                <w:rFonts w:eastAsia="Times New Roman"/>
              </w:rPr>
            </w:pPr>
            <w:r>
              <w:t xml:space="preserve">Skulder till enheter som inkluderas i det yttersta moderföretagets konsoliderade finansiella rapporter (till skillnad från konsolideringens omfattning för tillsynsändamål). </w:t>
            </w:r>
          </w:p>
        </w:tc>
      </w:tr>
      <w:tr w:rsidR="0057131B"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57131B" w:rsidRDefault="00355A1C">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57131B" w:rsidRDefault="00355A1C">
            <w:pPr>
              <w:pStyle w:val="P68B1DB1-TableParagraph14"/>
              <w:spacing w:before="108"/>
              <w:ind w:left="85"/>
              <w:jc w:val="both"/>
            </w:pPr>
            <w:r>
              <w:t>Varav: skulder som regleras av lagstiftning i ett tredjeland, med undantag för skulder inom koncernen</w:t>
            </w:r>
          </w:p>
          <w:p w14:paraId="7FE1B52C" w14:textId="77777777" w:rsidR="0057131B" w:rsidRDefault="00355A1C">
            <w:pPr>
              <w:pStyle w:val="P68B1DB1-TableParagraph17"/>
              <w:spacing w:before="108"/>
              <w:ind w:left="85"/>
              <w:jc w:val="both"/>
            </w:pPr>
            <w:r>
              <w:t>I dessa ska bruttovärdet på skulderna som regleras av lagen i ett tredjeland och/eller som har utfärdats av koncernenheter som är etablerade i ett tredjeland redovisas. Skulder inom koncernen ska uteslutas.</w:t>
            </w:r>
          </w:p>
          <w:p w14:paraId="7FE1B52D" w14:textId="77777777" w:rsidR="0057131B" w:rsidRDefault="00355A1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I det fall resolutionsmyndigheten, i enlighet med artikel 55.3 i Europaparlamentets och rådets direktiv 2014/59/EU, har bekräftat</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att samtliga beslut från en resolutionsmyndighet gällande nedskrivning eller omvandling av en skuld är giltiga enligt lagen i detta tredjeland ska skulden i fråga inte redovisas i denna kolumn.</w:t>
            </w:r>
          </w:p>
        </w:tc>
      </w:tr>
    </w:tbl>
    <w:p w14:paraId="7FE1B532" w14:textId="77777777" w:rsidR="0057131B" w:rsidRDefault="0057131B">
      <w:pPr>
        <w:rPr>
          <w:rFonts w:ascii="Times New Roman" w:hAnsi="Times New Roman" w:cs="Times New Roman"/>
        </w:rPr>
      </w:pPr>
    </w:p>
    <w:p w14:paraId="7FE1B533" w14:textId="77777777" w:rsidR="0057131B" w:rsidRDefault="0057131B">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57131B"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57131B" w:rsidRDefault="00355A1C">
            <w:pPr>
              <w:pStyle w:val="P68B1DB1-TableParagraph13"/>
              <w:spacing w:before="66"/>
              <w:rPr>
                <w:rFonts w:eastAsia="Cambria"/>
              </w:rPr>
            </w:pPr>
            <w:r>
              <w:t>Rad</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57131B" w:rsidRDefault="00355A1C">
            <w:pPr>
              <w:pStyle w:val="P68B1DB1-TableParagraph13"/>
              <w:spacing w:before="66"/>
              <w:ind w:right="1"/>
              <w:jc w:val="center"/>
              <w:rPr>
                <w:rFonts w:eastAsia="Cambria"/>
              </w:rPr>
            </w:pPr>
            <w:r>
              <w:t>Anvisningar</w:t>
            </w:r>
          </w:p>
        </w:tc>
      </w:tr>
      <w:tr w:rsidR="0057131B"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57131B" w:rsidRDefault="00355A1C">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57131B" w:rsidRDefault="00355A1C">
            <w:pPr>
              <w:pStyle w:val="P68B1DB1-TableParagraph14"/>
              <w:spacing w:before="108"/>
              <w:ind w:left="85"/>
              <w:jc w:val="both"/>
            </w:pPr>
            <w:r>
              <w:t>Skulder exkluderade från skuldnedskrivning</w:t>
            </w:r>
          </w:p>
          <w:p w14:paraId="7FE1B53A" w14:textId="5A5F469A" w:rsidR="0057131B" w:rsidRDefault="00355A1C">
            <w:pPr>
              <w:pStyle w:val="P68B1DB1-TableParagraph17"/>
              <w:spacing w:before="108"/>
              <w:jc w:val="both"/>
            </w:pPr>
            <w:r>
              <w:t xml:space="preserve">Det skuldbelopp för vilket resolutionsmyndigheterna inte ska utöva nedskrivnings- eller konverteringsbefogenheterna i enlighet med artikel 44.2 i direktiv 2014/59/EU. </w:t>
            </w:r>
          </w:p>
        </w:tc>
      </w:tr>
      <w:tr w:rsidR="0057131B"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57131B" w:rsidRDefault="00355A1C">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57131B" w:rsidRDefault="00355A1C">
            <w:pPr>
              <w:pStyle w:val="P68B1DB1-TableParagraph14"/>
              <w:spacing w:before="108"/>
              <w:ind w:left="85"/>
              <w:jc w:val="both"/>
            </w:pPr>
            <w:r>
              <w:t>Garanterade insättningar</w:t>
            </w:r>
          </w:p>
          <w:p w14:paraId="7FE1B53E" w14:textId="77777777" w:rsidR="0057131B" w:rsidRDefault="00355A1C">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Summan av garanterade insättningar enligt definitionen i led 5 i artikel 2.1 i Europaparlamentets och rådets direktiv 2014/49/EU,</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xml:space="preserve">med undantag för tillfälligt höga restbelopp enligt definitionen i artikel </w:t>
            </w:r>
            <w:r>
              <w:rPr>
                <w:rFonts w:ascii="Times New Roman" w:eastAsia="Cambria" w:hAnsi="Times New Roman" w:cs="Times New Roman"/>
                <w:color w:val="000000" w:themeColor="text1"/>
                <w:sz w:val="20"/>
                <w:szCs w:val="20"/>
              </w:rPr>
              <w:lastRenderedPageBreak/>
              <w:t>6.2 i samma direktiv.</w:t>
            </w:r>
          </w:p>
        </w:tc>
      </w:tr>
      <w:tr w:rsidR="0057131B"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57131B" w:rsidRDefault="00355A1C">
            <w:pPr>
              <w:pStyle w:val="P68B1DB1-TableParagraph13"/>
              <w:spacing w:before="106"/>
              <w:ind w:left="-1"/>
              <w:rPr>
                <w:rFonts w:eastAsia="Cambria"/>
              </w:rPr>
            </w:pPr>
            <w:r>
              <w:lastRenderedPageBreak/>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57131B" w:rsidRDefault="00355A1C">
            <w:pPr>
              <w:pStyle w:val="P68B1DB1-TableParagraph14"/>
              <w:spacing w:before="108"/>
              <w:ind w:left="85"/>
              <w:jc w:val="both"/>
            </w:pPr>
            <w:r>
              <w:t>Skulder med säkerhet – garanterad del</w:t>
            </w:r>
          </w:p>
          <w:p w14:paraId="7FE1B542" w14:textId="14245B0A" w:rsidR="0057131B" w:rsidRDefault="00355A1C">
            <w:pPr>
              <w:pStyle w:val="P68B1DB1-TableParagraph17"/>
              <w:spacing w:before="108"/>
              <w:ind w:left="85"/>
              <w:jc w:val="both"/>
            </w:pPr>
            <w:r>
              <w:t>Beloppet för skulder enligt artikel 44.2 b i direktiv 2014/59/EU.</w:t>
            </w:r>
          </w:p>
          <w:p w14:paraId="7FE1B543" w14:textId="77777777" w:rsidR="0057131B" w:rsidRDefault="00355A1C">
            <w:pPr>
              <w:pStyle w:val="P68B1DB1-TableParagraph17"/>
              <w:spacing w:before="108"/>
              <w:ind w:left="85"/>
              <w:jc w:val="both"/>
            </w:pPr>
            <w:r>
              <w:t>Skulder med säkerhet inbegripet återköpsavtal (repor), säkerställda obligationer och skulder i form av finansiella instrument som ingår som en integrerad del av säkerhetspoolen och som enligt nationell rätt är säkrade på ett liknande sätt som säkerställda obligationer.</w:t>
            </w:r>
          </w:p>
          <w:p w14:paraId="7FE1B544" w14:textId="77777777" w:rsidR="0057131B" w:rsidRDefault="00355A1C">
            <w:pPr>
              <w:pStyle w:val="P68B1DB1-TableParagraph17"/>
              <w:spacing w:before="108"/>
              <w:ind w:left="85"/>
              <w:jc w:val="both"/>
            </w:pPr>
            <w:r>
              <w:t>Varken kravet på att alla säkrade tillgångar som hänför sig till säkerställda obligationer i en täckt säkerhetspool inte påverkas och förblir separerade med tillräcklig finansiering, eller exkludering enligt artikel 44.2 b i direktiv 2014/59/EU, ska hindra resolutionsmyndigheter från att, när så är lämpligt, utöva sina befogenheter gällande delar av skulder med säkerhet eller skulder för vilka säkerhet har ställts som överstiger värdet av de tillgångar, den panträtt, den företagsinteckning eller annan säkerhet som ställts för fordran. Ett sådant osäkrat belopp av dessa skulder med säkerhet ska inte redovisas på denna rad, utan på rad 0340, och delas in ytterligare.</w:t>
            </w:r>
          </w:p>
          <w:p w14:paraId="7FE1B545" w14:textId="77777777" w:rsidR="0057131B" w:rsidRDefault="00355A1C">
            <w:pPr>
              <w:pStyle w:val="P68B1DB1-TableParagraph20"/>
              <w:spacing w:before="108"/>
              <w:ind w:left="85"/>
              <w:jc w:val="both"/>
              <w:rPr>
                <w:color w:val="000000" w:themeColor="text1"/>
              </w:rPr>
            </w:pPr>
            <w:r>
              <w:rPr>
                <w:color w:val="000000" w:themeColor="text1"/>
              </w:rPr>
              <w:t>Centralbanksskulder som täcks av en säkerhetspool (</w:t>
            </w:r>
            <w:r>
              <w:rPr>
                <w:color w:val="1A171C"/>
              </w:rPr>
              <w:t>till exempel huvudsakliga refinansieringstransaktioner, långfristiga refinansieringstransaktioner, riktade långfristiga refinansieringstransaktioner etc.) ska</w:t>
            </w:r>
            <w:r>
              <w:rPr>
                <w:color w:val="000000" w:themeColor="text1"/>
              </w:rPr>
              <w:t xml:space="preserve">räknas som skulder med säkerhet. </w:t>
            </w:r>
          </w:p>
        </w:tc>
      </w:tr>
      <w:tr w:rsidR="0057131B"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57131B" w:rsidRDefault="00355A1C">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57131B" w:rsidRDefault="00355A1C">
            <w:pPr>
              <w:pStyle w:val="P68B1DB1-TableParagraph14"/>
              <w:spacing w:before="108"/>
              <w:ind w:left="85"/>
              <w:jc w:val="both"/>
            </w:pPr>
            <w:r>
              <w:t>Kundrelaterade skulder, om dessa skyddas vid insolvens</w:t>
            </w:r>
          </w:p>
          <w:p w14:paraId="7FE1B54A" w14:textId="2F60701C" w:rsidR="0057131B" w:rsidRDefault="00355A1C">
            <w:pPr>
              <w:pStyle w:val="P68B1DB1-TableParagraph17"/>
              <w:spacing w:before="108"/>
              <w:ind w:left="85"/>
              <w:jc w:val="both"/>
              <w:rPr>
                <w:b/>
                <w:bCs/>
              </w:rPr>
            </w:pPr>
            <w:r>
              <w:t>Beloppet för skulder enligt artikel 44.2 c i direktiv 2014/59/EU.</w:t>
            </w:r>
          </w:p>
        </w:tc>
      </w:tr>
      <w:tr w:rsidR="0057131B"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57131B" w:rsidRDefault="00355A1C">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57131B" w:rsidRDefault="00355A1C">
            <w:pPr>
              <w:pStyle w:val="P68B1DB1-TableParagraph14"/>
              <w:spacing w:before="108"/>
              <w:ind w:left="85"/>
              <w:jc w:val="both"/>
            </w:pPr>
            <w:r>
              <w:t>Förvaltningsskulder, om dessa skyddas vid insolvens</w:t>
            </w:r>
          </w:p>
          <w:p w14:paraId="7FE1B54F" w14:textId="76B21996" w:rsidR="0057131B" w:rsidRDefault="00355A1C">
            <w:pPr>
              <w:pStyle w:val="P68B1DB1-TableParagraph17"/>
              <w:spacing w:before="108"/>
              <w:ind w:left="85"/>
              <w:jc w:val="both"/>
              <w:rPr>
                <w:b/>
                <w:bCs/>
              </w:rPr>
            </w:pPr>
            <w:r>
              <w:t>Beloppet för skulder enligt artikel 44.2 d i direktiv 2014/59/EU.</w:t>
            </w:r>
          </w:p>
        </w:tc>
      </w:tr>
      <w:tr w:rsidR="0057131B"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57131B" w:rsidRDefault="00355A1C">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57131B" w:rsidRDefault="00355A1C">
            <w:pPr>
              <w:pStyle w:val="P68B1DB1-TableParagraph14"/>
              <w:spacing w:before="108"/>
              <w:ind w:left="85"/>
              <w:jc w:val="both"/>
            </w:pPr>
            <w:r>
              <w:t xml:space="preserve">Institutets skulder 7 dagar </w:t>
            </w:r>
          </w:p>
          <w:p w14:paraId="7FE1B554" w14:textId="175AD873" w:rsidR="0057131B" w:rsidRDefault="00355A1C">
            <w:pPr>
              <w:pStyle w:val="P68B1DB1-TableParagraph17"/>
              <w:spacing w:before="108"/>
              <w:ind w:left="85"/>
              <w:jc w:val="both"/>
              <w:rPr>
                <w:b/>
                <w:bCs/>
              </w:rPr>
            </w:pPr>
            <w:r>
              <w:t>Beloppet för skulder enligt artikel 44.2 e i direktiv 2014/59/EU.</w:t>
            </w:r>
          </w:p>
        </w:tc>
      </w:tr>
      <w:tr w:rsidR="0057131B"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57131B" w:rsidRDefault="00355A1C">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57131B" w:rsidRDefault="00355A1C">
            <w:pPr>
              <w:pStyle w:val="P68B1DB1-TableParagraph14"/>
              <w:spacing w:before="108"/>
              <w:ind w:left="85"/>
              <w:jc w:val="both"/>
            </w:pPr>
            <w:r>
              <w:t>Skulder till system (-operatörer) och centrala motparter &lt; 7 dagar</w:t>
            </w:r>
          </w:p>
          <w:p w14:paraId="7FE1B558" w14:textId="79B15273" w:rsidR="0057131B" w:rsidRDefault="00355A1C">
            <w:pPr>
              <w:pStyle w:val="P68B1DB1-TableParagraph17"/>
              <w:spacing w:before="108"/>
              <w:ind w:left="85"/>
              <w:jc w:val="both"/>
              <w:rPr>
                <w:b/>
                <w:bCs/>
              </w:rPr>
            </w:pPr>
            <w:r>
              <w:t xml:space="preserve">Beloppet för skulder enligt artikel 44.2 f i direktiv 2014/59/EU, inbegripet system för avveckling av betalningar och värdepapper och clearingorganisationer, samt derivat som clearas av centrala motparter med en löptid på mindre än 7 dagar. </w:t>
            </w:r>
          </w:p>
        </w:tc>
      </w:tr>
      <w:tr w:rsidR="0057131B"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57131B" w:rsidRDefault="00355A1C">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57131B" w:rsidRDefault="00355A1C">
            <w:pPr>
              <w:pStyle w:val="P68B1DB1-TableParagraph14"/>
              <w:spacing w:before="108"/>
              <w:ind w:left="85"/>
              <w:jc w:val="both"/>
            </w:pPr>
            <w:r>
              <w:t>Skulder till anställda</w:t>
            </w:r>
          </w:p>
          <w:p w14:paraId="7FE1B55C" w14:textId="77777777" w:rsidR="0057131B" w:rsidRDefault="00355A1C">
            <w:pPr>
              <w:pStyle w:val="P68B1DB1-TableParagraph17"/>
              <w:spacing w:before="108"/>
              <w:ind w:left="85"/>
              <w:jc w:val="both"/>
            </w:pPr>
            <w:r>
              <w:t>Beloppet för skulder enligt artikel 44,2 g i i direktiv 2014/59/EU.</w:t>
            </w:r>
          </w:p>
          <w:p w14:paraId="7FE1B55D" w14:textId="77777777" w:rsidR="0057131B" w:rsidRDefault="00355A1C">
            <w:pPr>
              <w:pStyle w:val="P68B1DB1-TableParagraph17"/>
              <w:spacing w:before="108"/>
              <w:ind w:left="85"/>
              <w:jc w:val="both"/>
              <w:rPr>
                <w:b/>
                <w:bCs/>
              </w:rPr>
            </w:pPr>
            <w:r>
              <w:t>Skulder till en anställd, relaterade till inarbetad lön, pensionsförmåner eller annan fast ersättning, med undantag för den rörliga delen av ersättning som inte regleras av kollektivavtal. Ovan ska dock inte tillämpas på den rörliga delen av en ersättning i det fall den anställde är en väsentlig risktagare, enligt definitionen i artikel 92.2 i direktiv 2013/36/EU.</w:t>
            </w:r>
          </w:p>
        </w:tc>
      </w:tr>
      <w:tr w:rsidR="0057131B"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57131B" w:rsidRDefault="00355A1C">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57131B" w:rsidRDefault="00355A1C">
            <w:pPr>
              <w:pStyle w:val="P68B1DB1-TableParagraph14"/>
              <w:spacing w:before="108"/>
              <w:ind w:left="85"/>
              <w:jc w:val="both"/>
            </w:pPr>
            <w:r>
              <w:t>Skulder som är kritiska för den dagliga driften</w:t>
            </w:r>
          </w:p>
          <w:p w14:paraId="7FE1B562" w14:textId="61C90413" w:rsidR="0057131B" w:rsidRDefault="00355A1C">
            <w:pPr>
              <w:pStyle w:val="P68B1DB1-TableParagraph17"/>
              <w:spacing w:before="108"/>
              <w:ind w:left="85"/>
              <w:jc w:val="both"/>
              <w:rPr>
                <w:b/>
                <w:bCs/>
              </w:rPr>
            </w:pPr>
            <w:r>
              <w:t>Beloppet för skulder enligt artikel 44,2 g ii i direktiv 2014/59/EU.</w:t>
            </w:r>
          </w:p>
        </w:tc>
      </w:tr>
      <w:tr w:rsidR="0057131B"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57131B" w:rsidRDefault="00355A1C">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57131B" w:rsidRDefault="00355A1C">
            <w:pPr>
              <w:pStyle w:val="P68B1DB1-TableParagraph14"/>
              <w:spacing w:before="108"/>
              <w:ind w:left="85"/>
              <w:jc w:val="both"/>
            </w:pPr>
            <w:r>
              <w:t>Skulder till skatte- och socialförsäkringsmyndigheter, om prioriterade</w:t>
            </w:r>
          </w:p>
          <w:p w14:paraId="7FE1B567" w14:textId="46841715" w:rsidR="0057131B" w:rsidRDefault="00355A1C">
            <w:pPr>
              <w:pStyle w:val="P68B1DB1-TableParagraph17"/>
              <w:spacing w:before="108"/>
              <w:ind w:left="85"/>
              <w:jc w:val="both"/>
              <w:rPr>
                <w:b/>
                <w:bCs/>
              </w:rPr>
            </w:pPr>
            <w:r>
              <w:t>Beloppet för skulder enligt artikel 44,2 g iii i direktiv 2014/59/EU.</w:t>
            </w:r>
          </w:p>
        </w:tc>
      </w:tr>
      <w:tr w:rsidR="0057131B"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57131B" w:rsidRDefault="00355A1C">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57131B" w:rsidRDefault="00355A1C">
            <w:pPr>
              <w:pStyle w:val="P68B1DB1-TableParagraph14"/>
              <w:spacing w:before="108"/>
              <w:ind w:left="85"/>
              <w:jc w:val="both"/>
            </w:pPr>
            <w:r>
              <w:t>Skulder till insättningsgarantisystem</w:t>
            </w:r>
          </w:p>
          <w:p w14:paraId="7FE1B56C" w14:textId="69555433" w:rsidR="0057131B" w:rsidRDefault="00355A1C">
            <w:pPr>
              <w:pStyle w:val="P68B1DB1-TableParagraph17"/>
              <w:spacing w:before="108"/>
              <w:ind w:left="85"/>
              <w:jc w:val="both"/>
              <w:rPr>
                <w:b/>
                <w:bCs/>
              </w:rPr>
            </w:pPr>
            <w:r>
              <w:t>Beloppet för skulder enligt artikel 44,2 g iv i direktiv 2014/59/EU.</w:t>
            </w:r>
          </w:p>
        </w:tc>
      </w:tr>
      <w:tr w:rsidR="0057131B"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57131B" w:rsidRDefault="00355A1C">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57131B" w:rsidRDefault="00355A1C">
            <w:pPr>
              <w:pStyle w:val="P68B1DB1-TableParagraph14"/>
              <w:spacing w:before="108"/>
              <w:ind w:left="85"/>
              <w:jc w:val="both"/>
            </w:pPr>
            <w:r>
              <w:t>Skulder till andra enheter i resolutionskoncernen</w:t>
            </w:r>
          </w:p>
          <w:p w14:paraId="7FE1B570" w14:textId="77777777" w:rsidR="0057131B" w:rsidRDefault="00355A1C">
            <w:pPr>
              <w:pStyle w:val="P68B1DB1-TableParagraph17"/>
              <w:spacing w:before="108"/>
              <w:ind w:left="85"/>
              <w:jc w:val="both"/>
            </w:pPr>
            <w:r>
              <w:t>Beloppet för skulder enligt artikel 44.2 h i direktiv 2014/59/EU.</w:t>
            </w:r>
          </w:p>
          <w:p w14:paraId="7FE1B571" w14:textId="098C1D7E" w:rsidR="0057131B" w:rsidRDefault="00355A1C">
            <w:pPr>
              <w:pStyle w:val="P68B1DB1-TableParagraph17"/>
              <w:spacing w:before="108"/>
              <w:ind w:left="85"/>
              <w:jc w:val="both"/>
            </w:pPr>
            <w:r>
              <w:lastRenderedPageBreak/>
              <w:t>Om den undantagna skulden är en derivatskuld ska nettoskuldpositionerna med beaktande av tillsynsreglerna för nettning i artikel 429c i förordning (EU) nr 575/2013 rapporteras för kolumnerna för ’utestående belopp’ (som i rad r0334). För de kolumner som avser ”redovisat värde” ska balansräkningens skulder som härrör från derivat rapporteras (som på rad r0330).</w:t>
            </w:r>
          </w:p>
          <w:p w14:paraId="7FE1B572" w14:textId="5F543301" w:rsidR="0057131B" w:rsidRDefault="00355A1C">
            <w:pPr>
              <w:pStyle w:val="P68B1DB1-TableParagraph17"/>
              <w:spacing w:before="108"/>
              <w:ind w:left="85"/>
              <w:jc w:val="both"/>
            </w:pPr>
            <w:r>
              <w:t>När den rapporterande enheten inte själv identifieras som resolutionsenhet måste den endast rapportera de skulder som omfattas av artikel 44.2 h i BRRD och som innehas av dess dotterföretag som inte också är resolutionsenheter men som ingår i samma resolutionskoncern som den rapporterande enheten.</w:t>
            </w:r>
          </w:p>
          <w:p w14:paraId="7FE1B573" w14:textId="0A9C3B4A" w:rsidR="0057131B" w:rsidRDefault="00355A1C">
            <w:pPr>
              <w:pStyle w:val="P68B1DB1-TableParagraph17"/>
              <w:spacing w:before="108"/>
              <w:ind w:left="85"/>
              <w:jc w:val="both"/>
            </w:pPr>
            <w:r>
              <w:t xml:space="preserve">Koncerninterna skulder för enheter etablerade utanför EU ska inte rapporteras på denna rad, i enlighet med artikel 1.1 i BRRD, leden b, c eller d, i enlighet med artikel 44.2 h i BRRD. </w:t>
            </w:r>
          </w:p>
        </w:tc>
      </w:tr>
      <w:tr w:rsidR="0057131B"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57131B" w:rsidRDefault="00355A1C">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57131B" w:rsidRDefault="00355A1C">
            <w:pPr>
              <w:pStyle w:val="P68B1DB1-TableParagraph14"/>
              <w:spacing w:before="108"/>
              <w:ind w:left="85"/>
              <w:jc w:val="both"/>
            </w:pPr>
            <w:r>
              <w:t>Skulder som inte är exkluderade från skuldnedskrivning</w:t>
            </w:r>
          </w:p>
          <w:p w14:paraId="7FE1B577" w14:textId="06299840" w:rsidR="0057131B" w:rsidRDefault="00355A1C">
            <w:pPr>
              <w:pStyle w:val="P68B1DB1-TableParagraph17"/>
              <w:spacing w:before="108"/>
              <w:ind w:left="85"/>
              <w:jc w:val="both"/>
              <w:rPr>
                <w:b/>
                <w:bCs/>
              </w:rPr>
            </w:pPr>
            <w:r>
              <w:t>Beloppet för nedskrivningsbara skulder enligt definitionen i artikel 2.1 i direktiv 2014/59/EU, punkt (71). Detta är summan av raderna 0310, 0320, 0330, 0334, 0340, 0350, 0360, 0365, 0370, 0380, 0390 och 0400.</w:t>
            </w:r>
          </w:p>
        </w:tc>
      </w:tr>
      <w:tr w:rsidR="0057131B"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57131B" w:rsidRDefault="00355A1C">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57131B" w:rsidRDefault="00355A1C">
            <w:pPr>
              <w:pStyle w:val="P68B1DB1-TableParagraph14"/>
              <w:spacing w:before="108"/>
              <w:ind w:left="85"/>
              <w:jc w:val="both"/>
            </w:pPr>
            <w:r>
              <w:t>Insättningar, inte garanterade men prioriterade</w:t>
            </w:r>
          </w:p>
          <w:p w14:paraId="7FE1B57B" w14:textId="77777777" w:rsidR="0057131B" w:rsidRDefault="00355A1C">
            <w:pPr>
              <w:pStyle w:val="P68B1DB1-TableParagraph17"/>
              <w:spacing w:before="108"/>
              <w:ind w:left="85"/>
              <w:jc w:val="both"/>
            </w:pPr>
            <w:r>
              <w:t>Artikel 108 i direktiv 2014/59/EU</w:t>
            </w:r>
          </w:p>
          <w:p w14:paraId="7FE1B57C" w14:textId="32E4C4DA" w:rsidR="0057131B" w:rsidRDefault="00355A1C">
            <w:pPr>
              <w:pStyle w:val="P68B1DB1-TableParagraph17"/>
              <w:spacing w:before="108"/>
              <w:ind w:left="85"/>
              <w:jc w:val="both"/>
              <w:rPr>
                <w:b/>
                <w:bCs/>
              </w:rPr>
            </w:pPr>
            <w:r>
              <w:t xml:space="preserve">Insättningar enligt definitionen i artikel 2.1 led 3 i direktiv 2014/49/EU som inte uppfyller kraven för att exkluderas från skuldnedskrivning (artikel 44.2 led a i direktiv 2014/59/EU), men som bör ges förmånsbehandling i enlighet med artikel 108 i direktiv 2014/59/EU. </w:t>
            </w:r>
          </w:p>
        </w:tc>
      </w:tr>
      <w:tr w:rsidR="0057131B"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57131B" w:rsidRDefault="00355A1C">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57131B" w:rsidRDefault="00355A1C">
            <w:pPr>
              <w:pStyle w:val="P68B1DB1-TableParagraph14"/>
              <w:spacing w:before="108"/>
              <w:ind w:left="85"/>
              <w:jc w:val="both"/>
            </w:pPr>
            <w:r>
              <w:t>Insättningar, inte garanterade och inte prioriterade</w:t>
            </w:r>
          </w:p>
          <w:p w14:paraId="7FE1B580" w14:textId="0D609C91" w:rsidR="0057131B" w:rsidRDefault="00355A1C">
            <w:pPr>
              <w:pStyle w:val="P68B1DB1-TableParagraph17"/>
              <w:spacing w:before="108"/>
              <w:ind w:left="85"/>
              <w:jc w:val="both"/>
              <w:rPr>
                <w:b/>
                <w:bCs/>
              </w:rPr>
            </w:pPr>
            <w:r>
              <w:t>Insättningar enligt definitionen i artikel 2.1 led 3 i direktiv 2014/49/EU som inte uppfyller kraven för att exkluderas från skuldnedskrivning eller förmånsbehandling genom tillämpning av artiklarna 44.2 led a eller 108 i direktiv 2014/59/EU.</w:t>
            </w:r>
          </w:p>
        </w:tc>
      </w:tr>
      <w:tr w:rsidR="0057131B"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57131B" w:rsidRDefault="00355A1C">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57131B" w:rsidRDefault="00355A1C">
            <w:pPr>
              <w:pStyle w:val="P68B1DB1-TableParagraph14"/>
              <w:spacing w:before="108"/>
              <w:ind w:left="85"/>
              <w:jc w:val="both"/>
            </w:pPr>
            <w:r>
              <w:t>Skulder på balansräkningen som kan hänföras till derivat</w:t>
            </w:r>
          </w:p>
          <w:p w14:paraId="625CF843" w14:textId="77777777" w:rsidR="0057131B" w:rsidRDefault="00355A1C">
            <w:pPr>
              <w:pStyle w:val="P68B1DB1-TableParagraph17"/>
              <w:spacing w:before="108"/>
              <w:ind w:left="85"/>
              <w:jc w:val="both"/>
            </w:pPr>
            <w:r>
              <w:t xml:space="preserve">Redovisat värde av skulder som kan hänföras till derivat. </w:t>
            </w:r>
          </w:p>
          <w:p w14:paraId="7FE1B584" w14:textId="17111D9E" w:rsidR="0057131B" w:rsidRDefault="00355A1C">
            <w:pPr>
              <w:pStyle w:val="P68B1DB1-TableParagraph17"/>
              <w:spacing w:before="108"/>
              <w:ind w:left="85"/>
              <w:jc w:val="both"/>
              <w:rPr>
                <w:b/>
                <w:bCs/>
              </w:rPr>
            </w:pPr>
            <w:r>
              <w:t>Rapportera endast värden i fältet ”redovisat värde”.</w:t>
            </w:r>
          </w:p>
        </w:tc>
      </w:tr>
      <w:tr w:rsidR="0057131B"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57131B" w:rsidRDefault="00355A1C">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57131B" w:rsidRDefault="00355A1C">
            <w:pPr>
              <w:pStyle w:val="P68B1DB1-TableParagraph14"/>
              <w:spacing w:before="108"/>
              <w:ind w:left="85"/>
              <w:jc w:val="both"/>
            </w:pPr>
            <w:r>
              <w:t>Sammanlagd nettoskuldposition med beaktande av avtalsenliga nettningsmängder, efter marknadsprisjustering, före kvittning av säkerhet</w:t>
            </w:r>
          </w:p>
          <w:p w14:paraId="43E2EAD9" w14:textId="77777777" w:rsidR="0057131B" w:rsidRDefault="00355A1C">
            <w:pPr>
              <w:pStyle w:val="P68B1DB1-TableParagraph17"/>
              <w:spacing w:before="108"/>
              <w:ind w:left="85"/>
              <w:jc w:val="both"/>
            </w:pPr>
            <w:r>
              <w:t xml:space="preserve">Summan av alla nettomarknadsvärden av derivatskulderna i varje avtalsenlig nettningsmängd. Nettomarknadsvärdet för en nettningsmängd ska endast redovisas om det utgör en skuld. För detta ändamål ska derivat för vilka inga nettningsavtal gjorts hanteras som enskilda avtal, dvs. som om det vore en nettningsmängd med endast ett derivat. </w:t>
            </w:r>
          </w:p>
          <w:p w14:paraId="7FE1B588" w14:textId="07C2ADA5" w:rsidR="0057131B" w:rsidRDefault="00355A1C">
            <w:pPr>
              <w:pStyle w:val="P68B1DB1-TableParagraph17"/>
              <w:spacing w:before="108"/>
              <w:ind w:left="85"/>
              <w:jc w:val="both"/>
              <w:rPr>
                <w:b/>
                <w:bCs/>
              </w:rPr>
            </w:pPr>
            <w:r>
              <w:t>Ange endast värden i fältet ”utestående belopp”.</w:t>
            </w:r>
          </w:p>
        </w:tc>
      </w:tr>
      <w:tr w:rsidR="0057131B"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57131B" w:rsidRDefault="00355A1C">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57131B" w:rsidRDefault="00355A1C">
            <w:pPr>
              <w:pStyle w:val="P68B1DB1-TableParagraph14"/>
              <w:spacing w:before="108"/>
              <w:ind w:left="85"/>
              <w:jc w:val="both"/>
            </w:pPr>
            <w:r>
              <w:t>Sammanlagd nettoskuldposition med beaktande av avtalsenliga nettningsmänger, efter marknadsprisjustering, efter kvittning av säkerhet</w:t>
            </w:r>
          </w:p>
          <w:p w14:paraId="5A26CA7C" w14:textId="1D9E4DD4" w:rsidR="0057131B" w:rsidRDefault="00355A1C">
            <w:pPr>
              <w:pStyle w:val="P68B1DB1-TableParagraph17"/>
              <w:spacing w:before="108"/>
              <w:ind w:left="85"/>
              <w:jc w:val="both"/>
            </w:pPr>
            <w:r>
              <w:t xml:space="preserve">Uppskattningen på rad 0331 justeras för säkerhet som ställts för att säkra exponeringen, vilket leder till summan av dessa nettomarknadsvärden efter kvittning av säkerhet till marknadsvärde. Endast de nettningsmängder för vilka skuldpositionen efter marknadsjusteringar och kvittning av säkerheter är ett positivt belopp ska rapporteras på denna rad (dvs. endast när nettonuvärdet (c0120 i Z15.00) är högre än värdet av nettoställda säkerheter (c0130 i Z15.00)). </w:t>
            </w:r>
          </w:p>
          <w:p w14:paraId="7FE1B58C" w14:textId="453C45AE" w:rsidR="0057131B" w:rsidRDefault="00355A1C">
            <w:pPr>
              <w:pStyle w:val="P68B1DB1-TableParagraph17"/>
              <w:spacing w:before="108"/>
              <w:ind w:left="85"/>
              <w:jc w:val="both"/>
            </w:pPr>
            <w:r>
              <w:t>Ange endast värden i fältet ”utestående belopp”.</w:t>
            </w:r>
          </w:p>
        </w:tc>
      </w:tr>
      <w:tr w:rsidR="0057131B"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57131B" w:rsidRDefault="00355A1C">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57131B" w:rsidRDefault="00355A1C">
            <w:pPr>
              <w:pStyle w:val="P68B1DB1-TableParagraph14"/>
              <w:spacing w:before="108"/>
              <w:ind w:left="85"/>
              <w:jc w:val="both"/>
            </w:pPr>
            <w:r>
              <w:t>Sammanlagd nettoskuldposition med beaktande av avtalsenliga nettningsmängder, efter marknadsprisjustering, efter kvittning av säkerhet, inräknat förväntat avräkningsbelopp</w:t>
            </w:r>
          </w:p>
          <w:p w14:paraId="7FE1B590" w14:textId="77777777"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I enlighet med kommissionens delegerade förordning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om värdering av skulder som hänför sig till derivat, ett ytterligare avräkningsbelopp som täcker de förluster eller kostnader som derivatmotparter ådrar sig, eller de vinster som de gör, genom att ersätta eller att erhålla den ekonomiska motsvarigheten av de materiella villkoren i de uppsagda avtalen och parternas optionsrättigheter för dessa avtal.</w:t>
            </w:r>
          </w:p>
          <w:p w14:paraId="00480641" w14:textId="2B7C2F6F"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Det kan vara svårt att göra de uppskattningar som behövs för att fastställa avräkningsbeloppet i enlighet med ovan nämnda förordning för enheten på individuell nivå. Därför kan proxy-värden användas i stället, och dessa kan baseras på tillgänglig data så som tillsynskraven för marknadsrisker. Om det visar sig omöjligt att beräkna avräkningsbeloppet för derivatskulderna ska den redovisade summan vara densamma som den summa som redovisas på rad 0332.</w:t>
            </w:r>
            <w:r>
              <w:t xml:space="preserve"> </w:t>
            </w:r>
            <w:r>
              <w:rPr>
                <w:rFonts w:ascii="Times New Roman" w:eastAsia="Cambria" w:hAnsi="Times New Roman" w:cs="Times New Roman"/>
                <w:color w:val="000000" w:themeColor="text1"/>
                <w:sz w:val="20"/>
                <w:szCs w:val="20"/>
              </w:rPr>
              <w:t>Endast de kontraktsenliga nettningsmängder för vilka skuldpositionen efter marknadsjusteringar, kvittning av säkerheter och införlivande av uppskattade slutavräkningsbelopp är ett positivt belopp ska rapporteras på denna rad (dvs. endast när det uppskattade beloppet vid förtida uppsägning (c0150 för Z15.00) är positivt).</w:t>
            </w:r>
          </w:p>
          <w:p w14:paraId="7FE1B591" w14:textId="3F2EA3D4" w:rsidR="0057131B" w:rsidRDefault="00355A1C">
            <w:pPr>
              <w:pStyle w:val="P68B1DB1-TableParagraph17"/>
              <w:spacing w:before="108"/>
              <w:ind w:left="85"/>
              <w:jc w:val="both"/>
            </w:pPr>
            <w:r>
              <w:t>Ange endast värden i fältet ”utestående belopp”.</w:t>
            </w:r>
          </w:p>
        </w:tc>
      </w:tr>
      <w:tr w:rsidR="0057131B"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57131B" w:rsidRDefault="00355A1C">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57131B" w:rsidRDefault="00355A1C">
            <w:pPr>
              <w:pStyle w:val="P68B1DB1-TableParagraph14"/>
              <w:spacing w:before="108"/>
              <w:ind w:left="85"/>
              <w:jc w:val="both"/>
              <w:rPr>
                <w:bCs/>
              </w:rPr>
            </w:pPr>
            <w:r>
              <w:t>Sammanlagd nettoskuldposition med beaktande av tillsynsregler för nettning</w:t>
            </w:r>
          </w:p>
          <w:p w14:paraId="225BC2D2" w14:textId="5634735D" w:rsidR="0057131B" w:rsidRDefault="00355A1C">
            <w:pPr>
              <w:pStyle w:val="P68B1DB1-TableParagraph17"/>
              <w:spacing w:before="108"/>
              <w:ind w:left="85"/>
              <w:jc w:val="both"/>
            </w:pPr>
            <w:r>
              <w:t>Nettoskuldpositionen för derivat ska redovisas med beaktande av tillsynsreglerna för nettning i artikel 429 i förordning (EU) nr 575/2013 (gällande beräkning av bruttosoliditetsgradens totala riskmått).</w:t>
            </w:r>
          </w:p>
          <w:p w14:paraId="7FE1B595" w14:textId="1E8C2F86" w:rsidR="0057131B" w:rsidRDefault="00355A1C">
            <w:pPr>
              <w:pStyle w:val="P68B1DB1-TableParagraph17"/>
              <w:spacing w:before="108"/>
              <w:ind w:left="85"/>
              <w:jc w:val="both"/>
              <w:rPr>
                <w:b/>
                <w:bCs/>
              </w:rPr>
            </w:pPr>
            <w:r>
              <w:t>Ange endast värden i fältet ”utestående belopp”.</w:t>
            </w:r>
          </w:p>
        </w:tc>
      </w:tr>
      <w:tr w:rsidR="0057131B"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57131B" w:rsidRDefault="00355A1C">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57131B" w:rsidRDefault="00355A1C">
            <w:pPr>
              <w:pStyle w:val="P68B1DB1-TableParagraph14"/>
              <w:spacing w:before="108"/>
              <w:ind w:left="85"/>
              <w:jc w:val="both"/>
              <w:rPr>
                <w:bCs/>
              </w:rPr>
            </w:pPr>
            <w:r>
              <w:t>Icke-garanterade skulder med säkerhet</w:t>
            </w:r>
          </w:p>
          <w:p w14:paraId="7FE1B599" w14:textId="77777777" w:rsidR="0057131B" w:rsidRDefault="00355A1C">
            <w:pPr>
              <w:pStyle w:val="P68B1DB1-TableParagraph13"/>
              <w:spacing w:before="108"/>
              <w:ind w:left="85"/>
              <w:jc w:val="both"/>
              <w:rPr>
                <w:b/>
                <w:bCs/>
              </w:rPr>
            </w:pPr>
            <w:r>
              <w:t>Summan av skulder med säkerhet eller skulder för vilka säkerhet har ställts som överstiger värdet av de tillgångar, den panträtt, den företagsinteckning eller annan säkerhet som ställts för fordran. Detta ska omfatta den ”osäkrade” delen av varje skuld med säkerhet, t.ex. den osäkrade delen av säkerställda obligationer eller återköpstransaktioner.</w:t>
            </w:r>
          </w:p>
        </w:tc>
      </w:tr>
      <w:tr w:rsidR="0057131B"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57131B" w:rsidRDefault="00355A1C">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57131B" w:rsidRDefault="00355A1C">
            <w:pPr>
              <w:pStyle w:val="P68B1DB1-TableParagraph14"/>
              <w:spacing w:before="108"/>
              <w:ind w:left="85"/>
              <w:jc w:val="both"/>
              <w:rPr>
                <w:bCs/>
              </w:rPr>
            </w:pPr>
            <w:r>
              <w:t>Strukturerade produkter</w:t>
            </w:r>
          </w:p>
          <w:p w14:paraId="7FE1B59D" w14:textId="77777777" w:rsidR="0057131B" w:rsidRDefault="00355A1C">
            <w:pPr>
              <w:pStyle w:val="P68B1DB1-TableParagraph17"/>
              <w:spacing w:before="108"/>
              <w:ind w:left="85"/>
              <w:jc w:val="both"/>
              <w:rPr>
                <w:b/>
                <w:bCs/>
              </w:rPr>
            </w:pPr>
            <w:r>
              <w:t>Strukturerade produkter definieras för detta syfte som skuldförbindelser med inbäddade derivatkomponenter, vars vinster är kopplade till en underliggande säkerhet eller ett index (offentligt eller anpassat, så som obligationer, fasta inkomstbelopp eller krediter, FX, varor etc.). Strukturerade produkter inkluderar inte skuldinstrument som endast innehåller köp- och säljoptioner, dvs. instrument vars värde är oberoende av inbäddade derivatkomponenter.</w:t>
            </w:r>
          </w:p>
        </w:tc>
      </w:tr>
      <w:tr w:rsidR="0057131B"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57131B" w:rsidRDefault="00355A1C">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57131B" w:rsidRDefault="00355A1C">
            <w:pPr>
              <w:pStyle w:val="P68B1DB1-TableParagraph14"/>
              <w:spacing w:before="108"/>
              <w:ind w:left="85"/>
              <w:jc w:val="both"/>
              <w:rPr>
                <w:bCs/>
              </w:rPr>
            </w:pPr>
            <w:r>
              <w:t>Seniora skulder utan säkerhet</w:t>
            </w:r>
          </w:p>
          <w:p w14:paraId="7FE1B5A1" w14:textId="2515816B" w:rsidR="0057131B" w:rsidRDefault="00355A1C">
            <w:pPr>
              <w:pStyle w:val="P68B1DB1-TableParagraph17"/>
              <w:spacing w:before="108"/>
              <w:ind w:left="85"/>
              <w:jc w:val="both"/>
              <w:rPr>
                <w:b/>
                <w:bCs/>
              </w:rPr>
            </w:pPr>
            <w:r>
              <w:t>Detta omfattar alla osäkrade seniora instrument som inte ingår i andra kategorier ovan.</w:t>
            </w:r>
          </w:p>
        </w:tc>
      </w:tr>
      <w:tr w:rsidR="0057131B"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57131B" w:rsidRDefault="00355A1C">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57131B" w:rsidRDefault="00355A1C">
            <w:pPr>
              <w:pStyle w:val="P68B1DB1-TableParagraph14"/>
              <w:spacing w:before="108"/>
              <w:ind w:left="85"/>
              <w:jc w:val="both"/>
            </w:pPr>
            <w:r>
              <w:t>Icke-prioriterade seniora skulder</w:t>
            </w:r>
          </w:p>
          <w:p w14:paraId="7FE1B5A5" w14:textId="77777777" w:rsidR="0057131B" w:rsidRDefault="00355A1C">
            <w:pPr>
              <w:pStyle w:val="P68B1DB1-TableParagraph13"/>
              <w:spacing w:before="108"/>
              <w:ind w:left="85"/>
              <w:jc w:val="both"/>
            </w:pPr>
            <w:r>
              <w:t>Summa av någon av följande skulder:</w:t>
            </w:r>
          </w:p>
          <w:p w14:paraId="7FE1B5A6" w14:textId="51806099" w:rsidR="0057131B" w:rsidRDefault="00355A1C">
            <w:pPr>
              <w:pStyle w:val="P68B1DB1-TableParagraph13"/>
              <w:numPr>
                <w:ilvl w:val="0"/>
                <w:numId w:val="69"/>
              </w:numPr>
              <w:spacing w:before="108"/>
              <w:jc w:val="both"/>
            </w:pPr>
            <w:r>
              <w:t xml:space="preserve">Fordringar utan säkerhet som härrör från skuldinstrument som uppfyller villkoren i artikel 108 i direktiv 2014/59/EU, punkt 2 a, b och c samt punkt 3. </w:t>
            </w:r>
          </w:p>
          <w:p w14:paraId="7FE1B5A7" w14:textId="77777777" w:rsidR="0057131B" w:rsidRDefault="00355A1C">
            <w:pPr>
              <w:pStyle w:val="P68B1DB1-TableParagraph13"/>
              <w:numPr>
                <w:ilvl w:val="0"/>
                <w:numId w:val="69"/>
              </w:numPr>
              <w:spacing w:before="108"/>
              <w:jc w:val="both"/>
            </w:pPr>
            <w:r>
              <w:t>Osäkrade fordringar som är ett resultat av de skuldinstrument som avses i punkt b i första stycket i artikel 108.5 i direktiv 2014/59/EU, eller</w:t>
            </w:r>
          </w:p>
          <w:p w14:paraId="7FE1B5A8" w14:textId="77777777" w:rsidR="0057131B" w:rsidRDefault="00355A1C">
            <w:pPr>
              <w:pStyle w:val="P68B1DB1-TableParagraph13"/>
              <w:numPr>
                <w:ilvl w:val="0"/>
                <w:numId w:val="69"/>
              </w:numPr>
              <w:spacing w:before="108"/>
              <w:jc w:val="both"/>
            </w:pPr>
            <w:r>
              <w:t xml:space="preserve">De lägst rankade skuldinstrumenten bland vanliga osäkrade fordringar som är ett resultat av de skuldinstrument som avses i artikel 108.7 i direktiv 2014/59/EU, och för vilka en medlemsstat, i enlighet med nämnda stycke, har sett till att de har samma rangordning som </w:t>
            </w:r>
            <w:r>
              <w:lastRenderedPageBreak/>
              <w:t>fordringar som uppfyller kraven i led a, b och c i punkt 2 och 3 i artikel 108 i direktiv 2014/59/EU.</w:t>
            </w:r>
          </w:p>
        </w:tc>
      </w:tr>
      <w:tr w:rsidR="0057131B"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57131B" w:rsidRDefault="00355A1C">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57131B" w:rsidRDefault="00355A1C">
            <w:pPr>
              <w:pStyle w:val="P68B1DB1-TableParagraph14"/>
              <w:spacing w:before="108"/>
              <w:ind w:left="85"/>
              <w:jc w:val="both"/>
              <w:rPr>
                <w:bCs/>
              </w:rPr>
            </w:pPr>
            <w:r>
              <w:t>Efterställda skulder (inte erkända som kapitalbas)</w:t>
            </w:r>
          </w:p>
          <w:p w14:paraId="7FE1B5AC" w14:textId="77777777" w:rsidR="0057131B" w:rsidRDefault="00355A1C">
            <w:pPr>
              <w:pStyle w:val="P68B1DB1-TableParagraph17"/>
              <w:spacing w:before="108"/>
              <w:ind w:left="85"/>
              <w:jc w:val="both"/>
            </w:pPr>
            <w:r>
              <w:t>Skulder som enligt nationell insolvensrätt endast ska återbetalas efter det att samtliga klasser av vanliga borgenärer och icke-prioriterade seniora borgenärer har återbetalats till fullo. Detta inkluderar både avtalsenliga skulder och lagenligt efterställda skulder. När det gäller holdingbolag kan även icke efterställda skuldsäkerheter redovisas i denna kategori (dvs. strukturerad efterställdhet).</w:t>
            </w:r>
          </w:p>
          <w:p w14:paraId="7FE1B5AD" w14:textId="77777777" w:rsidR="0057131B" w:rsidRDefault="00355A1C">
            <w:pPr>
              <w:pStyle w:val="P68B1DB1-TableParagraph17"/>
              <w:spacing w:before="108"/>
              <w:ind w:left="85"/>
              <w:jc w:val="both"/>
            </w:pPr>
            <w:r>
              <w:t xml:space="preserve">Endast efterställda instrument som inte är erkända som kapitalbas ska inkluderas i denna kategori. </w:t>
            </w:r>
          </w:p>
          <w:p w14:paraId="7FE1B5AE" w14:textId="77777777" w:rsidR="0057131B" w:rsidRDefault="00355A1C">
            <w:pPr>
              <w:pStyle w:val="P68B1DB1-TableParagraph17"/>
              <w:spacing w:before="108"/>
              <w:ind w:left="85"/>
              <w:jc w:val="both"/>
              <w:rPr>
                <w:b/>
                <w:bCs/>
              </w:rPr>
            </w:pPr>
            <w:r>
              <w:t xml:space="preserve">Denna rad ska också inkludera den del av de efterställda skulderna som i princip kan räknas som kapitalbas men som inte ingår i kapitalbasen på grund av utfasningsbestämmelserna i t.ex. artikel 64 i förordning (EU) nr 575/2013 (återstående löptid) eller del 10 i förordning (EU) nr 575/2013 (övergångsbestämmelser). </w:t>
            </w:r>
          </w:p>
        </w:tc>
      </w:tr>
      <w:tr w:rsidR="0057131B"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57131B" w:rsidRDefault="00355A1C">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57131B" w:rsidRDefault="00355A1C">
            <w:pPr>
              <w:pStyle w:val="P68B1DB1-TableParagraph14"/>
              <w:spacing w:before="108"/>
              <w:ind w:left="85"/>
              <w:jc w:val="both"/>
              <w:rPr>
                <w:bCs/>
              </w:rPr>
            </w:pPr>
            <w:r>
              <w:t>Övriga MREL-kvalificerade skulder</w:t>
            </w:r>
          </w:p>
          <w:p w14:paraId="7FE1B5B2" w14:textId="4506AA1E" w:rsidR="0057131B" w:rsidRDefault="00355A1C">
            <w:pPr>
              <w:pStyle w:val="P68B1DB1-TableParagraph13"/>
              <w:spacing w:before="108"/>
              <w:ind w:left="85"/>
              <w:jc w:val="both"/>
              <w:rPr>
                <w:b/>
                <w:bCs/>
              </w:rPr>
            </w:pPr>
            <w:r>
              <w:t>Det skuldbelopp som är kvalificerat för den rapporterande enhetens uppfyllande av kravet i artikel 45 i direktiv 2014/59/EU i enlighet med artiklarna 45e eller 45f i det direktivet, beroende på vad som är tillämpligt, men som inte anges på raderna 0320 och 0340–0370.</w:t>
            </w:r>
          </w:p>
        </w:tc>
      </w:tr>
      <w:tr w:rsidR="0057131B"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57131B" w:rsidRDefault="00355A1C">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57131B" w:rsidRDefault="00355A1C">
            <w:pPr>
              <w:pStyle w:val="P68B1DB1-TableParagraph14"/>
              <w:spacing w:before="108"/>
              <w:ind w:left="85"/>
              <w:jc w:val="both"/>
              <w:rPr>
                <w:bCs/>
              </w:rPr>
            </w:pPr>
            <w:r>
              <w:t>Icke-finansiella skulder</w:t>
            </w:r>
          </w:p>
          <w:p w14:paraId="7FE1B5B6" w14:textId="2BB92741" w:rsidR="0057131B" w:rsidRDefault="00355A1C">
            <w:pPr>
              <w:pStyle w:val="P68B1DB1-TableParagraph17"/>
              <w:spacing w:before="108"/>
              <w:ind w:left="85"/>
              <w:jc w:val="both"/>
              <w:rPr>
                <w:b/>
                <w:bCs/>
              </w:rPr>
            </w:pPr>
            <w:r>
              <w:t xml:space="preserve">Beloppet för skulder som inte anses vara finansiella skulder i enlighet med tillämpliga redovisningsregler, såsom avsättningar avseende tvister som företaget omfattas av. </w:t>
            </w:r>
          </w:p>
        </w:tc>
      </w:tr>
      <w:tr w:rsidR="0057131B"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57131B" w:rsidRDefault="00355A1C">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57131B" w:rsidRDefault="00355A1C">
            <w:pPr>
              <w:pStyle w:val="P68B1DB1-TableParagraph14"/>
              <w:spacing w:before="108"/>
              <w:ind w:left="85"/>
              <w:jc w:val="both"/>
              <w:rPr>
                <w:bCs/>
              </w:rPr>
            </w:pPr>
            <w:r>
              <w:t>Skulder, restposter</w:t>
            </w:r>
          </w:p>
          <w:p w14:paraId="7FE1B5BA" w14:textId="66DA2802" w:rsidR="0057131B" w:rsidRDefault="00355A1C">
            <w:pPr>
              <w:pStyle w:val="P68B1DB1-TableParagraph17"/>
              <w:spacing w:before="108"/>
              <w:ind w:left="85"/>
              <w:jc w:val="both"/>
              <w:rPr>
                <w:b/>
                <w:bCs/>
              </w:rPr>
            </w:pPr>
            <w:r>
              <w:t xml:space="preserve">Skuldbelopp som inte rapporteras på raderna 0100–0390. </w:t>
            </w:r>
          </w:p>
        </w:tc>
      </w:tr>
      <w:tr w:rsidR="0057131B"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57131B" w:rsidRDefault="00355A1C">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57131B" w:rsidRDefault="00355A1C">
            <w:pPr>
              <w:pStyle w:val="P68B1DB1-TableParagraph14"/>
              <w:spacing w:before="108"/>
              <w:ind w:left="85"/>
              <w:jc w:val="both"/>
            </w:pPr>
            <w:r>
              <w:t>Kapitalbas</w:t>
            </w:r>
          </w:p>
          <w:p w14:paraId="7FE1B5BE" w14:textId="77777777" w:rsidR="0057131B" w:rsidRDefault="00355A1C">
            <w:pPr>
              <w:pStyle w:val="P68B1DB1-TableParagraph17"/>
              <w:spacing w:before="108"/>
              <w:ind w:left="85"/>
              <w:jc w:val="both"/>
            </w:pPr>
            <w:r>
              <w:t>Artiklarna 4.1.118 och 72 i förordning (EU) nr 575/2013</w:t>
            </w:r>
          </w:p>
          <w:p w14:paraId="7FE1B5BF" w14:textId="77777777" w:rsidR="0057131B" w:rsidRDefault="00355A1C">
            <w:pPr>
              <w:pStyle w:val="P68B1DB1-TableParagraph17"/>
              <w:spacing w:before="108"/>
              <w:ind w:left="85"/>
              <w:jc w:val="both"/>
            </w:pPr>
            <w:r>
              <w:t>Samma definition som Corep (OF): DUBLIC 01.00; 010; 010 —</w:t>
            </w:r>
          </w:p>
        </w:tc>
      </w:tr>
      <w:tr w:rsidR="0057131B"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57131B" w:rsidRDefault="00355A1C">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57131B" w:rsidRDefault="00355A1C">
            <w:pPr>
              <w:pStyle w:val="P68B1DB1-TableParagraph14"/>
              <w:spacing w:before="108"/>
              <w:ind w:left="85"/>
              <w:jc w:val="both"/>
              <w:rPr>
                <w:bCs/>
              </w:rPr>
            </w:pPr>
            <w:r>
              <w:t>Kärnprimärkapital</w:t>
            </w:r>
          </w:p>
          <w:p w14:paraId="7FE1B5C3" w14:textId="77777777" w:rsidR="0057131B" w:rsidRDefault="00355A1C">
            <w:pPr>
              <w:pStyle w:val="P68B1DB1-TableParagraph17"/>
              <w:spacing w:before="108"/>
              <w:ind w:left="85"/>
              <w:jc w:val="both"/>
            </w:pPr>
            <w:r>
              <w:t>Artikel 50 i förordning (EU) nr 575/2013</w:t>
            </w:r>
          </w:p>
          <w:p w14:paraId="7FE1B5C4" w14:textId="77777777" w:rsidR="0057131B" w:rsidRDefault="00355A1C">
            <w:pPr>
              <w:pStyle w:val="P68B1DB1-TableParagraph17"/>
              <w:spacing w:before="108"/>
              <w:ind w:left="85"/>
              <w:jc w:val="both"/>
              <w:rPr>
                <w:b/>
                <w:bCs/>
              </w:rPr>
            </w:pPr>
            <w:r>
              <w:t>Samma definition som Corep (OF): DUBLIC 01.00; 020; 010 —</w:t>
            </w:r>
          </w:p>
        </w:tc>
      </w:tr>
      <w:tr w:rsidR="0057131B"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57131B" w:rsidRDefault="00355A1C">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57131B" w:rsidRDefault="00355A1C">
            <w:pPr>
              <w:pStyle w:val="P68B1DB1-TableParagraph14"/>
              <w:spacing w:before="108"/>
              <w:ind w:left="85"/>
              <w:jc w:val="both"/>
              <w:rPr>
                <w:bCs/>
              </w:rPr>
            </w:pPr>
            <w:r>
              <w:t>Varav: kapitalinstrument/aktiekapital</w:t>
            </w:r>
          </w:p>
          <w:p w14:paraId="7FE1B5C8" w14:textId="77777777" w:rsidR="0057131B" w:rsidRDefault="00355A1C">
            <w:pPr>
              <w:pStyle w:val="P68B1DB1-TableParagraph17"/>
              <w:spacing w:before="108"/>
              <w:ind w:left="85"/>
              <w:jc w:val="both"/>
            </w:pPr>
            <w:r>
              <w:t>Rättsliga instrument som utgör (en del av) kärnprimärkapital i form av kapitalinstrument/aktiekapital</w:t>
            </w:r>
          </w:p>
          <w:p w14:paraId="7FE1B5C9" w14:textId="5A3DBB27" w:rsidR="0057131B" w:rsidRDefault="00355A1C">
            <w:pPr>
              <w:pStyle w:val="P68B1DB1-TableParagraph13"/>
              <w:spacing w:before="108"/>
              <w:ind w:left="85"/>
              <w:jc w:val="both"/>
            </w:pPr>
            <w:r>
              <w:t>Det redovisade värdet (Finrep F01.03–020–010 + F01.03–040–010) förstås som instrumentens nominella värde, medan det utestående beloppet utgör den återstående fordran på aktier på totalt redovisat eget kapital, dvs. inklusive företagets/koncernens reserver.</w:t>
            </w:r>
          </w:p>
        </w:tc>
      </w:tr>
      <w:tr w:rsidR="0057131B"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57131B" w:rsidRDefault="00355A1C">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57131B" w:rsidRDefault="00355A1C">
            <w:pPr>
              <w:pStyle w:val="P68B1DB1-TableParagraph14"/>
              <w:spacing w:before="108"/>
              <w:ind w:left="85"/>
              <w:jc w:val="both"/>
              <w:rPr>
                <w:bCs/>
              </w:rPr>
            </w:pPr>
            <w:r>
              <w:t>Varav: instrument som är likställda med vanliga aktier</w:t>
            </w:r>
          </w:p>
          <w:p w14:paraId="7FE1B5CD" w14:textId="0D41ACA0" w:rsidR="0057131B" w:rsidRDefault="00355A1C">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Rättsliga instrument som utgör (en del av) kärnprimärkapitalbas i form av instrument som inte är kapitalinstrument/aktiekapital men som rankas likadant som denna kategori.</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Balanserade vinstmedel och reserver ska inte rapporteras på denna rad.</w:t>
            </w:r>
            <w:bookmarkEnd w:id="57"/>
          </w:p>
        </w:tc>
      </w:tr>
      <w:tr w:rsidR="0057131B"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57131B" w:rsidRDefault="00355A1C">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57131B" w:rsidRDefault="00355A1C">
            <w:pPr>
              <w:pStyle w:val="P68B1DB1-TableParagraph14"/>
              <w:spacing w:before="108"/>
              <w:ind w:left="85"/>
              <w:jc w:val="both"/>
              <w:rPr>
                <w:bCs/>
              </w:rPr>
            </w:pPr>
            <w:r>
              <w:t>Övrigt primärkapital för kapitaltäckningsändamål</w:t>
            </w:r>
          </w:p>
          <w:p w14:paraId="7FE1B5D1" w14:textId="77777777" w:rsidR="0057131B" w:rsidRDefault="00355A1C">
            <w:pPr>
              <w:pStyle w:val="P68B1DB1-TableParagraph17"/>
              <w:spacing w:before="108"/>
              <w:ind w:left="85"/>
              <w:jc w:val="both"/>
            </w:pPr>
            <w:r>
              <w:t>Artikel 61 i förordning (EU) nr 575/2013</w:t>
            </w:r>
          </w:p>
          <w:p w14:paraId="7FE1B5D2" w14:textId="77777777" w:rsidR="0057131B" w:rsidRDefault="00355A1C">
            <w:pPr>
              <w:pStyle w:val="P68B1DB1-TableParagraph17"/>
              <w:spacing w:before="108"/>
              <w:ind w:left="85"/>
              <w:jc w:val="both"/>
              <w:rPr>
                <w:b/>
                <w:bCs/>
              </w:rPr>
            </w:pPr>
            <w:r>
              <w:t>Samma definition som Corep (OF): DUBLIC 01.00; 530; 010 —</w:t>
            </w:r>
          </w:p>
        </w:tc>
      </w:tr>
      <w:tr w:rsidR="0057131B"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57131B" w:rsidRDefault="00355A1C">
            <w:pPr>
              <w:pStyle w:val="P68B1DB1-TableParagraph13"/>
              <w:spacing w:before="106"/>
              <w:ind w:left="-1"/>
            </w:pPr>
            <w:r>
              <w:lastRenderedPageBreak/>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57131B" w:rsidRDefault="00355A1C">
            <w:pPr>
              <w:pStyle w:val="P68B1DB1-TableParagraph14"/>
              <w:spacing w:before="108"/>
              <w:ind w:left="85"/>
              <w:jc w:val="both"/>
              <w:rPr>
                <w:bCs/>
              </w:rPr>
            </w:pPr>
            <w:r>
              <w:t>Varav: (delar av) efterställda skulder erkända som kapitalbas</w:t>
            </w:r>
          </w:p>
          <w:p w14:paraId="7FE1B5D6" w14:textId="77777777" w:rsidR="0057131B" w:rsidRDefault="00355A1C">
            <w:pPr>
              <w:pStyle w:val="P68B1DB1-TableParagraph17"/>
              <w:spacing w:before="108"/>
              <w:ind w:left="85"/>
              <w:jc w:val="both"/>
              <w:rPr>
                <w:b/>
                <w:bCs/>
              </w:rPr>
            </w:pPr>
            <w:r>
              <w:t>Rättsliga instrument som utgör (en del av) övrigt primärkapital.</w:t>
            </w:r>
          </w:p>
        </w:tc>
      </w:tr>
      <w:tr w:rsidR="0057131B"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57131B" w:rsidRDefault="00355A1C">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57131B" w:rsidRDefault="00355A1C">
            <w:pPr>
              <w:pStyle w:val="P68B1DB1-TableParagraph14"/>
              <w:spacing w:before="108"/>
              <w:ind w:left="85"/>
              <w:jc w:val="both"/>
              <w:rPr>
                <w:bCs/>
              </w:rPr>
            </w:pPr>
            <w:r>
              <w:t>Supplementärkapital</w:t>
            </w:r>
          </w:p>
          <w:p w14:paraId="7FE1B5DA" w14:textId="77777777" w:rsidR="0057131B" w:rsidRDefault="00355A1C">
            <w:pPr>
              <w:pStyle w:val="P68B1DB1-TableParagraph17"/>
              <w:spacing w:before="108"/>
              <w:ind w:left="85"/>
              <w:jc w:val="both"/>
            </w:pPr>
            <w:r>
              <w:t>Artikel 71 i förordning (EU) nr 575/2013</w:t>
            </w:r>
          </w:p>
          <w:p w14:paraId="7FE1B5DB" w14:textId="77777777" w:rsidR="0057131B" w:rsidRDefault="00355A1C">
            <w:pPr>
              <w:pStyle w:val="P68B1DB1-TableParagraph17"/>
              <w:spacing w:before="108"/>
              <w:ind w:left="85"/>
              <w:jc w:val="both"/>
              <w:rPr>
                <w:b/>
                <w:bCs/>
              </w:rPr>
            </w:pPr>
            <w:r>
              <w:t>Samma definition som Corep (OF): DUBLIC 01.00; 750; 010 —</w:t>
            </w:r>
          </w:p>
        </w:tc>
      </w:tr>
      <w:tr w:rsidR="0057131B"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57131B" w:rsidRDefault="00355A1C">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57131B" w:rsidRDefault="00355A1C">
            <w:pPr>
              <w:pStyle w:val="P68B1DB1-TableParagraph14"/>
              <w:spacing w:before="108"/>
              <w:ind w:left="85"/>
              <w:jc w:val="both"/>
              <w:rPr>
                <w:bCs/>
              </w:rPr>
            </w:pPr>
            <w:r>
              <w:t>Varav: (delar av) efterställda skulder erkända som kapitalbas</w:t>
            </w:r>
          </w:p>
          <w:p w14:paraId="7FE1B5DF" w14:textId="77777777" w:rsidR="0057131B" w:rsidRDefault="00355A1C">
            <w:pPr>
              <w:pStyle w:val="P68B1DB1-TableParagraph17"/>
              <w:spacing w:before="108"/>
              <w:ind w:left="85"/>
              <w:jc w:val="both"/>
              <w:rPr>
                <w:b/>
                <w:bCs/>
              </w:rPr>
            </w:pPr>
            <w:r>
              <w:t>Denna indelning identifierar de rättsliga instrument som utgör (en del av) supplementärkapitalbasen.</w:t>
            </w:r>
          </w:p>
        </w:tc>
      </w:tr>
      <w:tr w:rsidR="0057131B"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57131B" w:rsidRDefault="00355A1C">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57131B" w:rsidRDefault="00355A1C">
            <w:pPr>
              <w:pStyle w:val="P68B1DB1-TableParagraph14"/>
              <w:spacing w:before="108"/>
              <w:ind w:left="85"/>
              <w:jc w:val="both"/>
              <w:rPr>
                <w:bCs/>
              </w:rPr>
            </w:pPr>
            <w:r>
              <w:t>Summa skulder och kapitalbas inklusive derivatskulder</w:t>
            </w:r>
          </w:p>
          <w:p w14:paraId="7FE1B5E3" w14:textId="77777777" w:rsidR="0057131B" w:rsidRDefault="00355A1C">
            <w:pPr>
              <w:pStyle w:val="P68B1DB1-TableParagraph17"/>
              <w:spacing w:before="108"/>
              <w:ind w:left="85"/>
              <w:jc w:val="both"/>
              <w:rPr>
                <w:b/>
                <w:bCs/>
              </w:rPr>
            </w:pPr>
            <w:r>
              <w:t>Summan av samtliga skulder som redovisas i denna mall och beloppet för den lagstadgade kapitalbasen. För detta ändamål ska alla belopp på ovanstående rader adderas. När det gäller derivat ska värdet på rad 0334 ”sammanlagd nettoskuldposition med beaktande av tillsynsregler för nettning” användas.</w:t>
            </w:r>
          </w:p>
        </w:tc>
      </w:tr>
      <w:tr w:rsidR="0057131B"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57131B" w:rsidRDefault="00355A1C">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57131B" w:rsidRDefault="00355A1C">
            <w:pPr>
              <w:pStyle w:val="P68B1DB1-TableParagraph14"/>
              <w:jc w:val="both"/>
              <w:rPr>
                <w:bCs/>
              </w:rPr>
            </w:pPr>
            <w:r>
              <w:t>Summa eget kapital</w:t>
            </w:r>
          </w:p>
          <w:p w14:paraId="7FE1B604" w14:textId="77777777" w:rsidR="0057131B" w:rsidRDefault="00355A1C">
            <w:pPr>
              <w:pStyle w:val="P68B1DB1-Normal21"/>
              <w:spacing w:line="276" w:lineRule="auto"/>
              <w:jc w:val="both"/>
            </w:pPr>
            <w:r>
              <w:t>(FINREP F01.03–300–010) för det redovisade värdet.</w:t>
            </w:r>
          </w:p>
          <w:p w14:paraId="7FE1B605" w14:textId="44D71F77" w:rsidR="0057131B" w:rsidRDefault="00355A1C">
            <w:pPr>
              <w:pStyle w:val="P68B1DB1-Normal21"/>
              <w:spacing w:line="276" w:lineRule="auto"/>
              <w:jc w:val="both"/>
            </w:pPr>
            <w:r>
              <w:t>Denna summa motsvarar balansräkningens totala egna kapital.</w:t>
            </w:r>
          </w:p>
          <w:p w14:paraId="7FE1B606" w14:textId="77777777" w:rsidR="0057131B" w:rsidRDefault="0057131B">
            <w:pPr>
              <w:pStyle w:val="TableParagraph"/>
              <w:jc w:val="both"/>
              <w:rPr>
                <w:rFonts w:ascii="Times New Roman" w:hAnsi="Times New Roman" w:cs="Times New Roman"/>
                <w:b/>
                <w:bCs/>
                <w:color w:val="000000" w:themeColor="text1"/>
                <w:sz w:val="20"/>
                <w:szCs w:val="20"/>
              </w:rPr>
            </w:pPr>
          </w:p>
        </w:tc>
      </w:tr>
    </w:tbl>
    <w:p w14:paraId="7FE1B60E" w14:textId="77777777" w:rsidR="0057131B" w:rsidRDefault="0057131B">
      <w:pPr>
        <w:rPr>
          <w:rFonts w:ascii="Times New Roman" w:hAnsi="Times New Roman" w:cs="Times New Roman"/>
        </w:rPr>
      </w:pPr>
    </w:p>
    <w:p w14:paraId="7FE1B60F" w14:textId="1DD0504B" w:rsidR="0057131B" w:rsidRDefault="00355A1C">
      <w:pPr>
        <w:pStyle w:val="P68B1DB1-Instructionsberschrift25"/>
        <w:numPr>
          <w:ilvl w:val="1"/>
          <w:numId w:val="49"/>
        </w:numPr>
        <w:ind w:left="357" w:hanging="357"/>
      </w:pPr>
      <w:bookmarkStart w:id="58" w:name="_Toc492542323"/>
      <w:bookmarkStart w:id="59" w:name="_Toc81454181"/>
      <w:bookmarkStart w:id="60" w:name="_Toc210901284"/>
      <w:r>
        <w:t>Z 03.01 – Kapitalbaskrav – Kreditinstitut (LIAB 2)</w:t>
      </w:r>
      <w:bookmarkEnd w:id="58"/>
      <w:bookmarkEnd w:id="59"/>
      <w:bookmarkEnd w:id="60"/>
    </w:p>
    <w:p w14:paraId="7FE1B610" w14:textId="77777777" w:rsidR="0057131B" w:rsidRDefault="00355A1C">
      <w:pPr>
        <w:pStyle w:val="Instructionsberschrift3"/>
      </w:pPr>
      <w:r>
        <w:t>Allmänna kommentarer</w:t>
      </w:r>
    </w:p>
    <w:p w14:paraId="7FE1B611" w14:textId="77777777" w:rsidR="0057131B" w:rsidRDefault="00355A1C">
      <w:pPr>
        <w:pStyle w:val="P68B1DB1-InstructionsText26"/>
        <w:numPr>
          <w:ilvl w:val="0"/>
          <w:numId w:val="232"/>
        </w:numPr>
        <w:spacing w:before="0"/>
      </w:pPr>
      <w:r>
        <w:t>Denna mall innehåller information om enhetens eller koncernens kapitalbaskrav.</w:t>
      </w:r>
    </w:p>
    <w:p w14:paraId="7FE1B612" w14:textId="77777777" w:rsidR="0057131B" w:rsidRDefault="00355A1C">
      <w:pPr>
        <w:pStyle w:val="P68B1DB1-InstructionsText26"/>
        <w:numPr>
          <w:ilvl w:val="0"/>
          <w:numId w:val="232"/>
        </w:numPr>
        <w:spacing w:before="0"/>
      </w:pPr>
      <w:r>
        <w:t>All redovisad information ska återspegla de kapitalbaskrav som är tillämpliga på rapporteringsreferensdagen.</w:t>
      </w:r>
    </w:p>
    <w:p w14:paraId="7FE1B613" w14:textId="1B7809D4" w:rsidR="0057131B" w:rsidRDefault="00355A1C">
      <w:pPr>
        <w:pStyle w:val="P68B1DB1-InstructionsText26"/>
        <w:numPr>
          <w:ilvl w:val="0"/>
          <w:numId w:val="232"/>
        </w:numPr>
        <w:spacing w:before="0"/>
      </w:pPr>
      <w:r>
        <w:t>Som ett undantag ska den information om 0300-total ÖUP-kapitaltäckningskvoten (TSCR) som rapporteras i denna mall baseras på det senast tillgängliga officiella ÖUP-beslut som meddelats fram till överföringsdatumet för denna rapport av den behöriga myndigheten.</w:t>
      </w:r>
    </w:p>
    <w:p w14:paraId="7FE1B614" w14:textId="77777777" w:rsidR="0057131B" w:rsidRDefault="00355A1C">
      <w:pPr>
        <w:pStyle w:val="P68B1DB1-InstructionsText26"/>
        <w:numPr>
          <w:ilvl w:val="0"/>
          <w:numId w:val="232"/>
        </w:numPr>
        <w:spacing w:before="0"/>
      </w:pPr>
      <w:r>
        <w:t>För rapportering på konsoliderad eller individuell nivå behöver den rapporterande enheten inte rapportera dessa datapunkter en andra gång om dessa datapunkter redan har rapporterats av enheten i Finrep eller COREP för samma referensdatum och rapporteringsomfattning (se COREP/FINREP-hänvisningar i instruktionerna). Uppgifter behöver endast rapporteras, till exempel om den rapporterande enheten har undantagits från finansiella eller tillsynsmässiga rapporteringsskyldigheter, i vilket fall den enda datakällan för resolutionsmyndigheterna för dessa datapunkter är denna rapport.</w:t>
      </w:r>
    </w:p>
    <w:p w14:paraId="7FE1B615" w14:textId="77777777" w:rsidR="0057131B" w:rsidRDefault="0057131B">
      <w:pPr>
        <w:pStyle w:val="InstructionsText2"/>
        <w:numPr>
          <w:ilvl w:val="0"/>
          <w:numId w:val="0"/>
        </w:numPr>
        <w:spacing w:before="0"/>
        <w:ind w:left="1440"/>
        <w:rPr>
          <w:rFonts w:ascii="Times New Roman" w:hAnsi="Times New Roman" w:cs="Times New Roman"/>
          <w:sz w:val="20"/>
          <w:szCs w:val="20"/>
        </w:rPr>
      </w:pPr>
    </w:p>
    <w:p w14:paraId="7FE1B61B" w14:textId="77777777" w:rsidR="0057131B" w:rsidRDefault="00355A1C">
      <w:pPr>
        <w:pStyle w:val="Instructionsberschrift3"/>
      </w:pPr>
      <w:r>
        <w:t>Instruktioner för specifika positioner</w:t>
      </w:r>
    </w:p>
    <w:p w14:paraId="7FE1B61C" w14:textId="77777777" w:rsidR="0057131B" w:rsidRDefault="0057131B">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57131B"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57131B" w:rsidRDefault="00355A1C">
            <w:pPr>
              <w:pStyle w:val="P68B1DB1-TableParagraph13"/>
              <w:spacing w:before="66"/>
              <w:rPr>
                <w:rFonts w:eastAsia="Cambria"/>
              </w:rPr>
            </w:pPr>
            <w:r>
              <w:t>Rad</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57131B" w:rsidRDefault="00355A1C">
            <w:pPr>
              <w:pStyle w:val="P68B1DB1-TableParagraph13"/>
              <w:spacing w:before="66"/>
              <w:ind w:right="1"/>
              <w:jc w:val="center"/>
              <w:rPr>
                <w:rFonts w:eastAsia="Cambria"/>
              </w:rPr>
            </w:pPr>
            <w:r>
              <w:t>Anvisningar</w:t>
            </w:r>
          </w:p>
        </w:tc>
      </w:tr>
      <w:tr w:rsidR="0057131B"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57131B" w:rsidRDefault="00355A1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57131B" w:rsidRDefault="00355A1C">
            <w:pPr>
              <w:pStyle w:val="P68B1DB1-TableParagraph14"/>
              <w:spacing w:before="108"/>
              <w:rPr>
                <w:bCs/>
              </w:rPr>
            </w:pPr>
            <w:r>
              <w:t>Totalt riskexponeringsbelopp</w:t>
            </w:r>
          </w:p>
          <w:p w14:paraId="7FE1B622" w14:textId="77777777" w:rsidR="0057131B" w:rsidRDefault="00355A1C">
            <w:pPr>
              <w:pStyle w:val="P68B1DB1-TableParagraph17"/>
              <w:spacing w:before="108"/>
            </w:pPr>
            <w:r>
              <w:lastRenderedPageBreak/>
              <w:t>Beloppet som anges i artikel 45.2 a i direktiv 2014/59/EU, beräknat i enlighet med artikel 92.3 i förordning (EU) nr 575/2013.</w:t>
            </w:r>
          </w:p>
        </w:tc>
      </w:tr>
      <w:tr w:rsidR="0057131B"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57131B" w:rsidRDefault="00355A1C">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57131B" w:rsidRDefault="00355A1C">
            <w:pPr>
              <w:pStyle w:val="P68B1DB1-TableParagraph14"/>
              <w:spacing w:before="108"/>
              <w:jc w:val="both"/>
              <w:rPr>
                <w:bCs/>
              </w:rPr>
            </w:pPr>
            <w:r>
              <w:t>Totalt exponeringsmått</w:t>
            </w:r>
          </w:p>
          <w:p w14:paraId="7FE1B626" w14:textId="77777777" w:rsidR="0057131B" w:rsidRDefault="00355A1C">
            <w:pPr>
              <w:pStyle w:val="P68B1DB1-TableParagraph17"/>
              <w:spacing w:before="108"/>
              <w:jc w:val="both"/>
              <w:rPr>
                <w:b/>
                <w:bCs/>
              </w:rPr>
            </w:pPr>
            <w:r>
              <w:t>Den mängd som anges i artikel 45.2 b i direktiv 2014/59/EU, beräknad i enlighet med artiklarna 429.4 och 429a i förordning (EU) nr 575/2013.</w:t>
            </w:r>
          </w:p>
        </w:tc>
      </w:tr>
      <w:tr w:rsidR="0057131B"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57131B" w:rsidRDefault="00355A1C">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57131B" w:rsidRDefault="00355A1C">
            <w:pPr>
              <w:pStyle w:val="P68B1DB1-TableParagraph14"/>
              <w:spacing w:before="108"/>
              <w:jc w:val="both"/>
              <w:rPr>
                <w:bCs/>
              </w:rPr>
            </w:pPr>
            <w:r>
              <w:t>Startkapital och bruttosoliditetskrav</w:t>
            </w:r>
          </w:p>
        </w:tc>
      </w:tr>
      <w:tr w:rsidR="0057131B"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57131B" w:rsidRDefault="00355A1C">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57131B" w:rsidRDefault="00355A1C">
            <w:pPr>
              <w:pStyle w:val="P68B1DB1-TableParagraph14"/>
              <w:spacing w:before="108"/>
              <w:jc w:val="both"/>
              <w:rPr>
                <w:bCs/>
              </w:rPr>
            </w:pPr>
            <w:r>
              <w:t>Startkapital</w:t>
            </w:r>
          </w:p>
          <w:p w14:paraId="7FE1B62D" w14:textId="77777777" w:rsidR="0057131B" w:rsidRDefault="00355A1C">
            <w:pPr>
              <w:pStyle w:val="P68B1DB1-TableParagraph17"/>
              <w:spacing w:before="108"/>
              <w:jc w:val="both"/>
            </w:pPr>
            <w:r>
              <w:t>Det belopp som avses i artiklarna 12 i direktiv 2013/36/EU och artikel 93 i förordning (EU) nr 575/2013.</w:t>
            </w:r>
          </w:p>
          <w:p w14:paraId="7FE1B62E" w14:textId="77777777" w:rsidR="0057131B" w:rsidRDefault="00355A1C">
            <w:pPr>
              <w:pStyle w:val="P68B1DB1-TableParagraph17"/>
              <w:spacing w:before="108"/>
              <w:jc w:val="both"/>
              <w:rPr>
                <w:b/>
                <w:bCs/>
              </w:rPr>
            </w:pPr>
            <w:r>
              <w:t>Det startkapital som krävs för att ett institut ska få tillstånd att påbörja sin verksamhet.</w:t>
            </w:r>
          </w:p>
        </w:tc>
      </w:tr>
      <w:tr w:rsidR="0057131B"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57131B" w:rsidRDefault="00355A1C">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57131B" w:rsidRDefault="00355A1C">
            <w:pPr>
              <w:pStyle w:val="P68B1DB1-TableParagraph14"/>
              <w:spacing w:before="108"/>
              <w:jc w:val="both"/>
              <w:rPr>
                <w:bCs/>
              </w:rPr>
            </w:pPr>
            <w:r>
              <w:t>Bruttosoliditetskrav</w:t>
            </w:r>
          </w:p>
          <w:p w14:paraId="7FE1B632" w14:textId="77777777" w:rsidR="0057131B" w:rsidRDefault="00355A1C">
            <w:pPr>
              <w:pStyle w:val="P68B1DB1-TableParagraph13"/>
              <w:spacing w:before="108"/>
              <w:jc w:val="both"/>
            </w:pPr>
            <w:r>
              <w:t>Bruttosoliditetskrav, utom kravet som anges i artikel 92.1a i förordning (EU) nr 575/2013, beroende på vad som är tillämpligt på enheten eller koncernen, uttryckt i procent av det totala exponeringsmåttet. Ifall inga formella krav ställs ska enheterna lämna denna cell tom.</w:t>
            </w:r>
          </w:p>
        </w:tc>
      </w:tr>
      <w:tr w:rsidR="0057131B"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57131B" w:rsidRDefault="00355A1C">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57131B" w:rsidRDefault="00355A1C">
            <w:pPr>
              <w:pStyle w:val="P68B1DB1-TableParagraph14"/>
              <w:spacing w:before="108"/>
              <w:jc w:val="both"/>
              <w:rPr>
                <w:bCs/>
              </w:rPr>
            </w:pPr>
            <w:r>
              <w:t xml:space="preserve">Total ÖUP-kapitalkravsrelation (TSCR) </w:t>
            </w:r>
          </w:p>
          <w:p w14:paraId="7FE1B636" w14:textId="77777777" w:rsidR="0057131B" w:rsidRDefault="00355A1C">
            <w:pPr>
              <w:pStyle w:val="P68B1DB1-TableParagraph13"/>
              <w:spacing w:before="108"/>
              <w:jc w:val="both"/>
            </w:pPr>
            <w:r>
              <w:t>COREP (AV): DUBLIC 03.00; 130; 010 —</w:t>
            </w:r>
          </w:p>
          <w:p w14:paraId="7FE1B637" w14:textId="77777777" w:rsidR="0057131B" w:rsidRDefault="00355A1C">
            <w:pPr>
              <w:pStyle w:val="P68B1DB1-InstructionsText22"/>
              <w:ind w:firstLine="0"/>
            </w:pPr>
            <w:r>
              <w:t>Summan av i) och ii) enligt följande:</w:t>
            </w:r>
          </w:p>
          <w:p w14:paraId="7FE1B638" w14:textId="77777777" w:rsidR="0057131B" w:rsidRDefault="00355A1C">
            <w:pPr>
              <w:pStyle w:val="P68B1DB1-InstructionsText22"/>
              <w:numPr>
                <w:ilvl w:val="3"/>
                <w:numId w:val="49"/>
              </w:numPr>
            </w:pPr>
            <w:r>
              <w:t xml:space="preserve">Den totala kapitalrelationen (8 %) enligt vad som anges i artikel 92.1 c i förordning (EU) nr 575/2013. </w:t>
            </w:r>
          </w:p>
          <w:p w14:paraId="7FE1B639" w14:textId="77777777" w:rsidR="0057131B" w:rsidRDefault="00355A1C">
            <w:pPr>
              <w:pStyle w:val="P68B1DB1-InstructionsText22"/>
              <w:numPr>
                <w:ilvl w:val="3"/>
                <w:numId w:val="49"/>
              </w:numPr>
            </w:pPr>
            <w:r>
              <w:t xml:space="preserve">Relationstalet för ytterligare kapitalbaskrav (krav enligt andra pelaren – P2R) som har bestämts utifrån kriterierna i </w:t>
            </w:r>
            <w:r>
              <w:rPr>
                <w:i/>
              </w:rPr>
              <w:t xml:space="preserve">EBA-riktlinjerna om vanliga procedurer och metoder för översyn och utvärdering och stresstestning för översyn ( </w:t>
            </w:r>
            <w:r>
              <w:t>EBA/ÖUP-riktlinjerna).</w:t>
            </w:r>
          </w:p>
          <w:p w14:paraId="7FE1B63A" w14:textId="77777777" w:rsidR="0057131B" w:rsidRDefault="00355A1C">
            <w:pPr>
              <w:pStyle w:val="P68B1DB1-InstructionsText22"/>
              <w:ind w:firstLine="0"/>
            </w:pPr>
            <w:r>
              <w:t>Denna post ska återspegla den senaste, från och med överföringsdagen, totala ÖUP-kapitaltäckningskvoten (TSCR) som meddelats institutet av den behöriga myndigheten, dvs. för inlämning med referensdatum den 31 december ett visst år, rapportera den P2R som är tillämplig påföljande år. TSCR definieras i avsnitt 1.2 i EBA SREP GL.</w:t>
            </w:r>
          </w:p>
          <w:p w14:paraId="7FE1B63B" w14:textId="77777777" w:rsidR="0057131B" w:rsidRDefault="00355A1C">
            <w:pPr>
              <w:pStyle w:val="P68B1DB1-InstructionsText22"/>
              <w:ind w:firstLine="0"/>
            </w:pPr>
            <w:r>
              <w:t>Om en rapporterande enhet är en resolutionsenhet som inte har omfattats av ett krav på ytterligare kapitalbas enligt artikel 104a i direktiv 2013/36/EU på konsoliderad resolutionsgruppnivå, förväntas det rapporterade värdet för ii) ovan vara resultatet av den uppskattning som avses i artikel 1 i kommissionens delegerade förordning (EU) 2021/1118, men som genomförs preliminärt av den rapporterande enheten.</w:t>
            </w:r>
          </w:p>
          <w:p w14:paraId="7FE1B63C" w14:textId="77777777" w:rsidR="0057131B" w:rsidRDefault="00355A1C">
            <w:pPr>
              <w:pStyle w:val="P68B1DB1-TableParagraph13"/>
              <w:spacing w:before="108"/>
              <w:jc w:val="both"/>
              <w:rPr>
                <w:b/>
                <w:bCs/>
              </w:rPr>
            </w:pPr>
            <w:r>
              <w:t>Om den behöriga myndigheten inte har meddelat några ytterligare kapitalbaskrav och ovanstående punkt inte gäller ska endast led i rapporteras.</w:t>
            </w:r>
          </w:p>
        </w:tc>
      </w:tr>
      <w:tr w:rsidR="0057131B"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57131B" w:rsidRDefault="00355A1C">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57131B" w:rsidRDefault="00355A1C">
            <w:pPr>
              <w:pStyle w:val="P68B1DB1-TableParagraph14"/>
              <w:spacing w:before="108"/>
              <w:jc w:val="both"/>
              <w:rPr>
                <w:bCs/>
              </w:rPr>
            </w:pPr>
            <w:r>
              <w:t>Kombinerade buffertkrav</w:t>
            </w:r>
          </w:p>
          <w:p w14:paraId="7FE1B640" w14:textId="7A5205D6" w:rsidR="0057131B" w:rsidRDefault="00355A1C">
            <w:pPr>
              <w:pStyle w:val="P68B1DB1-TableParagraph13"/>
              <w:spacing w:before="108"/>
              <w:jc w:val="both"/>
            </w:pPr>
            <w:r>
              <w:t>COREP (AV): 04.00; 740; 010,).</w:t>
            </w:r>
          </w:p>
          <w:p w14:paraId="7FE1B641" w14:textId="77777777" w:rsidR="0057131B" w:rsidRDefault="00355A1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Kravet som anges</w:t>
            </w:r>
            <w:r>
              <w:rPr>
                <w:rStyle w:val="InstructionsTabelleberschrift"/>
                <w:rFonts w:ascii="Times New Roman" w:hAnsi="Times New Roman"/>
                <w:b w:val="0"/>
                <w:color w:val="000000" w:themeColor="text1"/>
                <w:szCs w:val="20"/>
                <w:u w:val="none"/>
              </w:rPr>
              <w:t xml:space="preserve"> i</w:t>
            </w:r>
            <w:r>
              <w:rPr>
                <w:rFonts w:ascii="Times New Roman" w:eastAsia="Cambria" w:hAnsi="Times New Roman" w:cs="Times New Roman"/>
                <w:color w:val="000000" w:themeColor="text1"/>
                <w:sz w:val="20"/>
                <w:szCs w:val="20"/>
              </w:rPr>
              <w:t>artikel 128 första stycket led 6 i direktiv 2013/36/EU.</w:t>
            </w:r>
          </w:p>
          <w:p w14:paraId="7FE1B642" w14:textId="37B6D097" w:rsidR="0057131B" w:rsidRDefault="00355A1C">
            <w:pPr>
              <w:pStyle w:val="P68B1DB1-TableParagraph13"/>
              <w:spacing w:before="108"/>
              <w:jc w:val="both"/>
            </w:pPr>
            <w:r>
              <w:t xml:space="preserve">Om resolutionsområdet skiljer sig från tillsynsområdet följer uppskattningen av de delar som utgör det kombinerade buffertkravet för resolutionsenheten på konsoliderad resolutionsgruppnivå artikel 3.1 i kommissionens delegerade förordning (EU) 2021/1118, men bör genomföras preliminärt av den rapporterande enheten. </w:t>
            </w:r>
          </w:p>
        </w:tc>
      </w:tr>
      <w:tr w:rsidR="0057131B"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57131B" w:rsidRDefault="00355A1C">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57131B" w:rsidRDefault="00355A1C">
            <w:pPr>
              <w:pStyle w:val="P68B1DB1-TableParagraph14"/>
              <w:spacing w:before="108"/>
              <w:jc w:val="both"/>
              <w:rPr>
                <w:bCs/>
              </w:rPr>
            </w:pPr>
            <w:r>
              <w:t>Kapitalkonserveringsbuffert</w:t>
            </w:r>
          </w:p>
          <w:p w14:paraId="7FE1B646" w14:textId="7B6CEF6B" w:rsidR="0057131B" w:rsidRDefault="00355A1C">
            <w:pPr>
              <w:pStyle w:val="P68B1DB1-TableParagraph13"/>
              <w:spacing w:before="108"/>
              <w:jc w:val="both"/>
            </w:pPr>
            <w:r>
              <w:lastRenderedPageBreak/>
              <w:t>COREP (AV): 04.00; 750; 010,).</w:t>
            </w:r>
          </w:p>
          <w:p w14:paraId="7FE1B647" w14:textId="77777777" w:rsidR="0057131B" w:rsidRDefault="00355A1C">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Kravet som avses</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i artikel 128.1 och 129 i direktiv 2013/36/EU.</w:t>
            </w:r>
          </w:p>
          <w:p w14:paraId="7FE1B648" w14:textId="77777777" w:rsidR="0057131B" w:rsidRDefault="00355A1C">
            <w:pPr>
              <w:pStyle w:val="P68B1DB1-TableParagraph13"/>
              <w:spacing w:before="108"/>
              <w:jc w:val="both"/>
              <w:rPr>
                <w:rFonts w:eastAsia="Cambria"/>
              </w:rPr>
            </w:pPr>
            <w:r>
              <w:t>Om resolutionsområdet skiljer sig från tillsynsområdet följer uppskattningen av detta buffertkrav för resolutionsenheten på konsoliderad resolutionsgruppnivå artikel 3.2 i kommissionens delegerade förordning (EU) 2021/1118, men bör genomföras preliminärt av den rapporterande enheten.</w:t>
            </w:r>
          </w:p>
        </w:tc>
      </w:tr>
      <w:tr w:rsidR="0057131B"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57131B" w:rsidRDefault="00355A1C">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57131B" w:rsidRDefault="00355A1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Konserveringsbuffert på grund av makrotillsynsrisker eller systemrisker identifierade på medlemsstatsnivå</w:t>
            </w:r>
          </w:p>
          <w:p w14:paraId="7FE1B64C" w14:textId="77777777" w:rsidR="0057131B" w:rsidRDefault="00355A1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(AV): 04.00; 760; 010,).</w:t>
            </w:r>
          </w:p>
          <w:p w14:paraId="7FE1B64D" w14:textId="1D29CF6A" w:rsidR="0057131B" w:rsidRDefault="00355A1C">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Det krav som avses i</w:t>
            </w:r>
            <w:r>
              <w:rPr>
                <w:rStyle w:val="InstructionsTabelleberschrift"/>
                <w:rFonts w:ascii="Times New Roman" w:hAnsi="Times New Roman"/>
                <w:b w:val="0"/>
                <w:color w:val="000000" w:themeColor="text1"/>
                <w:szCs w:val="20"/>
                <w:u w:val="none"/>
              </w:rPr>
              <w:t xml:space="preserve"> artikel 458.2 punkt d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i förordning (EU) nr 575/2013</w:t>
            </w:r>
          </w:p>
          <w:p w14:paraId="7FE1B64E" w14:textId="77777777" w:rsidR="0057131B" w:rsidRDefault="00355A1C">
            <w:pPr>
              <w:pStyle w:val="P68B1DB1-TableParagraph13"/>
              <w:spacing w:before="108"/>
              <w:jc w:val="both"/>
              <w:rPr>
                <w:rFonts w:eastAsia="Cambria"/>
              </w:rPr>
            </w:pPr>
            <w:r>
              <w:t>Om resolutionsområdet skiljer sig från tillsynsområdet motsvarar det rapporterade beloppet den buffert som är tillämplig på resolutionsgruppens exponeringar.</w:t>
            </w:r>
          </w:p>
        </w:tc>
      </w:tr>
      <w:tr w:rsidR="0057131B"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57131B" w:rsidRDefault="00355A1C">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57131B" w:rsidRDefault="00355A1C">
            <w:pPr>
              <w:pStyle w:val="P68B1DB1-TableParagraph14"/>
              <w:spacing w:before="108"/>
              <w:jc w:val="both"/>
              <w:rPr>
                <w:bCs/>
              </w:rPr>
            </w:pPr>
            <w:r>
              <w:t xml:space="preserve">Institutspecifikt kontracykliskt kapitalbuffert </w:t>
            </w:r>
          </w:p>
          <w:p w14:paraId="7FE1B652" w14:textId="77777777" w:rsidR="0057131B" w:rsidRDefault="00355A1C">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(se Corep (OF): 04.00; 770; 010,).</w:t>
            </w:r>
          </w:p>
          <w:p w14:paraId="7FE1B653" w14:textId="77777777" w:rsidR="0057131B" w:rsidRDefault="00355A1C">
            <w:pPr>
              <w:pStyle w:val="P68B1DB1-TableParagraph17"/>
              <w:spacing w:before="108"/>
              <w:jc w:val="both"/>
            </w:pPr>
            <w:r>
              <w:t>Kravet som anges i artiklarna 128.2, 130 och 135–140 i direktiv 2013/36/EU.</w:t>
            </w:r>
          </w:p>
          <w:p w14:paraId="7FE1B654" w14:textId="77777777" w:rsidR="0057131B" w:rsidRDefault="00355A1C">
            <w:pPr>
              <w:pStyle w:val="P68B1DB1-TableParagraph13"/>
              <w:spacing w:before="108"/>
              <w:jc w:val="both"/>
              <w:rPr>
                <w:rFonts w:eastAsia="Cambria"/>
              </w:rPr>
            </w:pPr>
            <w:r>
              <w:t>Om resolutionsområdet skiljer sig från tillsynsområdet motsvarar det rapporterade beloppet det buffertkrav som gäller för resolutionsgruppens exponeringar.</w:t>
            </w:r>
          </w:p>
        </w:tc>
      </w:tr>
      <w:tr w:rsidR="0057131B"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57131B" w:rsidRDefault="00355A1C">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57131B" w:rsidRDefault="00355A1C">
            <w:pPr>
              <w:pStyle w:val="P68B1DB1-TableParagraph14"/>
              <w:spacing w:before="108"/>
              <w:jc w:val="both"/>
              <w:rPr>
                <w:bCs/>
              </w:rPr>
            </w:pPr>
            <w:r>
              <w:t>Systemriskbuffert</w:t>
            </w:r>
          </w:p>
          <w:p w14:paraId="7FE1B658" w14:textId="77777777" w:rsidR="0057131B" w:rsidRDefault="00355A1C">
            <w:pPr>
              <w:pStyle w:val="P68B1DB1-TableParagraph13"/>
              <w:spacing w:before="108"/>
              <w:jc w:val="both"/>
            </w:pPr>
            <w:r>
              <w:t>(se Corep (OF): — 04.00; 780; 010)</w:t>
            </w:r>
          </w:p>
          <w:p w14:paraId="7FE1B659" w14:textId="77777777" w:rsidR="0057131B" w:rsidRDefault="00355A1C">
            <w:pPr>
              <w:pStyle w:val="P68B1DB1-TableParagraph17"/>
              <w:spacing w:before="108"/>
              <w:jc w:val="both"/>
            </w:pPr>
            <w:r>
              <w:t>Kravet som anges i artiklarna 128.5, 133 och 134 i direktiv 2013/36/EU</w:t>
            </w:r>
          </w:p>
          <w:p w14:paraId="7FE1B65A" w14:textId="77777777" w:rsidR="0057131B" w:rsidRDefault="00355A1C">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Om resolutionsområdet skiljer sig från tillsynsområdet följer uppskattningen av detta buffertkrav för resolutionsenheten på konsoliderad resolutionsgruppnivå artikel 3.5 i kommissionens delegerade förordning (EU) 2021/1118,</w:t>
            </w:r>
            <w:r>
              <w:t xml:space="preserve"> </w:t>
            </w:r>
            <w:r>
              <w:rPr>
                <w:rFonts w:ascii="Times New Roman" w:hAnsi="Times New Roman" w:cs="Times New Roman"/>
                <w:color w:val="000000" w:themeColor="text1"/>
                <w:sz w:val="20"/>
                <w:szCs w:val="20"/>
              </w:rPr>
              <w:t xml:space="preserve">men bör genomföras preliminärt av den rapporterande enheten. </w:t>
            </w:r>
          </w:p>
        </w:tc>
      </w:tr>
      <w:tr w:rsidR="0057131B"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57131B" w:rsidRDefault="00355A1C">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57131B" w:rsidRDefault="00355A1C">
            <w:pPr>
              <w:pStyle w:val="P68B1DB1-TableParagraph14"/>
              <w:spacing w:before="108"/>
              <w:jc w:val="both"/>
              <w:rPr>
                <w:bCs/>
              </w:rPr>
            </w:pPr>
            <w:r>
              <w:t>Buffert för globalt systemviktigt institut</w:t>
            </w:r>
          </w:p>
          <w:p w14:paraId="7FE1B65E" w14:textId="77777777" w:rsidR="0057131B" w:rsidRDefault="00355A1C">
            <w:pPr>
              <w:pStyle w:val="P68B1DB1-TableParagraph17"/>
              <w:spacing w:before="108"/>
              <w:jc w:val="both"/>
            </w:pPr>
            <w:r>
              <w:t>COREP (AV): DUBLIC 04.00; 800; 010 —</w:t>
            </w:r>
          </w:p>
          <w:p w14:paraId="7FE1B65F" w14:textId="77777777" w:rsidR="0057131B" w:rsidRDefault="00355A1C">
            <w:pPr>
              <w:pStyle w:val="P68B1DB1-TableParagraph17"/>
              <w:spacing w:before="108"/>
              <w:jc w:val="both"/>
            </w:pPr>
            <w:r>
              <w:t>Kravet som avses i artiklarna 128.3 och 131 i direktiv 2013/36/EU.</w:t>
            </w:r>
          </w:p>
          <w:p w14:paraId="7FE1B660" w14:textId="77777777" w:rsidR="0057131B" w:rsidRDefault="00355A1C">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Om resolutionsområdet skiljer sig från tillsynsområdet följer uppskattningen av detta buffertkrav för resolutionsenheten på konsoliderad resolutionsgruppnivå artikel 3.3 i kommissionens delegerade förordning (EU) 2021/1118,</w:t>
            </w:r>
            <w:r>
              <w:t xml:space="preserve"> </w:t>
            </w:r>
            <w:r>
              <w:rPr>
                <w:rFonts w:ascii="Times New Roman" w:hAnsi="Times New Roman" w:cs="Times New Roman"/>
                <w:color w:val="000000" w:themeColor="text1"/>
                <w:sz w:val="20"/>
                <w:szCs w:val="20"/>
              </w:rPr>
              <w:t xml:space="preserve">men bör genomföras preliminärt av den rapporterande enheten. </w:t>
            </w:r>
          </w:p>
        </w:tc>
      </w:tr>
      <w:tr w:rsidR="0057131B"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57131B" w:rsidRDefault="00355A1C">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57131B" w:rsidRDefault="00355A1C">
            <w:pPr>
              <w:pStyle w:val="P68B1DB1-TableParagraph13"/>
              <w:spacing w:before="108"/>
              <w:jc w:val="both"/>
            </w:pPr>
            <w:r>
              <w:rPr>
                <w:b/>
              </w:rPr>
              <w:t>Buffert för andra systemviktiga institut</w:t>
            </w:r>
            <w:r>
              <w:t xml:space="preserve">, artiklarna 128 (4) och 131 i direktiv 2013/36/EU </w:t>
            </w:r>
          </w:p>
          <w:p w14:paraId="7FE1B665" w14:textId="77777777" w:rsidR="0057131B" w:rsidRDefault="00355A1C">
            <w:pPr>
              <w:pStyle w:val="P68B1DB1-TableParagraph13"/>
              <w:spacing w:before="108"/>
              <w:jc w:val="both"/>
            </w:pPr>
            <w:r>
              <w:t xml:space="preserve">COREP (AV): DUBLIC 04.00; 810; 010 — </w:t>
            </w:r>
          </w:p>
          <w:p w14:paraId="7FE1B666" w14:textId="77777777" w:rsidR="0057131B" w:rsidRDefault="00355A1C">
            <w:pPr>
              <w:pStyle w:val="P68B1DB1-TableParagraph13"/>
              <w:spacing w:before="108"/>
              <w:jc w:val="both"/>
              <w:rPr>
                <w:b/>
                <w:bCs/>
              </w:rPr>
            </w:pPr>
            <w:r>
              <w:t>Det rapporterade beloppet ska representera det kapitalbasbelopp som behövs för att fylla respektive kapitalbuffertkrav på rapporteringsdatumet.</w:t>
            </w:r>
          </w:p>
        </w:tc>
      </w:tr>
      <w:tr w:rsidR="0057131B"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57131B" w:rsidRDefault="00355A1C">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57131B" w:rsidRDefault="00355A1C">
            <w:pPr>
              <w:pStyle w:val="P68B1DB1-TableParagraph14"/>
              <w:spacing w:before="108"/>
              <w:jc w:val="both"/>
              <w:rPr>
                <w:bCs/>
              </w:rPr>
            </w:pPr>
            <w:r>
              <w:t xml:space="preserve">Samlad kapitalkravsrelation (OCR) </w:t>
            </w:r>
          </w:p>
          <w:p w14:paraId="7FE1B66A" w14:textId="77777777" w:rsidR="0057131B" w:rsidRDefault="00355A1C">
            <w:pPr>
              <w:pStyle w:val="P68B1DB1-TableParagraph13"/>
              <w:spacing w:before="108"/>
              <w:jc w:val="both"/>
            </w:pPr>
            <w:r>
              <w:t xml:space="preserve">COREP (AV): DUBLIC 03.00; 160; 010 — </w:t>
            </w:r>
          </w:p>
          <w:p w14:paraId="7FE1B66B" w14:textId="77777777" w:rsidR="0057131B" w:rsidRDefault="00355A1C">
            <w:pPr>
              <w:pStyle w:val="P68B1DB1-TableParagraph13"/>
              <w:spacing w:before="108"/>
              <w:jc w:val="both"/>
            </w:pPr>
            <w:r>
              <w:t xml:space="preserve">Summan av i) och ii) enligt följande: </w:t>
            </w:r>
          </w:p>
          <w:p w14:paraId="7FE1B66C" w14:textId="77777777" w:rsidR="0057131B" w:rsidRDefault="00355A1C">
            <w:pPr>
              <w:pStyle w:val="P68B1DB1-TableParagraph13"/>
              <w:numPr>
                <w:ilvl w:val="3"/>
                <w:numId w:val="211"/>
              </w:numPr>
              <w:spacing w:before="108"/>
              <w:ind w:left="931" w:hanging="567"/>
              <w:jc w:val="both"/>
            </w:pPr>
            <w:r>
              <w:t xml:space="preserve">TSCR-relationstalet som avses på rad 0300, </w:t>
            </w:r>
          </w:p>
          <w:p w14:paraId="7FE1B66D" w14:textId="77777777" w:rsidR="0057131B" w:rsidRDefault="00355A1C">
            <w:pPr>
              <w:pStyle w:val="P68B1DB1-TableParagraph13"/>
              <w:numPr>
                <w:ilvl w:val="3"/>
                <w:numId w:val="211"/>
              </w:numPr>
              <w:spacing w:before="108"/>
              <w:ind w:left="931" w:hanging="567"/>
              <w:jc w:val="both"/>
            </w:pPr>
            <w:r>
              <w:t xml:space="preserve">ifall det är tillämpligt i gällande rätt, relationstalet för de kombinerade buffertkrav som avses i artikel 128.6 i direktiv 2013/36/EU. </w:t>
            </w:r>
          </w:p>
          <w:p w14:paraId="7FE1B66E" w14:textId="77777777" w:rsidR="0057131B" w:rsidRDefault="00355A1C">
            <w:pPr>
              <w:pStyle w:val="P68B1DB1-TableParagraph13"/>
              <w:spacing w:before="108"/>
              <w:jc w:val="both"/>
            </w:pPr>
            <w:r>
              <w:t xml:space="preserve">Denna post ska återspegla den samlade kapitalkravsrelationen (OCR) enligt definitionen i stycke 1.2 i EBA/ÖUP-riktlinjerna. </w:t>
            </w:r>
          </w:p>
          <w:p w14:paraId="7FE1B66F" w14:textId="77777777" w:rsidR="0057131B" w:rsidRDefault="00355A1C">
            <w:pPr>
              <w:pStyle w:val="P68B1DB1-TableParagraph13"/>
              <w:spacing w:before="108"/>
              <w:jc w:val="both"/>
              <w:rPr>
                <w:b/>
                <w:bCs/>
              </w:rPr>
            </w:pPr>
            <w:r>
              <w:lastRenderedPageBreak/>
              <w:t>Ifall inga buffertkrav är tillämpliga ska endast punkt i) redovisas.</w:t>
            </w:r>
          </w:p>
        </w:tc>
      </w:tr>
    </w:tbl>
    <w:p w14:paraId="7FE1B712" w14:textId="77777777" w:rsidR="0057131B" w:rsidRDefault="0057131B">
      <w:pPr>
        <w:rPr>
          <w:rFonts w:ascii="Times New Roman" w:hAnsi="Times New Roman" w:cs="Times New Roman"/>
        </w:rPr>
      </w:pPr>
    </w:p>
    <w:p w14:paraId="7FE1B713" w14:textId="77777777" w:rsidR="0057131B" w:rsidRDefault="0057131B">
      <w:pPr>
        <w:rPr>
          <w:rFonts w:ascii="Times New Roman" w:hAnsi="Times New Roman" w:cs="Times New Roman"/>
        </w:rPr>
      </w:pPr>
    </w:p>
    <w:p w14:paraId="7FE1B714" w14:textId="77777777" w:rsidR="0057131B" w:rsidRDefault="00355A1C">
      <w:pPr>
        <w:pStyle w:val="P68B1DB1-Instructionsberschrift25"/>
        <w:numPr>
          <w:ilvl w:val="1"/>
          <w:numId w:val="49"/>
        </w:numPr>
        <w:ind w:left="357" w:hanging="357"/>
      </w:pPr>
      <w:bookmarkStart w:id="61" w:name="_Toc210901285"/>
      <w:r>
        <w:t>Z 03.02 – Kapitalbaskrav – värdepappersföretag (LIAB 3)</w:t>
      </w:r>
      <w:bookmarkEnd w:id="61"/>
    </w:p>
    <w:p w14:paraId="7FE1B715" w14:textId="77777777" w:rsidR="0057131B" w:rsidRDefault="00355A1C">
      <w:pPr>
        <w:pStyle w:val="Instructionsberschrift3"/>
      </w:pPr>
      <w:r>
        <w:t>Allmänna kommentarer</w:t>
      </w:r>
    </w:p>
    <w:p w14:paraId="7FE1B716" w14:textId="77777777" w:rsidR="0057131B" w:rsidRDefault="00355A1C">
      <w:pPr>
        <w:pStyle w:val="Instructionsberschrift3"/>
        <w:numPr>
          <w:ilvl w:val="4"/>
          <w:numId w:val="260"/>
        </w:numPr>
      </w:pPr>
      <w:r>
        <w:t>Denna mall innehåller information om enhetens eller koncernens kapitalbaskrav.</w:t>
      </w:r>
    </w:p>
    <w:p w14:paraId="7FE1B717" w14:textId="1213D388" w:rsidR="0057131B" w:rsidRDefault="00355A1C">
      <w:pPr>
        <w:pStyle w:val="Instructionsberschrift3"/>
        <w:numPr>
          <w:ilvl w:val="4"/>
          <w:numId w:val="260"/>
        </w:numPr>
      </w:pPr>
      <w:r>
        <w:t>All redovisad information ska återspegla de kapitalbaskrav som är tillämpliga på rapporteringsreferensdagen.</w:t>
      </w:r>
    </w:p>
    <w:p w14:paraId="666AF7EE" w14:textId="2B6DCE12" w:rsidR="0057131B" w:rsidRDefault="00355A1C">
      <w:pPr>
        <w:pStyle w:val="P68B1DB1-ListParagraph23"/>
        <w:numPr>
          <w:ilvl w:val="4"/>
          <w:numId w:val="260"/>
        </w:numPr>
      </w:pPr>
      <w:r>
        <w:t>Om dessa datapunkter redan har rapporterats av företaget i IFREP för samma referensdatum och rapporteringsomfattning (se IFREP:s hänvisningar i instruktionerna) behöver det rapporterande företaget inte rapportera dessa datapunkter en andra gång för rapportering på koncernnivå eller individuell nivå. Uppgifter behöver endast rapporteras, till exempel om den rapporterande enheten har undantagits från finansiella eller tillsynsmässiga rapporteringsskyldigheter, i vilket fall den enda datakällan för resolutionsmyndigheterna för dessa datapunkter är denna rapport.</w:t>
      </w:r>
    </w:p>
    <w:p w14:paraId="1DA6CBB2" w14:textId="77777777" w:rsidR="0057131B" w:rsidRDefault="0057131B">
      <w:pPr>
        <w:pStyle w:val="Instructionsberschrift3"/>
        <w:numPr>
          <w:ilvl w:val="4"/>
          <w:numId w:val="260"/>
        </w:numPr>
      </w:pPr>
    </w:p>
    <w:p w14:paraId="7FE1B718" w14:textId="4C8CE473" w:rsidR="0057131B" w:rsidRDefault="0057131B">
      <w:pPr>
        <w:pStyle w:val="InstructionsText2"/>
        <w:numPr>
          <w:ilvl w:val="0"/>
          <w:numId w:val="0"/>
        </w:numPr>
        <w:spacing w:before="0"/>
        <w:ind w:left="1440"/>
        <w:rPr>
          <w:rFonts w:ascii="Times New Roman" w:hAnsi="Times New Roman" w:cs="Times New Roman"/>
          <w:sz w:val="20"/>
          <w:szCs w:val="20"/>
        </w:rPr>
      </w:pPr>
    </w:p>
    <w:p w14:paraId="7FE1B719" w14:textId="77777777" w:rsidR="0057131B" w:rsidRDefault="00355A1C">
      <w:pPr>
        <w:pStyle w:val="Instructionsberschrift3"/>
      </w:pPr>
      <w:r>
        <w:t>Instruktioner för specifika positioner</w:t>
      </w:r>
    </w:p>
    <w:p w14:paraId="7FE1B71A" w14:textId="77777777" w:rsidR="0057131B" w:rsidRDefault="0057131B">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57131B"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57131B" w:rsidRDefault="00355A1C">
            <w:pPr>
              <w:pStyle w:val="P68B1DB1-TableParagraph13"/>
              <w:spacing w:before="66"/>
              <w:rPr>
                <w:rFonts w:eastAsia="Cambria"/>
              </w:rPr>
            </w:pPr>
            <w:r>
              <w:t>Rad</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57131B" w:rsidRDefault="00355A1C">
            <w:pPr>
              <w:pStyle w:val="P68B1DB1-TableParagraph13"/>
              <w:spacing w:before="66"/>
              <w:ind w:right="1"/>
              <w:jc w:val="center"/>
              <w:rPr>
                <w:rFonts w:eastAsia="Cambria"/>
              </w:rPr>
            </w:pPr>
            <w:r>
              <w:t>Anvisningar</w:t>
            </w:r>
          </w:p>
        </w:tc>
      </w:tr>
      <w:tr w:rsidR="0057131B"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57131B" w:rsidRDefault="00355A1C">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57131B" w:rsidRDefault="00355A1C">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Totalt kapitalbaskrav </w:t>
            </w:r>
            <w:r>
              <w:rPr>
                <w:rStyle w:val="InstructionsTabelleberschrift"/>
                <w:rFonts w:ascii="Times New Roman" w:hAnsi="Times New Roman"/>
                <w:color w:val="000000" w:themeColor="text1"/>
                <w:szCs w:val="20"/>
              </w:rPr>
              <w:t>(IFREP I 02.01 r0130)</w:t>
            </w:r>
          </w:p>
          <w:p w14:paraId="29B1A135" w14:textId="77777777" w:rsidR="0057131B" w:rsidRDefault="0057131B">
            <w:pPr>
              <w:rPr>
                <w:rStyle w:val="InstructionsTabelleberschrift"/>
                <w:rFonts w:ascii="Times New Roman" w:hAnsi="Times New Roman"/>
                <w:color w:val="000000" w:themeColor="text1"/>
                <w:szCs w:val="20"/>
                <w:u w:val="none"/>
              </w:rPr>
            </w:pPr>
          </w:p>
          <w:p w14:paraId="4F8C79FA" w14:textId="210F9E6A" w:rsidR="0057131B" w:rsidRDefault="00355A1C">
            <w:pPr>
              <w:pStyle w:val="P68B1DB1-TableParagraph17"/>
              <w:spacing w:before="108"/>
            </w:pPr>
            <w:r>
              <w:t>Ett värdepappersföretags totala kapitalbaskrav ska bestå av summan av dess tillämpliga kapitalbaskrav på referensdatum, det ytterligare kapitalbaskrav som anges på rad 0120 och riktlinje för de ytterligare kapitalbaskrav som anges på rad 0130.</w:t>
            </w:r>
          </w:p>
          <w:p w14:paraId="7FE1B721" w14:textId="77777777" w:rsidR="0057131B" w:rsidRDefault="0057131B">
            <w:pPr>
              <w:pStyle w:val="TableParagraph"/>
              <w:spacing w:before="108"/>
              <w:rPr>
                <w:rFonts w:ascii="Times New Roman" w:hAnsi="Times New Roman" w:cs="Times New Roman"/>
                <w:color w:val="000000" w:themeColor="text1"/>
                <w:sz w:val="20"/>
                <w:szCs w:val="20"/>
              </w:rPr>
            </w:pPr>
          </w:p>
        </w:tc>
      </w:tr>
      <w:tr w:rsidR="0057131B"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57131B" w:rsidRDefault="00355A1C">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57131B" w:rsidRDefault="00355A1C">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Kapitalbaskrav ( </w:t>
            </w:r>
            <w:r>
              <w:rPr>
                <w:rStyle w:val="InstructionsTabelleberschrift"/>
                <w:rFonts w:ascii="Times New Roman" w:hAnsi="Times New Roman"/>
                <w:color w:val="000000" w:themeColor="text1"/>
                <w:szCs w:val="20"/>
              </w:rPr>
              <w:t>IFREP I 02.01 r0010)</w:t>
            </w:r>
          </w:p>
          <w:p w14:paraId="74086713" w14:textId="7F827C2E" w:rsidR="0057131B" w:rsidRDefault="00355A1C">
            <w:pPr>
              <w:pStyle w:val="P68B1DB1-TableParagraph17"/>
              <w:spacing w:before="108"/>
            </w:pPr>
            <w:r>
              <w:t>Artikel 11.1 i förordning (EU) 2019/2033.</w:t>
            </w:r>
          </w:p>
          <w:p w14:paraId="016729EC" w14:textId="77777777" w:rsidR="0057131B" w:rsidRDefault="00355A1C">
            <w:pPr>
              <w:pStyle w:val="P68B1DB1-TableParagraph17"/>
              <w:spacing w:before="108"/>
            </w:pPr>
            <w:r>
              <w:t>Beloppet ska vara lika med beloppet utan tillämpning av artikel 57.3, 57.4 eller 57.6 i förordning (EU) 2019/2033.</w:t>
            </w:r>
          </w:p>
          <w:p w14:paraId="7FE1B727" w14:textId="77777777" w:rsidR="0057131B" w:rsidRDefault="0057131B">
            <w:pPr>
              <w:pStyle w:val="TableParagraph"/>
              <w:spacing w:before="108"/>
              <w:jc w:val="both"/>
              <w:rPr>
                <w:rFonts w:ascii="Times New Roman" w:eastAsia="Cambria" w:hAnsi="Times New Roman" w:cs="Times New Roman"/>
                <w:color w:val="000000" w:themeColor="text1"/>
                <w:sz w:val="20"/>
                <w:szCs w:val="20"/>
              </w:rPr>
            </w:pPr>
          </w:p>
        </w:tc>
      </w:tr>
      <w:tr w:rsidR="0057131B"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57131B" w:rsidRDefault="00355A1C">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57131B" w:rsidRDefault="00355A1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Krav på ytterligare kapitalbas </w:t>
            </w:r>
            <w:r>
              <w:rPr>
                <w:rStyle w:val="InstructionsTabelleberschrift"/>
                <w:rFonts w:ascii="Times New Roman" w:hAnsi="Times New Roman"/>
                <w:color w:val="000000" w:themeColor="text1"/>
                <w:szCs w:val="20"/>
              </w:rPr>
              <w:t>(IFREP I 02.01 r0110)</w:t>
            </w:r>
          </w:p>
          <w:p w14:paraId="05BFD23E" w14:textId="06165C78" w:rsidR="0057131B" w:rsidRDefault="00355A1C">
            <w:pPr>
              <w:pStyle w:val="P68B1DB1-TableParagraph17"/>
              <w:spacing w:before="108"/>
              <w:jc w:val="both"/>
            </w:pPr>
            <w:r>
              <w:t>Artikel 40 i direktiv (EU) 2019/2034.</w:t>
            </w:r>
          </w:p>
          <w:p w14:paraId="2AF15530" w14:textId="77777777" w:rsidR="0057131B" w:rsidRDefault="00355A1C">
            <w:pPr>
              <w:pStyle w:val="P68B1DB1-TableParagraph13"/>
              <w:spacing w:before="108"/>
              <w:jc w:val="both"/>
            </w:pPr>
            <w:r>
              <w:t xml:space="preserve">Ytterligare kapitalbas som krävs enligt översyns- och utvärderingsprocessen. </w:t>
            </w:r>
          </w:p>
          <w:p w14:paraId="7FE1B72E" w14:textId="77777777" w:rsidR="0057131B" w:rsidRDefault="0057131B">
            <w:pPr>
              <w:pStyle w:val="TableParagraph"/>
              <w:spacing w:before="108"/>
              <w:rPr>
                <w:rFonts w:ascii="Times New Roman" w:eastAsia="Cambria" w:hAnsi="Times New Roman" w:cs="Times New Roman"/>
                <w:color w:val="000000" w:themeColor="text1"/>
                <w:sz w:val="20"/>
                <w:szCs w:val="20"/>
              </w:rPr>
            </w:pPr>
          </w:p>
        </w:tc>
      </w:tr>
      <w:tr w:rsidR="0057131B"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57131B" w:rsidRDefault="00355A1C">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57131B" w:rsidRDefault="00355A1C">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Riktlinjer för ytterligare kapitalbas </w:t>
            </w:r>
            <w:r>
              <w:rPr>
                <w:rStyle w:val="InstructionsTabelleberschrift"/>
                <w:rFonts w:ascii="Times New Roman" w:hAnsi="Times New Roman"/>
                <w:color w:val="000000" w:themeColor="text1"/>
                <w:szCs w:val="20"/>
              </w:rPr>
              <w:t>(IFREP I 02.01 r0120)</w:t>
            </w:r>
          </w:p>
          <w:p w14:paraId="4094919F" w14:textId="67C4E4FA" w:rsidR="0057131B" w:rsidRDefault="00355A1C">
            <w:pPr>
              <w:pStyle w:val="P68B1DB1-TableParagraph17"/>
              <w:spacing w:before="108"/>
            </w:pPr>
            <w:r>
              <w:t>Artikel 41 i direktiv (EU) 2019/2034.</w:t>
            </w:r>
          </w:p>
          <w:p w14:paraId="1EA34579" w14:textId="77777777" w:rsidR="0057131B" w:rsidRDefault="00355A1C">
            <w:pPr>
              <w:pStyle w:val="P68B1DB1-TableParagraph17"/>
              <w:spacing w:before="108"/>
            </w:pPr>
            <w:r>
              <w:t>Ytterligare kapitalbas som krävs som riktlinje för ytterligare kapitalbas.</w:t>
            </w:r>
          </w:p>
          <w:p w14:paraId="7FE1B736" w14:textId="77777777" w:rsidR="0057131B" w:rsidRDefault="0057131B">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57131B" w:rsidRDefault="0057131B">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57131B" w:rsidRDefault="0057131B">
      <w:pPr>
        <w:pStyle w:val="Instructionsberschrift3"/>
        <w:numPr>
          <w:ilvl w:val="0"/>
          <w:numId w:val="0"/>
        </w:numPr>
        <w:ind w:left="720" w:hanging="432"/>
      </w:pPr>
    </w:p>
    <w:p w14:paraId="7FE1B742" w14:textId="77777777" w:rsidR="0057131B" w:rsidRDefault="0057131B">
      <w:pPr>
        <w:pStyle w:val="Instructionsberschrift3"/>
        <w:numPr>
          <w:ilvl w:val="0"/>
          <w:numId w:val="0"/>
        </w:numPr>
        <w:ind w:left="720" w:hanging="432"/>
      </w:pPr>
    </w:p>
    <w:p w14:paraId="7FE1B743" w14:textId="77777777" w:rsidR="0057131B" w:rsidRDefault="0057131B">
      <w:pPr>
        <w:pStyle w:val="Instructionsberschrift3"/>
        <w:numPr>
          <w:ilvl w:val="0"/>
          <w:numId w:val="0"/>
        </w:numPr>
        <w:ind w:left="720" w:hanging="432"/>
      </w:pPr>
    </w:p>
    <w:p w14:paraId="7FE1B744" w14:textId="49BA0C03" w:rsidR="0057131B" w:rsidRDefault="0057131B">
      <w:pPr>
        <w:rPr>
          <w:rFonts w:ascii="Times New Roman" w:hAnsi="Times New Roman" w:cs="Times New Roman"/>
          <w:color w:val="000000" w:themeColor="text1"/>
          <w:sz w:val="20"/>
          <w:szCs w:val="20"/>
        </w:rPr>
      </w:pPr>
    </w:p>
    <w:p w14:paraId="7FE1B745" w14:textId="016BA1E4" w:rsidR="0057131B" w:rsidRDefault="00355A1C">
      <w:pPr>
        <w:pStyle w:val="P68B1DB1-Instructionsberschrift25"/>
        <w:numPr>
          <w:ilvl w:val="1"/>
          <w:numId w:val="49"/>
        </w:numPr>
        <w:ind w:left="357" w:hanging="357"/>
      </w:pPr>
      <w:bookmarkStart w:id="62" w:name="_Toc492542324"/>
      <w:bookmarkStart w:id="63" w:name="_Toc81454182"/>
      <w:bookmarkStart w:id="64" w:name="_Toc210901286"/>
      <w:r>
        <w:t>Z 04.00 – Finansiell sammanlänkning inom koncernen (LIAB 4)</w:t>
      </w:r>
      <w:bookmarkEnd w:id="62"/>
      <w:bookmarkEnd w:id="63"/>
      <w:bookmarkEnd w:id="64"/>
    </w:p>
    <w:p w14:paraId="7FE1B746" w14:textId="77777777" w:rsidR="0057131B" w:rsidRDefault="00355A1C">
      <w:pPr>
        <w:pStyle w:val="Instructionsberschrift3"/>
      </w:pPr>
      <w:r>
        <w:t>Allmänna kommentarer</w:t>
      </w:r>
    </w:p>
    <w:p w14:paraId="7FE1B747" w14:textId="3BB98E0B" w:rsidR="0057131B" w:rsidRDefault="00355A1C">
      <w:pPr>
        <w:pStyle w:val="P68B1DB1-InstructionsText26"/>
        <w:numPr>
          <w:ilvl w:val="0"/>
          <w:numId w:val="232"/>
        </w:numPr>
        <w:spacing w:before="0"/>
      </w:pPr>
      <w:r>
        <w:t xml:space="preserve">Denna mall kräver information om koncerninterna skulder, kapitalinstrument och garantier. </w:t>
      </w:r>
    </w:p>
    <w:p w14:paraId="7FE1B748" w14:textId="588B1EC0" w:rsidR="0057131B" w:rsidRDefault="00355A1C">
      <w:pPr>
        <w:pStyle w:val="P68B1DB1-InstructionsText26"/>
        <w:numPr>
          <w:ilvl w:val="0"/>
          <w:numId w:val="232"/>
        </w:numPr>
        <w:spacing w:before="0"/>
      </w:pPr>
      <w:r>
        <w:t>All finansiell sammanlänkning mellan juridiska personer som ingår i den konsoliderade finansiella rapporten ska redovisas. Redovisade belopp som avser samma motpart ska samlas ihop (både efter utfärdare och garanterad enhet samt borgenär, innehavare och garantigivare) och även ordnas efter skuldtyp, kapitalinstrument eller garanti.</w:t>
      </w:r>
    </w:p>
    <w:p w14:paraId="7FE1B749" w14:textId="77777777" w:rsidR="0057131B" w:rsidRDefault="00355A1C">
      <w:pPr>
        <w:pStyle w:val="P68B1DB1-InstructionsText26"/>
        <w:numPr>
          <w:ilvl w:val="0"/>
          <w:numId w:val="232"/>
        </w:numPr>
        <w:spacing w:before="0"/>
      </w:pPr>
      <w:r>
        <w:t>Kombinationen av värden som redovisas i kolumnerna 0020, 0040 och 0050 i denna mall utgör en primärnyckel som måste vara unik för varje rad i mallen.</w:t>
      </w:r>
    </w:p>
    <w:p w14:paraId="7FE1B74A" w14:textId="77777777" w:rsidR="0057131B" w:rsidRDefault="00355A1C">
      <w:pPr>
        <w:pStyle w:val="P68B1DB1-Instructionsberschrift312"/>
      </w:pPr>
      <w:r>
        <w:t>Instruktioner för specifika positioner</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57131B"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57131B" w:rsidRDefault="00355A1C">
            <w:pPr>
              <w:pStyle w:val="P68B1DB1-TableParagraph13"/>
              <w:spacing w:before="66"/>
              <w:rPr>
                <w:rFonts w:eastAsia="Cambria"/>
              </w:rPr>
            </w:pPr>
            <w:r>
              <w:t>Kolumner</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57131B" w:rsidRDefault="00355A1C">
            <w:pPr>
              <w:pStyle w:val="P68B1DB1-TableParagraph13"/>
              <w:spacing w:before="66"/>
              <w:ind w:right="1"/>
              <w:jc w:val="center"/>
              <w:rPr>
                <w:rFonts w:eastAsia="Cambria"/>
              </w:rPr>
            </w:pPr>
            <w:r>
              <w:t>Anvisningar</w:t>
            </w:r>
          </w:p>
        </w:tc>
      </w:tr>
      <w:tr w:rsidR="0057131B"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57131B" w:rsidRDefault="00355A1C">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57131B" w:rsidRDefault="00355A1C">
            <w:pPr>
              <w:pStyle w:val="P68B1DB1-TableParagraph14"/>
              <w:spacing w:before="108"/>
              <w:ind w:left="85"/>
              <w:jc w:val="both"/>
              <w:rPr>
                <w:bCs/>
              </w:rPr>
            </w:pPr>
            <w:r>
              <w:t>Utfärdare eller garanterad enhet</w:t>
            </w:r>
          </w:p>
          <w:p w14:paraId="7FE1B750" w14:textId="77777777" w:rsidR="0057131B" w:rsidRDefault="00355A1C">
            <w:pPr>
              <w:pStyle w:val="P68B1DB1-TableParagraph17"/>
              <w:spacing w:before="108"/>
              <w:ind w:left="85"/>
              <w:jc w:val="both"/>
            </w:pPr>
            <w:r>
              <w:t>Juridisk person som utfärdar skulderna eller kapitalinstrumenten, eller är en garanterad enhet.</w:t>
            </w:r>
          </w:p>
        </w:tc>
      </w:tr>
      <w:tr w:rsidR="0057131B"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57131B" w:rsidRDefault="00355A1C">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57131B" w:rsidRDefault="00355A1C">
            <w:pPr>
              <w:pStyle w:val="P68B1DB1-TableParagraph14"/>
              <w:spacing w:before="108"/>
              <w:ind w:left="85"/>
              <w:jc w:val="both"/>
              <w:rPr>
                <w:bCs/>
              </w:rPr>
            </w:pPr>
            <w:r>
              <w:t xml:space="preserve">Enhetsnamn </w:t>
            </w:r>
          </w:p>
          <w:p w14:paraId="7FE1B754" w14:textId="77777777" w:rsidR="0057131B" w:rsidRDefault="00355A1C">
            <w:pPr>
              <w:pStyle w:val="P68B1DB1-TableParagraph17"/>
              <w:spacing w:before="108"/>
              <w:ind w:left="85"/>
              <w:jc w:val="both"/>
            </w:pPr>
            <w:r>
              <w:t xml:space="preserve">Måste vara en annan enhet än den som anges i kolumn 0030. </w:t>
            </w:r>
          </w:p>
        </w:tc>
      </w:tr>
      <w:tr w:rsidR="0057131B"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57131B" w:rsidRDefault="00355A1C">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57131B" w:rsidRDefault="00355A1C">
            <w:pPr>
              <w:pStyle w:val="P68B1DB1-TableParagraph14"/>
              <w:spacing w:before="108"/>
              <w:ind w:left="85"/>
              <w:jc w:val="both"/>
              <w:rPr>
                <w:bCs/>
              </w:rPr>
            </w:pPr>
            <w:r>
              <w:t>Kod</w:t>
            </w:r>
          </w:p>
          <w:p w14:paraId="22E99FB3" w14:textId="77777777" w:rsidR="0057131B" w:rsidRDefault="00355A1C">
            <w:pPr>
              <w:pStyle w:val="P68B1DB1-TableParagraph17"/>
              <w:spacing w:before="108"/>
              <w:ind w:left="85"/>
              <w:jc w:val="both"/>
            </w:pPr>
            <w:r>
              <w:t xml:space="preserve">Utfärdarens eller garantimottagarens kod. </w:t>
            </w:r>
          </w:p>
          <w:p w14:paraId="4BE5BA2E" w14:textId="5E7AE5A4" w:rsidR="0057131B" w:rsidRDefault="00355A1C">
            <w:pPr>
              <w:pStyle w:val="P68B1DB1-TableParagraph17"/>
              <w:spacing w:before="108"/>
              <w:ind w:left="85"/>
              <w:jc w:val="both"/>
            </w:pPr>
            <w:r>
              <w:t>För institut med identifieringskod för juridiska personer (LEI-kod), den 20-siffriga alfanumeriska LEI-koden.</w:t>
            </w:r>
          </w:p>
          <w:p w14:paraId="7FE1B758" w14:textId="458CE8E3" w:rsidR="0057131B" w:rsidRDefault="00355A1C">
            <w:pPr>
              <w:pStyle w:val="P68B1DB1-TableParagraph17"/>
              <w:spacing w:before="108"/>
              <w:ind w:left="85"/>
              <w:jc w:val="both"/>
            </w:pPr>
            <w:r>
              <w:t>Om den inte är tillgänglig, använd MFI-koden eller en kod enligt en enhetlig kodifiering som är tillämplig i unionen.</w:t>
            </w:r>
          </w:p>
          <w:p w14:paraId="7FE1B759" w14:textId="77777777" w:rsidR="0057131B" w:rsidRDefault="00355A1C">
            <w:pPr>
              <w:pStyle w:val="P68B1DB1-TableParagraph17"/>
              <w:spacing w:before="108"/>
              <w:ind w:left="85"/>
              <w:jc w:val="both"/>
            </w:pPr>
            <w:r>
              <w:t>Koden ska vara unik och användas konsekvent i mallarna.</w:t>
            </w:r>
          </w:p>
          <w:p w14:paraId="7FE1B75A" w14:textId="77777777" w:rsidR="0057131B" w:rsidRDefault="00355A1C">
            <w:pPr>
              <w:pStyle w:val="P68B1DB1-TableParagraph17"/>
              <w:spacing w:before="108"/>
              <w:ind w:left="85"/>
              <w:jc w:val="both"/>
            </w:pPr>
            <w:r>
              <w:t>Koden måste skilja sig från den kod som anges i kolumn 0040.</w:t>
            </w:r>
          </w:p>
          <w:p w14:paraId="7FE1B75B" w14:textId="77777777" w:rsidR="0057131B" w:rsidRDefault="0057131B">
            <w:pPr>
              <w:pStyle w:val="TableParagraph"/>
              <w:spacing w:before="108"/>
              <w:ind w:left="85"/>
              <w:jc w:val="both"/>
              <w:rPr>
                <w:rFonts w:ascii="Times New Roman" w:eastAsia="Cambria" w:hAnsi="Times New Roman" w:cs="Times New Roman"/>
                <w:color w:val="000000" w:themeColor="text1"/>
                <w:sz w:val="20"/>
                <w:szCs w:val="20"/>
              </w:rPr>
            </w:pPr>
          </w:p>
        </w:tc>
      </w:tr>
      <w:tr w:rsidR="0057131B"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57131B" w:rsidRDefault="00355A1C">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57131B" w:rsidRDefault="00355A1C">
            <w:pPr>
              <w:pStyle w:val="P68B1DB1-TableParagraph14"/>
              <w:spacing w:before="108"/>
              <w:ind w:left="85"/>
              <w:jc w:val="both"/>
              <w:rPr>
                <w:bCs/>
              </w:rPr>
            </w:pPr>
            <w:r>
              <w:t>Typ av kod</w:t>
            </w:r>
          </w:p>
          <w:p w14:paraId="7FE1B75F" w14:textId="2A2E5952" w:rsidR="0057131B" w:rsidRDefault="00355A1C">
            <w:pPr>
              <w:pStyle w:val="P68B1DB1-TableParagraph13"/>
              <w:spacing w:before="108"/>
              <w:ind w:left="85"/>
              <w:jc w:val="both"/>
              <w:rPr>
                <w:bCs/>
              </w:rPr>
            </w:pPr>
            <w:r>
              <w:t xml:space="preserve">Koden ska vara densamma som den som rapporteras i mall Z 01.01 (ORG 1). </w:t>
            </w:r>
          </w:p>
          <w:p w14:paraId="7FE1B761" w14:textId="635A8A91" w:rsidR="0057131B" w:rsidRDefault="00355A1C">
            <w:pPr>
              <w:pStyle w:val="P68B1DB1-TableParagraph13"/>
              <w:spacing w:before="108"/>
              <w:ind w:left="85"/>
              <w:jc w:val="both"/>
              <w:rPr>
                <w:bCs/>
              </w:rPr>
            </w:pPr>
            <w:r>
              <w:t>Välj en av följande alternativ: ”LEI-kod”, ”MFI-kod” eller ”Typ av identifierare, utom LEI-kod eller MFI-kod.</w:t>
            </w:r>
          </w:p>
          <w:p w14:paraId="7FE1B762" w14:textId="77777777" w:rsidR="0057131B" w:rsidRDefault="00355A1C">
            <w:pPr>
              <w:pStyle w:val="P68B1DB1-TableParagraph13"/>
              <w:spacing w:before="108"/>
              <w:ind w:left="85"/>
              <w:jc w:val="both"/>
              <w:rPr>
                <w:b/>
                <w:bCs/>
              </w:rPr>
            </w:pPr>
            <w:r>
              <w:lastRenderedPageBreak/>
              <w:t>För identifiering av enheter eller investeringsobjekt ska båda koderna och typerna användas konsekvent i mallarna.</w:t>
            </w:r>
          </w:p>
        </w:tc>
      </w:tr>
      <w:tr w:rsidR="0057131B"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57131B" w:rsidRDefault="00355A1C">
            <w:pPr>
              <w:pStyle w:val="P68B1DB1-TableParagraph13"/>
              <w:spacing w:before="106"/>
              <w:ind w:left="-1"/>
            </w:pPr>
            <w:r>
              <w:lastRenderedPageBreak/>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57131B" w:rsidRDefault="00355A1C">
            <w:pPr>
              <w:pStyle w:val="P68B1DB1-TableParagraph14"/>
              <w:spacing w:before="108"/>
              <w:ind w:left="85"/>
              <w:jc w:val="both"/>
              <w:rPr>
                <w:bCs/>
              </w:rPr>
            </w:pPr>
            <w:r>
              <w:t>Kreditgivare, innehavare eller garantigivare</w:t>
            </w:r>
          </w:p>
          <w:p w14:paraId="7FE1B766" w14:textId="77777777" w:rsidR="0057131B" w:rsidRDefault="00355A1C">
            <w:pPr>
              <w:pStyle w:val="P68B1DB1-TableParagraph17"/>
              <w:spacing w:before="108"/>
              <w:ind w:left="85"/>
              <w:jc w:val="both"/>
            </w:pPr>
            <w:r>
              <w:t>Juridisk person som är skuldens borgenär, innehavare av kapitalinstrumentet eller tillhandahåller garantin.</w:t>
            </w:r>
          </w:p>
        </w:tc>
      </w:tr>
      <w:tr w:rsidR="0057131B"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57131B" w:rsidRDefault="00355A1C">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57131B" w:rsidRDefault="00355A1C">
            <w:pPr>
              <w:pStyle w:val="P68B1DB1-TableParagraph14"/>
              <w:spacing w:before="108"/>
              <w:ind w:left="85"/>
              <w:jc w:val="both"/>
              <w:rPr>
                <w:bCs/>
              </w:rPr>
            </w:pPr>
            <w:r>
              <w:t xml:space="preserve">Enhetsnamn </w:t>
            </w:r>
          </w:p>
          <w:p w14:paraId="7FE1B76A" w14:textId="77777777" w:rsidR="0057131B" w:rsidRDefault="00355A1C">
            <w:pPr>
              <w:pStyle w:val="P68B1DB1-TableParagraph17"/>
              <w:spacing w:before="108"/>
              <w:ind w:left="85"/>
              <w:jc w:val="both"/>
            </w:pPr>
            <w:r>
              <w:t xml:space="preserve">Måste skilja sig från enhetsnamnet som anges i kolumn 0010. </w:t>
            </w:r>
          </w:p>
        </w:tc>
      </w:tr>
      <w:tr w:rsidR="0057131B"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57131B" w:rsidRDefault="00355A1C">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57131B" w:rsidRDefault="00355A1C">
            <w:pPr>
              <w:pStyle w:val="P68B1DB1-TableParagraph14"/>
              <w:spacing w:before="108"/>
              <w:ind w:left="85"/>
              <w:jc w:val="both"/>
              <w:rPr>
                <w:bCs/>
              </w:rPr>
            </w:pPr>
            <w:r>
              <w:t>Kod</w:t>
            </w:r>
          </w:p>
          <w:p w14:paraId="07AEB6DE" w14:textId="77777777" w:rsidR="0057131B" w:rsidRDefault="00355A1C">
            <w:pPr>
              <w:pStyle w:val="P68B1DB1-TableParagraph17"/>
              <w:spacing w:before="108"/>
              <w:ind w:left="85"/>
              <w:jc w:val="both"/>
            </w:pPr>
            <w:r>
              <w:t xml:space="preserve">Koden för borgenären, innehavaren, emissionsgaranten eller garantigivaren. </w:t>
            </w:r>
          </w:p>
          <w:p w14:paraId="706B20DB" w14:textId="77777777" w:rsidR="0057131B" w:rsidRDefault="00355A1C">
            <w:pPr>
              <w:pStyle w:val="P68B1DB1-TableParagraph17"/>
              <w:spacing w:before="108"/>
              <w:ind w:left="85"/>
              <w:jc w:val="both"/>
            </w:pPr>
            <w:r>
              <w:t>För institut med identifieringskod för juridiska personer (LEI-kod), den 20-siffriga alfanumeriska LEI-koden.</w:t>
            </w:r>
          </w:p>
          <w:p w14:paraId="69DCA339" w14:textId="67781040" w:rsidR="0057131B" w:rsidRDefault="00355A1C">
            <w:pPr>
              <w:pStyle w:val="P68B1DB1-TableParagraph17"/>
              <w:spacing w:before="108"/>
              <w:ind w:left="85"/>
              <w:jc w:val="both"/>
            </w:pPr>
            <w:r>
              <w:t>Om den inte är tillgänglig, använd MFI-koden eller en kod enligt en enhetlig kodifiering som är tillämplig i unionen.</w:t>
            </w:r>
          </w:p>
          <w:p w14:paraId="7FE1B76F" w14:textId="02D6147D" w:rsidR="0057131B" w:rsidRDefault="00355A1C">
            <w:pPr>
              <w:pStyle w:val="P68B1DB1-TableParagraph17"/>
              <w:spacing w:before="108"/>
              <w:ind w:left="85"/>
              <w:jc w:val="both"/>
            </w:pPr>
            <w:r>
              <w:t>Koden ska vara unik och användas konsekvent i mallarna.</w:t>
            </w:r>
          </w:p>
          <w:p w14:paraId="1E86BFA0" w14:textId="77777777" w:rsidR="0057131B" w:rsidRDefault="00355A1C">
            <w:pPr>
              <w:pStyle w:val="P68B1DB1-TableParagraph17"/>
              <w:spacing w:before="108"/>
              <w:ind w:left="85"/>
              <w:jc w:val="both"/>
            </w:pPr>
            <w:r>
              <w:t>Måste skilja sig från den som anges i kolumn 0020.</w:t>
            </w:r>
          </w:p>
          <w:p w14:paraId="7FE1B770" w14:textId="276B100A" w:rsidR="0057131B" w:rsidRDefault="00355A1C">
            <w:pPr>
              <w:pStyle w:val="P68B1DB1-TableParagraph13"/>
              <w:spacing w:before="108"/>
              <w:ind w:left="85"/>
              <w:jc w:val="both"/>
              <w:rPr>
                <w:rFonts w:eastAsia="Cambria"/>
              </w:rPr>
            </w:pPr>
            <w:r>
              <w:t>Om kreditorn, innehavaren eller garantin är en enhet inom koncernen ska koden vara densamma som den som redovisas i mall Z 01.01 (ORG 1). För identifiering av enheter eller investeringsobjekt ska båda koderna och typerna användas konsekvent i mallarna.</w:t>
            </w:r>
          </w:p>
        </w:tc>
      </w:tr>
      <w:tr w:rsidR="0057131B"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57131B" w:rsidRDefault="00355A1C">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57131B" w:rsidRDefault="00355A1C">
            <w:pPr>
              <w:pStyle w:val="P68B1DB1-TableParagraph14"/>
              <w:spacing w:before="108"/>
              <w:ind w:left="85"/>
              <w:jc w:val="both"/>
              <w:rPr>
                <w:bCs/>
              </w:rPr>
            </w:pPr>
            <w:r>
              <w:t>Typ av kod</w:t>
            </w:r>
          </w:p>
          <w:p w14:paraId="00DFF190" w14:textId="04144C55" w:rsidR="0057131B" w:rsidRDefault="0057131B">
            <w:pPr>
              <w:pStyle w:val="TableParagraph"/>
              <w:spacing w:before="108"/>
              <w:ind w:left="85"/>
              <w:jc w:val="both"/>
              <w:rPr>
                <w:rFonts w:ascii="Times New Roman" w:hAnsi="Times New Roman" w:cs="Times New Roman"/>
                <w:bCs/>
                <w:color w:val="000000" w:themeColor="text1"/>
                <w:sz w:val="20"/>
                <w:szCs w:val="20"/>
              </w:rPr>
            </w:pPr>
          </w:p>
          <w:p w14:paraId="1CBCA0DC" w14:textId="04764F45" w:rsidR="0057131B" w:rsidRDefault="00355A1C">
            <w:pPr>
              <w:pStyle w:val="P68B1DB1-TableParagraph13"/>
              <w:spacing w:before="108" w:line="276" w:lineRule="auto"/>
              <w:ind w:left="85"/>
              <w:jc w:val="both"/>
              <w:rPr>
                <w:color w:val="000000"/>
              </w:rPr>
            </w:pPr>
            <w:bookmarkStart w:id="65" w:name="_Hlk191377037"/>
            <w:r>
              <w:t>Välj en av följande alternativ: ”LEI-kod”, ”MFI-kod” eller ”Typ av identifierare, annan än LEI-kod eller MFI-kod”.</w:t>
            </w:r>
            <w:bookmarkEnd w:id="65"/>
          </w:p>
          <w:p w14:paraId="072CFC22" w14:textId="7B94F65F" w:rsidR="0057131B" w:rsidRDefault="00355A1C">
            <w:pPr>
              <w:pStyle w:val="P68B1DB1-TableParagraph13"/>
              <w:spacing w:before="108" w:line="276" w:lineRule="auto"/>
              <w:ind w:left="85"/>
              <w:jc w:val="both"/>
              <w:rPr>
                <w:color w:val="000000"/>
              </w:rPr>
            </w:pPr>
            <w:r>
              <w:t>Typen av kod ska alltid rapporteras.</w:t>
            </w:r>
          </w:p>
          <w:p w14:paraId="63D16443" w14:textId="77777777" w:rsidR="0057131B" w:rsidRDefault="00355A1C">
            <w:pPr>
              <w:pStyle w:val="P68B1DB1-TableParagraph13"/>
              <w:spacing w:before="108" w:line="276" w:lineRule="auto"/>
              <w:ind w:left="85"/>
              <w:jc w:val="both"/>
              <w:rPr>
                <w:color w:val="000000"/>
              </w:rPr>
            </w:pPr>
            <w:r>
              <w:t>Om kreditgivaren, innehavaren eller garanten inte är en koncernenhet ska typen av kod helst vara LEI-koden.</w:t>
            </w:r>
          </w:p>
          <w:p w14:paraId="7FE1B777" w14:textId="69660BC3" w:rsidR="0057131B" w:rsidRDefault="0057131B">
            <w:pPr>
              <w:pStyle w:val="TableParagraph"/>
              <w:spacing w:before="108"/>
              <w:ind w:left="85"/>
              <w:jc w:val="both"/>
              <w:rPr>
                <w:rFonts w:ascii="Times New Roman" w:hAnsi="Times New Roman" w:cs="Times New Roman"/>
                <w:b/>
                <w:bCs/>
                <w:color w:val="000000" w:themeColor="text1"/>
                <w:sz w:val="20"/>
                <w:szCs w:val="20"/>
              </w:rPr>
            </w:pPr>
          </w:p>
        </w:tc>
      </w:tr>
      <w:tr w:rsidR="0057131B"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57131B" w:rsidRDefault="00355A1C">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57131B" w:rsidRDefault="00355A1C">
            <w:pPr>
              <w:pStyle w:val="P68B1DB1-TableParagraph14"/>
              <w:spacing w:before="108"/>
              <w:ind w:left="85"/>
              <w:jc w:val="both"/>
              <w:rPr>
                <w:bCs/>
              </w:rPr>
            </w:pPr>
            <w:r>
              <w:t>Finansiell sammanlänkning</w:t>
            </w:r>
          </w:p>
          <w:p w14:paraId="7FE1B77B" w14:textId="079D8C41" w:rsidR="0057131B" w:rsidRDefault="00355A1C">
            <w:pPr>
              <w:pStyle w:val="P68B1DB1-TableParagraph17"/>
              <w:spacing w:before="108"/>
              <w:ind w:left="85"/>
              <w:jc w:val="both"/>
            </w:pPr>
            <w:r>
              <w:t>I detta fält beskrivs finansiell sammanlänkning mellan alla juridiska personerna.</w:t>
            </w:r>
          </w:p>
        </w:tc>
      </w:tr>
      <w:tr w:rsidR="0057131B"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57131B" w:rsidRDefault="00355A1C">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57131B" w:rsidRDefault="00355A1C">
            <w:pPr>
              <w:pStyle w:val="P68B1DB1-TableParagraph14"/>
              <w:spacing w:before="108"/>
              <w:ind w:left="85"/>
              <w:jc w:val="both"/>
              <w:rPr>
                <w:bCs/>
              </w:rPr>
            </w:pPr>
            <w:r>
              <w:t>Typ</w:t>
            </w:r>
          </w:p>
          <w:p w14:paraId="7FE1B77F" w14:textId="77777777" w:rsidR="0057131B" w:rsidRDefault="00355A1C">
            <w:pPr>
              <w:pStyle w:val="P68B1DB1-TableParagraph17"/>
              <w:spacing w:before="108"/>
              <w:ind w:left="85"/>
              <w:jc w:val="both"/>
            </w:pPr>
            <w:r>
              <w:t>Välj en ur följande lista:</w:t>
            </w:r>
          </w:p>
          <w:p w14:paraId="7FE1B780" w14:textId="77777777" w:rsidR="0057131B" w:rsidRDefault="00355A1C">
            <w:pPr>
              <w:pStyle w:val="P68B1DB1-TableParagraph24"/>
              <w:spacing w:before="108"/>
              <w:ind w:left="85"/>
              <w:jc w:val="both"/>
            </w:pPr>
            <w:r>
              <w:t>Skulder inom koncernen</w:t>
            </w:r>
          </w:p>
          <w:p w14:paraId="7FE1B781" w14:textId="77777777" w:rsidR="0057131B" w:rsidRDefault="0057131B">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57131B" w:rsidRDefault="00355A1C">
            <w:pPr>
              <w:pStyle w:val="P68B1DB1-ListParagraph25"/>
              <w:numPr>
                <w:ilvl w:val="0"/>
                <w:numId w:val="54"/>
              </w:numPr>
              <w:autoSpaceDE w:val="0"/>
              <w:autoSpaceDN w:val="0"/>
              <w:adjustRightInd w:val="0"/>
              <w:ind w:left="539" w:hanging="454"/>
              <w:contextualSpacing/>
              <w:jc w:val="both"/>
            </w:pPr>
            <w:r>
              <w:t xml:space="preserve">Skulder exkluderade från skuldnedskrivning </w:t>
            </w:r>
          </w:p>
          <w:p w14:paraId="7FE1B783" w14:textId="047CAF02" w:rsidR="0057131B" w:rsidRDefault="00355A1C">
            <w:pPr>
              <w:pStyle w:val="P68B1DB1-ListParagraph25"/>
              <w:autoSpaceDE w:val="0"/>
              <w:autoSpaceDN w:val="0"/>
              <w:adjustRightInd w:val="0"/>
              <w:ind w:left="539"/>
              <w:contextualSpacing/>
              <w:jc w:val="both"/>
            </w:pPr>
            <w:r>
              <w:t>Samma definition som Z 02.00 (LIAB 1), rad 0100</w:t>
            </w:r>
          </w:p>
          <w:p w14:paraId="7FE1B784" w14:textId="77777777" w:rsidR="0057131B" w:rsidRDefault="00355A1C">
            <w:pPr>
              <w:pStyle w:val="P68B1DB1-ListParagraph25"/>
              <w:numPr>
                <w:ilvl w:val="0"/>
                <w:numId w:val="54"/>
              </w:numPr>
              <w:autoSpaceDE w:val="0"/>
              <w:autoSpaceDN w:val="0"/>
              <w:adjustRightInd w:val="0"/>
              <w:ind w:left="539" w:hanging="454"/>
              <w:contextualSpacing/>
              <w:jc w:val="both"/>
            </w:pPr>
            <w:r>
              <w:t>Insättningar, inte garanterade men prioriterade</w:t>
            </w:r>
          </w:p>
          <w:p w14:paraId="7FE1B785" w14:textId="69E9007C" w:rsidR="0057131B" w:rsidRDefault="00355A1C">
            <w:pPr>
              <w:pStyle w:val="P68B1DB1-ListParagraph25"/>
              <w:autoSpaceDE w:val="0"/>
              <w:autoSpaceDN w:val="0"/>
              <w:adjustRightInd w:val="0"/>
              <w:ind w:left="539"/>
              <w:jc w:val="both"/>
            </w:pPr>
            <w:r>
              <w:t>Samma definition som Z 02.00 (LIAB 1), rad 0310</w:t>
            </w:r>
          </w:p>
          <w:p w14:paraId="7FE1B786" w14:textId="77777777" w:rsidR="0057131B" w:rsidRDefault="00355A1C">
            <w:pPr>
              <w:pStyle w:val="P68B1DB1-ListParagraph25"/>
              <w:numPr>
                <w:ilvl w:val="0"/>
                <w:numId w:val="54"/>
              </w:numPr>
              <w:autoSpaceDE w:val="0"/>
              <w:autoSpaceDN w:val="0"/>
              <w:adjustRightInd w:val="0"/>
              <w:ind w:left="539" w:hanging="454"/>
              <w:contextualSpacing/>
              <w:jc w:val="both"/>
            </w:pPr>
            <w:r>
              <w:t>Insättningar, inte garanterade och inte prioriterade</w:t>
            </w:r>
          </w:p>
          <w:p w14:paraId="7FE1B787" w14:textId="4FA7AC10" w:rsidR="0057131B" w:rsidRDefault="00355A1C">
            <w:pPr>
              <w:pStyle w:val="P68B1DB1-ListParagraph25"/>
              <w:autoSpaceDE w:val="0"/>
              <w:autoSpaceDN w:val="0"/>
              <w:adjustRightInd w:val="0"/>
              <w:ind w:left="539"/>
              <w:jc w:val="both"/>
            </w:pPr>
            <w:r>
              <w:t>Samma definition som Z 02.00 (LIAB 1), rad 0320</w:t>
            </w:r>
          </w:p>
          <w:p w14:paraId="7FE1B788" w14:textId="77777777" w:rsidR="0057131B" w:rsidRDefault="00355A1C">
            <w:pPr>
              <w:pStyle w:val="P68B1DB1-ListParagraph25"/>
              <w:numPr>
                <w:ilvl w:val="0"/>
                <w:numId w:val="54"/>
              </w:numPr>
              <w:autoSpaceDE w:val="0"/>
              <w:autoSpaceDN w:val="0"/>
              <w:adjustRightInd w:val="0"/>
              <w:ind w:left="539" w:hanging="454"/>
              <w:contextualSpacing/>
              <w:jc w:val="both"/>
            </w:pPr>
            <w:r>
              <w:t>Skulder som kan hänföras till derivat (avräkningsbelopp)</w:t>
            </w:r>
          </w:p>
          <w:p w14:paraId="7FE1B789" w14:textId="5DAB7051" w:rsidR="0057131B" w:rsidRDefault="00355A1C">
            <w:pPr>
              <w:pStyle w:val="P68B1DB1-ListParagraph25"/>
              <w:autoSpaceDE w:val="0"/>
              <w:autoSpaceDN w:val="0"/>
              <w:adjustRightInd w:val="0"/>
              <w:ind w:left="539"/>
              <w:jc w:val="both"/>
            </w:pPr>
            <w:r>
              <w:t>Samma definition som Z 02.00 (LIAB 1), rad 0330</w:t>
            </w:r>
          </w:p>
          <w:p w14:paraId="7FE1B78A" w14:textId="77777777" w:rsidR="0057131B" w:rsidRDefault="00355A1C">
            <w:pPr>
              <w:pStyle w:val="P68B1DB1-ListParagraph25"/>
              <w:numPr>
                <w:ilvl w:val="0"/>
                <w:numId w:val="54"/>
              </w:numPr>
              <w:autoSpaceDE w:val="0"/>
              <w:autoSpaceDN w:val="0"/>
              <w:adjustRightInd w:val="0"/>
              <w:ind w:left="539" w:hanging="454"/>
              <w:contextualSpacing/>
              <w:jc w:val="both"/>
            </w:pPr>
            <w:r>
              <w:t>Icke-garanterade skulder med säkerhet</w:t>
            </w:r>
          </w:p>
          <w:p w14:paraId="7FE1B78B" w14:textId="5B0021F4" w:rsidR="0057131B" w:rsidRDefault="00355A1C">
            <w:pPr>
              <w:pStyle w:val="P68B1DB1-ListParagraph25"/>
              <w:autoSpaceDE w:val="0"/>
              <w:autoSpaceDN w:val="0"/>
              <w:adjustRightInd w:val="0"/>
              <w:ind w:left="539"/>
              <w:jc w:val="both"/>
            </w:pPr>
            <w:r>
              <w:lastRenderedPageBreak/>
              <w:t>Samma definition som Z 02.00 (LIAB 1), rad 0340</w:t>
            </w:r>
          </w:p>
          <w:p w14:paraId="7FE1B78C" w14:textId="77777777" w:rsidR="0057131B" w:rsidRDefault="00355A1C">
            <w:pPr>
              <w:pStyle w:val="P68B1DB1-ListParagraph25"/>
              <w:numPr>
                <w:ilvl w:val="0"/>
                <w:numId w:val="54"/>
              </w:numPr>
              <w:autoSpaceDE w:val="0"/>
              <w:autoSpaceDN w:val="0"/>
              <w:adjustRightInd w:val="0"/>
              <w:ind w:left="539" w:hanging="454"/>
              <w:contextualSpacing/>
              <w:jc w:val="both"/>
            </w:pPr>
            <w:r>
              <w:t>Strukturerade produkter</w:t>
            </w:r>
          </w:p>
          <w:p w14:paraId="7FE1B78D" w14:textId="7DF4D7F4" w:rsidR="0057131B" w:rsidRDefault="00355A1C">
            <w:pPr>
              <w:pStyle w:val="P68B1DB1-ListParagraph25"/>
              <w:autoSpaceDE w:val="0"/>
              <w:autoSpaceDN w:val="0"/>
              <w:adjustRightInd w:val="0"/>
              <w:ind w:left="539"/>
              <w:jc w:val="both"/>
            </w:pPr>
            <w:r>
              <w:t>Samma definition som Z 02.00 (LIAB 1), rad 0350</w:t>
            </w:r>
          </w:p>
          <w:p w14:paraId="7FE1B78E" w14:textId="77777777" w:rsidR="0057131B" w:rsidRDefault="00355A1C">
            <w:pPr>
              <w:pStyle w:val="P68B1DB1-ListParagraph25"/>
              <w:numPr>
                <w:ilvl w:val="0"/>
                <w:numId w:val="54"/>
              </w:numPr>
              <w:autoSpaceDE w:val="0"/>
              <w:autoSpaceDN w:val="0"/>
              <w:adjustRightInd w:val="0"/>
              <w:ind w:left="539" w:hanging="454"/>
              <w:contextualSpacing/>
              <w:jc w:val="both"/>
            </w:pPr>
            <w:r>
              <w:t>Seniora skulder utan säkerhet</w:t>
            </w:r>
          </w:p>
          <w:p w14:paraId="7FE1B78F" w14:textId="67CE577E" w:rsidR="0057131B" w:rsidRDefault="00355A1C">
            <w:pPr>
              <w:pStyle w:val="P68B1DB1-ListParagraph25"/>
              <w:autoSpaceDE w:val="0"/>
              <w:autoSpaceDN w:val="0"/>
              <w:adjustRightInd w:val="0"/>
              <w:ind w:left="539"/>
              <w:jc w:val="both"/>
            </w:pPr>
            <w:r>
              <w:t>Samma definition som Z 02.00 (LIAB 1), rad 0360</w:t>
            </w:r>
          </w:p>
          <w:p w14:paraId="7FE1B790" w14:textId="77777777" w:rsidR="0057131B" w:rsidRDefault="00355A1C">
            <w:pPr>
              <w:pStyle w:val="P68B1DB1-ListParagraph25"/>
              <w:numPr>
                <w:ilvl w:val="0"/>
                <w:numId w:val="54"/>
              </w:numPr>
              <w:autoSpaceDE w:val="0"/>
              <w:autoSpaceDN w:val="0"/>
              <w:adjustRightInd w:val="0"/>
              <w:ind w:left="539" w:hanging="454"/>
              <w:contextualSpacing/>
              <w:jc w:val="both"/>
            </w:pPr>
            <w:r>
              <w:t>Icke-prioriterade seniora skulder</w:t>
            </w:r>
          </w:p>
          <w:p w14:paraId="7FE1B791" w14:textId="6BECB3BB" w:rsidR="0057131B" w:rsidRDefault="00355A1C">
            <w:pPr>
              <w:pStyle w:val="P68B1DB1-ListParagraph25"/>
              <w:autoSpaceDE w:val="0"/>
              <w:autoSpaceDN w:val="0"/>
              <w:adjustRightInd w:val="0"/>
              <w:ind w:left="539"/>
              <w:contextualSpacing/>
              <w:jc w:val="both"/>
            </w:pPr>
            <w:r>
              <w:t>Samma definition som Z 02.00 (LIAB 1), rad 0365</w:t>
            </w:r>
          </w:p>
          <w:p w14:paraId="7FE1B792" w14:textId="77777777" w:rsidR="0057131B" w:rsidRDefault="00355A1C">
            <w:pPr>
              <w:pStyle w:val="P68B1DB1-ListParagraph25"/>
              <w:numPr>
                <w:ilvl w:val="0"/>
                <w:numId w:val="54"/>
              </w:numPr>
              <w:autoSpaceDE w:val="0"/>
              <w:autoSpaceDN w:val="0"/>
              <w:adjustRightInd w:val="0"/>
              <w:ind w:left="539" w:hanging="454"/>
              <w:contextualSpacing/>
              <w:jc w:val="both"/>
            </w:pPr>
            <w:r>
              <w:t>Efterställda skulder</w:t>
            </w:r>
          </w:p>
          <w:p w14:paraId="7FE1B793" w14:textId="1719A947" w:rsidR="0057131B" w:rsidRDefault="00355A1C">
            <w:pPr>
              <w:pStyle w:val="P68B1DB1-ListParagraph25"/>
              <w:autoSpaceDE w:val="0"/>
              <w:autoSpaceDN w:val="0"/>
              <w:adjustRightInd w:val="0"/>
              <w:ind w:left="539"/>
              <w:jc w:val="both"/>
            </w:pPr>
            <w:r>
              <w:t>Samma definition som Z 02.00 (LIAB 1), rad 0370</w:t>
            </w:r>
          </w:p>
          <w:p w14:paraId="7FE1B794" w14:textId="77777777" w:rsidR="0057131B" w:rsidRDefault="00355A1C">
            <w:pPr>
              <w:pStyle w:val="P68B1DB1-ListParagraph25"/>
              <w:numPr>
                <w:ilvl w:val="0"/>
                <w:numId w:val="54"/>
              </w:numPr>
              <w:autoSpaceDE w:val="0"/>
              <w:autoSpaceDN w:val="0"/>
              <w:adjustRightInd w:val="0"/>
              <w:ind w:left="539" w:hanging="454"/>
              <w:contextualSpacing/>
              <w:jc w:val="both"/>
            </w:pPr>
            <w:r>
              <w:t>Övriga MREL-kvalificerade skulder</w:t>
            </w:r>
          </w:p>
          <w:p w14:paraId="7FE1B795" w14:textId="18D60D2B" w:rsidR="0057131B" w:rsidRDefault="00355A1C">
            <w:pPr>
              <w:pStyle w:val="P68B1DB1-ListParagraph25"/>
              <w:autoSpaceDE w:val="0"/>
              <w:autoSpaceDN w:val="0"/>
              <w:adjustRightInd w:val="0"/>
              <w:ind w:left="539"/>
              <w:jc w:val="both"/>
            </w:pPr>
            <w:r>
              <w:t>Samma definition som Z 02.00 (LIAB 1), rad 0380</w:t>
            </w:r>
          </w:p>
          <w:p w14:paraId="7FE1B796" w14:textId="77777777" w:rsidR="0057131B" w:rsidRDefault="00355A1C">
            <w:pPr>
              <w:pStyle w:val="P68B1DB1-ListParagraph25"/>
              <w:numPr>
                <w:ilvl w:val="0"/>
                <w:numId w:val="54"/>
              </w:numPr>
              <w:autoSpaceDE w:val="0"/>
              <w:autoSpaceDN w:val="0"/>
              <w:adjustRightInd w:val="0"/>
              <w:ind w:left="539" w:hanging="454"/>
              <w:contextualSpacing/>
              <w:jc w:val="both"/>
            </w:pPr>
            <w:r>
              <w:t>Icke-finansiella skulder</w:t>
            </w:r>
          </w:p>
          <w:p w14:paraId="7FE1B797" w14:textId="03D8AF00" w:rsidR="0057131B" w:rsidRDefault="00355A1C">
            <w:pPr>
              <w:pStyle w:val="P68B1DB1-ListParagraph25"/>
              <w:autoSpaceDE w:val="0"/>
              <w:autoSpaceDN w:val="0"/>
              <w:adjustRightInd w:val="0"/>
              <w:ind w:left="539"/>
              <w:jc w:val="both"/>
            </w:pPr>
            <w:r>
              <w:t>Samma definition som Z 02.00 (LIAB 1), rad 0390</w:t>
            </w:r>
          </w:p>
          <w:p w14:paraId="7FE1B798" w14:textId="77777777" w:rsidR="0057131B" w:rsidRDefault="00355A1C">
            <w:pPr>
              <w:pStyle w:val="P68B1DB1-ListParagraph25"/>
              <w:numPr>
                <w:ilvl w:val="0"/>
                <w:numId w:val="54"/>
              </w:numPr>
              <w:autoSpaceDE w:val="0"/>
              <w:autoSpaceDN w:val="0"/>
              <w:adjustRightInd w:val="0"/>
              <w:ind w:left="539" w:hanging="454"/>
              <w:contextualSpacing/>
              <w:jc w:val="both"/>
            </w:pPr>
            <w:r>
              <w:t>Skulder, restposter</w:t>
            </w:r>
          </w:p>
          <w:p w14:paraId="7FE1B799" w14:textId="5E01E641" w:rsidR="0057131B" w:rsidRDefault="00355A1C">
            <w:pPr>
              <w:pStyle w:val="P68B1DB1-ListParagraph25"/>
              <w:autoSpaceDE w:val="0"/>
              <w:autoSpaceDN w:val="0"/>
              <w:adjustRightInd w:val="0"/>
              <w:ind w:left="539"/>
              <w:jc w:val="both"/>
            </w:pPr>
            <w:r>
              <w:t>Samma definition som Z 02.00 (LIAB 1), rad 0400. Skulder som inte passar in på någon av ovanstående poster.</w:t>
            </w:r>
          </w:p>
          <w:p w14:paraId="7FE1B79A" w14:textId="77777777" w:rsidR="0057131B" w:rsidRDefault="00355A1C">
            <w:pPr>
              <w:pStyle w:val="P68B1DB1-ListParagraph25"/>
              <w:numPr>
                <w:ilvl w:val="0"/>
                <w:numId w:val="54"/>
              </w:numPr>
              <w:autoSpaceDE w:val="0"/>
              <w:autoSpaceDN w:val="0"/>
              <w:adjustRightInd w:val="0"/>
              <w:ind w:left="539" w:hanging="454"/>
              <w:contextualSpacing/>
              <w:jc w:val="both"/>
            </w:pPr>
            <w:r>
              <w:t>Supplementärkapital</w:t>
            </w:r>
          </w:p>
          <w:p w14:paraId="7FE1B79B" w14:textId="1DC09C8A" w:rsidR="0057131B" w:rsidRDefault="00355A1C">
            <w:pPr>
              <w:pStyle w:val="P68B1DB1-ListParagraph25"/>
              <w:autoSpaceDE w:val="0"/>
              <w:autoSpaceDN w:val="0"/>
              <w:adjustRightInd w:val="0"/>
              <w:ind w:left="539"/>
              <w:jc w:val="both"/>
            </w:pPr>
            <w:r>
              <w:t>Samma definition som Z 02.00 (LIAB 1), rad 0530</w:t>
            </w:r>
          </w:p>
          <w:p w14:paraId="7FE1B79C" w14:textId="77777777" w:rsidR="0057131B" w:rsidRDefault="00355A1C">
            <w:pPr>
              <w:pStyle w:val="P68B1DB1-ListParagraph25"/>
              <w:numPr>
                <w:ilvl w:val="0"/>
                <w:numId w:val="54"/>
              </w:numPr>
              <w:autoSpaceDE w:val="0"/>
              <w:autoSpaceDN w:val="0"/>
              <w:adjustRightInd w:val="0"/>
              <w:ind w:left="539" w:hanging="454"/>
              <w:contextualSpacing/>
              <w:jc w:val="both"/>
            </w:pPr>
            <w:r>
              <w:t>Övrigt primärkapital för kapitaltäckningsändamål</w:t>
            </w:r>
          </w:p>
          <w:p w14:paraId="7FE1B79D" w14:textId="5EB7A3D7" w:rsidR="0057131B" w:rsidRDefault="00355A1C">
            <w:pPr>
              <w:pStyle w:val="P68B1DB1-ListParagraph25"/>
              <w:autoSpaceDE w:val="0"/>
              <w:autoSpaceDN w:val="0"/>
              <w:adjustRightInd w:val="0"/>
              <w:ind w:left="539"/>
              <w:jc w:val="both"/>
            </w:pPr>
            <w:r>
              <w:t>Samma definition som Z 02.00 (LIAB 1), rad 0520</w:t>
            </w:r>
          </w:p>
          <w:p w14:paraId="7FE1B79E" w14:textId="77777777" w:rsidR="0057131B" w:rsidRDefault="00355A1C">
            <w:pPr>
              <w:pStyle w:val="P68B1DB1-ListParagraph25"/>
              <w:numPr>
                <w:ilvl w:val="0"/>
                <w:numId w:val="54"/>
              </w:numPr>
              <w:autoSpaceDE w:val="0"/>
              <w:autoSpaceDN w:val="0"/>
              <w:adjustRightInd w:val="0"/>
              <w:ind w:left="539" w:hanging="454"/>
              <w:contextualSpacing/>
              <w:jc w:val="both"/>
            </w:pPr>
            <w:r>
              <w:t>Kärnprimärkapital</w:t>
            </w:r>
          </w:p>
          <w:p w14:paraId="7FE1B79F" w14:textId="3DF796DF" w:rsidR="0057131B" w:rsidRDefault="00355A1C">
            <w:pPr>
              <w:pStyle w:val="P68B1DB1-ListParagraph25"/>
              <w:autoSpaceDE w:val="0"/>
              <w:autoSpaceDN w:val="0"/>
              <w:adjustRightInd w:val="0"/>
              <w:ind w:left="539"/>
              <w:jc w:val="both"/>
            </w:pPr>
            <w:r>
              <w:t>Samma definition som Z 02.00 (LIAB 1), rad 0510</w:t>
            </w:r>
          </w:p>
          <w:p w14:paraId="7FE1B7A0" w14:textId="77777777" w:rsidR="0057131B" w:rsidRDefault="00355A1C">
            <w:pPr>
              <w:pStyle w:val="P68B1DB1-TableParagraph24"/>
              <w:spacing w:before="108"/>
              <w:ind w:left="85"/>
              <w:jc w:val="both"/>
            </w:pPr>
            <w:r>
              <w:t>Garantier inom koncernen</w:t>
            </w:r>
          </w:p>
          <w:p w14:paraId="7FE1B7A1" w14:textId="426DD2CE" w:rsidR="0057131B" w:rsidRDefault="00355A1C">
            <w:pPr>
              <w:pStyle w:val="P68B1DB1-ListParagraph25"/>
              <w:numPr>
                <w:ilvl w:val="0"/>
                <w:numId w:val="55"/>
              </w:numPr>
              <w:autoSpaceDE w:val="0"/>
              <w:autoSpaceDN w:val="0"/>
              <w:adjustRightInd w:val="0"/>
              <w:ind w:left="539" w:hanging="454"/>
              <w:contextualSpacing/>
              <w:jc w:val="both"/>
            </w:pPr>
            <w:r>
              <w:t>Emissionsgarantier</w:t>
            </w:r>
          </w:p>
          <w:p w14:paraId="7FE1B7A2" w14:textId="77777777" w:rsidR="0057131B" w:rsidRDefault="00355A1C">
            <w:pPr>
              <w:pStyle w:val="P68B1DB1-ListParagraph25"/>
              <w:autoSpaceDE w:val="0"/>
              <w:autoSpaceDN w:val="0"/>
              <w:adjustRightInd w:val="0"/>
              <w:ind w:left="539"/>
              <w:jc w:val="both"/>
            </w:pPr>
            <w:r>
              <w:t>Garantier för specifika instrument/skulder som har utfärdats</w:t>
            </w:r>
          </w:p>
          <w:p w14:paraId="7FE1B7A3" w14:textId="71CD6004" w:rsidR="0057131B" w:rsidRDefault="00355A1C">
            <w:pPr>
              <w:pStyle w:val="P68B1DB1-ListParagraph25"/>
              <w:numPr>
                <w:ilvl w:val="0"/>
                <w:numId w:val="55"/>
              </w:numPr>
              <w:autoSpaceDE w:val="0"/>
              <w:autoSpaceDN w:val="0"/>
              <w:adjustRightInd w:val="0"/>
              <w:ind w:left="539" w:hanging="454"/>
              <w:contextualSpacing/>
              <w:jc w:val="both"/>
            </w:pPr>
            <w:r>
              <w:t>Motpartsgarantier</w:t>
            </w:r>
          </w:p>
          <w:p w14:paraId="7FE1B7A4" w14:textId="77777777" w:rsidR="0057131B" w:rsidRDefault="00355A1C">
            <w:pPr>
              <w:pStyle w:val="P68B1DB1-ListParagraph25"/>
              <w:autoSpaceDE w:val="0"/>
              <w:autoSpaceDN w:val="0"/>
              <w:adjustRightInd w:val="0"/>
              <w:ind w:left="539"/>
              <w:jc w:val="both"/>
            </w:pPr>
            <w:r>
              <w:t>Garantier som har beviljats en specifik motpart bland institutets motparter</w:t>
            </w:r>
          </w:p>
          <w:p w14:paraId="7FE1B7A5" w14:textId="50A984E1" w:rsidR="0057131B" w:rsidRDefault="00355A1C">
            <w:pPr>
              <w:pStyle w:val="P68B1DB1-ListParagraph25"/>
              <w:numPr>
                <w:ilvl w:val="0"/>
                <w:numId w:val="55"/>
              </w:numPr>
              <w:autoSpaceDE w:val="0"/>
              <w:autoSpaceDN w:val="0"/>
              <w:adjustRightInd w:val="0"/>
              <w:ind w:left="539" w:hanging="454"/>
              <w:contextualSpacing/>
              <w:jc w:val="both"/>
            </w:pPr>
            <w:r>
              <w:t>Obegränsade garantier</w:t>
            </w:r>
          </w:p>
          <w:p w14:paraId="7FE1B7A6" w14:textId="77777777" w:rsidR="0057131B" w:rsidRDefault="00355A1C">
            <w:pPr>
              <w:pStyle w:val="P68B1DB1-ListParagraph25"/>
              <w:autoSpaceDE w:val="0"/>
              <w:autoSpaceDN w:val="0"/>
              <w:adjustRightInd w:val="0"/>
              <w:ind w:left="539"/>
              <w:jc w:val="both"/>
            </w:pPr>
            <w:r>
              <w:t xml:space="preserve">Allmänna garantier som inte är begränsade till ett fast belopp </w:t>
            </w:r>
          </w:p>
          <w:p w14:paraId="7FE1B7A7" w14:textId="391BAF8D" w:rsidR="0057131B" w:rsidRDefault="00355A1C">
            <w:pPr>
              <w:pStyle w:val="P68B1DB1-ListParagraph25"/>
              <w:numPr>
                <w:ilvl w:val="0"/>
                <w:numId w:val="55"/>
              </w:numPr>
              <w:autoSpaceDE w:val="0"/>
              <w:autoSpaceDN w:val="0"/>
              <w:adjustRightInd w:val="0"/>
              <w:ind w:left="539" w:hanging="454"/>
              <w:contextualSpacing/>
              <w:jc w:val="both"/>
            </w:pPr>
            <w:r>
              <w:t>Övriga garantier</w:t>
            </w:r>
          </w:p>
          <w:p w14:paraId="7FE1B7A8" w14:textId="77777777" w:rsidR="0057131B" w:rsidRDefault="00355A1C">
            <w:pPr>
              <w:pStyle w:val="P68B1DB1-ListParagraph25"/>
              <w:autoSpaceDE w:val="0"/>
              <w:autoSpaceDN w:val="0"/>
              <w:adjustRightInd w:val="0"/>
              <w:ind w:left="539"/>
              <w:jc w:val="both"/>
            </w:pPr>
            <w:r>
              <w:t xml:space="preserve">Samtliga garantier som inte kan räknas in bland ovanstående garantityper. </w:t>
            </w:r>
          </w:p>
        </w:tc>
      </w:tr>
      <w:tr w:rsidR="0057131B"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57131B" w:rsidRDefault="00355A1C">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57131B" w:rsidRDefault="00355A1C">
            <w:pPr>
              <w:pStyle w:val="P68B1DB1-TableParagraph14"/>
              <w:spacing w:before="108"/>
              <w:ind w:left="85"/>
              <w:jc w:val="both"/>
              <w:rPr>
                <w:bCs/>
              </w:rPr>
            </w:pPr>
            <w:r>
              <w:t>Utestående belopp</w:t>
            </w:r>
          </w:p>
          <w:p w14:paraId="7FE1B7AC" w14:textId="0BB5F57D" w:rsidR="0057131B" w:rsidRDefault="00355A1C">
            <w:pPr>
              <w:pStyle w:val="P68B1DB1-TableParagraph17"/>
              <w:spacing w:before="108"/>
              <w:ind w:left="85"/>
              <w:jc w:val="both"/>
            </w:pPr>
            <w:r>
              <w:t>För skulder i kolumn 0050, det utestående beloppet för koncerninterna skulder. För skulder som kan hänföras till derivat, avräkningsbelopp enligt definitionen för mall Z 02.00 (LIAB 1), rad 0333.</w:t>
            </w:r>
          </w:p>
          <w:p w14:paraId="7FE1B7AD" w14:textId="75442B42" w:rsidR="0057131B" w:rsidRDefault="00355A1C">
            <w:pPr>
              <w:pStyle w:val="P68B1DB1-TableParagraph17"/>
              <w:spacing w:before="108"/>
              <w:ind w:left="85"/>
              <w:jc w:val="both"/>
            </w:pPr>
            <w:r>
              <w:t xml:space="preserve">För garantier i kolumn 0050, det högsta möjliga beloppet för framtida betalningar enligt garantin. </w:t>
            </w:r>
          </w:p>
        </w:tc>
      </w:tr>
      <w:tr w:rsidR="0057131B"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57131B" w:rsidRDefault="00355A1C">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57131B" w:rsidRDefault="00355A1C">
            <w:pPr>
              <w:pStyle w:val="P68B1DB1-TableParagraph14"/>
              <w:spacing w:before="108"/>
              <w:ind w:left="85"/>
              <w:jc w:val="both"/>
              <w:rPr>
                <w:bCs/>
              </w:rPr>
            </w:pPr>
            <w:r>
              <w:t>varav:som har utfärdats enligt lagstiftning i tredjeland</w:t>
            </w:r>
          </w:p>
          <w:p w14:paraId="7FE1B7B1" w14:textId="77777777" w:rsidR="0057131B" w:rsidRDefault="00355A1C">
            <w:pPr>
              <w:pStyle w:val="P68B1DB1-TableParagraph13"/>
              <w:spacing w:before="108"/>
              <w:ind w:left="85"/>
              <w:jc w:val="both"/>
              <w:rPr>
                <w:bCs/>
              </w:rPr>
            </w:pPr>
            <w:r>
              <w:t>Andelen, i monetärt belopp, av utestående belopp som regleras av lagstiftningen i ett tredjeland.</w:t>
            </w:r>
          </w:p>
        </w:tc>
      </w:tr>
      <w:tr w:rsidR="0057131B"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57131B" w:rsidRDefault="00355A1C">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57131B" w:rsidRDefault="00355A1C">
            <w:pPr>
              <w:pStyle w:val="P68B1DB1-TableParagraph14"/>
              <w:spacing w:before="108"/>
              <w:ind w:left="85"/>
              <w:jc w:val="both"/>
              <w:rPr>
                <w:rFonts w:eastAsia="Cambria"/>
              </w:rPr>
            </w:pPr>
            <w:r>
              <w:t>varav MREL-kvalificerade</w:t>
            </w:r>
          </w:p>
          <w:p w14:paraId="7FE1B7B5" w14:textId="77777777"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Beloppet för kapitalbas och kvalificerade skulder för att uppfylla kravet i artikel 45 i direktiv 2014/59/EU i enlighet med artikel 45e eller 45f i det direktivet, beroende på vad som är tillämpligt.</w:t>
            </w:r>
            <w:r>
              <w:rPr>
                <w:rFonts w:ascii="Times New Roman" w:hAnsi="Times New Roman" w:cs="Times New Roman"/>
              </w:rPr>
              <w:t xml:space="preserve"> </w:t>
            </w:r>
            <w:r>
              <w:rPr>
                <w:rFonts w:ascii="Times New Roman" w:eastAsia="Cambria" w:hAnsi="Times New Roman" w:cs="Times New Roman"/>
                <w:color w:val="000000" w:themeColor="text1"/>
                <w:sz w:val="20"/>
                <w:szCs w:val="20"/>
              </w:rPr>
              <w:t>Endast den kapitalbas och de skulder som uppfyller kriterierna i artikel 45b eller artikel 45f.2 i direktiv 2014/59/EU, beroende på vad som är tillämpligt, med beaktande, i förekommande fall, av artikel 89.2 i BRRD och artikel 55 i BRRD ska rapporteras.</w:t>
            </w:r>
          </w:p>
        </w:tc>
      </w:tr>
    </w:tbl>
    <w:p w14:paraId="7FE1B7B7" w14:textId="77777777" w:rsidR="0057131B" w:rsidRDefault="0057131B">
      <w:pPr>
        <w:jc w:val="both"/>
        <w:rPr>
          <w:rFonts w:ascii="Times New Roman" w:hAnsi="Times New Roman" w:cs="Times New Roman"/>
          <w:color w:val="000000" w:themeColor="text1"/>
          <w:sz w:val="20"/>
          <w:szCs w:val="20"/>
        </w:rPr>
      </w:pPr>
    </w:p>
    <w:p w14:paraId="7FE1B7B8" w14:textId="548121DF" w:rsidR="0057131B" w:rsidRDefault="00355A1C">
      <w:pPr>
        <w:pStyle w:val="P68B1DB1-Instructionsberschrift25"/>
        <w:numPr>
          <w:ilvl w:val="1"/>
          <w:numId w:val="49"/>
        </w:numPr>
        <w:ind w:left="357" w:hanging="357"/>
      </w:pPr>
      <w:bookmarkStart w:id="66" w:name="_Toc492542325"/>
      <w:bookmarkStart w:id="67" w:name="_Toc81454183"/>
      <w:bookmarkStart w:id="68" w:name="_Toc210901287"/>
      <w:r>
        <w:t>Större motparter (LIAB 5–6)</w:t>
      </w:r>
      <w:bookmarkEnd w:id="66"/>
      <w:bookmarkEnd w:id="67"/>
      <w:bookmarkEnd w:id="68"/>
    </w:p>
    <w:p w14:paraId="7FE1B7B9" w14:textId="77777777" w:rsidR="0057131B" w:rsidRDefault="00355A1C">
      <w:pPr>
        <w:pStyle w:val="Instructionsberschrift3"/>
      </w:pPr>
      <w:r>
        <w:t>Allmänna kommentarer</w:t>
      </w:r>
    </w:p>
    <w:p w14:paraId="7FE1B7BA" w14:textId="77777777" w:rsidR="0057131B" w:rsidRDefault="00355A1C">
      <w:pPr>
        <w:pStyle w:val="P68B1DB1-InstructionsText26"/>
        <w:numPr>
          <w:ilvl w:val="0"/>
          <w:numId w:val="232"/>
        </w:numPr>
        <w:spacing w:before="0"/>
      </w:pPr>
      <w:r>
        <w:t xml:space="preserve">I dessa mallar samlas information om skulder till större motparter (Z 05.01) och poster utanför balansräkningen som mottagits från större motparter (Z 05.02). Rapporterade </w:t>
      </w:r>
      <w:r>
        <w:lastRenderedPageBreak/>
        <w:t>belopp ska läggas samman om de gäller samma motpart och samma typ av skulder eller poster utanför balansräkningen.</w:t>
      </w:r>
    </w:p>
    <w:p w14:paraId="7FE1B7BB" w14:textId="77777777" w:rsidR="0057131B" w:rsidRDefault="00355A1C">
      <w:pPr>
        <w:pStyle w:val="P68B1DB1-InstructionsText26"/>
        <w:numPr>
          <w:ilvl w:val="0"/>
          <w:numId w:val="232"/>
        </w:numPr>
        <w:spacing w:before="0"/>
      </w:pPr>
      <w:r>
        <w:t>Skulder samt poster utanför balansräkningen för vilka ingen motpart kan identifieras ska inte redovisas i dessa mallar. Skulder samt poster utanför balansräkningen vars motpart är en enhet som är inkluderad i den konsoliderade finansiella rapporten ska inte redovisas.</w:t>
      </w:r>
    </w:p>
    <w:p w14:paraId="7FE1B7BC" w14:textId="04BE316A" w:rsidR="0057131B" w:rsidRDefault="0057131B">
      <w:pPr>
        <w:pStyle w:val="InstructionsText2"/>
        <w:numPr>
          <w:ilvl w:val="0"/>
          <w:numId w:val="0"/>
        </w:numPr>
        <w:spacing w:before="0"/>
        <w:ind w:left="753" w:hanging="720"/>
        <w:rPr>
          <w:rFonts w:ascii="Times New Roman" w:hAnsi="Times New Roman" w:cs="Times New Roman"/>
          <w:sz w:val="20"/>
          <w:szCs w:val="20"/>
        </w:rPr>
      </w:pPr>
    </w:p>
    <w:p w14:paraId="7FE1B7BD" w14:textId="77777777" w:rsidR="0057131B" w:rsidRDefault="00355A1C">
      <w:pPr>
        <w:pStyle w:val="P68B1DB1-Instructionsberschrift25"/>
        <w:numPr>
          <w:ilvl w:val="1"/>
          <w:numId w:val="49"/>
        </w:numPr>
        <w:ind w:left="357" w:hanging="357"/>
      </w:pPr>
      <w:bookmarkStart w:id="69" w:name="_Toc210901288"/>
      <w:bookmarkStart w:id="70" w:name="_Toc81454184"/>
      <w:r>
        <w:t>Z 05.01 – Större skuldmotparter (LIAB 5)</w:t>
      </w:r>
      <w:bookmarkEnd w:id="69"/>
    </w:p>
    <w:p w14:paraId="7FE1B7BE" w14:textId="0F7A6C34" w:rsidR="0057131B" w:rsidRDefault="00355A1C">
      <w:pPr>
        <w:pStyle w:val="P68B1DB1-body26"/>
      </w:pPr>
      <w:r>
        <w:t>Instruktioner för specifika positioner</w:t>
      </w:r>
      <w:bookmarkEnd w:id="70"/>
    </w:p>
    <w:p w14:paraId="7FE1B7BF" w14:textId="77777777" w:rsidR="0057131B" w:rsidRDefault="00355A1C">
      <w:pPr>
        <w:pStyle w:val="P68B1DB1-InstructionsText26"/>
        <w:numPr>
          <w:ilvl w:val="0"/>
          <w:numId w:val="232"/>
        </w:numPr>
        <w:spacing w:before="0"/>
      </w:pPr>
      <w:r>
        <w:t>Kombinationen av värden som redovisas i kolumnerna 0020 och 0060 i denna mall utgör en primärnyckel som måste vara unik för varje rad i mallen.</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57131B"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57131B" w:rsidRDefault="00355A1C">
            <w:pPr>
              <w:pStyle w:val="P68B1DB1-TableParagraph13"/>
              <w:spacing w:before="66"/>
              <w:rPr>
                <w:rFonts w:eastAsia="Cambria"/>
              </w:rPr>
            </w:pPr>
            <w:r>
              <w:t>Kolumner</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57131B" w:rsidRDefault="00355A1C">
            <w:pPr>
              <w:pStyle w:val="P68B1DB1-TableParagraph13"/>
              <w:spacing w:before="66"/>
              <w:ind w:right="1"/>
              <w:jc w:val="center"/>
              <w:rPr>
                <w:rFonts w:eastAsia="Cambria"/>
              </w:rPr>
            </w:pPr>
            <w:r>
              <w:t>Anvisningar</w:t>
            </w:r>
          </w:p>
        </w:tc>
      </w:tr>
      <w:tr w:rsidR="0057131B"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57131B" w:rsidRDefault="00355A1C">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57131B" w:rsidRDefault="00355A1C">
            <w:pPr>
              <w:pStyle w:val="P68B1DB1-TableParagraph14"/>
              <w:spacing w:before="108"/>
              <w:ind w:left="85"/>
              <w:jc w:val="both"/>
              <w:rPr>
                <w:bCs/>
              </w:rPr>
            </w:pPr>
            <w:r>
              <w:t>Motpart</w:t>
            </w:r>
          </w:p>
          <w:p w14:paraId="7FE1B7C5" w14:textId="77777777" w:rsidR="0057131B" w:rsidRDefault="00355A1C">
            <w:pPr>
              <w:pStyle w:val="P68B1DB1-TableParagraph17"/>
              <w:spacing w:before="108"/>
              <w:ind w:left="85"/>
              <w:jc w:val="both"/>
            </w:pPr>
            <w:r>
              <w:t xml:space="preserve">Information gällande större motpart gentemot vilken skuld har uppstått </w:t>
            </w:r>
          </w:p>
          <w:p w14:paraId="7FE1B7C6" w14:textId="77777777" w:rsidR="0057131B" w:rsidRDefault="00355A1C">
            <w:pPr>
              <w:pStyle w:val="P68B1DB1-TableParagraph17"/>
              <w:spacing w:before="108"/>
              <w:ind w:left="85"/>
              <w:jc w:val="both"/>
            </w:pPr>
            <w:r>
              <w:t>Större motparter identifieras genom en sammanräkning av den i mallen redovisade koncernens eller enhetens samtliga utestående skuldbelopp gentemot varje motpart eller grupp av kunder med inbördes anknytning, detta med undantag för skulder till enheter som är inkluderade i den konsoliderade finansiella rapporten.</w:t>
            </w:r>
          </w:p>
          <w:p w14:paraId="7FE1B7C7" w14:textId="77777777" w:rsidR="0057131B" w:rsidRDefault="00355A1C">
            <w:pPr>
              <w:pStyle w:val="P68B1DB1-TableParagraph17"/>
              <w:spacing w:before="108"/>
              <w:ind w:left="85"/>
              <w:jc w:val="both"/>
            </w:pPr>
            <w:r>
              <w:t>Motparterna och grupperna av kunder med inbördes anknytning ska sedan rangordnas efter det aggregerade utestående beloppet i syfte att identifiera de 10 största motparterna, och information om dessa ska presenteras i denna mall.</w:t>
            </w:r>
          </w:p>
          <w:p w14:paraId="7FE1B7CB" w14:textId="1879B990" w:rsidR="0057131B" w:rsidRDefault="00355A1C">
            <w:pPr>
              <w:pStyle w:val="P68B1DB1-TableParagraph17"/>
              <w:spacing w:before="108"/>
              <w:ind w:left="85"/>
              <w:jc w:val="both"/>
              <w:rPr>
                <w:b/>
                <w:bCs/>
              </w:rPr>
            </w:pPr>
            <w:r>
              <w:t xml:space="preserve">Definitionen ”grupp av motparter med inbördes anknytning” ska följa definitionen ”grupp av kunder med inbördes anknytning” i artikel 4.1 led 39 i förordning (EU) nr 575/2013. </w:t>
            </w:r>
          </w:p>
        </w:tc>
      </w:tr>
      <w:tr w:rsidR="0057131B"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57131B" w:rsidRDefault="00355A1C">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57131B" w:rsidRDefault="00355A1C">
            <w:pPr>
              <w:pStyle w:val="P68B1DB1-TableParagraph14"/>
              <w:spacing w:before="108"/>
              <w:ind w:left="85"/>
              <w:jc w:val="both"/>
              <w:rPr>
                <w:bCs/>
              </w:rPr>
            </w:pPr>
            <w:r>
              <w:t>Enhetsnamn</w:t>
            </w:r>
          </w:p>
          <w:p w14:paraId="7FE1B7CF" w14:textId="77777777" w:rsidR="0057131B" w:rsidRDefault="00355A1C">
            <w:pPr>
              <w:pStyle w:val="P68B1DB1-Normal18"/>
              <w:spacing w:before="108"/>
              <w:ind w:left="85"/>
              <w:jc w:val="both"/>
            </w:pPr>
            <w:r>
              <w:t>Namnet på den största motparten eller, i förekommande fall, namnet på gruppen av kunder med inbördes anknytning.</w:t>
            </w:r>
          </w:p>
          <w:p w14:paraId="7FE1B7D0" w14:textId="77777777" w:rsidR="0057131B" w:rsidRDefault="00355A1C">
            <w:pPr>
              <w:pStyle w:val="P68B1DB1-TableParagraph17"/>
              <w:spacing w:before="108"/>
              <w:ind w:left="85"/>
              <w:jc w:val="both"/>
            </w:pPr>
            <w:r>
              <w:t>Namnet på en grupp av kunder med inbördes anknytning ska överensstämma med det namn som rapporteras för moderföretaget eller, när gruppen av kunder med inbördes anknytning inte har något moderföretag, med gruppens handelsnamn.</w:t>
            </w:r>
          </w:p>
        </w:tc>
      </w:tr>
      <w:tr w:rsidR="0057131B"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57131B" w:rsidRDefault="00355A1C">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57131B" w:rsidRDefault="00355A1C">
            <w:pPr>
              <w:pStyle w:val="P68B1DB1-TableParagraph14"/>
              <w:spacing w:before="108"/>
              <w:ind w:left="85"/>
              <w:jc w:val="both"/>
              <w:rPr>
                <w:bCs/>
              </w:rPr>
            </w:pPr>
            <w:r>
              <w:t>Kod</w:t>
            </w:r>
          </w:p>
          <w:p w14:paraId="188AB748" w14:textId="77777777" w:rsidR="0057131B" w:rsidRDefault="00355A1C">
            <w:pPr>
              <w:pStyle w:val="P68B1DB1-TableParagraph17"/>
              <w:spacing w:before="108"/>
            </w:pPr>
            <w:r>
              <w:t xml:space="preserve">Koden för den största motparten eller gruppen av kunder med inbördes anknytning. </w:t>
            </w:r>
          </w:p>
          <w:p w14:paraId="0DD02B7A" w14:textId="4FE17D24" w:rsidR="0057131B" w:rsidRDefault="00355A1C">
            <w:pPr>
              <w:pStyle w:val="P68B1DB1-TableParagraph13"/>
              <w:spacing w:before="108"/>
              <w:rPr>
                <w:bCs/>
              </w:rPr>
            </w:pPr>
            <w:r>
              <w:t>För institut med identifieringskod för juridiska personer (LEI-kod), den 20-siffriga alfanumeriska LEI-koden.</w:t>
            </w:r>
          </w:p>
          <w:p w14:paraId="7FE1B7D4" w14:textId="10D08A5A" w:rsidR="0057131B" w:rsidRDefault="00355A1C">
            <w:pPr>
              <w:pStyle w:val="P68B1DB1-TableParagraph13"/>
              <w:spacing w:before="108"/>
              <w:jc w:val="both"/>
              <w:rPr>
                <w:rFonts w:eastAsia="Cambria"/>
              </w:rPr>
            </w:pPr>
            <w:r>
              <w:t>Om den inte är tillgänglig, använd MFI-koden eller en kod enligt en enhetlig kodifiering som är tillämplig i unionen.</w:t>
            </w:r>
          </w:p>
          <w:p w14:paraId="7FE1B7D5" w14:textId="77777777" w:rsidR="0057131B" w:rsidRDefault="00355A1C">
            <w:pPr>
              <w:pStyle w:val="P68B1DB1-TableParagraph17"/>
              <w:spacing w:before="108"/>
              <w:ind w:left="85"/>
              <w:jc w:val="both"/>
            </w:pPr>
            <w:r>
              <w:t>Koden ska vara unik och användas konsekvent i mallarna.</w:t>
            </w:r>
          </w:p>
        </w:tc>
      </w:tr>
      <w:tr w:rsidR="0057131B"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57131B" w:rsidRDefault="00355A1C">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57131B" w:rsidRDefault="00355A1C">
            <w:pPr>
              <w:pStyle w:val="P68B1DB1-TableParagraph14"/>
              <w:spacing w:before="108"/>
              <w:ind w:left="85"/>
              <w:jc w:val="both"/>
              <w:rPr>
                <w:bCs/>
              </w:rPr>
            </w:pPr>
            <w:r>
              <w:t>Typ av kod</w:t>
            </w:r>
          </w:p>
          <w:p w14:paraId="2BEBBD8E" w14:textId="55A001F3" w:rsidR="0057131B" w:rsidRDefault="00355A1C">
            <w:pPr>
              <w:pStyle w:val="P68B1DB1-TableParagraph13"/>
              <w:spacing w:before="108"/>
              <w:rPr>
                <w:bCs/>
              </w:rPr>
            </w:pPr>
            <w:r>
              <w:t>Välj en av följande alternativ: ”LEI-kod”, ”MFI-kod” eller ”Typ av identifierare, annan än LEI-kod eller MFI-kod”.</w:t>
            </w:r>
          </w:p>
          <w:p w14:paraId="5CA49443" w14:textId="30D8A3AF" w:rsidR="0057131B" w:rsidRDefault="00355A1C">
            <w:pPr>
              <w:pStyle w:val="P68B1DB1-TableParagraph13"/>
              <w:spacing w:before="108" w:line="276" w:lineRule="auto"/>
              <w:ind w:left="85"/>
              <w:jc w:val="both"/>
              <w:rPr>
                <w:color w:val="000000"/>
              </w:rPr>
            </w:pPr>
            <w:r>
              <w:t>Identifieringen av enheter ska göras på ett enhetligt sätt i mallarna.</w:t>
            </w:r>
          </w:p>
          <w:p w14:paraId="7FE1B7DA" w14:textId="4204707F" w:rsidR="0057131B" w:rsidRDefault="0057131B">
            <w:pPr>
              <w:pStyle w:val="TableParagraph"/>
              <w:spacing w:before="108"/>
              <w:rPr>
                <w:rFonts w:ascii="Times New Roman" w:hAnsi="Times New Roman" w:cs="Times New Roman"/>
                <w:color w:val="000000" w:themeColor="text1"/>
                <w:sz w:val="20"/>
                <w:szCs w:val="20"/>
              </w:rPr>
            </w:pPr>
          </w:p>
        </w:tc>
      </w:tr>
      <w:tr w:rsidR="0057131B"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57131B" w:rsidRDefault="00355A1C">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57131B" w:rsidRDefault="00355A1C">
            <w:pPr>
              <w:pStyle w:val="P68B1DB1-TableParagraph14"/>
              <w:spacing w:before="108"/>
              <w:ind w:left="85"/>
              <w:jc w:val="both"/>
              <w:rPr>
                <w:bCs/>
              </w:rPr>
            </w:pPr>
            <w:r>
              <w:t>Grupp eller enskild</w:t>
            </w:r>
          </w:p>
          <w:p w14:paraId="4E4D0057" w14:textId="77777777" w:rsidR="0057131B" w:rsidRDefault="00355A1C">
            <w:pPr>
              <w:pStyle w:val="P68B1DB1-Normal18"/>
              <w:ind w:left="85"/>
            </w:pPr>
            <w:r>
              <w:lastRenderedPageBreak/>
              <w:t>Institutet ska rapportera</w:t>
            </w:r>
          </w:p>
          <w:p w14:paraId="0242F822" w14:textId="5242FFA2" w:rsidR="0057131B" w:rsidRDefault="00355A1C">
            <w:pPr>
              <w:pStyle w:val="P68B1DB1-ListParagraph25"/>
              <w:numPr>
                <w:ilvl w:val="0"/>
                <w:numId w:val="297"/>
              </w:numPr>
            </w:pPr>
            <w:r>
              <w:t>Enskilda motparter</w:t>
            </w:r>
          </w:p>
          <w:p w14:paraId="7FE1B7DE" w14:textId="6F55D54C" w:rsidR="0057131B" w:rsidRDefault="00355A1C">
            <w:pPr>
              <w:pStyle w:val="P68B1DB1-ListParagraph25"/>
              <w:numPr>
                <w:ilvl w:val="0"/>
                <w:numId w:val="297"/>
              </w:numPr>
            </w:pPr>
            <w:r>
              <w:t>Grupper av kunder med inbördes anknytning.</w:t>
            </w:r>
          </w:p>
        </w:tc>
      </w:tr>
      <w:tr w:rsidR="0057131B"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57131B" w:rsidRDefault="00355A1C">
            <w:pPr>
              <w:pStyle w:val="P68B1DB1-TableParagraph17"/>
              <w:spacing w:before="108"/>
              <w:ind w:left="85"/>
              <w:jc w:val="both"/>
            </w:pPr>
            <w:r>
              <w:lastRenderedPageBreak/>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57131B" w:rsidRDefault="00355A1C">
            <w:pPr>
              <w:pStyle w:val="P68B1DB1-TableParagraph14"/>
              <w:spacing w:before="108"/>
              <w:ind w:left="85"/>
              <w:jc w:val="both"/>
              <w:rPr>
                <w:bCs/>
              </w:rPr>
            </w:pPr>
            <w:r>
              <w:t>Land</w:t>
            </w:r>
          </w:p>
          <w:p w14:paraId="7FE1B7E2" w14:textId="77777777" w:rsidR="0057131B" w:rsidRDefault="00355A1C">
            <w:pPr>
              <w:pStyle w:val="P68B1DB1-Normal18"/>
              <w:spacing w:before="108"/>
              <w:ind w:left="85"/>
              <w:contextualSpacing/>
              <w:jc w:val="both"/>
            </w:pPr>
            <w:r>
              <w:t xml:space="preserve">ISO-koden 3166–1-alfa-2 för motpartens bolagsbildningsland. Detta inkluderar pseudo-ISO-koder för internationella organisationer, tillgängliga i den senaste versionen av Eurostats ”Balance of Payments Vademecum”. </w:t>
            </w:r>
          </w:p>
          <w:p w14:paraId="7FE1B7E3" w14:textId="77777777" w:rsidR="0057131B" w:rsidRDefault="00355A1C">
            <w:pPr>
              <w:pStyle w:val="P68B1DB1-TableParagraph17"/>
              <w:spacing w:before="108"/>
              <w:ind w:left="85"/>
              <w:jc w:val="both"/>
            </w:pPr>
            <w:r>
              <w:t xml:space="preserve">Landet bestäms utifrån var motparten har sitt säte. När det gäller grupper av kunder med inbördes anknytning ska moderföretagets bolagsbildningsland redovisas. </w:t>
            </w:r>
          </w:p>
        </w:tc>
      </w:tr>
      <w:tr w:rsidR="0057131B"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57131B" w:rsidRDefault="00355A1C">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57131B" w:rsidRDefault="00355A1C">
            <w:pPr>
              <w:pStyle w:val="P68B1DB1-TableParagraph14"/>
              <w:spacing w:before="108"/>
              <w:ind w:left="85"/>
              <w:jc w:val="both"/>
              <w:rPr>
                <w:bCs/>
              </w:rPr>
            </w:pPr>
            <w:r>
              <w:t>Sektor</w:t>
            </w:r>
          </w:p>
          <w:p w14:paraId="7FE1B7E7" w14:textId="77777777" w:rsidR="0057131B" w:rsidRDefault="00355A1C">
            <w:pPr>
              <w:pStyle w:val="P68B1DB1-TableParagraph17"/>
              <w:spacing w:before="108"/>
              <w:ind w:left="85"/>
              <w:jc w:val="both"/>
            </w:pPr>
            <w:r>
              <w:t>En sektor ska hänföras till varje motpart på grundval av Finreps näringsgrensklasser (Finrep, bilaga V, del 1, kapitel 6):</w:t>
            </w:r>
          </w:p>
          <w:p w14:paraId="7FE1B7E8" w14:textId="77777777" w:rsidR="0057131B" w:rsidRDefault="00355A1C">
            <w:pPr>
              <w:pStyle w:val="P68B1DB1-List127"/>
              <w:numPr>
                <w:ilvl w:val="0"/>
                <w:numId w:val="64"/>
              </w:numPr>
            </w:pPr>
            <w:r>
              <w:t>Centralbanker</w:t>
            </w:r>
          </w:p>
          <w:p w14:paraId="7FE1B7E9" w14:textId="77777777" w:rsidR="0057131B" w:rsidRDefault="00355A1C">
            <w:pPr>
              <w:pStyle w:val="P68B1DB1-List127"/>
              <w:numPr>
                <w:ilvl w:val="0"/>
                <w:numId w:val="64"/>
              </w:numPr>
            </w:pPr>
            <w:r>
              <w:t>Offentlig sektor</w:t>
            </w:r>
          </w:p>
          <w:p w14:paraId="7FE1B7EA" w14:textId="77777777" w:rsidR="0057131B" w:rsidRDefault="00355A1C">
            <w:pPr>
              <w:pStyle w:val="P68B1DB1-List127"/>
              <w:numPr>
                <w:ilvl w:val="0"/>
                <w:numId w:val="64"/>
              </w:numPr>
            </w:pPr>
            <w:r>
              <w:t xml:space="preserve">Kreditinstitut: </w:t>
            </w:r>
          </w:p>
          <w:p w14:paraId="7FE1B7EB" w14:textId="77777777" w:rsidR="0057131B" w:rsidRDefault="00355A1C">
            <w:pPr>
              <w:pStyle w:val="P68B1DB1-List127"/>
              <w:numPr>
                <w:ilvl w:val="0"/>
                <w:numId w:val="64"/>
              </w:numPr>
            </w:pPr>
            <w:r>
              <w:t>Övriga finansiella bolag</w:t>
            </w:r>
          </w:p>
          <w:p w14:paraId="7FE1B7EC" w14:textId="77777777" w:rsidR="0057131B" w:rsidRDefault="00355A1C">
            <w:pPr>
              <w:pStyle w:val="P68B1DB1-List127"/>
              <w:numPr>
                <w:ilvl w:val="0"/>
                <w:numId w:val="64"/>
              </w:numPr>
            </w:pPr>
            <w:r>
              <w:t>Icke-finansiella bolag</w:t>
            </w:r>
          </w:p>
          <w:p w14:paraId="7FE1B7ED" w14:textId="77777777" w:rsidR="0057131B" w:rsidRDefault="00355A1C">
            <w:pPr>
              <w:pStyle w:val="P68B1DB1-List127"/>
              <w:numPr>
                <w:ilvl w:val="0"/>
                <w:numId w:val="64"/>
              </w:numPr>
            </w:pPr>
            <w:r>
              <w:t>Hushåll</w:t>
            </w:r>
          </w:p>
          <w:p w14:paraId="7FE1B7EE" w14:textId="77777777" w:rsidR="0057131B" w:rsidRDefault="00355A1C">
            <w:pPr>
              <w:pStyle w:val="P68B1DB1-TableParagraph17"/>
              <w:spacing w:before="108"/>
              <w:ind w:left="85"/>
              <w:jc w:val="both"/>
            </w:pPr>
            <w:r>
              <w:t>Hushåll.För grupper av kunder med inbördes anknytning ska ingen sektor rapporteras.</w:t>
            </w:r>
          </w:p>
        </w:tc>
      </w:tr>
      <w:tr w:rsidR="0057131B"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57131B" w:rsidRDefault="00355A1C">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57131B" w:rsidRDefault="00355A1C">
            <w:pPr>
              <w:pStyle w:val="P68B1DB1-TableParagraph14"/>
              <w:spacing w:before="108"/>
              <w:ind w:left="85"/>
              <w:jc w:val="both"/>
              <w:rPr>
                <w:bCs/>
              </w:rPr>
            </w:pPr>
            <w:r>
              <w:t>Typ</w:t>
            </w:r>
          </w:p>
          <w:p w14:paraId="7FE1B7F2" w14:textId="43CE2DD3" w:rsidR="0057131B" w:rsidRDefault="00355A1C">
            <w:pPr>
              <w:pStyle w:val="P68B1DB1-Normal18"/>
              <w:spacing w:before="108"/>
              <w:ind w:left="85"/>
              <w:jc w:val="both"/>
            </w:pPr>
            <w:r>
              <w:t>Skuldtypen ska vara en av de skuldtyper som anges i mall Z 02.00 – skuldstruktur (LIAB 1), nämligen:</w:t>
            </w:r>
          </w:p>
          <w:p w14:paraId="7FE1B7F3" w14:textId="4AE4B095" w:rsidR="0057131B" w:rsidRDefault="00355A1C">
            <w:pPr>
              <w:pStyle w:val="P68B1DB1-ListParagraph25"/>
              <w:numPr>
                <w:ilvl w:val="0"/>
                <w:numId w:val="298"/>
              </w:numPr>
              <w:spacing w:before="108"/>
              <w:jc w:val="both"/>
            </w:pPr>
            <w:r>
              <w:t>Skulder exkluderade från skuldnedskrivning</w:t>
            </w:r>
          </w:p>
          <w:p w14:paraId="7FE1B7F4" w14:textId="4257143A" w:rsidR="0057131B" w:rsidRDefault="00355A1C">
            <w:pPr>
              <w:pStyle w:val="P68B1DB1-ListParagraph25"/>
              <w:numPr>
                <w:ilvl w:val="0"/>
                <w:numId w:val="298"/>
              </w:numPr>
              <w:spacing w:before="108"/>
              <w:jc w:val="both"/>
            </w:pPr>
            <w:r>
              <w:t>Insättningar, inte garanterade men prioriterade</w:t>
            </w:r>
          </w:p>
          <w:p w14:paraId="7FE1B7F5" w14:textId="21AFD595" w:rsidR="0057131B" w:rsidRDefault="00355A1C">
            <w:pPr>
              <w:pStyle w:val="P68B1DB1-ListParagraph25"/>
              <w:numPr>
                <w:ilvl w:val="0"/>
                <w:numId w:val="298"/>
              </w:numPr>
              <w:spacing w:before="108"/>
              <w:jc w:val="both"/>
            </w:pPr>
            <w:r>
              <w:t>Insättningar, inte garanterade och inte prioriterade</w:t>
            </w:r>
          </w:p>
          <w:p w14:paraId="7FE1B7F6" w14:textId="71A166CE" w:rsidR="0057131B" w:rsidRDefault="00355A1C">
            <w:pPr>
              <w:pStyle w:val="P68B1DB1-ListParagraph25"/>
              <w:numPr>
                <w:ilvl w:val="0"/>
                <w:numId w:val="298"/>
              </w:numPr>
              <w:spacing w:before="108"/>
              <w:jc w:val="both"/>
            </w:pPr>
            <w:r>
              <w:t>Skulder som kan hänföras till derivat</w:t>
            </w:r>
          </w:p>
          <w:p w14:paraId="7FE1B7F7" w14:textId="57F1D715" w:rsidR="0057131B" w:rsidRDefault="00355A1C">
            <w:pPr>
              <w:pStyle w:val="P68B1DB1-ListParagraph25"/>
              <w:numPr>
                <w:ilvl w:val="0"/>
                <w:numId w:val="298"/>
              </w:numPr>
              <w:spacing w:before="108"/>
              <w:jc w:val="both"/>
            </w:pPr>
            <w:r>
              <w:t>Icke-garanterade skulder med säkerhet</w:t>
            </w:r>
          </w:p>
          <w:p w14:paraId="7FE1B7F8" w14:textId="73D53058" w:rsidR="0057131B" w:rsidRDefault="00355A1C">
            <w:pPr>
              <w:pStyle w:val="P68B1DB1-ListParagraph25"/>
              <w:numPr>
                <w:ilvl w:val="0"/>
                <w:numId w:val="298"/>
              </w:numPr>
              <w:spacing w:before="108"/>
              <w:jc w:val="both"/>
            </w:pPr>
            <w:r>
              <w:t>Strukturerade produkter</w:t>
            </w:r>
          </w:p>
          <w:p w14:paraId="7FE1B7F9" w14:textId="54AC9980" w:rsidR="0057131B" w:rsidRDefault="00355A1C">
            <w:pPr>
              <w:pStyle w:val="P68B1DB1-ListParagraph25"/>
              <w:numPr>
                <w:ilvl w:val="0"/>
                <w:numId w:val="298"/>
              </w:numPr>
              <w:spacing w:before="108"/>
              <w:jc w:val="both"/>
            </w:pPr>
            <w:r>
              <w:t>Seniora skulder utan säkerhet</w:t>
            </w:r>
          </w:p>
          <w:p w14:paraId="7FE1B7FA" w14:textId="7C89B550" w:rsidR="0057131B" w:rsidRDefault="00355A1C">
            <w:pPr>
              <w:pStyle w:val="P68B1DB1-ListParagraph25"/>
              <w:numPr>
                <w:ilvl w:val="0"/>
                <w:numId w:val="298"/>
              </w:numPr>
              <w:spacing w:before="108"/>
              <w:jc w:val="both"/>
            </w:pPr>
            <w:r>
              <w:t>Icke-prioriterade seniora skulder</w:t>
            </w:r>
          </w:p>
          <w:p w14:paraId="7FE1B7FB" w14:textId="49FDBAE5" w:rsidR="0057131B" w:rsidRDefault="00355A1C">
            <w:pPr>
              <w:pStyle w:val="P68B1DB1-ListParagraph25"/>
              <w:numPr>
                <w:ilvl w:val="0"/>
                <w:numId w:val="298"/>
              </w:numPr>
              <w:spacing w:before="108"/>
              <w:jc w:val="both"/>
            </w:pPr>
            <w:r>
              <w:t>Efterställda skulder (inte erkända som kapitalbas)</w:t>
            </w:r>
          </w:p>
          <w:p w14:paraId="7FE1B7FC" w14:textId="25F7AE59" w:rsidR="0057131B" w:rsidRDefault="00355A1C">
            <w:pPr>
              <w:pStyle w:val="P68B1DB1-ListParagraph25"/>
              <w:numPr>
                <w:ilvl w:val="0"/>
                <w:numId w:val="298"/>
              </w:numPr>
              <w:spacing w:before="108"/>
              <w:jc w:val="both"/>
            </w:pPr>
            <w:r>
              <w:t>Övriga MREL-kvalificerade skulder</w:t>
            </w:r>
          </w:p>
          <w:p w14:paraId="7FE1B7FD" w14:textId="29E846ED" w:rsidR="0057131B" w:rsidRDefault="00355A1C">
            <w:pPr>
              <w:pStyle w:val="P68B1DB1-ListParagraph25"/>
              <w:numPr>
                <w:ilvl w:val="0"/>
                <w:numId w:val="298"/>
              </w:numPr>
              <w:spacing w:before="108"/>
              <w:jc w:val="both"/>
            </w:pPr>
            <w:r>
              <w:t>Icke-finansiella skulder</w:t>
            </w:r>
          </w:p>
          <w:p w14:paraId="7FE1B7FE" w14:textId="4EF5CD96" w:rsidR="0057131B" w:rsidRDefault="00355A1C">
            <w:pPr>
              <w:pStyle w:val="P68B1DB1-ListParagraph25"/>
              <w:numPr>
                <w:ilvl w:val="0"/>
                <w:numId w:val="298"/>
              </w:numPr>
              <w:spacing w:before="108"/>
              <w:jc w:val="both"/>
            </w:pPr>
            <w:r>
              <w:t>Skulder, restposter</w:t>
            </w:r>
          </w:p>
          <w:p w14:paraId="7FE1B7FF" w14:textId="77777777" w:rsidR="0057131B" w:rsidRDefault="00355A1C">
            <w:pPr>
              <w:pStyle w:val="P68B1DB1-TableParagraph17"/>
              <w:spacing w:before="108"/>
              <w:ind w:left="85"/>
              <w:jc w:val="both"/>
            </w:pPr>
            <w:r>
              <w:t>Ifall skulderna till en större motpart består av mer än en av de skuldtyper som anges ovan ska varje skuldtyp redovisas på en separat rad.</w:t>
            </w:r>
          </w:p>
        </w:tc>
      </w:tr>
      <w:tr w:rsidR="0057131B"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57131B" w:rsidRDefault="00355A1C">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57131B" w:rsidRDefault="00355A1C">
            <w:pPr>
              <w:pStyle w:val="P68B1DB1-TableParagraph14"/>
              <w:spacing w:before="108"/>
              <w:ind w:left="85"/>
              <w:jc w:val="both"/>
              <w:rPr>
                <w:bCs/>
              </w:rPr>
            </w:pPr>
            <w:r>
              <w:t>Belopp</w:t>
            </w:r>
          </w:p>
          <w:p w14:paraId="7FE1B803" w14:textId="46DCC504" w:rsidR="0057131B" w:rsidRDefault="00355A1C">
            <w:pPr>
              <w:pStyle w:val="P68B1DB1-TableParagraph17"/>
              <w:spacing w:before="108"/>
              <w:ind w:left="85"/>
              <w:jc w:val="both"/>
            </w:pPr>
            <w:r>
              <w:t>Beloppet ska motsvara definitionen av ”utestående belopp” enligt anvisningarna i mall Z 02.00 – skuldstruktur. När det gäller skulder som kan hänföras till derivat ska avräkningsbeloppen redovisas enligt definitionen för rad 0333 i mall Z 02.00 (LIAB 1).</w:t>
            </w:r>
          </w:p>
        </w:tc>
      </w:tr>
    </w:tbl>
    <w:p w14:paraId="7FE1B805" w14:textId="77777777" w:rsidR="0057131B" w:rsidRDefault="0057131B">
      <w:pPr>
        <w:pStyle w:val="body"/>
        <w:rPr>
          <w:rFonts w:ascii="Times New Roman" w:hAnsi="Times New Roman" w:cs="Times New Roman"/>
          <w:color w:val="000000" w:themeColor="text1"/>
          <w:sz w:val="20"/>
          <w:szCs w:val="20"/>
        </w:rPr>
      </w:pPr>
    </w:p>
    <w:p w14:paraId="7FE1B806" w14:textId="1E7EF5E9" w:rsidR="0057131B" w:rsidRDefault="00355A1C">
      <w:pPr>
        <w:pStyle w:val="P68B1DB1-Instructionsberschrift25"/>
        <w:numPr>
          <w:ilvl w:val="1"/>
          <w:numId w:val="49"/>
        </w:numPr>
        <w:ind w:left="357" w:hanging="357"/>
      </w:pPr>
      <w:bookmarkStart w:id="71" w:name="_Toc210901289"/>
      <w:bookmarkStart w:id="72" w:name="_Toc81454185"/>
      <w:r>
        <w:lastRenderedPageBreak/>
        <w:t>Z 05.02 – Större motparter utanför balansräkningen (LIAB 6)</w:t>
      </w:r>
      <w:bookmarkEnd w:id="71"/>
    </w:p>
    <w:p w14:paraId="7FE1B807" w14:textId="77777777" w:rsidR="0057131B" w:rsidRDefault="00355A1C">
      <w:pPr>
        <w:pStyle w:val="P68B1DB1-body26"/>
      </w:pPr>
      <w:r>
        <w:t>Instruktioner för specifika positioner</w:t>
      </w:r>
      <w:bookmarkEnd w:id="72"/>
    </w:p>
    <w:p w14:paraId="7FE1B808" w14:textId="77777777" w:rsidR="0057131B" w:rsidRDefault="00355A1C">
      <w:pPr>
        <w:pStyle w:val="P68B1DB1-InstructionsText26"/>
        <w:numPr>
          <w:ilvl w:val="0"/>
          <w:numId w:val="232"/>
        </w:numPr>
        <w:spacing w:before="0"/>
      </w:pPr>
      <w:r>
        <w:t>Kombinationen av värden som redovisas i kolumnerna 0020 och 0060 i denna mall utgör en primärnyckel som måste vara unik för varje rad i mallen.</w:t>
      </w:r>
    </w:p>
    <w:tbl>
      <w:tblPr>
        <w:tblW w:w="0" w:type="auto"/>
        <w:tblCellMar>
          <w:top w:w="57" w:type="dxa"/>
          <w:left w:w="57" w:type="dxa"/>
          <w:bottom w:w="57" w:type="dxa"/>
          <w:right w:w="0" w:type="dxa"/>
        </w:tblCellMar>
        <w:tblLook w:val="01E0" w:firstRow="1" w:lastRow="1" w:firstColumn="1" w:lastColumn="1" w:noHBand="0" w:noVBand="0"/>
      </w:tblPr>
      <w:tblGrid>
        <w:gridCol w:w="953"/>
        <w:gridCol w:w="8073"/>
      </w:tblGrid>
      <w:tr w:rsidR="0057131B"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57131B" w:rsidRDefault="00355A1C">
            <w:pPr>
              <w:pStyle w:val="P68B1DB1-TableParagraph17"/>
              <w:spacing w:before="108"/>
              <w:ind w:left="85"/>
              <w:jc w:val="both"/>
            </w:pPr>
            <w:r>
              <w:t>Kolumner</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57131B" w:rsidRDefault="00355A1C">
            <w:pPr>
              <w:pStyle w:val="P68B1DB1-TableParagraph17"/>
              <w:spacing w:before="108"/>
              <w:ind w:left="85" w:right="1"/>
              <w:jc w:val="both"/>
            </w:pPr>
            <w:r>
              <w:t>Anvisningar</w:t>
            </w:r>
          </w:p>
        </w:tc>
      </w:tr>
      <w:tr w:rsidR="0057131B"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57131B" w:rsidRDefault="00355A1C">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57131B" w:rsidRDefault="00355A1C">
            <w:pPr>
              <w:pStyle w:val="P68B1DB1-TableParagraph14"/>
              <w:spacing w:before="108"/>
              <w:ind w:left="85"/>
              <w:jc w:val="both"/>
              <w:rPr>
                <w:bCs/>
              </w:rPr>
            </w:pPr>
            <w:r>
              <w:t>Motpart</w:t>
            </w:r>
          </w:p>
          <w:p w14:paraId="7FE1B80E" w14:textId="77777777" w:rsidR="0057131B" w:rsidRDefault="00355A1C">
            <w:pPr>
              <w:pStyle w:val="P68B1DB1-TableParagraph17"/>
              <w:spacing w:before="108"/>
              <w:ind w:left="85"/>
              <w:jc w:val="both"/>
            </w:pPr>
            <w:r>
              <w:t>Information gällande de största motparterna utanför balansräkningen.</w:t>
            </w:r>
          </w:p>
          <w:p w14:paraId="7FE1B80F" w14:textId="77777777" w:rsidR="0057131B" w:rsidRDefault="00355A1C">
            <w:pPr>
              <w:pStyle w:val="P68B1DB1-TableParagraph17"/>
              <w:spacing w:before="108"/>
              <w:ind w:left="85"/>
              <w:jc w:val="both"/>
            </w:pPr>
            <w:r>
              <w:t>Större motparter utanför balansräkningen ska identifieras genom en sammanslagning av det totala nominella beloppet av låneåtaganden och erhållna finansiella garantier (enligt definition i Finrep, mall F 09) som den i mallen redovisade enheten eller koncernen har tagit emot av motparter eller grupper av kunder med inbördes anknytning. Enheter som är inkluderade i koncernens konsoliderade finansiella rapport ska exkluderas från de större motparterna utanför balansräkningen. Motparterna eller gruppen av kunder med inbördes anknytning ska sedan rangordnas efter sammanslaget belopp i syfte att identifiera de 10 största motparterna utanför balansräkningen, och information om dessa ska redovisas i denna mall.</w:t>
            </w:r>
          </w:p>
          <w:p w14:paraId="7FE1B810" w14:textId="0F5F36E1" w:rsidR="0057131B" w:rsidRDefault="00355A1C">
            <w:pPr>
              <w:pStyle w:val="P68B1DB1-Normal18"/>
              <w:spacing w:line="257" w:lineRule="auto"/>
              <w:ind w:left="25"/>
              <w:jc w:val="both"/>
            </w:pPr>
            <w:r>
              <w:t>Derivat ska inte ingå i de tio högsta rangordningen som beskrivs ovan: rapportera en separat förteckning över de 5 största derivatmotparterna utanför balansräkningen för att undvika att Z 05.02-rapporten endast innehåller derivatsaldon.</w:t>
            </w:r>
          </w:p>
          <w:p w14:paraId="7FE1B812" w14:textId="5E923404" w:rsidR="0057131B" w:rsidRDefault="0057131B">
            <w:pPr>
              <w:pStyle w:val="TableParagraph"/>
              <w:spacing w:before="108"/>
              <w:jc w:val="both"/>
              <w:rPr>
                <w:rFonts w:ascii="Times New Roman" w:eastAsia="Cambria" w:hAnsi="Times New Roman" w:cs="Times New Roman"/>
                <w:color w:val="000000" w:themeColor="text1"/>
                <w:sz w:val="20"/>
                <w:szCs w:val="20"/>
              </w:rPr>
            </w:pPr>
          </w:p>
        </w:tc>
      </w:tr>
      <w:tr w:rsidR="0057131B"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57131B" w:rsidRDefault="00355A1C">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57131B" w:rsidRDefault="00355A1C">
            <w:pPr>
              <w:pStyle w:val="P68B1DB1-TableParagraph14"/>
              <w:spacing w:before="108"/>
              <w:ind w:left="85"/>
              <w:jc w:val="both"/>
              <w:rPr>
                <w:bCs/>
              </w:rPr>
            </w:pPr>
            <w:r>
              <w:t>Enhetsnamn</w:t>
            </w:r>
          </w:p>
          <w:p w14:paraId="7FE1B816" w14:textId="77777777" w:rsidR="0057131B" w:rsidRDefault="00355A1C">
            <w:pPr>
              <w:pStyle w:val="P68B1DB1-Normal18"/>
              <w:spacing w:before="108"/>
              <w:ind w:left="85"/>
              <w:jc w:val="both"/>
            </w:pPr>
            <w:r>
              <w:t>Namnet på den största motparten eller, i förekommande fall, namnet på gruppen av kunder med inbördes anknytning.</w:t>
            </w:r>
          </w:p>
          <w:p w14:paraId="7FE1B817" w14:textId="29E2618F" w:rsidR="0057131B" w:rsidRDefault="00355A1C">
            <w:pPr>
              <w:pStyle w:val="P68B1DB1-TableParagraph17"/>
              <w:spacing w:before="108"/>
              <w:ind w:left="85"/>
              <w:jc w:val="both"/>
            </w:pPr>
            <w:r>
              <w:t>Namnet på en grupp av kunder med inbördes anknytning ska överensstämma med det namn som rapporteras för moderföretaget eller, när gruppen av kunder med inbördes anknytning inte har något moderföretag, med gruppens handelsnamn.</w:t>
            </w:r>
          </w:p>
        </w:tc>
      </w:tr>
      <w:tr w:rsidR="0057131B"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57131B" w:rsidRDefault="00355A1C">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57131B" w:rsidRDefault="00355A1C">
            <w:pPr>
              <w:pStyle w:val="P68B1DB1-TableParagraph14"/>
              <w:spacing w:before="108"/>
              <w:ind w:left="85"/>
              <w:jc w:val="both"/>
              <w:rPr>
                <w:bCs/>
              </w:rPr>
            </w:pPr>
            <w:r>
              <w:t>Kod</w:t>
            </w:r>
          </w:p>
          <w:p w14:paraId="7FE1B81B" w14:textId="77777777" w:rsidR="0057131B" w:rsidRDefault="00355A1C">
            <w:pPr>
              <w:pStyle w:val="P68B1DB1-TableParagraph17"/>
              <w:spacing w:before="108"/>
              <w:ind w:left="85"/>
              <w:jc w:val="both"/>
            </w:pPr>
            <w:r>
              <w:t>Koden för den största motparten eller gruppen av kunder med inbördes anknytning. Institut ska ha den 20-siffriga alfanumeriska LEI-koden. Övriga enheter ska ha den 20-siffriga alfanumeriska LEI-koden eller, ifall denna inte är tillgänglig, en enhetlig kod som är tillämplig i unionen eller, ifall en sådan inte är tillgänglig, en nationell kod.</w:t>
            </w:r>
          </w:p>
          <w:p w14:paraId="7FE1B81C" w14:textId="6CC57833" w:rsidR="0057131B" w:rsidRDefault="00355A1C">
            <w:pPr>
              <w:pStyle w:val="P68B1DB1-TableParagraph17"/>
              <w:spacing w:before="108"/>
              <w:ind w:left="85"/>
              <w:jc w:val="both"/>
            </w:pPr>
            <w:r>
              <w:t>Koden ska vara unik och användas konsekvent i mallarna.</w:t>
            </w:r>
          </w:p>
        </w:tc>
      </w:tr>
      <w:tr w:rsidR="0057131B"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57131B" w:rsidRDefault="00355A1C">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57131B" w:rsidRDefault="00355A1C">
            <w:pPr>
              <w:pStyle w:val="P68B1DB1-TableParagraph14"/>
              <w:spacing w:before="108"/>
              <w:ind w:left="85"/>
              <w:jc w:val="both"/>
              <w:rPr>
                <w:bCs/>
              </w:rPr>
            </w:pPr>
            <w:r>
              <w:t>Typ av kod</w:t>
            </w:r>
          </w:p>
          <w:p w14:paraId="7FE1B821" w14:textId="6020ACA4" w:rsidR="0057131B" w:rsidRDefault="00355A1C">
            <w:pPr>
              <w:pStyle w:val="P68B1DB1-TableParagraph13"/>
              <w:spacing w:before="108"/>
            </w:pPr>
            <w:r>
              <w:t>Välj en av följande alternativ: ”LEI-kod”, ”MFI-kod” eller ”Typ av identifierare, utom LEI-kod eller MFI-kod”.</w:t>
            </w:r>
          </w:p>
          <w:p w14:paraId="7FE1B822" w14:textId="77777777" w:rsidR="0057131B" w:rsidRDefault="00355A1C">
            <w:pPr>
              <w:pStyle w:val="P68B1DB1-TableParagraph13"/>
              <w:spacing w:before="108"/>
              <w:ind w:left="85"/>
              <w:jc w:val="both"/>
              <w:rPr>
                <w:b/>
                <w:bCs/>
              </w:rPr>
            </w:pPr>
            <w:r>
              <w:t>Identifieringen av enheter ska göras på ett enhetligt sätt i mallarna.</w:t>
            </w:r>
          </w:p>
        </w:tc>
      </w:tr>
      <w:tr w:rsidR="0057131B"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57131B" w:rsidRDefault="00355A1C">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57131B" w:rsidRDefault="00355A1C">
            <w:pPr>
              <w:pStyle w:val="P68B1DB1-TableParagraph14"/>
              <w:spacing w:before="108"/>
              <w:ind w:left="85"/>
              <w:jc w:val="both"/>
              <w:rPr>
                <w:bCs/>
              </w:rPr>
            </w:pPr>
            <w:r>
              <w:t>Grupp eller enskild</w:t>
            </w:r>
          </w:p>
          <w:p w14:paraId="2E0A09DE" w14:textId="77777777" w:rsidR="0057131B" w:rsidRDefault="00355A1C">
            <w:pPr>
              <w:pStyle w:val="P68B1DB1-Normal18"/>
              <w:ind w:left="85"/>
            </w:pPr>
            <w:r>
              <w:t>Institutet ska rapportera</w:t>
            </w:r>
          </w:p>
          <w:p w14:paraId="52295733" w14:textId="77777777" w:rsidR="0057131B" w:rsidRDefault="00355A1C">
            <w:pPr>
              <w:pStyle w:val="P68B1DB1-ListParagraph25"/>
              <w:numPr>
                <w:ilvl w:val="0"/>
                <w:numId w:val="297"/>
              </w:numPr>
            </w:pPr>
            <w:r>
              <w:t>Enskilda motparter</w:t>
            </w:r>
          </w:p>
          <w:p w14:paraId="7FE1B826" w14:textId="76B98F2C" w:rsidR="0057131B" w:rsidRDefault="00355A1C">
            <w:pPr>
              <w:pStyle w:val="P68B1DB1-TableParagraph17"/>
              <w:numPr>
                <w:ilvl w:val="0"/>
                <w:numId w:val="297"/>
              </w:numPr>
              <w:spacing w:before="108"/>
              <w:jc w:val="both"/>
            </w:pPr>
            <w:r>
              <w:t>Grupper av kunder med inbördes anknytning.</w:t>
            </w:r>
          </w:p>
        </w:tc>
      </w:tr>
      <w:tr w:rsidR="0057131B"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57131B" w:rsidRDefault="00355A1C">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57131B" w:rsidRDefault="00355A1C">
            <w:pPr>
              <w:pStyle w:val="P68B1DB1-TableParagraph14"/>
              <w:spacing w:before="108"/>
              <w:ind w:left="85"/>
              <w:jc w:val="both"/>
              <w:rPr>
                <w:bCs/>
              </w:rPr>
            </w:pPr>
            <w:r>
              <w:t>Land</w:t>
            </w:r>
          </w:p>
          <w:p w14:paraId="7FE1B82A" w14:textId="77777777" w:rsidR="0057131B" w:rsidRDefault="00355A1C">
            <w:pPr>
              <w:pStyle w:val="P68B1DB1-Normal18"/>
              <w:spacing w:before="108"/>
              <w:ind w:left="85"/>
              <w:contextualSpacing/>
              <w:jc w:val="both"/>
            </w:pPr>
            <w:r>
              <w:t xml:space="preserve">ISO-koden 3166–1-alfa-2 för motpartens bolagsbildningsland. Detta inkluderar pseudo-ISO-koder för internationella organisationer, tillgängliga i den senaste versionen av Eurostats ”Balance of Payments Vademecum”. </w:t>
            </w:r>
          </w:p>
          <w:p w14:paraId="7FE1B82B" w14:textId="47B683FE" w:rsidR="0057131B" w:rsidRDefault="00355A1C">
            <w:pPr>
              <w:pStyle w:val="P68B1DB1-TableParagraph17"/>
              <w:spacing w:before="108"/>
              <w:ind w:left="85"/>
              <w:jc w:val="both"/>
            </w:pPr>
            <w:r>
              <w:lastRenderedPageBreak/>
              <w:t>Landet bestäms utifrån var motparten har sitt säte. När det gäller grupper av kunder med inbördes anknytning ska moderföretagets bolagsbildningsland redovisas.</w:t>
            </w:r>
          </w:p>
        </w:tc>
      </w:tr>
      <w:tr w:rsidR="0057131B"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57131B" w:rsidRDefault="00355A1C">
            <w:pPr>
              <w:pStyle w:val="P68B1DB1-TableParagraph17"/>
              <w:spacing w:before="108"/>
              <w:ind w:left="85"/>
              <w:jc w:val="both"/>
            </w:pPr>
            <w:r>
              <w:lastRenderedPageBreak/>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57131B" w:rsidRDefault="00355A1C">
            <w:pPr>
              <w:pStyle w:val="P68B1DB1-TableParagraph14"/>
              <w:spacing w:before="108"/>
              <w:ind w:left="85"/>
              <w:jc w:val="both"/>
              <w:rPr>
                <w:bCs/>
              </w:rPr>
            </w:pPr>
            <w:r>
              <w:t>Sektor</w:t>
            </w:r>
          </w:p>
          <w:p w14:paraId="7FE1B82F" w14:textId="77777777" w:rsidR="0057131B" w:rsidRDefault="00355A1C">
            <w:pPr>
              <w:pStyle w:val="P68B1DB1-TableParagraph17"/>
              <w:spacing w:before="108"/>
              <w:ind w:left="85"/>
              <w:jc w:val="both"/>
            </w:pPr>
            <w:r>
              <w:t>En sektor ska hänföras till varje motpart på grundval av Finreps näringsgrensklasser (Finrep, bilaga V, del 1, kapitel 6):</w:t>
            </w:r>
          </w:p>
          <w:p w14:paraId="7FE1B830" w14:textId="77777777" w:rsidR="0057131B" w:rsidRDefault="00355A1C">
            <w:pPr>
              <w:pStyle w:val="P68B1DB1-List127"/>
              <w:numPr>
                <w:ilvl w:val="0"/>
                <w:numId w:val="64"/>
              </w:numPr>
            </w:pPr>
            <w:r>
              <w:t>Centralbanker</w:t>
            </w:r>
          </w:p>
          <w:p w14:paraId="7FE1B831" w14:textId="77777777" w:rsidR="0057131B" w:rsidRDefault="00355A1C">
            <w:pPr>
              <w:pStyle w:val="P68B1DB1-List127"/>
              <w:numPr>
                <w:ilvl w:val="0"/>
                <w:numId w:val="64"/>
              </w:numPr>
            </w:pPr>
            <w:r>
              <w:t>Offentlig sektor</w:t>
            </w:r>
          </w:p>
          <w:p w14:paraId="7FE1B832" w14:textId="77777777" w:rsidR="0057131B" w:rsidRDefault="00355A1C">
            <w:pPr>
              <w:pStyle w:val="P68B1DB1-List127"/>
              <w:numPr>
                <w:ilvl w:val="0"/>
                <w:numId w:val="64"/>
              </w:numPr>
            </w:pPr>
            <w:r>
              <w:t xml:space="preserve">Kreditinstitut: </w:t>
            </w:r>
          </w:p>
          <w:p w14:paraId="7FE1B833" w14:textId="77777777" w:rsidR="0057131B" w:rsidRDefault="00355A1C">
            <w:pPr>
              <w:pStyle w:val="P68B1DB1-List127"/>
              <w:numPr>
                <w:ilvl w:val="0"/>
                <w:numId w:val="64"/>
              </w:numPr>
            </w:pPr>
            <w:r>
              <w:t>Övriga finansiella bolag</w:t>
            </w:r>
          </w:p>
          <w:p w14:paraId="7FE1B834" w14:textId="77777777" w:rsidR="0057131B" w:rsidRDefault="00355A1C">
            <w:pPr>
              <w:pStyle w:val="P68B1DB1-List127"/>
              <w:numPr>
                <w:ilvl w:val="0"/>
                <w:numId w:val="64"/>
              </w:numPr>
            </w:pPr>
            <w:r>
              <w:t>Icke-finansiella bolag</w:t>
            </w:r>
          </w:p>
          <w:p w14:paraId="7FE1B835" w14:textId="77777777" w:rsidR="0057131B" w:rsidRDefault="00355A1C">
            <w:pPr>
              <w:pStyle w:val="P68B1DB1-List127"/>
              <w:numPr>
                <w:ilvl w:val="0"/>
                <w:numId w:val="64"/>
              </w:numPr>
            </w:pPr>
            <w:r>
              <w:t>Hushåll</w:t>
            </w:r>
          </w:p>
          <w:p w14:paraId="7FE1B836" w14:textId="3FF28E9A" w:rsidR="0057131B" w:rsidRDefault="00355A1C">
            <w:pPr>
              <w:pStyle w:val="P68B1DB1-TableParagraph17"/>
              <w:spacing w:before="108"/>
              <w:ind w:left="85"/>
              <w:jc w:val="both"/>
            </w:pPr>
            <w:r>
              <w:t>Hushåll.För grupper av kunder med inbördes anknytning ska ingen sektor rapporteras.</w:t>
            </w:r>
          </w:p>
        </w:tc>
      </w:tr>
      <w:tr w:rsidR="0057131B"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57131B" w:rsidRDefault="00355A1C">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57131B" w:rsidRDefault="00355A1C">
            <w:pPr>
              <w:pStyle w:val="P68B1DB1-TableParagraph14"/>
              <w:spacing w:before="108"/>
              <w:ind w:left="85"/>
              <w:jc w:val="both"/>
              <w:rPr>
                <w:bCs/>
              </w:rPr>
            </w:pPr>
            <w:r>
              <w:t>Typ</w:t>
            </w:r>
          </w:p>
          <w:p w14:paraId="7FE1B83A" w14:textId="77777777" w:rsidR="0057131B" w:rsidRDefault="00355A1C">
            <w:pPr>
              <w:pStyle w:val="P68B1DB1-TableParagraph17"/>
              <w:spacing w:before="108"/>
              <w:ind w:left="85"/>
              <w:jc w:val="both"/>
            </w:pPr>
            <w:r>
              <w:t>Exponeringstypen på balansräkningen ska vara en av följande, enligt Finreps definition, mall F 09.02:</w:t>
            </w:r>
          </w:p>
          <w:p w14:paraId="7FE1B83B" w14:textId="57556FED" w:rsidR="0057131B" w:rsidRDefault="00355A1C">
            <w:pPr>
              <w:pStyle w:val="P68B1DB1-TableParagraph17"/>
              <w:numPr>
                <w:ilvl w:val="0"/>
                <w:numId w:val="299"/>
              </w:numPr>
              <w:spacing w:before="108"/>
              <w:jc w:val="both"/>
            </w:pPr>
            <w:r>
              <w:t>Erhållna låneåtaganden</w:t>
            </w:r>
          </w:p>
          <w:p w14:paraId="7FE1B83C" w14:textId="03B3C9F7" w:rsidR="0057131B" w:rsidRDefault="00355A1C">
            <w:pPr>
              <w:pStyle w:val="P68B1DB1-TableParagraph17"/>
              <w:numPr>
                <w:ilvl w:val="0"/>
                <w:numId w:val="299"/>
              </w:numPr>
              <w:spacing w:before="108"/>
              <w:jc w:val="both"/>
            </w:pPr>
            <w:r>
              <w:t>Mottagna finansiella garantier</w:t>
            </w:r>
          </w:p>
          <w:p w14:paraId="7FE1B83D" w14:textId="2357CDAB" w:rsidR="0057131B" w:rsidRDefault="00355A1C">
            <w:pPr>
              <w:pStyle w:val="P68B1DB1-TableParagraph17"/>
              <w:numPr>
                <w:ilvl w:val="0"/>
                <w:numId w:val="299"/>
              </w:numPr>
              <w:spacing w:before="108"/>
              <w:jc w:val="both"/>
            </w:pPr>
            <w:r>
              <w:t>Övriga erhållna åtaganden</w:t>
            </w:r>
          </w:p>
          <w:p w14:paraId="7FE1B83E" w14:textId="7A79D0CA" w:rsidR="0057131B" w:rsidRDefault="00355A1C">
            <w:pPr>
              <w:pStyle w:val="P68B1DB1-TableParagraph17"/>
              <w:numPr>
                <w:ilvl w:val="0"/>
                <w:numId w:val="299"/>
              </w:numPr>
              <w:spacing w:before="108"/>
              <w:jc w:val="both"/>
            </w:pPr>
            <w:r>
              <w:t>Derivat</w:t>
            </w:r>
          </w:p>
          <w:p w14:paraId="7FE1B83F" w14:textId="77777777" w:rsidR="0057131B" w:rsidRDefault="00355A1C">
            <w:pPr>
              <w:pStyle w:val="P68B1DB1-TableParagraph17"/>
              <w:spacing w:before="108"/>
              <w:ind w:left="85"/>
              <w:jc w:val="both"/>
            </w:pPr>
            <w:r>
              <w:t>Ifall posterna utanför balansräkningen från en större motpart består av mer än en av de typer som anges ovan ska varje post utanför balansräkningen redovisas på en separat rad.</w:t>
            </w:r>
          </w:p>
        </w:tc>
      </w:tr>
      <w:tr w:rsidR="0057131B"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57131B" w:rsidRDefault="00355A1C">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57131B" w:rsidRDefault="00355A1C">
            <w:pPr>
              <w:pStyle w:val="P68B1DB1-TableParagraph14"/>
              <w:spacing w:before="108"/>
              <w:ind w:left="85"/>
              <w:jc w:val="both"/>
              <w:rPr>
                <w:bCs/>
              </w:rPr>
            </w:pPr>
            <w:r>
              <w:t xml:space="preserve">Belopp </w:t>
            </w:r>
          </w:p>
          <w:p w14:paraId="7FE1B843" w14:textId="7853FDD0" w:rsidR="0057131B" w:rsidRDefault="00355A1C">
            <w:pPr>
              <w:pStyle w:val="P68B1DB1-TableParagraph17"/>
              <w:spacing w:before="108"/>
              <w:ind w:left="85"/>
              <w:jc w:val="both"/>
              <w:rPr>
                <w:bCs/>
              </w:rPr>
            </w:pPr>
            <w:r>
              <w:t>Beloppet ska motsvara definitionen av ”utestående belopp” enligt anvisningarna i mall F 09.02. När det gäller skulder som kan hänföras till derivat ska avräkningsbeloppen redovisas enligt definitionen för rad 0333 i mall Z 02.00.</w:t>
            </w:r>
          </w:p>
        </w:tc>
      </w:tr>
    </w:tbl>
    <w:p w14:paraId="7FE1B845" w14:textId="77777777" w:rsidR="0057131B" w:rsidRDefault="0057131B">
      <w:pPr>
        <w:rPr>
          <w:rFonts w:ascii="Times New Roman" w:hAnsi="Times New Roman" w:cs="Times New Roman"/>
          <w:color w:val="000000" w:themeColor="text1"/>
          <w:sz w:val="20"/>
          <w:szCs w:val="20"/>
        </w:rPr>
      </w:pPr>
    </w:p>
    <w:p w14:paraId="7FE1B846" w14:textId="77777777" w:rsidR="0057131B" w:rsidRDefault="0057131B">
      <w:pPr>
        <w:rPr>
          <w:rFonts w:ascii="Times New Roman" w:eastAsia="MS Mincho" w:hAnsi="Times New Roman" w:cs="Times New Roman"/>
          <w:color w:val="000000" w:themeColor="text1"/>
          <w:sz w:val="20"/>
          <w:szCs w:val="20"/>
        </w:rPr>
      </w:pPr>
    </w:p>
    <w:p w14:paraId="7FE1B849" w14:textId="5330C525" w:rsidR="0057131B" w:rsidRDefault="00355A1C">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1090129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Insättningsgaranti (DIS)</w:t>
      </w:r>
      <w:bookmarkEnd w:id="95"/>
      <w:bookmarkEnd w:id="96"/>
      <w:bookmarkEnd w:id="97"/>
      <w:bookmarkEnd w:id="98"/>
      <w:bookmarkEnd w:id="99"/>
    </w:p>
    <w:p w14:paraId="7FE1B84A" w14:textId="77777777" w:rsidR="0057131B" w:rsidRDefault="00355A1C">
      <w:pPr>
        <w:pStyle w:val="Instructionsberschrift3"/>
      </w:pPr>
      <w:r>
        <w:t>Allmänna kommentarer</w:t>
      </w:r>
    </w:p>
    <w:p w14:paraId="7FE1B84B" w14:textId="77777777" w:rsidR="0057131B" w:rsidRDefault="00355A1C">
      <w:pPr>
        <w:pStyle w:val="P68B1DB1-InstructionsText26"/>
        <w:numPr>
          <w:ilvl w:val="0"/>
          <w:numId w:val="71"/>
        </w:numPr>
        <w:spacing w:before="0"/>
        <w:ind w:left="714" w:hanging="357"/>
      </w:pPr>
      <w:r>
        <w:t>I denna mall ges en överblick över insättningsgarantier inom en koncern och de system för garanti av insättningar som de kreditinstitut som utgör relevanta juridiska personer deltar i.</w:t>
      </w:r>
    </w:p>
    <w:p w14:paraId="7FE1B84C" w14:textId="77777777" w:rsidR="0057131B" w:rsidRDefault="00355A1C">
      <w:pPr>
        <w:pStyle w:val="P68B1DB1-InstructionsText26"/>
        <w:numPr>
          <w:ilvl w:val="0"/>
          <w:numId w:val="71"/>
        </w:numPr>
        <w:spacing w:before="0"/>
        <w:ind w:left="714" w:hanging="357"/>
      </w:pPr>
      <w:r>
        <w:t>Varje kreditinstitut som tillhör koncernen ska redovisas på en separat rad.</w:t>
      </w:r>
    </w:p>
    <w:p w14:paraId="7FE1B84D" w14:textId="77777777" w:rsidR="0057131B" w:rsidRDefault="00355A1C">
      <w:pPr>
        <w:pStyle w:val="Instructionsberschrift3"/>
        <w:numPr>
          <w:ilvl w:val="0"/>
          <w:numId w:val="0"/>
        </w:numPr>
        <w:ind w:left="720"/>
      </w:pPr>
      <w:r>
        <w:t>Instruktioner för specifika positioner</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7131B"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57131B" w:rsidRDefault="00355A1C">
            <w:pPr>
              <w:pStyle w:val="P68B1DB1-TableParagraph17"/>
              <w:spacing w:before="108"/>
              <w:ind w:left="85"/>
              <w:jc w:val="both"/>
            </w:pPr>
            <w:r>
              <w:t>Kolumner</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57131B" w:rsidRDefault="00355A1C">
            <w:pPr>
              <w:pStyle w:val="P68B1DB1-TableParagraph17"/>
              <w:spacing w:before="108"/>
              <w:ind w:left="85" w:right="1"/>
              <w:jc w:val="both"/>
            </w:pPr>
            <w:r>
              <w:t>Anvisningar</w:t>
            </w:r>
          </w:p>
        </w:tc>
      </w:tr>
      <w:tr w:rsidR="0057131B"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57131B" w:rsidRDefault="00355A1C">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57131B" w:rsidRDefault="00355A1C">
            <w:pPr>
              <w:pStyle w:val="P68B1DB1-TableParagraph14"/>
              <w:spacing w:before="108"/>
              <w:ind w:left="85"/>
              <w:jc w:val="both"/>
              <w:rPr>
                <w:rFonts w:eastAsia="Cambria"/>
              </w:rPr>
            </w:pPr>
            <w:r>
              <w:t>Rättslig enhet</w:t>
            </w:r>
          </w:p>
        </w:tc>
      </w:tr>
      <w:tr w:rsidR="0057131B"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57131B" w:rsidRDefault="00355A1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57131B" w:rsidRDefault="00355A1C">
            <w:pPr>
              <w:pStyle w:val="P68B1DB1-TableParagraph14"/>
              <w:spacing w:before="108"/>
              <w:ind w:left="85"/>
              <w:jc w:val="both"/>
              <w:rPr>
                <w:bCs/>
              </w:rPr>
            </w:pPr>
            <w:r>
              <w:t>Enhetens namn</w:t>
            </w:r>
          </w:p>
          <w:p w14:paraId="7FE1B856" w14:textId="16A1B5FB" w:rsidR="0057131B" w:rsidRDefault="00355A1C">
            <w:pPr>
              <w:pStyle w:val="P68B1DB1-TableParagraph17"/>
              <w:spacing w:before="108"/>
              <w:ind w:left="85"/>
              <w:jc w:val="both"/>
            </w:pPr>
            <w:r>
              <w:t xml:space="preserve">Namnet på enheten enligt vad som anges i Z 01.01 – juridiska personer (ORG 1). </w:t>
            </w:r>
          </w:p>
        </w:tc>
      </w:tr>
      <w:tr w:rsidR="0057131B"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57131B" w:rsidRDefault="00355A1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57131B" w:rsidRDefault="00355A1C">
            <w:pPr>
              <w:pStyle w:val="P68B1DB1-TableParagraph14"/>
              <w:spacing w:before="108"/>
              <w:ind w:left="85"/>
              <w:jc w:val="both"/>
              <w:rPr>
                <w:bCs/>
              </w:rPr>
            </w:pPr>
            <w:r>
              <w:t xml:space="preserve">Kod </w:t>
            </w:r>
          </w:p>
          <w:p w14:paraId="7FE1B85A" w14:textId="532EB445" w:rsidR="0057131B" w:rsidRDefault="00355A1C">
            <w:pPr>
              <w:pStyle w:val="P68B1DB1-TableParagraph17"/>
              <w:spacing w:before="108"/>
              <w:ind w:left="85"/>
              <w:jc w:val="both"/>
            </w:pPr>
            <w:r>
              <w:lastRenderedPageBreak/>
              <w:t>Enhetens kod enligt vad som anges i Z 01.01 – juridiska personer (ORG 1).</w:t>
            </w:r>
          </w:p>
          <w:p w14:paraId="7FE1B85B" w14:textId="77777777" w:rsidR="0057131B" w:rsidRDefault="00355A1C">
            <w:pPr>
              <w:pStyle w:val="P68B1DB1-TableParagraph17"/>
              <w:spacing w:before="108"/>
              <w:ind w:left="85"/>
              <w:jc w:val="both"/>
            </w:pPr>
            <w:r>
              <w:t>Koden identifierar raden och måste vara unik för varje rad i tabellen.</w:t>
            </w:r>
          </w:p>
        </w:tc>
      </w:tr>
      <w:tr w:rsidR="0057131B"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57131B" w:rsidRDefault="00355A1C">
            <w:pPr>
              <w:pStyle w:val="P68B1DB1-TableParagraph17"/>
              <w:spacing w:before="108"/>
              <w:ind w:left="85"/>
              <w:jc w:val="both"/>
            </w:pPr>
            <w:r>
              <w:lastRenderedPageBreak/>
              <w:t>0030–0040</w:t>
            </w:r>
          </w:p>
        </w:tc>
        <w:tc>
          <w:tcPr>
            <w:tcW w:w="7892" w:type="dxa"/>
            <w:tcBorders>
              <w:top w:val="single" w:sz="4" w:space="0" w:color="1A171C"/>
              <w:left w:val="single" w:sz="4" w:space="0" w:color="1A171C"/>
              <w:bottom w:val="single" w:sz="4" w:space="0" w:color="1A171C"/>
              <w:right w:val="nil"/>
            </w:tcBorders>
          </w:tcPr>
          <w:p w14:paraId="7FE1B85E" w14:textId="77777777" w:rsidR="0057131B" w:rsidRDefault="00355A1C">
            <w:pPr>
              <w:pStyle w:val="P68B1DB1-TableParagraph14"/>
              <w:spacing w:before="108"/>
              <w:ind w:left="85"/>
              <w:jc w:val="both"/>
              <w:rPr>
                <w:bCs/>
              </w:rPr>
            </w:pPr>
            <w:r>
              <w:t>Medlemskap i insättningsgarantisystem</w:t>
            </w:r>
          </w:p>
        </w:tc>
      </w:tr>
      <w:tr w:rsidR="0057131B"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57131B" w:rsidRDefault="00355A1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57131B" w:rsidRDefault="00355A1C">
            <w:pPr>
              <w:pStyle w:val="P68B1DB1-TableParagraph14"/>
              <w:spacing w:before="108"/>
              <w:ind w:left="85"/>
              <w:jc w:val="both"/>
              <w:rPr>
                <w:bCs/>
              </w:rPr>
            </w:pPr>
            <w:r>
              <w:t>EDW</w:t>
            </w:r>
          </w:p>
          <w:p w14:paraId="7FE1B862" w14:textId="41C69940" w:rsidR="0057131B" w:rsidRDefault="00355A1C">
            <w:pPr>
              <w:pStyle w:val="P68B1DB1-TableParagraph17"/>
              <w:spacing w:before="108"/>
              <w:ind w:left="85"/>
              <w:jc w:val="both"/>
            </w:pPr>
            <w:r>
              <w:t>Artikel 4.3 i direktiv 2014/49/EU</w:t>
            </w:r>
          </w:p>
          <w:p w14:paraId="7FE1B863" w14:textId="77777777" w:rsidR="0057131B" w:rsidRDefault="00355A1C">
            <w:pPr>
              <w:pStyle w:val="P68B1DB1-TableParagraph17"/>
              <w:spacing w:before="108"/>
              <w:ind w:left="85"/>
              <w:jc w:val="both"/>
            </w:pPr>
            <w:r>
              <w:t>Namnet på det officiellt erkända insättningsgarantisystem som enheten är medlem i enligt tillämpning av direktiv 2014/49/EU. Detta ska vara insättningsgarantisystemet i den medlemsstat som utgör enhetens bolagsbildningsland, och övriga insättningsgarantisystem som i övriga medlemsstater kan ge ytterligare skydd (”tillägg”) till enhetens kunder i en filial i denna medlemsstat ska uteslutas. När ett institut är medlem i ett institutionellt skyddssystem som även är officiellt erkänt som ett insättningsgarantisystem, i enlighet med artikel 4.2 i direktiv 2014/49/EU, ska insättningsgarantisystemets namn vara identiskt med namnet på det institutionella skyddssystemet på rad 050.</w:t>
            </w:r>
          </w:p>
          <w:p w14:paraId="7FE1B864" w14:textId="77777777" w:rsidR="0057131B" w:rsidRDefault="00355A1C">
            <w:pPr>
              <w:pStyle w:val="P68B1DB1-TableParagraph17"/>
              <w:spacing w:before="108"/>
              <w:ind w:left="85"/>
              <w:jc w:val="both"/>
            </w:pPr>
            <w:r>
              <w:t>Insättningsgarantisystemet ska väljas för varje enhets bolagsbildningsland enligt följande:</w:t>
            </w:r>
          </w:p>
          <w:p w14:paraId="7FE1B865" w14:textId="77777777" w:rsidR="0057131B" w:rsidRDefault="00355A1C">
            <w:pPr>
              <w:pStyle w:val="P68B1DB1-TableParagraph28"/>
              <w:spacing w:before="108"/>
              <w:ind w:left="85"/>
              <w:jc w:val="both"/>
            </w:pPr>
            <w:r>
              <w:t>Österrike</w:t>
            </w:r>
          </w:p>
          <w:p w14:paraId="7FE1B866" w14:textId="7AF21273" w:rsidR="0057131B" w:rsidRDefault="00355A1C">
            <w:pPr>
              <w:pStyle w:val="P68B1DB1-TableParagraph17"/>
              <w:numPr>
                <w:ilvl w:val="0"/>
                <w:numId w:val="70"/>
              </w:numPr>
              <w:spacing w:before="108"/>
              <w:jc w:val="both"/>
            </w:pPr>
            <w:r>
              <w:t xml:space="preserve">Einlagensicherung AUSTRIA Ges.m.b.H. ” </w:t>
            </w:r>
          </w:p>
          <w:p w14:paraId="7FE1B867" w14:textId="77777777" w:rsidR="0057131B" w:rsidRDefault="00355A1C">
            <w:pPr>
              <w:pStyle w:val="P68B1DB1-TableParagraph17"/>
              <w:numPr>
                <w:ilvl w:val="0"/>
                <w:numId w:val="70"/>
              </w:numPr>
              <w:spacing w:before="108"/>
              <w:jc w:val="both"/>
            </w:pPr>
            <w:r>
              <w:t>”Sparkassen-Haftungs GmbH”</w:t>
            </w:r>
          </w:p>
          <w:p w14:paraId="7FE1B868" w14:textId="77777777" w:rsidR="0057131B" w:rsidRDefault="00355A1C">
            <w:pPr>
              <w:pStyle w:val="P68B1DB1-TableParagraph17"/>
              <w:numPr>
                <w:ilvl w:val="0"/>
                <w:numId w:val="70"/>
              </w:numPr>
              <w:spacing w:before="108"/>
              <w:jc w:val="both"/>
            </w:pPr>
            <w:r>
              <w:t>”Österreichische Raiffeisen-Sicherungseinrichtung eGen”</w:t>
            </w:r>
          </w:p>
          <w:p w14:paraId="7FE1B869" w14:textId="77777777" w:rsidR="0057131B" w:rsidRDefault="00355A1C">
            <w:pPr>
              <w:pStyle w:val="P68B1DB1-TableParagraph28"/>
              <w:spacing w:before="108"/>
              <w:ind w:left="85"/>
              <w:jc w:val="both"/>
            </w:pPr>
            <w:r>
              <w:t>Belgien</w:t>
            </w:r>
          </w:p>
          <w:p w14:paraId="7FE1B86A" w14:textId="77777777" w:rsidR="0057131B" w:rsidRDefault="00355A1C">
            <w:pPr>
              <w:pStyle w:val="P68B1DB1-TableParagraph17"/>
              <w:numPr>
                <w:ilvl w:val="0"/>
                <w:numId w:val="70"/>
              </w:numPr>
              <w:spacing w:before="108"/>
              <w:jc w:val="both"/>
            </w:pPr>
            <w:r>
              <w:t>”Garantiefonds voor financiële diensten/Fonds de garantie pour les services financiers”</w:t>
            </w:r>
          </w:p>
          <w:p w14:paraId="7FE1B86B" w14:textId="77777777" w:rsidR="0057131B" w:rsidRDefault="00355A1C">
            <w:pPr>
              <w:pStyle w:val="P68B1DB1-TableParagraph28"/>
              <w:spacing w:before="108"/>
              <w:ind w:left="85"/>
              <w:jc w:val="both"/>
            </w:pPr>
            <w:r>
              <w:t>Bulgarien</w:t>
            </w:r>
          </w:p>
          <w:p w14:paraId="7FE1B86C" w14:textId="33BABCB1" w:rsidR="0057131B" w:rsidRDefault="00355A1C">
            <w:pPr>
              <w:pStyle w:val="P68B1DB1-TableParagraph17"/>
              <w:numPr>
                <w:ilvl w:val="0"/>
                <w:numId w:val="70"/>
              </w:numPr>
              <w:spacing w:before="108"/>
              <w:jc w:val="both"/>
            </w:pPr>
            <w:r>
              <w:t>”Фонд за гарантиране на влоговете в банките”</w:t>
            </w:r>
          </w:p>
          <w:p w14:paraId="7FE1B86D" w14:textId="77777777" w:rsidR="0057131B" w:rsidRDefault="00355A1C">
            <w:pPr>
              <w:pStyle w:val="P68B1DB1-TableParagraph28"/>
              <w:spacing w:before="108"/>
              <w:ind w:left="85"/>
              <w:jc w:val="both"/>
            </w:pPr>
            <w:r>
              <w:t>Kroatien</w:t>
            </w:r>
          </w:p>
          <w:p w14:paraId="7FE1B86E" w14:textId="77777777" w:rsidR="0057131B" w:rsidRDefault="00355A1C">
            <w:pPr>
              <w:pStyle w:val="P68B1DB1-TableParagraph17"/>
              <w:numPr>
                <w:ilvl w:val="0"/>
                <w:numId w:val="70"/>
              </w:numPr>
              <w:spacing w:before="108"/>
              <w:jc w:val="both"/>
            </w:pPr>
            <w:r>
              <w:t>”Hrvatska agencija za osiguranje depozita”</w:t>
            </w:r>
          </w:p>
          <w:p w14:paraId="7FE1B86F" w14:textId="77777777" w:rsidR="0057131B" w:rsidRDefault="00355A1C">
            <w:pPr>
              <w:pStyle w:val="P68B1DB1-TableParagraph28"/>
              <w:spacing w:before="108"/>
              <w:ind w:left="85"/>
              <w:jc w:val="both"/>
            </w:pPr>
            <w:r>
              <w:t>Cypern</w:t>
            </w:r>
          </w:p>
          <w:p w14:paraId="7FE1B870" w14:textId="77777777" w:rsidR="0057131B" w:rsidRDefault="00355A1C">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57131B" w:rsidRDefault="00355A1C">
            <w:pPr>
              <w:pStyle w:val="P68B1DB1-TableParagraph28"/>
              <w:spacing w:before="108"/>
              <w:ind w:left="85"/>
              <w:jc w:val="both"/>
            </w:pPr>
            <w:r>
              <w:t>Tjeckiska</w:t>
            </w:r>
          </w:p>
          <w:p w14:paraId="7FE1B872" w14:textId="77777777" w:rsidR="0057131B" w:rsidRDefault="00355A1C">
            <w:pPr>
              <w:pStyle w:val="P68B1DB1-TableParagraph17"/>
              <w:numPr>
                <w:ilvl w:val="0"/>
                <w:numId w:val="70"/>
              </w:numPr>
              <w:spacing w:before="108"/>
              <w:jc w:val="both"/>
            </w:pPr>
            <w:r>
              <w:t>”Garanční systém finančního trhu”</w:t>
            </w:r>
          </w:p>
          <w:p w14:paraId="7FE1B873" w14:textId="77777777" w:rsidR="0057131B" w:rsidRDefault="00355A1C">
            <w:pPr>
              <w:pStyle w:val="P68B1DB1-TableParagraph28"/>
              <w:spacing w:before="108"/>
              <w:ind w:left="85"/>
              <w:jc w:val="both"/>
            </w:pPr>
            <w:r>
              <w:t>Danmark</w:t>
            </w:r>
          </w:p>
          <w:p w14:paraId="7FE1B874" w14:textId="77777777" w:rsidR="0057131B" w:rsidRDefault="00355A1C">
            <w:pPr>
              <w:pStyle w:val="P68B1DB1-TableParagraph17"/>
              <w:numPr>
                <w:ilvl w:val="0"/>
                <w:numId w:val="70"/>
              </w:numPr>
              <w:spacing w:before="108"/>
              <w:jc w:val="both"/>
            </w:pPr>
            <w:r>
              <w:t>”Garantiformuen”</w:t>
            </w:r>
          </w:p>
          <w:p w14:paraId="7FE1B875" w14:textId="77777777" w:rsidR="0057131B" w:rsidRDefault="00355A1C">
            <w:pPr>
              <w:pStyle w:val="P68B1DB1-TableParagraph28"/>
              <w:spacing w:before="108"/>
              <w:ind w:left="85"/>
              <w:jc w:val="both"/>
            </w:pPr>
            <w:r>
              <w:t xml:space="preserve">Estland </w:t>
            </w:r>
          </w:p>
          <w:p w14:paraId="7FE1B876" w14:textId="77777777" w:rsidR="0057131B" w:rsidRDefault="00355A1C">
            <w:pPr>
              <w:pStyle w:val="P68B1DB1-TableParagraph17"/>
              <w:numPr>
                <w:ilvl w:val="0"/>
                <w:numId w:val="70"/>
              </w:numPr>
              <w:spacing w:before="108"/>
              <w:jc w:val="both"/>
            </w:pPr>
            <w:r>
              <w:t>”Tagastisfond”</w:t>
            </w:r>
          </w:p>
          <w:p w14:paraId="7FE1B877" w14:textId="77777777" w:rsidR="0057131B" w:rsidRDefault="00355A1C">
            <w:pPr>
              <w:pStyle w:val="P68B1DB1-TableParagraph28"/>
              <w:spacing w:before="108"/>
              <w:ind w:left="85"/>
              <w:jc w:val="both"/>
            </w:pPr>
            <w:r>
              <w:t xml:space="preserve">Finland </w:t>
            </w:r>
          </w:p>
          <w:p w14:paraId="7FE1B878" w14:textId="77777777" w:rsidR="0057131B" w:rsidRDefault="00355A1C">
            <w:pPr>
              <w:pStyle w:val="P68B1DB1-TableParagraph17"/>
              <w:numPr>
                <w:ilvl w:val="0"/>
                <w:numId w:val="70"/>
              </w:numPr>
              <w:spacing w:before="108"/>
              <w:jc w:val="both"/>
            </w:pPr>
            <w:r>
              <w:t>”Talletussuojarahasto”</w:t>
            </w:r>
          </w:p>
          <w:p w14:paraId="7FE1B879" w14:textId="77777777" w:rsidR="0057131B" w:rsidRDefault="00355A1C">
            <w:pPr>
              <w:pStyle w:val="P68B1DB1-TableParagraph28"/>
              <w:spacing w:before="108"/>
              <w:ind w:left="85"/>
              <w:jc w:val="both"/>
            </w:pPr>
            <w:r>
              <w:t>Frankrike</w:t>
            </w:r>
          </w:p>
          <w:p w14:paraId="7FE1B87A" w14:textId="77777777" w:rsidR="0057131B" w:rsidRDefault="00355A1C">
            <w:pPr>
              <w:pStyle w:val="P68B1DB1-TableParagraph17"/>
              <w:numPr>
                <w:ilvl w:val="0"/>
                <w:numId w:val="70"/>
              </w:numPr>
              <w:spacing w:before="108"/>
              <w:jc w:val="both"/>
            </w:pPr>
            <w:r>
              <w:t>”Fonds de Garantie des Dépôts et de Résolution”</w:t>
            </w:r>
          </w:p>
          <w:p w14:paraId="7FE1B87B" w14:textId="77777777" w:rsidR="0057131B" w:rsidRDefault="00355A1C">
            <w:pPr>
              <w:pStyle w:val="P68B1DB1-TableParagraph28"/>
              <w:spacing w:before="108"/>
              <w:ind w:left="85"/>
              <w:jc w:val="both"/>
            </w:pPr>
            <w:r>
              <w:t xml:space="preserve">Tyskland </w:t>
            </w:r>
          </w:p>
          <w:p w14:paraId="7FE1B87C" w14:textId="77777777" w:rsidR="0057131B" w:rsidRDefault="00355A1C">
            <w:pPr>
              <w:pStyle w:val="P68B1DB1-TableParagraph17"/>
              <w:numPr>
                <w:ilvl w:val="0"/>
                <w:numId w:val="70"/>
              </w:numPr>
              <w:spacing w:before="108"/>
              <w:jc w:val="both"/>
            </w:pPr>
            <w:r>
              <w:t>”Entschädigungseinrichtung deutscher Banken GmbH”</w:t>
            </w:r>
          </w:p>
          <w:p w14:paraId="7FE1B87D" w14:textId="77777777" w:rsidR="0057131B" w:rsidRDefault="00355A1C">
            <w:pPr>
              <w:pStyle w:val="P68B1DB1-TableParagraph17"/>
              <w:numPr>
                <w:ilvl w:val="0"/>
                <w:numId w:val="70"/>
              </w:numPr>
              <w:spacing w:before="108"/>
              <w:jc w:val="both"/>
            </w:pPr>
            <w:r>
              <w:t>”Entschädigungseinrichtung des Bundesverbandes Öffentlicher Banken Deutschlands GmbH”</w:t>
            </w:r>
          </w:p>
          <w:p w14:paraId="7FE1B87E" w14:textId="77777777" w:rsidR="0057131B" w:rsidRDefault="00355A1C">
            <w:pPr>
              <w:pStyle w:val="P68B1DB1-TableParagraph17"/>
              <w:numPr>
                <w:ilvl w:val="0"/>
                <w:numId w:val="70"/>
              </w:numPr>
              <w:spacing w:before="108"/>
              <w:jc w:val="both"/>
            </w:pPr>
            <w:r>
              <w:t>”Sicherungseinrichtung des Deutschen Sparkassen- und Giroverbandes (DSGV-Haftungsverbund)”</w:t>
            </w:r>
          </w:p>
          <w:p w14:paraId="7FE1B87F" w14:textId="77777777" w:rsidR="0057131B" w:rsidRDefault="00355A1C">
            <w:pPr>
              <w:pStyle w:val="P68B1DB1-TableParagraph17"/>
              <w:numPr>
                <w:ilvl w:val="0"/>
                <w:numId w:val="70"/>
              </w:numPr>
              <w:spacing w:before="108"/>
              <w:jc w:val="both"/>
            </w:pPr>
            <w:r>
              <w:lastRenderedPageBreak/>
              <w:t>”BVR Institutssicherung GmbH”</w:t>
            </w:r>
          </w:p>
          <w:p w14:paraId="7FE1B882" w14:textId="77777777" w:rsidR="0057131B" w:rsidRDefault="00355A1C">
            <w:pPr>
              <w:pStyle w:val="P68B1DB1-TableParagraph28"/>
              <w:spacing w:before="108"/>
              <w:ind w:left="85"/>
              <w:jc w:val="both"/>
            </w:pPr>
            <w:r>
              <w:t xml:space="preserve">Grekland </w:t>
            </w:r>
          </w:p>
          <w:p w14:paraId="7FE1B883" w14:textId="77777777" w:rsidR="0057131B" w:rsidRDefault="00355A1C">
            <w:pPr>
              <w:pStyle w:val="P68B1DB1-TableParagraph17"/>
              <w:numPr>
                <w:ilvl w:val="0"/>
                <w:numId w:val="70"/>
              </w:numPr>
              <w:spacing w:before="108"/>
              <w:jc w:val="both"/>
            </w:pPr>
            <w:r>
              <w:t>”Ταμείο Εγγύησης Καταθέσεων και Επενδύσεων”</w:t>
            </w:r>
          </w:p>
          <w:p w14:paraId="7FE1B884" w14:textId="77777777" w:rsidR="0057131B" w:rsidRDefault="00355A1C">
            <w:pPr>
              <w:pStyle w:val="P68B1DB1-TableParagraph28"/>
              <w:spacing w:before="108"/>
              <w:ind w:left="85"/>
              <w:jc w:val="both"/>
            </w:pPr>
            <w:r>
              <w:t xml:space="preserve">Ungern </w:t>
            </w:r>
          </w:p>
          <w:p w14:paraId="7FE1B885" w14:textId="77777777" w:rsidR="0057131B" w:rsidRDefault="00355A1C">
            <w:pPr>
              <w:pStyle w:val="P68B1DB1-TableParagraph17"/>
              <w:numPr>
                <w:ilvl w:val="0"/>
                <w:numId w:val="70"/>
              </w:numPr>
              <w:spacing w:before="108"/>
              <w:jc w:val="both"/>
            </w:pPr>
            <w:r>
              <w:t>”Országos Betétbiztosítási Alap”</w:t>
            </w:r>
          </w:p>
          <w:p w14:paraId="7FE1B886" w14:textId="77777777" w:rsidR="0057131B" w:rsidRDefault="00355A1C">
            <w:pPr>
              <w:pStyle w:val="P68B1DB1-TableParagraph28"/>
              <w:spacing w:before="108"/>
              <w:ind w:left="85"/>
              <w:jc w:val="both"/>
            </w:pPr>
            <w:r>
              <w:t>Island</w:t>
            </w:r>
          </w:p>
          <w:p w14:paraId="7FE1B887" w14:textId="44E06D46" w:rsidR="0057131B" w:rsidRDefault="00355A1C">
            <w:pPr>
              <w:pStyle w:val="P68B1DB1-TableParagraph17"/>
              <w:numPr>
                <w:ilvl w:val="0"/>
                <w:numId w:val="70"/>
              </w:numPr>
              <w:spacing w:before="108"/>
              <w:jc w:val="both"/>
            </w:pPr>
            <w:r>
              <w:t>”Tryggingarsjóður vegna fjármálafyrirtækja”</w:t>
            </w:r>
          </w:p>
          <w:p w14:paraId="7FE1B888" w14:textId="77777777" w:rsidR="0057131B" w:rsidRDefault="00355A1C">
            <w:pPr>
              <w:pStyle w:val="P68B1DB1-TableParagraph28"/>
              <w:spacing w:before="108"/>
              <w:ind w:left="85"/>
              <w:jc w:val="both"/>
            </w:pPr>
            <w:r>
              <w:t>Irland</w:t>
            </w:r>
          </w:p>
          <w:p w14:paraId="7FE1B889" w14:textId="77777777" w:rsidR="0057131B" w:rsidRDefault="00355A1C">
            <w:pPr>
              <w:pStyle w:val="P68B1DB1-TableParagraph17"/>
              <w:numPr>
                <w:ilvl w:val="0"/>
                <w:numId w:val="70"/>
              </w:numPr>
              <w:spacing w:before="108"/>
              <w:jc w:val="both"/>
            </w:pPr>
            <w:r>
              <w:t>”Irish Deposit Protection Scheme”</w:t>
            </w:r>
          </w:p>
          <w:p w14:paraId="7FE1B88A" w14:textId="77777777" w:rsidR="0057131B" w:rsidRDefault="00355A1C">
            <w:pPr>
              <w:pStyle w:val="P68B1DB1-TableParagraph28"/>
              <w:spacing w:before="108"/>
              <w:ind w:left="85"/>
              <w:jc w:val="both"/>
            </w:pPr>
            <w:r>
              <w:t xml:space="preserve">Italien </w:t>
            </w:r>
          </w:p>
          <w:p w14:paraId="7FE1B88B" w14:textId="77777777" w:rsidR="0057131B" w:rsidRDefault="00355A1C">
            <w:pPr>
              <w:pStyle w:val="P68B1DB1-TableParagraph17"/>
              <w:numPr>
                <w:ilvl w:val="0"/>
                <w:numId w:val="70"/>
              </w:numPr>
              <w:spacing w:before="108"/>
              <w:jc w:val="both"/>
            </w:pPr>
            <w:r>
              <w:t>”Fondo Interbancario di Tutela dei Depositi”</w:t>
            </w:r>
          </w:p>
          <w:p w14:paraId="7FE1B88C" w14:textId="77777777" w:rsidR="0057131B" w:rsidRPr="003751AD" w:rsidRDefault="00355A1C">
            <w:pPr>
              <w:pStyle w:val="P68B1DB1-TableParagraph17"/>
              <w:numPr>
                <w:ilvl w:val="0"/>
                <w:numId w:val="70"/>
              </w:numPr>
              <w:spacing w:before="108"/>
              <w:jc w:val="both"/>
              <w:rPr>
                <w:lang w:val="en-US"/>
              </w:rPr>
            </w:pPr>
            <w:proofErr w:type="gramStart"/>
            <w:r w:rsidRPr="003751AD">
              <w:rPr>
                <w:lang w:val="en-US"/>
              </w:rPr>
              <w:t>”Fondo</w:t>
            </w:r>
            <w:proofErr w:type="gramEnd"/>
            <w:r w:rsidRPr="003751AD">
              <w:rPr>
                <w:lang w:val="en-US"/>
              </w:rPr>
              <w:t xml:space="preserve"> di </w:t>
            </w:r>
            <w:proofErr w:type="spellStart"/>
            <w:r w:rsidRPr="003751AD">
              <w:rPr>
                <w:lang w:val="en-US"/>
              </w:rPr>
              <w:t>Garanzia</w:t>
            </w:r>
            <w:proofErr w:type="spellEnd"/>
            <w:r w:rsidRPr="003751AD">
              <w:rPr>
                <w:lang w:val="en-US"/>
              </w:rPr>
              <w:t xml:space="preserve"> </w:t>
            </w:r>
            <w:proofErr w:type="spellStart"/>
            <w:r w:rsidRPr="003751AD">
              <w:rPr>
                <w:lang w:val="en-US"/>
              </w:rPr>
              <w:t>dei</w:t>
            </w:r>
            <w:proofErr w:type="spellEnd"/>
            <w:r w:rsidRPr="003751AD">
              <w:rPr>
                <w:lang w:val="en-US"/>
              </w:rPr>
              <w:t xml:space="preserve"> </w:t>
            </w:r>
            <w:proofErr w:type="spellStart"/>
            <w:r w:rsidRPr="003751AD">
              <w:rPr>
                <w:lang w:val="en-US"/>
              </w:rPr>
              <w:t>Depositanti</w:t>
            </w:r>
            <w:proofErr w:type="spellEnd"/>
            <w:r w:rsidRPr="003751AD">
              <w:rPr>
                <w:lang w:val="en-US"/>
              </w:rPr>
              <w:t xml:space="preserve"> del Credito </w:t>
            </w:r>
            <w:proofErr w:type="spellStart"/>
            <w:r w:rsidRPr="003751AD">
              <w:rPr>
                <w:lang w:val="en-US"/>
              </w:rPr>
              <w:t>Cooperativo</w:t>
            </w:r>
            <w:proofErr w:type="spellEnd"/>
            <w:r w:rsidRPr="003751AD">
              <w:rPr>
                <w:lang w:val="en-US"/>
              </w:rPr>
              <w:t>”</w:t>
            </w:r>
          </w:p>
          <w:p w14:paraId="7FE1B88D" w14:textId="77777777" w:rsidR="0057131B" w:rsidRDefault="00355A1C">
            <w:pPr>
              <w:pStyle w:val="P68B1DB1-TableParagraph28"/>
              <w:spacing w:before="108"/>
              <w:ind w:left="85"/>
              <w:jc w:val="both"/>
            </w:pPr>
            <w:r>
              <w:t>Lettland</w:t>
            </w:r>
          </w:p>
          <w:p w14:paraId="7FE1B88E" w14:textId="77777777" w:rsidR="0057131B" w:rsidRDefault="00355A1C">
            <w:pPr>
              <w:pStyle w:val="P68B1DB1-TableParagraph17"/>
              <w:numPr>
                <w:ilvl w:val="0"/>
                <w:numId w:val="70"/>
              </w:numPr>
              <w:spacing w:before="108"/>
              <w:jc w:val="both"/>
            </w:pPr>
            <w:r>
              <w:t>”Latvijas Noguldījumu garantiju fonds”</w:t>
            </w:r>
          </w:p>
          <w:p w14:paraId="7FE1B88F" w14:textId="77777777" w:rsidR="0057131B" w:rsidRDefault="00355A1C">
            <w:pPr>
              <w:pStyle w:val="P68B1DB1-TableParagraph28"/>
              <w:spacing w:before="108"/>
              <w:ind w:left="85"/>
              <w:jc w:val="both"/>
            </w:pPr>
            <w:r>
              <w:t xml:space="preserve">Liechtenstein </w:t>
            </w:r>
          </w:p>
          <w:p w14:paraId="7FE1B890" w14:textId="77777777" w:rsidR="0057131B" w:rsidRDefault="00355A1C">
            <w:pPr>
              <w:pStyle w:val="P68B1DB1-TableParagraph17"/>
              <w:numPr>
                <w:ilvl w:val="0"/>
                <w:numId w:val="70"/>
              </w:numPr>
              <w:spacing w:before="108"/>
              <w:jc w:val="both"/>
            </w:pPr>
            <w:r>
              <w:t>”Einlagensicherungs- und Anlegerentschädigungs-Stiftung SV”</w:t>
            </w:r>
          </w:p>
          <w:p w14:paraId="7FE1B891" w14:textId="77777777" w:rsidR="0057131B" w:rsidRDefault="00355A1C">
            <w:pPr>
              <w:pStyle w:val="P68B1DB1-TableParagraph28"/>
              <w:spacing w:before="108"/>
              <w:ind w:left="85"/>
              <w:jc w:val="both"/>
            </w:pPr>
            <w:r>
              <w:t>Litauen</w:t>
            </w:r>
          </w:p>
          <w:p w14:paraId="7FE1B892" w14:textId="77777777" w:rsidR="0057131B" w:rsidRDefault="00355A1C">
            <w:pPr>
              <w:pStyle w:val="P68B1DB1-TableParagraph17"/>
              <w:numPr>
                <w:ilvl w:val="0"/>
                <w:numId w:val="70"/>
              </w:numPr>
              <w:spacing w:before="108"/>
              <w:jc w:val="both"/>
            </w:pPr>
            <w:r>
              <w:t>”Indėlių ir investicijų draudimas”</w:t>
            </w:r>
          </w:p>
          <w:p w14:paraId="7FE1B893" w14:textId="77777777" w:rsidR="0057131B" w:rsidRDefault="00355A1C">
            <w:pPr>
              <w:pStyle w:val="P68B1DB1-TableParagraph28"/>
              <w:spacing w:before="108"/>
              <w:ind w:left="85"/>
              <w:jc w:val="both"/>
            </w:pPr>
            <w:r>
              <w:t>Luxemburg</w:t>
            </w:r>
          </w:p>
          <w:p w14:paraId="7FE1B894" w14:textId="59F3019A" w:rsidR="0057131B" w:rsidRDefault="00355A1C">
            <w:pPr>
              <w:pStyle w:val="P68B1DB1-TableParagraph17"/>
              <w:numPr>
                <w:ilvl w:val="0"/>
                <w:numId w:val="70"/>
              </w:numPr>
              <w:spacing w:before="108"/>
              <w:jc w:val="both"/>
            </w:pPr>
            <w:r>
              <w:t>”Fonds de garantie des Dépôts Luxembourg”</w:t>
            </w:r>
          </w:p>
          <w:p w14:paraId="7FE1B895" w14:textId="77777777" w:rsidR="0057131B" w:rsidRDefault="00355A1C">
            <w:pPr>
              <w:pStyle w:val="P68B1DB1-TableParagraph28"/>
              <w:spacing w:before="108"/>
              <w:ind w:left="85"/>
              <w:jc w:val="both"/>
            </w:pPr>
            <w:r>
              <w:t>Malta</w:t>
            </w:r>
          </w:p>
          <w:p w14:paraId="7FE1B896" w14:textId="77777777" w:rsidR="0057131B" w:rsidRDefault="00355A1C">
            <w:pPr>
              <w:pStyle w:val="P68B1DB1-TableParagraph17"/>
              <w:numPr>
                <w:ilvl w:val="0"/>
                <w:numId w:val="70"/>
              </w:numPr>
              <w:spacing w:before="108"/>
              <w:jc w:val="both"/>
            </w:pPr>
            <w:r>
              <w:t>”Depositor Compensation Scheme”</w:t>
            </w:r>
          </w:p>
          <w:p w14:paraId="7FE1B897" w14:textId="77777777" w:rsidR="0057131B" w:rsidRDefault="00355A1C">
            <w:pPr>
              <w:pStyle w:val="P68B1DB1-TableParagraph28"/>
              <w:spacing w:before="108"/>
              <w:ind w:left="85"/>
              <w:jc w:val="both"/>
            </w:pPr>
            <w:r>
              <w:t xml:space="preserve">Nederländerna </w:t>
            </w:r>
          </w:p>
          <w:p w14:paraId="7FE1B898" w14:textId="77777777" w:rsidR="0057131B" w:rsidRDefault="00355A1C">
            <w:pPr>
              <w:pStyle w:val="P68B1DB1-TableParagraph17"/>
              <w:numPr>
                <w:ilvl w:val="0"/>
                <w:numId w:val="70"/>
              </w:numPr>
              <w:spacing w:before="108"/>
              <w:jc w:val="both"/>
            </w:pPr>
            <w:r>
              <w:t>”De Nederlandsche Bank, Depositogarantiestelsel”</w:t>
            </w:r>
          </w:p>
          <w:p w14:paraId="7FE1B899" w14:textId="77777777" w:rsidR="0057131B" w:rsidRDefault="00355A1C">
            <w:pPr>
              <w:pStyle w:val="P68B1DB1-TableParagraph28"/>
              <w:spacing w:before="108"/>
              <w:ind w:left="85"/>
              <w:jc w:val="both"/>
            </w:pPr>
            <w:r>
              <w:t>Norge</w:t>
            </w:r>
          </w:p>
          <w:p w14:paraId="7FE1B89A" w14:textId="77777777" w:rsidR="0057131B" w:rsidRDefault="00355A1C">
            <w:pPr>
              <w:pStyle w:val="P68B1DB1-TableParagraph17"/>
              <w:numPr>
                <w:ilvl w:val="0"/>
                <w:numId w:val="70"/>
              </w:numPr>
              <w:spacing w:before="108"/>
              <w:jc w:val="both"/>
            </w:pPr>
            <w:r>
              <w:t>”Bankenes sikringsfond”</w:t>
            </w:r>
          </w:p>
          <w:p w14:paraId="7FE1B89B" w14:textId="77777777" w:rsidR="0057131B" w:rsidRDefault="00355A1C">
            <w:pPr>
              <w:pStyle w:val="P68B1DB1-TableParagraph28"/>
              <w:spacing w:before="108"/>
              <w:ind w:left="85"/>
              <w:jc w:val="both"/>
            </w:pPr>
            <w:r>
              <w:t>Polen</w:t>
            </w:r>
          </w:p>
          <w:p w14:paraId="7FE1B89C" w14:textId="77777777" w:rsidR="0057131B" w:rsidRDefault="00355A1C">
            <w:pPr>
              <w:pStyle w:val="P68B1DB1-TableParagraph17"/>
              <w:numPr>
                <w:ilvl w:val="0"/>
                <w:numId w:val="70"/>
              </w:numPr>
              <w:spacing w:before="108"/>
              <w:jc w:val="both"/>
            </w:pPr>
            <w:r>
              <w:t>”Bankowy Fundusz Gwarancyjny”</w:t>
            </w:r>
          </w:p>
          <w:p w14:paraId="7FE1B89D" w14:textId="77777777" w:rsidR="0057131B" w:rsidRDefault="00355A1C">
            <w:pPr>
              <w:pStyle w:val="P68B1DB1-TableParagraph28"/>
              <w:spacing w:before="108"/>
              <w:ind w:left="85"/>
              <w:jc w:val="both"/>
            </w:pPr>
            <w:r>
              <w:t>Portugal</w:t>
            </w:r>
          </w:p>
          <w:p w14:paraId="7FE1B89E" w14:textId="77777777" w:rsidR="0057131B" w:rsidRDefault="00355A1C">
            <w:pPr>
              <w:pStyle w:val="P68B1DB1-TableParagraph17"/>
              <w:numPr>
                <w:ilvl w:val="0"/>
                <w:numId w:val="70"/>
              </w:numPr>
              <w:spacing w:before="108"/>
              <w:jc w:val="both"/>
            </w:pPr>
            <w:r>
              <w:t>”Fundo de Garantia de Depósitos”</w:t>
            </w:r>
          </w:p>
          <w:p w14:paraId="7FE1B89F" w14:textId="77777777" w:rsidR="0057131B" w:rsidRPr="003751AD" w:rsidRDefault="00355A1C">
            <w:pPr>
              <w:pStyle w:val="P68B1DB1-TableParagraph17"/>
              <w:numPr>
                <w:ilvl w:val="0"/>
                <w:numId w:val="70"/>
              </w:numPr>
              <w:spacing w:before="108"/>
              <w:jc w:val="both"/>
              <w:rPr>
                <w:lang w:val="en-US"/>
              </w:rPr>
            </w:pPr>
            <w:proofErr w:type="gramStart"/>
            <w:r w:rsidRPr="003751AD">
              <w:rPr>
                <w:lang w:val="en-US"/>
              </w:rPr>
              <w:t>”Fundo</w:t>
            </w:r>
            <w:proofErr w:type="gramEnd"/>
            <w:r w:rsidRPr="003751AD">
              <w:rPr>
                <w:lang w:val="en-US"/>
              </w:rPr>
              <w:t xml:space="preserve"> de </w:t>
            </w:r>
            <w:proofErr w:type="spellStart"/>
            <w:r w:rsidRPr="003751AD">
              <w:rPr>
                <w:lang w:val="en-US"/>
              </w:rPr>
              <w:t>Garantia</w:t>
            </w:r>
            <w:proofErr w:type="spellEnd"/>
            <w:r w:rsidRPr="003751AD">
              <w:rPr>
                <w:lang w:val="en-US"/>
              </w:rPr>
              <w:t xml:space="preserve"> do Crédito Agrícola </w:t>
            </w:r>
            <w:proofErr w:type="spellStart"/>
            <w:r w:rsidRPr="003751AD">
              <w:rPr>
                <w:lang w:val="en-US"/>
              </w:rPr>
              <w:t>Mútuo</w:t>
            </w:r>
            <w:proofErr w:type="spellEnd"/>
            <w:r w:rsidRPr="003751AD">
              <w:rPr>
                <w:lang w:val="en-US"/>
              </w:rPr>
              <w:t>”</w:t>
            </w:r>
          </w:p>
          <w:p w14:paraId="7FE1B8A0" w14:textId="77777777" w:rsidR="0057131B" w:rsidRDefault="00355A1C">
            <w:pPr>
              <w:pStyle w:val="P68B1DB1-TableParagraph28"/>
              <w:spacing w:before="108"/>
              <w:ind w:left="85"/>
              <w:jc w:val="both"/>
            </w:pPr>
            <w:r>
              <w:t>Rumänien</w:t>
            </w:r>
          </w:p>
          <w:p w14:paraId="7FE1B8A1" w14:textId="77777777" w:rsidR="0057131B" w:rsidRDefault="00355A1C">
            <w:pPr>
              <w:pStyle w:val="P68B1DB1-TableParagraph17"/>
              <w:numPr>
                <w:ilvl w:val="0"/>
                <w:numId w:val="70"/>
              </w:numPr>
              <w:spacing w:before="108"/>
              <w:jc w:val="both"/>
            </w:pPr>
            <w:r>
              <w:t>”Fondul de Garantare a Depozitelor in Sistemul Bancar”</w:t>
            </w:r>
          </w:p>
          <w:p w14:paraId="7FE1B8A2" w14:textId="77777777" w:rsidR="0057131B" w:rsidRDefault="00355A1C">
            <w:pPr>
              <w:pStyle w:val="P68B1DB1-TableParagraph28"/>
              <w:spacing w:before="108"/>
              <w:ind w:left="85"/>
              <w:jc w:val="both"/>
            </w:pPr>
            <w:r>
              <w:t>Slovakien</w:t>
            </w:r>
          </w:p>
          <w:p w14:paraId="7FE1B8A3" w14:textId="77777777" w:rsidR="0057131B" w:rsidRDefault="00355A1C">
            <w:pPr>
              <w:pStyle w:val="P68B1DB1-TableParagraph17"/>
              <w:numPr>
                <w:ilvl w:val="0"/>
                <w:numId w:val="70"/>
              </w:numPr>
              <w:spacing w:before="108"/>
              <w:jc w:val="both"/>
            </w:pPr>
            <w:r>
              <w:t>”Fond ochrany vkladov”</w:t>
            </w:r>
          </w:p>
          <w:p w14:paraId="7FE1B8A4" w14:textId="77777777" w:rsidR="0057131B" w:rsidRDefault="00355A1C">
            <w:pPr>
              <w:pStyle w:val="P68B1DB1-TableParagraph28"/>
              <w:spacing w:before="108"/>
              <w:ind w:left="85"/>
              <w:jc w:val="both"/>
            </w:pPr>
            <w:r>
              <w:t xml:space="preserve">Slovenien </w:t>
            </w:r>
          </w:p>
          <w:p w14:paraId="7FE1B8A5" w14:textId="77777777" w:rsidR="0057131B" w:rsidRDefault="00355A1C">
            <w:pPr>
              <w:pStyle w:val="P68B1DB1-TableParagraph17"/>
              <w:numPr>
                <w:ilvl w:val="0"/>
                <w:numId w:val="70"/>
              </w:numPr>
              <w:spacing w:before="108"/>
              <w:jc w:val="both"/>
            </w:pPr>
            <w:r>
              <w:t>”Banka Slovenije”</w:t>
            </w:r>
          </w:p>
          <w:p w14:paraId="7FE1B8A6" w14:textId="77777777" w:rsidR="0057131B" w:rsidRDefault="00355A1C">
            <w:pPr>
              <w:pStyle w:val="P68B1DB1-TableParagraph28"/>
              <w:spacing w:before="108"/>
              <w:ind w:left="85"/>
              <w:jc w:val="both"/>
            </w:pPr>
            <w:r>
              <w:t>Spanien</w:t>
            </w:r>
          </w:p>
          <w:p w14:paraId="7FE1B8A7" w14:textId="77777777" w:rsidR="0057131B" w:rsidRDefault="00355A1C">
            <w:pPr>
              <w:pStyle w:val="P68B1DB1-TableParagraph17"/>
              <w:numPr>
                <w:ilvl w:val="0"/>
                <w:numId w:val="70"/>
              </w:numPr>
              <w:spacing w:before="108"/>
              <w:jc w:val="both"/>
            </w:pPr>
            <w:r>
              <w:t>”Fondo de Garantía de Depósitos de Entidades de Crédito”</w:t>
            </w:r>
          </w:p>
          <w:p w14:paraId="7FE1B8A8" w14:textId="77777777" w:rsidR="0057131B" w:rsidRDefault="00355A1C">
            <w:pPr>
              <w:pStyle w:val="P68B1DB1-TableParagraph28"/>
              <w:spacing w:before="108"/>
              <w:ind w:left="85"/>
              <w:jc w:val="both"/>
            </w:pPr>
            <w:r>
              <w:t>Sweden</w:t>
            </w:r>
          </w:p>
          <w:p w14:paraId="7FE1B8A9" w14:textId="77777777" w:rsidR="0057131B" w:rsidRDefault="00355A1C">
            <w:pPr>
              <w:pStyle w:val="P68B1DB1-TableParagraph17"/>
              <w:numPr>
                <w:ilvl w:val="0"/>
                <w:numId w:val="70"/>
              </w:numPr>
              <w:spacing w:before="108"/>
              <w:jc w:val="both"/>
            </w:pPr>
            <w:r>
              <w:lastRenderedPageBreak/>
              <w:t>”Riksgälden”</w:t>
            </w:r>
          </w:p>
          <w:p w14:paraId="7FE1B8AC" w14:textId="77777777" w:rsidR="0057131B" w:rsidRDefault="0057131B">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57131B" w:rsidRDefault="00355A1C">
            <w:pPr>
              <w:pStyle w:val="P68B1DB1-TableParagraph17"/>
              <w:spacing w:before="108"/>
              <w:ind w:left="85"/>
              <w:jc w:val="both"/>
            </w:pPr>
            <w:r>
              <w:t>Ifall det officiellt erkända insättningsgarantisystem som enheten är medlem i inte anges ovan ska ”övriga” redovisas.</w:t>
            </w:r>
          </w:p>
        </w:tc>
      </w:tr>
      <w:tr w:rsidR="0057131B"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57131B" w:rsidRDefault="00355A1C">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57131B" w:rsidRDefault="00355A1C">
            <w:pPr>
              <w:pStyle w:val="P68B1DB1-TableParagraph14"/>
              <w:spacing w:before="108"/>
              <w:ind w:left="85"/>
              <w:jc w:val="both"/>
              <w:rPr>
                <w:bCs/>
              </w:rPr>
            </w:pPr>
            <w:r>
              <w:t>Summa garanterade insättningar</w:t>
            </w:r>
          </w:p>
          <w:p w14:paraId="7FE1B8B1" w14:textId="77777777" w:rsidR="0057131B" w:rsidRDefault="00355A1C">
            <w:pPr>
              <w:pStyle w:val="P68B1DB1-TableParagraph17"/>
              <w:spacing w:before="108"/>
              <w:ind w:left="85"/>
            </w:pPr>
            <w:r>
              <w:t>Artikel 2.1.5 och 6.2 i direktiv 2014/49/EU</w:t>
            </w:r>
          </w:p>
          <w:p w14:paraId="7FE1B8B2" w14:textId="77777777" w:rsidR="0057131B" w:rsidRDefault="00355A1C">
            <w:pPr>
              <w:pStyle w:val="P68B1DB1-TableParagraph17"/>
              <w:spacing w:before="108"/>
              <w:ind w:left="85"/>
              <w:jc w:val="both"/>
            </w:pPr>
            <w:r>
              <w:t>Beloppet av garanterade insättningar enligt definitionen i led 5 i artikel 2.1 tillsammans med artikel 6 i direktiv 2014/49/EU, som omfattas av insättningsgarantisystemet enligt rad 00030, med undantag för tillfälligt höga restbelopp enligt definitionen i artikel 6.2 i samma direktiv.</w:t>
            </w:r>
          </w:p>
        </w:tc>
      </w:tr>
      <w:tr w:rsidR="0057131B"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57131B" w:rsidRDefault="00355A1C">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57131B" w:rsidRDefault="00355A1C">
            <w:pPr>
              <w:pStyle w:val="P68B1DB1-TableParagraph14"/>
              <w:spacing w:before="108"/>
              <w:ind w:left="85"/>
              <w:jc w:val="both"/>
              <w:rPr>
                <w:bCs/>
              </w:rPr>
            </w:pPr>
            <w:r>
              <w:t>Institutionellt skyddssystem</w:t>
            </w:r>
          </w:p>
          <w:p w14:paraId="7FE1B8B6" w14:textId="77777777" w:rsidR="0057131B" w:rsidRDefault="00355A1C">
            <w:pPr>
              <w:pStyle w:val="P68B1DB1-TableParagraph17"/>
              <w:spacing w:before="108"/>
              <w:ind w:left="85"/>
            </w:pPr>
            <w:r>
              <w:t>Artikel 113.7 i förordning (EU) nr 575/2013</w:t>
            </w:r>
          </w:p>
          <w:p w14:paraId="7FE1B8B7" w14:textId="77777777" w:rsidR="0057131B" w:rsidRDefault="00355A1C">
            <w:pPr>
              <w:pStyle w:val="P68B1DB1-TableParagraph17"/>
              <w:spacing w:before="108"/>
              <w:ind w:left="85"/>
              <w:jc w:val="both"/>
            </w:pPr>
            <w:r>
              <w:t>Namnet på det institutionella skyddssystem som avses i artikel 113.7 i förordning (EU) nr 575/2013, och som enheten är medlem i. Ifall enheten inte är medlem i ett institutionellt skyddssystem ska ingenting redovisas. När ett institut är medlem i ett institutionellt skyddssystem som även är officiellt erkänt som ett insättningsgarantisystem, i enlighet med artikel 4.2 i direktiv 2014/49/EU, ska insättningsgarantisystemets namn vara identiskt med namnet på det institutionella skyddssystemet på rad 030.</w:t>
            </w:r>
          </w:p>
          <w:p w14:paraId="7FE1B8B8" w14:textId="77777777" w:rsidR="0057131B" w:rsidRDefault="0057131B">
            <w:pPr>
              <w:pStyle w:val="TableParagraph"/>
              <w:spacing w:before="108"/>
              <w:ind w:left="85"/>
              <w:jc w:val="both"/>
              <w:rPr>
                <w:rFonts w:ascii="Times New Roman" w:eastAsia="Cambria" w:hAnsi="Times New Roman" w:cs="Times New Roman"/>
                <w:color w:val="000000" w:themeColor="text1"/>
                <w:sz w:val="20"/>
                <w:szCs w:val="20"/>
              </w:rPr>
            </w:pPr>
          </w:p>
        </w:tc>
      </w:tr>
      <w:tr w:rsidR="0057131B"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57131B" w:rsidRDefault="00355A1C">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57131B" w:rsidRDefault="00355A1C">
            <w:pPr>
              <w:pStyle w:val="P68B1DB1-TableParagraph14"/>
              <w:spacing w:before="108"/>
              <w:ind w:left="85"/>
              <w:jc w:val="both"/>
              <w:rPr>
                <w:bCs/>
              </w:rPr>
            </w:pPr>
            <w:r>
              <w:t>Ytterligare skydd enligt avtalsreglerad plan</w:t>
            </w:r>
          </w:p>
          <w:p w14:paraId="7FE1B8BC" w14:textId="77777777" w:rsidR="0057131B" w:rsidRDefault="00355A1C">
            <w:pPr>
              <w:pStyle w:val="P68B1DB1-TableParagraph17"/>
              <w:spacing w:before="108"/>
              <w:ind w:left="85"/>
            </w:pPr>
            <w:r>
              <w:t>Artikel 1.3 a i direktiv 2014/49/EU</w:t>
            </w:r>
          </w:p>
          <w:p w14:paraId="7FE1B8BD" w14:textId="77777777" w:rsidR="0057131B" w:rsidRDefault="00355A1C">
            <w:pPr>
              <w:pStyle w:val="P68B1DB1-TableParagraph17"/>
              <w:spacing w:before="108"/>
              <w:ind w:left="85"/>
              <w:jc w:val="both"/>
            </w:pPr>
            <w:r>
              <w:t>Summan insättningar som omfattas av enhetens avtalsreglerade plan.</w:t>
            </w:r>
          </w:p>
        </w:tc>
      </w:tr>
    </w:tbl>
    <w:p w14:paraId="7FE1B8BF" w14:textId="77777777" w:rsidR="0057131B" w:rsidRDefault="0057131B">
      <w:pPr>
        <w:rPr>
          <w:rFonts w:ascii="Times New Roman" w:hAnsi="Times New Roman" w:cs="Times New Roman"/>
          <w:b/>
          <w:color w:val="000000" w:themeColor="text1"/>
          <w:sz w:val="20"/>
          <w:szCs w:val="20"/>
          <w:u w:val="single"/>
        </w:rPr>
      </w:pPr>
    </w:p>
    <w:p w14:paraId="7FE1B8C0" w14:textId="77777777" w:rsidR="0057131B" w:rsidRDefault="00355A1C">
      <w:pPr>
        <w:pStyle w:val="P68B1DB1-Instructionsberschrift25"/>
        <w:numPr>
          <w:ilvl w:val="1"/>
          <w:numId w:val="49"/>
        </w:numPr>
        <w:ind w:left="357" w:hanging="357"/>
      </w:pPr>
      <w:bookmarkStart w:id="100" w:name="_Toc492542327"/>
      <w:bookmarkStart w:id="101" w:name="_Toc81454186"/>
      <w:bookmarkStart w:id="102" w:name="_Toc210901291"/>
      <w:r>
        <w:t>Kritiska funktioner och kärnaffärsområden</w:t>
      </w:r>
      <w:bookmarkEnd w:id="100"/>
      <w:bookmarkEnd w:id="101"/>
      <w:bookmarkEnd w:id="102"/>
    </w:p>
    <w:p w14:paraId="7FE1B8C2" w14:textId="77777777" w:rsidR="0057131B" w:rsidRDefault="00355A1C">
      <w:pPr>
        <w:pStyle w:val="Instructionsberschrift3"/>
      </w:pPr>
      <w:bookmarkStart w:id="103" w:name="_Toc189492773"/>
      <w:bookmarkStart w:id="104" w:name="_Toc192249050"/>
      <w:bookmarkEnd w:id="103"/>
      <w:bookmarkEnd w:id="104"/>
      <w:r>
        <w:t>Allmänna kommentarer</w:t>
      </w:r>
    </w:p>
    <w:p w14:paraId="7FE1B8C3" w14:textId="249305A0" w:rsidR="0057131B" w:rsidRDefault="00355A1C">
      <w:pPr>
        <w:pStyle w:val="P68B1DB1-InstructionsText26"/>
        <w:numPr>
          <w:ilvl w:val="0"/>
          <w:numId w:val="232"/>
        </w:numPr>
        <w:spacing w:before="0"/>
      </w:pPr>
      <w:r>
        <w:t>I de fyra mallarna i detta stycke ges nyckeldata och en kvalitativ bedömning av koncernens ekonomiska funktioners verkningar, utbytbarhet samt kriticitet, och härtill en kartläggning av dessa kritiska funktioner enligt kärnaffärsområden och juridiska personer och en kartläggning av kärnaffärsområden enligt juridiska personer.</w:t>
      </w:r>
    </w:p>
    <w:p w14:paraId="7FE1B8C4" w14:textId="77777777" w:rsidR="0057131B" w:rsidRDefault="00355A1C">
      <w:pPr>
        <w:pStyle w:val="P68B1DB1-InstructionsText26"/>
        <w:numPr>
          <w:ilvl w:val="0"/>
          <w:numId w:val="232"/>
        </w:numPr>
        <w:spacing w:before="0"/>
      </w:pPr>
      <w:r>
        <w:t>Närmare bestämt omfattar mallarna följande områden:</w:t>
      </w:r>
    </w:p>
    <w:p w14:paraId="7FE1B8C5" w14:textId="25190D4A" w:rsidR="0057131B" w:rsidRDefault="00355A1C">
      <w:pPr>
        <w:pStyle w:val="P68B1DB1-InstructionsText26"/>
        <w:numPr>
          <w:ilvl w:val="0"/>
          <w:numId w:val="153"/>
        </w:numPr>
        <w:spacing w:before="0"/>
      </w:pPr>
      <w:r>
        <w:t xml:space="preserve">Mall Z 07.01 – </w:t>
      </w:r>
      <w:r w:rsidR="00570897">
        <w:t>K</w:t>
      </w:r>
      <w:r w:rsidR="00CB2A05">
        <w:t xml:space="preserve">ritikalitetsbedömning </w:t>
      </w:r>
      <w:r>
        <w:t>av ekonomiska funktioner (FUNC 1) innehåller resultaten av den kritikalitetsbedömning av de ekonomiska funktionerna som utförs av gruppen, på grundval av kvantitativa och kvalitativa indikatorer, de icke-kritiska och kritiska funktioner som utförs. En separat mall förväntas från gruppen för varje medlemsstat där gruppen är verksam. Följande kategorier av ekonomiska funktioner har identifierats för rapportering:</w:t>
      </w:r>
    </w:p>
    <w:p w14:paraId="7FE1B8C6" w14:textId="43527C6F" w:rsidR="0057131B" w:rsidRDefault="00355A1C">
      <w:pPr>
        <w:pStyle w:val="P68B1DB1-InstructionsText26"/>
        <w:numPr>
          <w:ilvl w:val="1"/>
          <w:numId w:val="153"/>
        </w:numPr>
        <w:spacing w:before="0"/>
      </w:pPr>
      <w:r>
        <w:t>Z 07.01.1 Inlåning</w:t>
      </w:r>
    </w:p>
    <w:p w14:paraId="7FE1B8C7" w14:textId="4D1F9471" w:rsidR="0057131B" w:rsidRDefault="00355A1C">
      <w:pPr>
        <w:pStyle w:val="P68B1DB1-InstructionsText26"/>
        <w:numPr>
          <w:ilvl w:val="1"/>
          <w:numId w:val="153"/>
        </w:numPr>
        <w:spacing w:before="0"/>
      </w:pPr>
      <w:r>
        <w:t xml:space="preserve">Z 07.01.2 </w:t>
      </w:r>
      <w:r w:rsidR="009524DD" w:rsidRPr="00A2751A">
        <w:t>Utlåning</w:t>
      </w:r>
    </w:p>
    <w:p w14:paraId="7FE1B8C8" w14:textId="284FDD0B" w:rsidR="0057131B" w:rsidRDefault="00355A1C">
      <w:pPr>
        <w:pStyle w:val="P68B1DB1-InstructionsText26"/>
        <w:numPr>
          <w:ilvl w:val="1"/>
          <w:numId w:val="153"/>
        </w:numPr>
        <w:spacing w:before="0"/>
      </w:pPr>
      <w:r>
        <w:t>Z 07.01.3 Betalningar, kontantbetalningar, avvecklingstjänster, clearingtjänster</w:t>
      </w:r>
    </w:p>
    <w:p w14:paraId="7FE1B8C9" w14:textId="12E4110D" w:rsidR="0057131B" w:rsidRDefault="00355A1C">
      <w:pPr>
        <w:pStyle w:val="P68B1DB1-InstructionsText26"/>
        <w:numPr>
          <w:ilvl w:val="1"/>
          <w:numId w:val="153"/>
        </w:numPr>
        <w:spacing w:before="0"/>
      </w:pPr>
      <w:r>
        <w:t>Z 07.01.4 Kapitalmarknader</w:t>
      </w:r>
    </w:p>
    <w:p w14:paraId="7FE1B8CA" w14:textId="4F8E949B" w:rsidR="0057131B" w:rsidRDefault="00355A1C">
      <w:pPr>
        <w:pStyle w:val="P68B1DB1-InstructionsText26"/>
        <w:numPr>
          <w:ilvl w:val="1"/>
          <w:numId w:val="153"/>
        </w:numPr>
        <w:spacing w:before="0"/>
      </w:pPr>
      <w:r>
        <w:t xml:space="preserve">Z 07.01.5 </w:t>
      </w:r>
      <w:r w:rsidR="00A2751A">
        <w:t>Kapitalmarknadsfinansiering</w:t>
      </w:r>
    </w:p>
    <w:p w14:paraId="7FE1B8CB" w14:textId="006771C1" w:rsidR="0057131B" w:rsidRDefault="00355A1C">
      <w:pPr>
        <w:pStyle w:val="P68B1DB1-InstructionsText26"/>
        <w:numPr>
          <w:ilvl w:val="0"/>
          <w:numId w:val="153"/>
        </w:numPr>
        <w:spacing w:before="0"/>
      </w:pPr>
      <w:r>
        <w:lastRenderedPageBreak/>
        <w:t>Mall Z 07.02 – Kartläggning av ekonomiska funktioner efter juridiska personer (FUNC 2) kartlägger de ekonomiska funktionerna, bedömda i Z 07.01, med juridiska personer eller internationella filialer, enligt vad som anges i Z 01.01.</w:t>
      </w:r>
    </w:p>
    <w:p w14:paraId="7FE1B8CC" w14:textId="0C5FD434" w:rsidR="0057131B" w:rsidRDefault="00355A1C">
      <w:pPr>
        <w:pStyle w:val="P68B1DB1-InstructionsText26"/>
        <w:numPr>
          <w:ilvl w:val="0"/>
          <w:numId w:val="153"/>
        </w:numPr>
        <w:spacing w:before="0"/>
      </w:pPr>
      <w:r>
        <w:t>Z 07.03 – Kartläggningen av kärnaffärsområden enligt juridisk person (FUNC 3) ger en fullständig lista på kärnaffärsområden och ordnar dem efter juridisk person.</w:t>
      </w:r>
    </w:p>
    <w:p w14:paraId="7FE1B8CD" w14:textId="780FA7AD" w:rsidR="0057131B" w:rsidRDefault="00355A1C">
      <w:pPr>
        <w:pStyle w:val="P68B1DB1-InstructionsText26"/>
        <w:numPr>
          <w:ilvl w:val="0"/>
          <w:numId w:val="153"/>
        </w:numPr>
        <w:spacing w:before="0"/>
      </w:pPr>
      <w:r>
        <w:t xml:space="preserve">Mall Z 07.04 – Kartläggningen av ekonomiska funktioner enligt kärnaffärsområden (FUNC 4) ordnar de identifierade ekonomiska funktionerna efter kärnaffärsområden. </w:t>
      </w:r>
    </w:p>
    <w:p w14:paraId="7FE1B8CE" w14:textId="0BA07F41" w:rsidR="0057131B" w:rsidRDefault="00355A1C">
      <w:pPr>
        <w:pStyle w:val="P68B1DB1-InstructionsText26"/>
        <w:numPr>
          <w:ilvl w:val="0"/>
          <w:numId w:val="232"/>
        </w:numPr>
        <w:spacing w:before="0"/>
      </w:pPr>
      <w:r>
        <w:t xml:space="preserve">I enlighet med artikel 2.1 led 35 i direktiv 2014/59/EU avses med kritiska funktioner aktiviteter, tjänster eller transaktioner som om de upphörde sannolikt skulle leda till störningar av tjänster som är avgörande för realekonomin eller störa den finansiella stabiliteten på grund av institutets eller koncernens storlek, marknadsandel, externa och interna sammanlänkning, komplexitet eller gränsöverskridande verksamhet, i en eller flera medlemsstater, särskilt med avseende på dessa aktiviteters, tjänsters eller transaktioners utbytbarhet. </w:t>
      </w:r>
    </w:p>
    <w:p w14:paraId="7FE1B8D0" w14:textId="77777777" w:rsidR="0057131B" w:rsidRDefault="00355A1C">
      <w:pPr>
        <w:pStyle w:val="P68B1DB1-InstructionsText26"/>
        <w:numPr>
          <w:ilvl w:val="0"/>
          <w:numId w:val="232"/>
        </w:numPr>
        <w:spacing w:before="0"/>
      </w:pPr>
      <w:r>
        <w:t>I enlighet med artikel 6.1 i kommissionens förordning (EU) 2016/778, ska</w:t>
      </w:r>
      <w:r>
        <w:footnoteReference w:id="18"/>
      </w:r>
      <w:r>
        <w:t>en funktion anses vara kritisk när den uppfyller båda av följande:</w:t>
      </w:r>
    </w:p>
    <w:p w14:paraId="7FE1B8D1" w14:textId="77777777" w:rsidR="0057131B" w:rsidRDefault="00355A1C">
      <w:pPr>
        <w:pStyle w:val="P68B1DB1-Normal3"/>
        <w:numPr>
          <w:ilvl w:val="0"/>
          <w:numId w:val="56"/>
        </w:numPr>
        <w:spacing w:line="276" w:lineRule="auto"/>
        <w:contextualSpacing/>
        <w:jc w:val="both"/>
      </w:pPr>
      <w:r>
        <w:t>Funktionen tillhandahålls av ett institut till tredje parter som inte är anknutna till institutet eller koncernen, och</w:t>
      </w:r>
    </w:p>
    <w:p w14:paraId="7FE1B8D2" w14:textId="77777777" w:rsidR="0057131B" w:rsidRDefault="00355A1C">
      <w:pPr>
        <w:pStyle w:val="P68B1DB1-Normal3"/>
        <w:numPr>
          <w:ilvl w:val="0"/>
          <w:numId w:val="56"/>
        </w:numPr>
        <w:spacing w:line="276" w:lineRule="auto"/>
        <w:contextualSpacing/>
        <w:jc w:val="both"/>
        <w:rPr>
          <w:i/>
        </w:rPr>
      </w:pPr>
      <w:r>
        <w:t>en plötslig störning i utförandet av den funktionen skulle sannolikt ha en väsentlig negativ påverkan på den tredje parten, ge spridningseffekter eller underminera marknadsaktörernas allmänna förtroende på grund av funktionens systembetydelse för tredje part, och betydelsen för systemet av att institutet eller koncernen tillhandahåller denna funktion.</w:t>
      </w:r>
    </w:p>
    <w:p w14:paraId="7FE1B8D3" w14:textId="6B4413EC" w:rsidR="0057131B" w:rsidRDefault="00355A1C">
      <w:pPr>
        <w:pStyle w:val="P68B1DB1-InstructionsText26"/>
        <w:numPr>
          <w:ilvl w:val="0"/>
          <w:numId w:val="232"/>
        </w:numPr>
        <w:spacing w:before="0"/>
      </w:pPr>
      <w:r>
        <w:t>I enlighet med artikel 2.1 led 36 i direktiv 2014/59/EU avses med ”kärnaffärsområden: affärsområden och kringtjänster som utgör faktiska källor till inkomst, vinst eller har ett franchisevärde för ett institut eller en koncern som institutet tillhör”.</w:t>
      </w:r>
    </w:p>
    <w:p w14:paraId="7FE1B8D4" w14:textId="77777777" w:rsidR="0057131B" w:rsidRDefault="00355A1C">
      <w:pPr>
        <w:pStyle w:val="P68B1DB1-InstructionsText26"/>
        <w:numPr>
          <w:ilvl w:val="0"/>
          <w:numId w:val="232"/>
        </w:numPr>
        <w:spacing w:before="0"/>
      </w:pPr>
      <w:r>
        <w:t>I denna mall avses med ekonomiska funktioner de funktioner som listas i tabellen nedan.</w:t>
      </w:r>
    </w:p>
    <w:p w14:paraId="7FE1B8D5" w14:textId="77777777" w:rsidR="0057131B" w:rsidRDefault="00355A1C">
      <w:pPr>
        <w:pStyle w:val="P68B1DB1-InstructionsText26"/>
        <w:numPr>
          <w:ilvl w:val="0"/>
          <w:numId w:val="232"/>
        </w:numPr>
        <w:spacing w:before="0"/>
      </w:pPr>
      <w:r>
        <w:t>För varje kategori av ekonomiska funktioner kan kategorin ”övriga” väljas ifall funktionen inte omfattas av de andra fördefinierade funktionerna.</w:t>
      </w:r>
    </w:p>
    <w:p w14:paraId="7FE1B8D6" w14:textId="77777777" w:rsidR="0057131B" w:rsidRDefault="00355A1C">
      <w:pPr>
        <w:pStyle w:val="P68B1DB1-InstructionsText26"/>
        <w:numPr>
          <w:ilvl w:val="0"/>
          <w:numId w:val="232"/>
        </w:numPr>
        <w:spacing w:before="0"/>
      </w:pPr>
      <w:r>
        <w:t>De motparter som avses på rad 0010 till 0070 och rad 0080–0150 identifieras likadant som motpartssektorerna som presenteras i Finrep bilaga V del 1 kapitel 6. Med ”SMF” avses små och medelstora företag enligt definitionen i Finrep, bilaga V, del 1, punkt 5 (i).</w:t>
      </w:r>
    </w:p>
    <w:p w14:paraId="7FE1B8D7" w14:textId="4FEDF533" w:rsidR="0057131B" w:rsidRDefault="00355A1C">
      <w:pPr>
        <w:pStyle w:val="P68B1DB1-InstructionsText229"/>
        <w:numPr>
          <w:ilvl w:val="0"/>
          <w:numId w:val="0"/>
        </w:numPr>
        <w:rPr>
          <w:sz w:val="20"/>
          <w:szCs w:val="20"/>
        </w:rPr>
      </w:pPr>
      <w:r>
        <w:rPr>
          <w:sz w:val="20"/>
          <w:szCs w:val="20"/>
        </w:rPr>
        <w:t>En separat flik förväntas för var och en av de ekonomiska funktionskategorierna.</w:t>
      </w:r>
      <w:r>
        <w:t xml:space="preserve"> </w:t>
      </w:r>
    </w:p>
    <w:p w14:paraId="072982A7" w14:textId="0688FD4A" w:rsidR="0057131B" w:rsidRDefault="00355A1C">
      <w:pPr>
        <w:spacing w:after="200" w:line="276" w:lineRule="auto"/>
      </w:pPr>
      <w:r>
        <w:br w:type="page"/>
      </w:r>
    </w:p>
    <w:p w14:paraId="7FE1B95D" w14:textId="634EB818" w:rsidR="0057131B" w:rsidRDefault="0057131B">
      <w:pPr>
        <w:pStyle w:val="InstructionsText2"/>
        <w:numPr>
          <w:ilvl w:val="0"/>
          <w:numId w:val="0"/>
        </w:numPr>
        <w:rPr>
          <w:rFonts w:ascii="Times New Roman" w:hAnsi="Times New Roman" w:cs="Times New Roman"/>
          <w:color w:val="000000" w:themeColor="text1"/>
        </w:rPr>
      </w:pPr>
    </w:p>
    <w:p w14:paraId="7FE1B95E" w14:textId="77777777" w:rsidR="0057131B" w:rsidRDefault="00355A1C">
      <w:pPr>
        <w:pStyle w:val="P68B1DB1-Instructionsberschrift25"/>
        <w:numPr>
          <w:ilvl w:val="1"/>
          <w:numId w:val="49"/>
        </w:numPr>
        <w:ind w:left="357" w:hanging="357"/>
      </w:pPr>
      <w:bookmarkStart w:id="105" w:name="_Toc210901292"/>
      <w:r>
        <w:t>Z 07.01 – Kriticitetsbedömning av ekonomiska funktioner (FUNC 1)</w:t>
      </w:r>
      <w:bookmarkEnd w:id="105"/>
    </w:p>
    <w:p w14:paraId="7FE1B960" w14:textId="7174EDC4" w:rsidR="0057131B" w:rsidRDefault="00355A1C">
      <w:pPr>
        <w:pStyle w:val="P68B1DB1-Instructionsberschrift25"/>
      </w:pPr>
      <w:r>
        <w:t xml:space="preserve"> </w:t>
      </w:r>
      <w:bookmarkStart w:id="106" w:name="_Toc172723210"/>
      <w:bookmarkEnd w:id="106"/>
    </w:p>
    <w:p w14:paraId="7FE1B961" w14:textId="77777777" w:rsidR="0057131B" w:rsidRDefault="00355A1C">
      <w:pPr>
        <w:pStyle w:val="P68B1DB1-body30"/>
      </w:pPr>
      <w:bookmarkStart w:id="107" w:name="_Toc164263845"/>
      <w:r>
        <w:t>Instruktioner för specifika positioner</w:t>
      </w:r>
      <w:bookmarkEnd w:id="107"/>
    </w:p>
    <w:p w14:paraId="7FE1B963" w14:textId="77777777" w:rsidR="0057131B" w:rsidRDefault="00355A1C">
      <w:pPr>
        <w:pStyle w:val="P68B1DB1-InstructionsText26"/>
        <w:numPr>
          <w:ilvl w:val="0"/>
          <w:numId w:val="232"/>
        </w:numPr>
        <w:spacing w:before="0"/>
      </w:pPr>
      <w:r>
        <w:t>I denna mall ska varje medlemsstat där koncernen är aktiv (identifierad som ”land”) redovisas varsin gång. I samtliga fall (oavsett ingångspunkt) ska filialerna aggregeras i rapporten från det land där de tillhandahåller tjänster.</w:t>
      </w:r>
    </w:p>
    <w:p w14:paraId="7FE1B964" w14:textId="77777777" w:rsidR="0057131B" w:rsidRDefault="00355A1C">
      <w:pPr>
        <w:pStyle w:val="P68B1DB1-InstructionsText26"/>
        <w:numPr>
          <w:ilvl w:val="0"/>
          <w:numId w:val="232"/>
        </w:numPr>
        <w:spacing w:before="0"/>
      </w:pPr>
      <w:r>
        <w:t>Här omfattas samtliga ekonomiska funktioner genomförda i denna medlemsstat av någon av koncernenheterna, oavsett ifall denna funktion är en kritisk funktion eller inte.</w:t>
      </w:r>
    </w:p>
    <w:p w14:paraId="7FE1B965" w14:textId="2359C381" w:rsidR="0057131B" w:rsidRDefault="00355A1C">
      <w:pPr>
        <w:pStyle w:val="P68B1DB1-InstructionsText26"/>
        <w:numPr>
          <w:ilvl w:val="0"/>
          <w:numId w:val="232"/>
        </w:numPr>
      </w:pPr>
      <w:r>
        <w:t>Regional rapportering (endast i tillämpliga fall)</w:t>
      </w:r>
    </w:p>
    <w:p w14:paraId="7FE1B966" w14:textId="226CA454" w:rsidR="0057131B" w:rsidRDefault="00355A1C">
      <w:pPr>
        <w:pStyle w:val="P68B1DB1-InstructionsText26"/>
        <w:numPr>
          <w:ilvl w:val="0"/>
          <w:numId w:val="0"/>
        </w:numPr>
        <w:ind w:left="1440"/>
      </w:pPr>
      <w:r>
        <w:t>För information på regionnivå, definiera regionen. Ange regionens namn i fritext enligt följande konvention:</w:t>
      </w:r>
    </w:p>
    <w:p w14:paraId="7FE1B967" w14:textId="5BD4C7F8" w:rsidR="0057131B" w:rsidRDefault="00355A1C">
      <w:pPr>
        <w:pStyle w:val="P68B1DB1-InstructionsText26"/>
        <w:numPr>
          <w:ilvl w:val="0"/>
          <w:numId w:val="0"/>
        </w:numPr>
        <w:ind w:left="1440" w:firstLine="18"/>
      </w:pPr>
      <w:r>
        <w:t>Medlemsstat – regionens namn. För medlemsstaternas namn, använd respektive förkortning för två bokstäver. För regionens namn, använd koden eller koderna i Nuts 2021-klassificeringen.</w:t>
      </w:r>
    </w:p>
    <w:p w14:paraId="7FE1B968" w14:textId="77777777" w:rsidR="0057131B" w:rsidRDefault="0057131B">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7131B"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57131B" w:rsidRDefault="00355A1C">
            <w:pPr>
              <w:pStyle w:val="P68B1DB1-TableParagraph17"/>
              <w:spacing w:before="108"/>
              <w:ind w:left="85"/>
              <w:jc w:val="both"/>
            </w:pPr>
            <w:r>
              <w:t>Rad</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57131B" w:rsidRDefault="00355A1C">
            <w:pPr>
              <w:pStyle w:val="P68B1DB1-TableParagraph17"/>
              <w:spacing w:before="108"/>
              <w:ind w:left="85" w:right="1"/>
              <w:jc w:val="both"/>
            </w:pPr>
            <w:r>
              <w:t>Ekonomisk funktion</w:t>
            </w:r>
          </w:p>
        </w:tc>
      </w:tr>
      <w:tr w:rsidR="0057131B" w14:paraId="7FE1B970" w14:textId="77777777">
        <w:tc>
          <w:tcPr>
            <w:tcW w:w="9083" w:type="dxa"/>
            <w:gridSpan w:val="2"/>
            <w:tcBorders>
              <w:top w:val="single" w:sz="4" w:space="0" w:color="1A171C"/>
              <w:left w:val="nil"/>
              <w:bottom w:val="single" w:sz="4" w:space="0" w:color="1A171C"/>
            </w:tcBorders>
          </w:tcPr>
          <w:p w14:paraId="7FE1B96C" w14:textId="2BE7EB2E" w:rsidR="0057131B" w:rsidRDefault="00355A1C">
            <w:pPr>
              <w:pStyle w:val="P68B1DB1-TableParagraph16"/>
              <w:spacing w:before="108"/>
              <w:ind w:left="85"/>
              <w:jc w:val="both"/>
              <w:rPr>
                <w:b/>
                <w:bCs/>
                <w:color w:val="000000" w:themeColor="text1"/>
                <w:sz w:val="20"/>
                <w:szCs w:val="20"/>
              </w:rPr>
            </w:pPr>
            <w:r>
              <w:t xml:space="preserve">Z 07.01.1 FUNC 1 </w:t>
            </w:r>
            <w:r w:rsidR="005D5AB8" w:rsidRPr="005D5AB8">
              <w:t>Insättningar</w:t>
            </w:r>
          </w:p>
          <w:p w14:paraId="7FE1B96D" w14:textId="77777777" w:rsidR="0057131B" w:rsidRDefault="00355A1C">
            <w:pPr>
              <w:pStyle w:val="P68B1DB1-TableParagraph17"/>
              <w:spacing w:before="108"/>
              <w:ind w:left="85"/>
            </w:pPr>
            <w:r>
              <w:t xml:space="preserve">Inlåning ska avse mottagande av insättningar från icke-finansiella mellanhänder. Detta inkluderar inte lån från andra finansiella mellanhänder, vilka hanteras separat under ”kapitalmarknadsfinansiering”. </w:t>
            </w:r>
          </w:p>
          <w:p w14:paraId="7FE1B96E" w14:textId="77777777" w:rsidR="0057131B" w:rsidRDefault="00355A1C">
            <w:pPr>
              <w:pStyle w:val="P68B1DB1-TableParagraph17"/>
              <w:spacing w:before="108"/>
              <w:ind w:left="85"/>
            </w:pPr>
            <w:r>
              <w:t>Insättningar inkluderar: löpande räkningar/inlåning över natten, ii) insättningar med avtalad löptid och iii) aviserade insättningar, och återköpsavtal ingår inte.</w:t>
            </w:r>
          </w:p>
          <w:p w14:paraId="7FE1B96F" w14:textId="77777777" w:rsidR="0057131B" w:rsidRDefault="00355A1C">
            <w:pPr>
              <w:pStyle w:val="P68B1DB1-TableParagraph13"/>
              <w:spacing w:before="108"/>
              <w:ind w:left="85"/>
              <w:rPr>
                <w:rFonts w:eastAsia="Cambria"/>
              </w:rPr>
            </w:pPr>
            <w:r>
              <w:t>Hänvisningar: FSB-råd gällande identifiering av kritiska funktioner och kritiska delade tjänster (2013) s. 14. Bilaga II del 2 posterna 9.1, 9.2 och 9.3 i förordning (EU) 2021/379.</w:t>
            </w:r>
          </w:p>
        </w:tc>
      </w:tr>
      <w:tr w:rsidR="0057131B"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57131B" w:rsidRDefault="00355A1C">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57131B" w:rsidRDefault="00355A1C">
            <w:pPr>
              <w:pStyle w:val="P68B1DB1-TableParagraph14"/>
              <w:spacing w:before="108"/>
              <w:ind w:left="85"/>
              <w:jc w:val="both"/>
              <w:rPr>
                <w:rFonts w:eastAsia="Cambria"/>
              </w:rPr>
            </w:pPr>
            <w:r>
              <w:t>Hushåll</w:t>
            </w:r>
          </w:p>
        </w:tc>
      </w:tr>
      <w:tr w:rsidR="0057131B"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57131B" w:rsidRDefault="00355A1C">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57131B" w:rsidRDefault="00355A1C">
            <w:pPr>
              <w:pStyle w:val="P68B1DB1-TableParagraph14"/>
              <w:spacing w:before="108"/>
              <w:ind w:left="85"/>
              <w:jc w:val="both"/>
              <w:rPr>
                <w:rFonts w:eastAsia="Cambria"/>
              </w:rPr>
            </w:pPr>
            <w:r>
              <w:t>Icke-finansiella företag (SMF)</w:t>
            </w:r>
          </w:p>
        </w:tc>
      </w:tr>
      <w:tr w:rsidR="0057131B"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57131B" w:rsidRDefault="00355A1C">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57131B" w:rsidRDefault="00355A1C">
            <w:pPr>
              <w:pStyle w:val="P68B1DB1-TableParagraph14"/>
              <w:spacing w:before="108"/>
              <w:ind w:left="85"/>
              <w:jc w:val="both"/>
              <w:rPr>
                <w:rFonts w:eastAsia="Cambria"/>
              </w:rPr>
            </w:pPr>
            <w:r>
              <w:t>Icke-finansiella företag (icke-SMF)</w:t>
            </w:r>
          </w:p>
        </w:tc>
      </w:tr>
      <w:tr w:rsidR="0057131B"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57131B" w:rsidRDefault="00355A1C">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57131B" w:rsidRDefault="00355A1C">
            <w:pPr>
              <w:pStyle w:val="P68B1DB1-TableParagraph14"/>
              <w:spacing w:before="108"/>
              <w:ind w:left="85"/>
              <w:jc w:val="both"/>
              <w:rPr>
                <w:rFonts w:eastAsia="Cambria"/>
              </w:rPr>
            </w:pPr>
            <w:r>
              <w:t>Offentlig sektor</w:t>
            </w:r>
          </w:p>
        </w:tc>
      </w:tr>
      <w:tr w:rsidR="0057131B"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57131B" w:rsidRDefault="00355A1C">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57131B" w:rsidRDefault="00355A1C">
            <w:pPr>
              <w:pStyle w:val="P68B1DB1-TableParagraph14"/>
              <w:spacing w:before="108"/>
              <w:ind w:left="85"/>
              <w:jc w:val="both"/>
              <w:rPr>
                <w:rFonts w:eastAsia="Cambria"/>
              </w:rPr>
            </w:pPr>
            <w:r>
              <w:t>Övriga sektorer/motparter (1), (2) och (3)</w:t>
            </w:r>
          </w:p>
        </w:tc>
      </w:tr>
      <w:tr w:rsidR="0057131B" w14:paraId="7FE1B983" w14:textId="77777777">
        <w:tc>
          <w:tcPr>
            <w:tcW w:w="9083" w:type="dxa"/>
            <w:gridSpan w:val="2"/>
            <w:tcBorders>
              <w:top w:val="single" w:sz="4" w:space="0" w:color="1A171C"/>
              <w:left w:val="nil"/>
              <w:bottom w:val="single" w:sz="4" w:space="0" w:color="1A171C"/>
            </w:tcBorders>
          </w:tcPr>
          <w:p w14:paraId="7FE1B980" w14:textId="65A860F0" w:rsidR="0057131B" w:rsidRDefault="00355A1C">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 xml:space="preserve">Z 07.01.2 FUNC 1 </w:t>
            </w:r>
            <w:r w:rsidR="00665F4E">
              <w:rPr>
                <w:rFonts w:ascii="Times New Roman" w:hAnsi="Times New Roman" w:cs="Times New Roman"/>
              </w:rPr>
              <w:t>Utlåning</w:t>
            </w:r>
            <w:r w:rsidR="00665F4E">
              <w:rPr>
                <w:rFonts w:ascii="Times New Roman" w:eastAsia="Cambria" w:hAnsi="Times New Roman" w:cs="Times New Roman"/>
                <w:color w:val="000000" w:themeColor="text1"/>
                <w:sz w:val="20"/>
                <w:szCs w:val="20"/>
              </w:rPr>
              <w:t xml:space="preserve"> </w:t>
            </w:r>
          </w:p>
          <w:p w14:paraId="7FE1B981" w14:textId="77777777" w:rsidR="0057131B" w:rsidRDefault="00355A1C">
            <w:pPr>
              <w:pStyle w:val="P68B1DB1-TableParagraph17"/>
              <w:spacing w:before="108"/>
              <w:ind w:left="85"/>
            </w:pPr>
            <w:r>
              <w:t>Lån ska avse finansiering till icke-finansiella motparter, så som företagskunder eller hushållskunder. Lån till finansiella motparter är en annorlunda aktivitet och bedöms under ”kapitalmarknadsfinansiering”. Lån inkluderar skuldinstrument som innehas av instituten men exkluderar skuldinstrument som utgör garantier, oavsett vilken bokföringsklassifikation dessa har (dvs. hålls till förfall eller som kan säljas).</w:t>
            </w:r>
          </w:p>
          <w:p w14:paraId="7FE1B982" w14:textId="77777777" w:rsidR="0057131B" w:rsidRDefault="00355A1C">
            <w:pPr>
              <w:pStyle w:val="P68B1DB1-TableParagraph13"/>
              <w:spacing w:before="108"/>
              <w:ind w:left="85"/>
              <w:rPr>
                <w:rFonts w:eastAsia="Cambria"/>
              </w:rPr>
            </w:pPr>
            <w:r>
              <w:t>Hänvisningar: FSB-råd gällande identifiering av kritiska funktioner och kritiska delade tjänster (2013) s. 17. Bilaga II del 2 post 2 i förordning (EU) 2021/379.</w:t>
            </w:r>
          </w:p>
        </w:tc>
      </w:tr>
      <w:tr w:rsidR="0057131B"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57131B" w:rsidRDefault="00355A1C">
            <w:pPr>
              <w:pStyle w:val="P68B1DB1-TableParagraph17"/>
              <w:spacing w:before="108"/>
              <w:ind w:left="85"/>
              <w:jc w:val="both"/>
            </w:pPr>
            <w:r>
              <w:t>0080</w:t>
            </w:r>
          </w:p>
        </w:tc>
        <w:tc>
          <w:tcPr>
            <w:tcW w:w="7892" w:type="dxa"/>
            <w:tcBorders>
              <w:top w:val="single" w:sz="4" w:space="0" w:color="1A171C"/>
              <w:left w:val="single" w:sz="4" w:space="0" w:color="1A171C"/>
              <w:bottom w:val="single" w:sz="4" w:space="0" w:color="1A171C"/>
              <w:right w:val="nil"/>
            </w:tcBorders>
          </w:tcPr>
          <w:p w14:paraId="7FE1B985" w14:textId="77777777" w:rsidR="0057131B" w:rsidRDefault="00355A1C">
            <w:pPr>
              <w:pStyle w:val="P68B1DB1-TableParagraph14"/>
              <w:spacing w:before="108"/>
              <w:ind w:left="85"/>
              <w:jc w:val="both"/>
              <w:rPr>
                <w:bCs/>
              </w:rPr>
            </w:pPr>
            <w:r>
              <w:t>Hushåll – bostadslån</w:t>
            </w:r>
          </w:p>
          <w:p w14:paraId="7FE1B986" w14:textId="77777777" w:rsidR="0057131B" w:rsidRDefault="00355A1C">
            <w:pPr>
              <w:pStyle w:val="P68B1DB1-TableParagraph17"/>
              <w:spacing w:before="108"/>
              <w:ind w:left="85"/>
            </w:pPr>
            <w:r>
              <w:t>Lån mot säkerhet som beviljats hushåll med fastigheter som säkerhet</w:t>
            </w:r>
          </w:p>
        </w:tc>
      </w:tr>
      <w:tr w:rsidR="0057131B"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57131B" w:rsidRDefault="00355A1C">
            <w:pPr>
              <w:pStyle w:val="P68B1DB1-TableParagraph17"/>
              <w:spacing w:before="108"/>
              <w:ind w:left="85"/>
              <w:jc w:val="both"/>
            </w:pPr>
            <w:r>
              <w:lastRenderedPageBreak/>
              <w:t>0090</w:t>
            </w:r>
          </w:p>
        </w:tc>
        <w:tc>
          <w:tcPr>
            <w:tcW w:w="7892" w:type="dxa"/>
            <w:tcBorders>
              <w:top w:val="single" w:sz="4" w:space="0" w:color="1A171C"/>
              <w:left w:val="single" w:sz="4" w:space="0" w:color="1A171C"/>
              <w:bottom w:val="single" w:sz="4" w:space="0" w:color="1A171C"/>
              <w:right w:val="nil"/>
            </w:tcBorders>
          </w:tcPr>
          <w:p w14:paraId="7FE1B989" w14:textId="77777777" w:rsidR="0057131B" w:rsidRDefault="00355A1C">
            <w:pPr>
              <w:pStyle w:val="P68B1DB1-TableParagraph14"/>
              <w:spacing w:before="108"/>
              <w:ind w:left="85"/>
              <w:jc w:val="both"/>
              <w:rPr>
                <w:bCs/>
              </w:rPr>
            </w:pPr>
            <w:r>
              <w:t>Hushåll – övriga lån</w:t>
            </w:r>
          </w:p>
        </w:tc>
      </w:tr>
      <w:tr w:rsidR="0057131B"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57131B" w:rsidRDefault="00355A1C">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57131B" w:rsidRDefault="00355A1C">
            <w:pPr>
              <w:pStyle w:val="P68B1DB1-TableParagraph14"/>
              <w:spacing w:before="108"/>
              <w:ind w:left="85"/>
              <w:jc w:val="both"/>
              <w:rPr>
                <w:bCs/>
              </w:rPr>
            </w:pPr>
            <w:r>
              <w:t>Icke-finansiella företag – små och medelstora företag</w:t>
            </w:r>
          </w:p>
        </w:tc>
      </w:tr>
      <w:tr w:rsidR="0057131B"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57131B" w:rsidRDefault="00355A1C">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57131B" w:rsidRDefault="00355A1C">
            <w:pPr>
              <w:pStyle w:val="P68B1DB1-TableParagraph14"/>
              <w:spacing w:before="108"/>
              <w:ind w:left="85"/>
              <w:jc w:val="both"/>
              <w:rPr>
                <w:bCs/>
              </w:rPr>
            </w:pPr>
            <w:r>
              <w:t>Icke-finansiella företag – icke-SMF</w:t>
            </w:r>
          </w:p>
        </w:tc>
      </w:tr>
      <w:tr w:rsidR="0057131B"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57131B" w:rsidRDefault="00355A1C">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57131B" w:rsidRDefault="00355A1C">
            <w:pPr>
              <w:pStyle w:val="P68B1DB1-TableParagraph14"/>
              <w:spacing w:before="108"/>
              <w:ind w:left="85"/>
              <w:jc w:val="both"/>
              <w:rPr>
                <w:bCs/>
              </w:rPr>
            </w:pPr>
            <w:r>
              <w:t>Offentlig sektor</w:t>
            </w:r>
          </w:p>
        </w:tc>
      </w:tr>
      <w:tr w:rsidR="0057131B"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57131B" w:rsidRDefault="00355A1C">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57131B" w:rsidRDefault="00355A1C">
            <w:pPr>
              <w:pStyle w:val="P68B1DB1-TableParagraph14"/>
              <w:spacing w:before="108"/>
              <w:ind w:left="85"/>
              <w:jc w:val="both"/>
              <w:rPr>
                <w:rFonts w:eastAsia="Cambria"/>
              </w:rPr>
            </w:pPr>
            <w:r>
              <w:t>Övriga sektorer/motparter (1), (2) och (3)</w:t>
            </w:r>
          </w:p>
        </w:tc>
      </w:tr>
      <w:tr w:rsidR="0057131B" w14:paraId="7FE1B99C" w14:textId="77777777">
        <w:tc>
          <w:tcPr>
            <w:tcW w:w="9083" w:type="dxa"/>
            <w:gridSpan w:val="2"/>
            <w:tcBorders>
              <w:top w:val="single" w:sz="4" w:space="0" w:color="1A171C"/>
              <w:left w:val="nil"/>
              <w:bottom w:val="single" w:sz="4" w:space="0" w:color="1A171C"/>
            </w:tcBorders>
          </w:tcPr>
          <w:p w14:paraId="7FE1B997" w14:textId="7BEB9F50"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07.01.3 FUNC 1 </w:t>
            </w:r>
            <w:r w:rsidR="00121970" w:rsidRPr="00121970">
              <w:rPr>
                <w:rFonts w:ascii="Times New Roman" w:hAnsi="Times New Roman" w:cs="Times New Roman"/>
              </w:rPr>
              <w:t>Betal-, kontant-, avvecklings-, clearing- och depåtjän</w:t>
            </w:r>
            <w:r w:rsidR="00121970" w:rsidRPr="00CE3480">
              <w:rPr>
                <w:rFonts w:ascii="Times New Roman" w:hAnsi="Times New Roman" w:cs="Times New Roman"/>
              </w:rPr>
              <w:t>ster</w:t>
            </w:r>
          </w:p>
          <w:p w14:paraId="7FE1B998" w14:textId="77777777" w:rsidR="0057131B" w:rsidRDefault="00355A1C">
            <w:pPr>
              <w:pStyle w:val="P68B1DB1-TableParagraph13"/>
              <w:spacing w:before="108"/>
              <w:ind w:left="85"/>
              <w:jc w:val="both"/>
              <w:rPr>
                <w:rFonts w:eastAsia="Cambria"/>
              </w:rPr>
            </w:pPr>
            <w:r>
              <w:t>Referens: FSB-råd gällande identifiering av kritiska funktioner och kritiska delade tjänster (2013) s. 20.</w:t>
            </w:r>
          </w:p>
          <w:p w14:paraId="7FE1B999" w14:textId="77777777" w:rsidR="0057131B" w:rsidRDefault="00355A1C">
            <w:pPr>
              <w:pStyle w:val="P68B1DB1-TableParagraph13"/>
              <w:spacing w:before="108"/>
              <w:ind w:left="85"/>
              <w:jc w:val="both"/>
              <w:rPr>
                <w:rFonts w:eastAsia="Cambria"/>
              </w:rPr>
            </w:pPr>
            <w:r>
              <w:t>De ekonomiska funktioner som ingår under denna rubrik ska bestå av tjänster för betalningar, kontanter, avveckling, clearing och depåer som tillhandahålls av ett kreditinstitut, i egenskap av mellanhand mellan två kunder eller som en mellanhand mellan en kund och en eller flera relevanta finansmarknadsinfrastrukturer (FMI), eller tillhandahållande av (indirekt) åtkomst till övriga bankers finansmarknadsinfrastrukturer. I enlighet med FSB-råden gällande identifiering av kritiska funktioner och kritiska delade tjänster ska funktionen för betalningar, clearing och avveckling begränsas till tjänster som bankerna tillhandahåller sina kunder. Denna kategori omfattar inte tjänster som tillhandahålls av (rena) finansmarknadsinfrastrukturleverantörer. För ändamålet med denna mall ska finansmarknadsinfrastrukturer inkludera betalningssystem, centrala värdepapperscentraler och centrala motparter (men inte transaktionsregister).</w:t>
            </w:r>
          </w:p>
          <w:p w14:paraId="7FE1B99A" w14:textId="77777777"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Definitionerna ”betaltjänster”, ”betalningstransaktioner” och ”betalningssystem” har samma innebörd som respektive definition i artiklarna 4.3, 4.5 och 4.7 i direktiv (EU) 2015/2366 om betaltjänster på den inre marknaden</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57131B" w:rsidRDefault="0057131B">
            <w:pPr>
              <w:pStyle w:val="TableParagraph"/>
              <w:spacing w:before="108"/>
              <w:ind w:left="85"/>
              <w:jc w:val="both"/>
              <w:rPr>
                <w:rFonts w:ascii="Times New Roman" w:eastAsia="Cambria" w:hAnsi="Times New Roman" w:cs="Times New Roman"/>
                <w:color w:val="000000" w:themeColor="text1"/>
                <w:sz w:val="20"/>
                <w:szCs w:val="20"/>
              </w:rPr>
            </w:pPr>
          </w:p>
        </w:tc>
      </w:tr>
      <w:tr w:rsidR="0057131B"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57131B" w:rsidRDefault="00355A1C">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57131B" w:rsidRDefault="00355A1C">
            <w:pPr>
              <w:pStyle w:val="P68B1DB1-TableParagraph14"/>
              <w:spacing w:before="108"/>
              <w:ind w:left="85"/>
              <w:jc w:val="both"/>
              <w:rPr>
                <w:bCs/>
              </w:rPr>
            </w:pPr>
            <w:r>
              <w:t>Betaltjänster till MFI</w:t>
            </w:r>
          </w:p>
          <w:p w14:paraId="7FE1B99F" w14:textId="77777777" w:rsidR="0057131B" w:rsidRDefault="00355A1C">
            <w:pPr>
              <w:pStyle w:val="P68B1DB1-TableParagraph17"/>
              <w:spacing w:before="108"/>
              <w:ind w:left="85"/>
              <w:jc w:val="both"/>
            </w:pPr>
            <w:r>
              <w:t>På denna rad ska även betaltjänster till monetära finansinstitut (MFI) redovisas, med eller utan användning av externa betalningssystem. Här ska även (betalningar kopplade till) motsvarande banktjänster redovisas. MFI ska bestå av samtliga institutionella enheter som ingår i undersektorerna: i) Centralbank. ii) företag som tar emot inlåning, förutom centralbanken, och iii) penningmarknadsfonder.</w:t>
            </w:r>
          </w:p>
        </w:tc>
      </w:tr>
      <w:tr w:rsidR="0057131B"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57131B" w:rsidRDefault="00355A1C">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57131B" w:rsidRDefault="00355A1C">
            <w:pPr>
              <w:pStyle w:val="P68B1DB1-TableParagraph14"/>
              <w:spacing w:before="108"/>
              <w:ind w:left="85"/>
              <w:jc w:val="both"/>
              <w:rPr>
                <w:bCs/>
              </w:rPr>
            </w:pPr>
            <w:r>
              <w:t>Betaltjänster till icke-MFI</w:t>
            </w:r>
          </w:p>
          <w:p w14:paraId="7FE1B9A3" w14:textId="77777777" w:rsidR="0057131B" w:rsidRDefault="00355A1C">
            <w:pPr>
              <w:pStyle w:val="P68B1DB1-TableParagraph17"/>
              <w:spacing w:before="108"/>
              <w:ind w:left="85"/>
            </w:pPr>
            <w:r>
              <w:t>Betaltjänster som erbjuds till kunder med eller utan användning av externa betalningssystem. Här ska även fysiska och juridiska personer som inte tillhör MFI-sektorn inkluderas. Leverantörer av betaltjänster ska också exkluderas från ”icke-MFI-sektorn”.</w:t>
            </w:r>
          </w:p>
          <w:p w14:paraId="7FE1B9A4" w14:textId="77777777" w:rsidR="0057131B" w:rsidRDefault="00355A1C">
            <w:pPr>
              <w:pStyle w:val="P68B1DB1-TableParagraph17"/>
              <w:spacing w:before="108"/>
              <w:ind w:left="85"/>
            </w:pPr>
            <w:r>
              <w:t>Funktionen är dessutom indelad i 3 delfunktioner:</w:t>
            </w:r>
          </w:p>
          <w:p w14:paraId="7FE1B9A5" w14:textId="77777777" w:rsidR="0057131B" w:rsidRDefault="00355A1C">
            <w:pPr>
              <w:pStyle w:val="P68B1DB1-TableParagraph17"/>
              <w:spacing w:before="108"/>
              <w:ind w:left="85"/>
            </w:pPr>
            <w:r>
              <w:t>(1) Hushåll</w:t>
            </w:r>
          </w:p>
          <w:p w14:paraId="7FE1B9A6" w14:textId="77777777" w:rsidR="0057131B" w:rsidRDefault="00355A1C">
            <w:pPr>
              <w:pStyle w:val="P68B1DB1-TableParagraph17"/>
              <w:spacing w:before="108"/>
              <w:ind w:left="85"/>
            </w:pPr>
            <w:r>
              <w:t>(2) Icke-finansiella företag – små och medelstora företag</w:t>
            </w:r>
          </w:p>
          <w:p w14:paraId="7FE1B9A7" w14:textId="77777777" w:rsidR="0057131B" w:rsidRDefault="00355A1C">
            <w:pPr>
              <w:pStyle w:val="P68B1DB1-TableParagraph17"/>
              <w:spacing w:before="108"/>
              <w:ind w:left="85"/>
            </w:pPr>
            <w:r>
              <w:t>(3) Icke-finansiella företag – icke-SMF</w:t>
            </w:r>
          </w:p>
        </w:tc>
      </w:tr>
      <w:tr w:rsidR="0057131B"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57131B" w:rsidRDefault="00355A1C">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57131B" w:rsidRDefault="00355A1C">
            <w:pPr>
              <w:pStyle w:val="P68B1DB1-TableParagraph14"/>
              <w:spacing w:before="108"/>
              <w:ind w:left="85"/>
              <w:jc w:val="both"/>
              <w:rPr>
                <w:bCs/>
              </w:rPr>
            </w:pPr>
            <w:r>
              <w:t>Kontanttjänster</w:t>
            </w:r>
          </w:p>
          <w:p w14:paraId="7FE1B9AB" w14:textId="77777777" w:rsidR="0057131B" w:rsidRDefault="00355A1C">
            <w:pPr>
              <w:pStyle w:val="P68B1DB1-TableParagraph17"/>
              <w:spacing w:before="108"/>
              <w:ind w:left="85"/>
            </w:pPr>
            <w:r>
              <w:t xml:space="preserve">Tillhandahållande av kontanttjänster till kunder (både privatkunder och företagskunder, endast icke-MFI). Dessa tjänster avser uttag i uttagsautomater samt över disk hos filialer och inkluderar inte övriga kontanttjänster (så som värdetransporttjänster till stora återförsäljare). Här ingår kontantuttag med checkar samt uttag över disk hos filialer genom användning av bankblanketter </w:t>
            </w:r>
            <w:r>
              <w:lastRenderedPageBreak/>
              <w:t>(där kort kan användas för identifiering).</w:t>
            </w:r>
          </w:p>
        </w:tc>
      </w:tr>
      <w:tr w:rsidR="0057131B"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57131B" w:rsidRDefault="00355A1C">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57131B" w:rsidRDefault="00355A1C">
            <w:pPr>
              <w:pStyle w:val="P68B1DB1-TableParagraph14"/>
              <w:spacing w:before="108"/>
              <w:ind w:left="85"/>
              <w:jc w:val="both"/>
              <w:rPr>
                <w:bCs/>
              </w:rPr>
            </w:pPr>
            <w:r>
              <w:t>Värdepappersavvecklingstjänster</w:t>
            </w:r>
          </w:p>
          <w:p w14:paraId="7FE1B9AF" w14:textId="77777777" w:rsidR="0057131B" w:rsidRDefault="00355A1C">
            <w:pPr>
              <w:pStyle w:val="P68B1DB1-TableParagraph17"/>
              <w:spacing w:before="108"/>
              <w:ind w:left="85"/>
            </w:pPr>
            <w:r>
              <w:t>Tjänster till kunder för bestyrkande, clearing och avveckling av värdepapperstransaktioner, med eller utan användning av garantiavvecklingssystem. Med ”avveckling” avses avslutande av en värdepapperstransaktion när denna avslutas i syfte att reglera förpliktelserna mellan transaktionsparterna genom överföring av kontantmedel och/eller värdepapper.</w:t>
            </w:r>
          </w:p>
        </w:tc>
      </w:tr>
      <w:tr w:rsidR="0057131B"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57131B" w:rsidRDefault="00355A1C">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57131B" w:rsidRDefault="00355A1C">
            <w:pPr>
              <w:pStyle w:val="P68B1DB1-TableParagraph14"/>
              <w:spacing w:before="108"/>
              <w:ind w:left="85"/>
              <w:jc w:val="both"/>
              <w:rPr>
                <w:bCs/>
              </w:rPr>
            </w:pPr>
            <w:r>
              <w:t>CCP-clearingtjänster</w:t>
            </w:r>
          </w:p>
          <w:p w14:paraId="7FE1B9B3" w14:textId="77777777" w:rsidR="0057131B" w:rsidRDefault="00355A1C">
            <w:pPr>
              <w:pStyle w:val="P68B1DB1-TableParagraph17"/>
              <w:spacing w:before="108"/>
              <w:ind w:left="85"/>
            </w:pPr>
            <w:r>
              <w:t>Värdepapperstjänster och derivatclearingtjänster till kunder. Här ingår även tillhandahållande av indirekt åtkomst till en central motpart (CCP).</w:t>
            </w:r>
          </w:p>
        </w:tc>
      </w:tr>
      <w:tr w:rsidR="0057131B"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57131B" w:rsidRDefault="00355A1C">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57131B" w:rsidRDefault="00355A1C">
            <w:pPr>
              <w:pStyle w:val="P68B1DB1-TableParagraph14"/>
              <w:spacing w:before="108"/>
              <w:ind w:left="85"/>
              <w:jc w:val="both"/>
              <w:rPr>
                <w:bCs/>
              </w:rPr>
            </w:pPr>
            <w:r>
              <w:t>Depåtjänster</w:t>
            </w:r>
          </w:p>
          <w:p w14:paraId="7FE1B9B7" w14:textId="77777777" w:rsidR="0057131B" w:rsidRDefault="00355A1C">
            <w:pPr>
              <w:pStyle w:val="P68B1DB1-TableParagraph17"/>
              <w:spacing w:before="108"/>
              <w:ind w:left="85"/>
            </w:pPr>
            <w:r>
              <w:t>Förvaring och handhavande av finansiella instrument för kunders räkning samt depåtjänster, exempelvis handhavande av kontanta medel/finansiella säkerheter.</w:t>
            </w:r>
          </w:p>
        </w:tc>
      </w:tr>
      <w:tr w:rsidR="0057131B"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57131B" w:rsidRDefault="00355A1C">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57131B" w:rsidRDefault="00355A1C">
            <w:pPr>
              <w:pStyle w:val="P68B1DB1-TableParagraph14"/>
              <w:spacing w:before="108"/>
              <w:ind w:left="85"/>
              <w:jc w:val="both"/>
              <w:rPr>
                <w:rFonts w:eastAsia="Cambria"/>
              </w:rPr>
            </w:pPr>
            <w:r>
              <w:t>Övriga tjänster/aktiviteter/funktioner (1), (2) och (3)</w:t>
            </w:r>
          </w:p>
        </w:tc>
      </w:tr>
      <w:tr w:rsidR="0057131B" w14:paraId="7FE1B9BE" w14:textId="77777777">
        <w:tc>
          <w:tcPr>
            <w:tcW w:w="9083" w:type="dxa"/>
            <w:gridSpan w:val="2"/>
            <w:tcBorders>
              <w:top w:val="single" w:sz="4" w:space="0" w:color="1A171C"/>
              <w:left w:val="nil"/>
              <w:bottom w:val="single" w:sz="4" w:space="0" w:color="1A171C"/>
            </w:tcBorders>
          </w:tcPr>
          <w:p w14:paraId="7FE1B9BC" w14:textId="0AB6FB78" w:rsidR="0057131B" w:rsidRDefault="00355A1C">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w:t>
            </w:r>
            <w:r w:rsidR="00F1645C" w:rsidRPr="00F1645C">
              <w:rPr>
                <w:rFonts w:ascii="Times New Roman" w:hAnsi="Times New Roman" w:cs="Times New Roman"/>
              </w:rPr>
              <w:t>Kapitalmarknader</w:t>
            </w:r>
          </w:p>
          <w:p w14:paraId="7FE1B9BD" w14:textId="77777777" w:rsidR="0057131B" w:rsidRDefault="00355A1C">
            <w:pPr>
              <w:pStyle w:val="P68B1DB1-TableParagraph17"/>
              <w:spacing w:before="108"/>
              <w:ind w:left="85"/>
              <w:jc w:val="both"/>
            </w:pPr>
            <w:r>
              <w:t xml:space="preserve">Med kapitalmarknadsaktiviteter ska avses emission och handel med värdepapper, härtill hörande rådgivningstjänster samt tillhörande tjänster såsom prime brokerage och marknadsgarantering. </w:t>
            </w:r>
          </w:p>
        </w:tc>
      </w:tr>
      <w:tr w:rsidR="0057131B"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57131B" w:rsidRDefault="00355A1C">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57131B" w:rsidRDefault="00355A1C">
            <w:pPr>
              <w:pStyle w:val="P68B1DB1-TableParagraph14"/>
              <w:spacing w:before="108"/>
              <w:ind w:left="85"/>
              <w:jc w:val="both"/>
              <w:rPr>
                <w:bCs/>
              </w:rPr>
            </w:pPr>
            <w:r>
              <w:t>Derivat som innehas för handel (OTC)</w:t>
            </w:r>
          </w:p>
          <w:p w14:paraId="7FE1B9C1" w14:textId="2FDAA405" w:rsidR="0057131B" w:rsidRDefault="00355A1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Artikel 2.5 och 2.7 i förordning (EU) nr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57131B" w:rsidRDefault="00355A1C">
            <w:pPr>
              <w:pStyle w:val="P68B1DB1-TableParagraph17"/>
              <w:spacing w:before="108"/>
              <w:ind w:left="85"/>
            </w:pPr>
            <w:r>
              <w:t>Med derivat eller derivatkontrakt avses ett finansiellt instrument enligt avsnitt C punkterna 4–10 i bilaga I till direktiv 2014/65/EU, såsom genomfört genom artiklarna 38 och 39 i förordning (EG) nr 1287/2006.</w:t>
            </w:r>
          </w:p>
          <w:p w14:paraId="7FE1B9C3" w14:textId="583C566B" w:rsidR="0057131B" w:rsidRDefault="00355A1C">
            <w:pPr>
              <w:pStyle w:val="P68B1DB1-TableParagraph17"/>
              <w:spacing w:before="108"/>
              <w:ind w:left="85"/>
            </w:pPr>
            <w:r>
              <w:t>Med OTC-derivat eller OTC-derivatkontrakt avses ett derivatkontrakt vars handel inte genomförs på en reglerad marknad i den mening som avses i artikel 4.1.21 i direktiv 2014/65/EU eller på en marknad i ett tredjeland som anses vara likvärdig med en reglerad marknad i enlighet med artikel 2 a i förordning (EU) nr 648/2012.</w:t>
            </w:r>
          </w:p>
          <w:p w14:paraId="7FE1B9C4" w14:textId="77777777" w:rsidR="0057131B" w:rsidRDefault="00355A1C">
            <w:pPr>
              <w:pStyle w:val="P68B1DB1-TableParagraph17"/>
              <w:spacing w:before="108"/>
              <w:ind w:left="85"/>
            </w:pPr>
            <w:r>
              <w:t xml:space="preserve">Det redovisade beloppet ska endast inkludera derivat som köps och säljs på OTC-marknaden. </w:t>
            </w:r>
          </w:p>
        </w:tc>
      </w:tr>
      <w:tr w:rsidR="0057131B"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57131B" w:rsidRDefault="00355A1C">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57131B" w:rsidRDefault="00355A1C">
            <w:pPr>
              <w:pStyle w:val="P68B1DB1-TableParagraph14"/>
              <w:spacing w:before="108"/>
              <w:ind w:left="85"/>
              <w:jc w:val="both"/>
              <w:rPr>
                <w:bCs/>
              </w:rPr>
            </w:pPr>
            <w:r>
              <w:t>Derivat som innehas för handel (icke-OTC)</w:t>
            </w:r>
          </w:p>
          <w:p w14:paraId="7FE1B9C8" w14:textId="77777777" w:rsidR="0057131B" w:rsidRDefault="00355A1C">
            <w:pPr>
              <w:pStyle w:val="P68B1DB1-TableParagraph17"/>
              <w:spacing w:before="108"/>
              <w:ind w:left="85"/>
            </w:pPr>
            <w:r>
              <w:t xml:space="preserve">Alla derivat som innehas för handel exklusive OTC-derivat som innehas för handel. </w:t>
            </w:r>
          </w:p>
        </w:tc>
      </w:tr>
      <w:tr w:rsidR="0057131B"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57131B" w:rsidRDefault="00355A1C">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57131B" w:rsidRDefault="00355A1C">
            <w:pPr>
              <w:pStyle w:val="P68B1DB1-TableParagraph14"/>
              <w:spacing w:before="108"/>
              <w:ind w:left="85"/>
              <w:jc w:val="both"/>
              <w:rPr>
                <w:bCs/>
              </w:rPr>
            </w:pPr>
            <w:r>
              <w:t>Andrahandsmarknader/handel:</w:t>
            </w:r>
          </w:p>
          <w:p w14:paraId="7FE1B9CC" w14:textId="77777777" w:rsidR="0057131B" w:rsidRDefault="00355A1C">
            <w:pPr>
              <w:pStyle w:val="P68B1DB1-TableParagraph17"/>
              <w:spacing w:before="108"/>
              <w:ind w:left="85"/>
            </w:pPr>
            <w:r>
              <w:t>Det är på andrahandsmarknaden som investerare köper och säljer värdepapper. Denna funktion gäller hela handelsportföljen (dvs. eget kapital, företagskredit och statskredit).</w:t>
            </w:r>
          </w:p>
          <w:p w14:paraId="7FE1B9CD" w14:textId="77777777" w:rsidR="0057131B" w:rsidRDefault="00355A1C">
            <w:pPr>
              <w:pStyle w:val="P68B1DB1-TableParagraph17"/>
              <w:spacing w:before="108"/>
              <w:ind w:left="85"/>
            </w:pPr>
            <w:r>
              <w:t>Det redovisade beloppet ska inkludera värdet av värdepapperna beräknat efter den totala mängden värdepapper som innehas för handel (held-for-trading, HFT). Värdepapper ska redovisas till verkligt värde på rapporteringsdatumet.</w:t>
            </w:r>
          </w:p>
          <w:p w14:paraId="7FE1B9CE" w14:textId="77777777" w:rsidR="0057131B" w:rsidRDefault="00355A1C">
            <w:pPr>
              <w:pStyle w:val="P68B1DB1-TableParagraph17"/>
              <w:spacing w:before="108"/>
              <w:ind w:left="85"/>
            </w:pPr>
            <w:r>
              <w:t>Lån, derivat och tillgångar som inte kan köpas och säljas (t.ex. fordringar) ska inte inkluderas i beloppet.</w:t>
            </w:r>
          </w:p>
        </w:tc>
      </w:tr>
      <w:tr w:rsidR="0057131B"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57131B" w:rsidRDefault="00355A1C">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57131B" w:rsidRDefault="00355A1C">
            <w:pPr>
              <w:pStyle w:val="P68B1DB1-TableParagraph14"/>
              <w:spacing w:before="108"/>
              <w:ind w:left="85"/>
              <w:jc w:val="both"/>
              <w:rPr>
                <w:bCs/>
              </w:rPr>
            </w:pPr>
            <w:r>
              <w:t>Primära marknader/emissionsgarantier</w:t>
            </w:r>
          </w:p>
          <w:p w14:paraId="7FE1B9D2" w14:textId="77777777" w:rsidR="0057131B" w:rsidRDefault="00355A1C">
            <w:pPr>
              <w:pStyle w:val="P68B1DB1-TableParagraph17"/>
              <w:spacing w:before="108"/>
              <w:ind w:left="85"/>
            </w:pPr>
            <w:r>
              <w:t xml:space="preserve">Med primära marknader avses när nya värdepapper utfärdas på en börs av företag, offentlig </w:t>
            </w:r>
            <w:r>
              <w:lastRenderedPageBreak/>
              <w:t>sektor eller andra grupper i syfte att få finansiering genom räntebärande eller egetkapitalbaserade värdepapper (såsom stamaktier och preferensaktier, företagsobligationer, sedlar och statsobligationer). Primära marknader understödjs av emissionsgarantigrupper.</w:t>
            </w:r>
          </w:p>
        </w:tc>
      </w:tr>
      <w:tr w:rsidR="0057131B"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57131B" w:rsidRDefault="00355A1C">
            <w:pPr>
              <w:pStyle w:val="P68B1DB1-TableParagraph17"/>
              <w:spacing w:before="108"/>
              <w:ind w:left="85"/>
              <w:jc w:val="both"/>
            </w:pPr>
            <w:r>
              <w:lastRenderedPageBreak/>
              <w:t>0290–0310</w:t>
            </w:r>
          </w:p>
        </w:tc>
        <w:tc>
          <w:tcPr>
            <w:tcW w:w="7892" w:type="dxa"/>
            <w:tcBorders>
              <w:top w:val="single" w:sz="4" w:space="0" w:color="1A171C"/>
              <w:left w:val="single" w:sz="4" w:space="0" w:color="1A171C"/>
              <w:bottom w:val="single" w:sz="4" w:space="0" w:color="1A171C"/>
              <w:right w:val="nil"/>
            </w:tcBorders>
          </w:tcPr>
          <w:p w14:paraId="7FE1B9D5" w14:textId="77777777" w:rsidR="0057131B" w:rsidRDefault="00355A1C">
            <w:pPr>
              <w:pStyle w:val="P68B1DB1-TableParagraph14"/>
              <w:spacing w:before="108"/>
              <w:ind w:left="85"/>
              <w:jc w:val="both"/>
              <w:rPr>
                <w:rFonts w:eastAsia="Cambria"/>
              </w:rPr>
            </w:pPr>
            <w:r>
              <w:t>Övriga tjänster/aktiviteter/funktioner (1), (2) och (3)</w:t>
            </w:r>
          </w:p>
        </w:tc>
      </w:tr>
      <w:tr w:rsidR="0057131B" w14:paraId="7FE1B9D9" w14:textId="77777777">
        <w:tc>
          <w:tcPr>
            <w:tcW w:w="9083" w:type="dxa"/>
            <w:gridSpan w:val="2"/>
            <w:tcBorders>
              <w:top w:val="single" w:sz="4" w:space="0" w:color="1A171C"/>
              <w:left w:val="nil"/>
              <w:bottom w:val="single" w:sz="4" w:space="0" w:color="1A171C"/>
            </w:tcBorders>
          </w:tcPr>
          <w:p w14:paraId="7FE1B9D7" w14:textId="28D9EC3C" w:rsidR="0057131B" w:rsidRDefault="00355A1C">
            <w:pPr>
              <w:pStyle w:val="P68B1DB1-TableParagraph16"/>
              <w:spacing w:before="108"/>
              <w:ind w:left="85"/>
              <w:jc w:val="both"/>
              <w:rPr>
                <w:b/>
                <w:bCs/>
                <w:color w:val="000000" w:themeColor="text1"/>
                <w:sz w:val="20"/>
                <w:szCs w:val="20"/>
              </w:rPr>
            </w:pPr>
            <w:r>
              <w:t xml:space="preserve">Z 07.01.5 FUNC 1 </w:t>
            </w:r>
            <w:r w:rsidR="009D3404" w:rsidRPr="009D3404">
              <w:t>Kapitalmarknadsfinansiering</w:t>
            </w:r>
          </w:p>
          <w:p w14:paraId="7FE1B9D8" w14:textId="77777777" w:rsidR="0057131B" w:rsidRDefault="00355A1C">
            <w:pPr>
              <w:pStyle w:val="P68B1DB1-TableParagraph17"/>
              <w:spacing w:before="108"/>
              <w:ind w:left="85"/>
              <w:jc w:val="both"/>
            </w:pPr>
            <w:r>
              <w:t>Utlåning och upplåning på kapitalmarknaden till eller av finansiella motparter (kreditinstitut och övriga finansiella företag).</w:t>
            </w:r>
          </w:p>
        </w:tc>
      </w:tr>
      <w:tr w:rsidR="0057131B"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57131B" w:rsidRDefault="00355A1C">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57131B" w:rsidRDefault="00355A1C">
            <w:pPr>
              <w:pStyle w:val="P68B1DB1-TableParagraph14"/>
              <w:spacing w:before="108"/>
              <w:ind w:left="85"/>
              <w:jc w:val="both"/>
              <w:rPr>
                <w:bCs/>
              </w:rPr>
            </w:pPr>
            <w:r>
              <w:t>Upplåning</w:t>
            </w:r>
          </w:p>
          <w:p w14:paraId="7FE1B9DC" w14:textId="77777777" w:rsidR="0057131B" w:rsidRDefault="00355A1C">
            <w:pPr>
              <w:pStyle w:val="P68B1DB1-TableParagraph17"/>
              <w:spacing w:before="108"/>
              <w:ind w:left="85"/>
            </w:pPr>
            <w:r>
              <w:t>Upplåning på kapitalmarknaden från finansiella motparter (inklusive genom återköpsavtal, upplåning mellan banker, obligationer, bankcertifikat, penningmarknadsfonder, kreditlinjer, obligationer med bakomliggande tillgångar som säkerhet och förvaltarinsättningar).</w:t>
            </w:r>
          </w:p>
        </w:tc>
      </w:tr>
      <w:tr w:rsidR="0057131B"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57131B" w:rsidRDefault="00355A1C">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57131B" w:rsidRDefault="00355A1C">
            <w:pPr>
              <w:pStyle w:val="P68B1DB1-TableParagraph14"/>
              <w:spacing w:before="108"/>
              <w:ind w:left="85"/>
              <w:jc w:val="both"/>
              <w:rPr>
                <w:bCs/>
              </w:rPr>
            </w:pPr>
            <w:r>
              <w:t>Derivat (tillgångar)</w:t>
            </w:r>
          </w:p>
          <w:p w14:paraId="7FE1B9E0" w14:textId="77777777" w:rsidR="0057131B" w:rsidRDefault="00355A1C">
            <w:pPr>
              <w:pStyle w:val="P68B1DB1-TableParagraph17"/>
              <w:spacing w:before="108"/>
              <w:ind w:left="85"/>
            </w:pPr>
            <w:r>
              <w:t>Samtliga derivat med finansiella motparter som står med bland balansräkningens tillgångar. Till skillnad från ”kapitalmarknader” omfattar derivat under ”kapitalmarknadsfinansiering” samtliga derivatkontrakt med finansiella motparter (inte endast HFT).</w:t>
            </w:r>
          </w:p>
        </w:tc>
      </w:tr>
      <w:tr w:rsidR="0057131B"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57131B" w:rsidRDefault="00355A1C">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57131B" w:rsidRDefault="00355A1C">
            <w:pPr>
              <w:pStyle w:val="P68B1DB1-TableParagraph14"/>
              <w:spacing w:before="108"/>
              <w:ind w:left="85"/>
              <w:jc w:val="both"/>
              <w:rPr>
                <w:bCs/>
              </w:rPr>
            </w:pPr>
            <w:r>
              <w:t>Utlåning</w:t>
            </w:r>
          </w:p>
          <w:p w14:paraId="7FE1B9E4" w14:textId="77777777" w:rsidR="0057131B" w:rsidRDefault="00355A1C">
            <w:pPr>
              <w:pStyle w:val="P68B1DB1-TableParagraph17"/>
              <w:spacing w:before="108"/>
              <w:ind w:left="85"/>
            </w:pPr>
            <w:r>
              <w:t>Utlåning på kapitalmarknaden till finansiella motparter (inklusive genom återköpsavtal, upplåning mellan banker, obligationer, bankcertifikat, penningmarknadsfonder, kreditlinjer, obligationer med bakomliggande tillgångar som säkerhet och förvaltarinsättningar).</w:t>
            </w:r>
          </w:p>
        </w:tc>
      </w:tr>
      <w:tr w:rsidR="0057131B"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57131B" w:rsidRDefault="00355A1C">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57131B" w:rsidRDefault="00355A1C">
            <w:pPr>
              <w:pStyle w:val="P68B1DB1-TableParagraph14"/>
              <w:spacing w:before="108"/>
              <w:ind w:left="85"/>
              <w:jc w:val="both"/>
              <w:rPr>
                <w:bCs/>
              </w:rPr>
            </w:pPr>
            <w:r>
              <w:t>Derivat (skulder)</w:t>
            </w:r>
          </w:p>
          <w:p w14:paraId="7FE1B9E8" w14:textId="77777777" w:rsidR="0057131B" w:rsidRDefault="00355A1C">
            <w:pPr>
              <w:pStyle w:val="P68B1DB1-TableParagraph17"/>
              <w:spacing w:before="108"/>
              <w:ind w:left="85"/>
              <w:jc w:val="both"/>
            </w:pPr>
            <w:r>
              <w:t xml:space="preserve">Samtliga derivat med finansiella motparter som står med bland balansräkningens skulder. </w:t>
            </w:r>
          </w:p>
        </w:tc>
      </w:tr>
      <w:tr w:rsidR="0057131B"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57131B" w:rsidRDefault="00355A1C">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57131B" w:rsidRDefault="00355A1C">
            <w:pPr>
              <w:pStyle w:val="P68B1DB1-TableParagraph14"/>
              <w:spacing w:before="108"/>
              <w:ind w:left="85"/>
              <w:jc w:val="both"/>
              <w:rPr>
                <w:bCs/>
              </w:rPr>
            </w:pPr>
            <w:r>
              <w:t>Övriga produkttyper (1), (2) och (3)</w:t>
            </w:r>
          </w:p>
          <w:p w14:paraId="7FE1B9EC" w14:textId="77777777" w:rsidR="0057131B" w:rsidRDefault="00355A1C">
            <w:pPr>
              <w:pStyle w:val="P68B1DB1-TableParagraph17"/>
              <w:spacing w:before="108"/>
              <w:ind w:left="85"/>
            </w:pPr>
            <w:r>
              <w:t>Varje funktion inom ”kapitalmarknadsfinansiering” som inte inkluderas ovan.</w:t>
            </w:r>
          </w:p>
        </w:tc>
      </w:tr>
    </w:tbl>
    <w:p w14:paraId="7FE1B9EE" w14:textId="77777777" w:rsidR="0057131B" w:rsidRDefault="0057131B">
      <w:pPr>
        <w:pStyle w:val="InstructionsText2"/>
        <w:numPr>
          <w:ilvl w:val="0"/>
          <w:numId w:val="0"/>
        </w:numPr>
        <w:ind w:left="1440" w:firstLine="18"/>
        <w:rPr>
          <w:rFonts w:ascii="Times New Roman" w:hAnsi="Times New Roman" w:cs="Times New Roman"/>
          <w:sz w:val="20"/>
          <w:szCs w:val="20"/>
        </w:rPr>
      </w:pPr>
    </w:p>
    <w:p w14:paraId="7FE1B9EF" w14:textId="4B4871C5" w:rsidR="0057131B" w:rsidRDefault="00355A1C">
      <w:pPr>
        <w:pStyle w:val="P68B1DB1-Instructionsberschrift25"/>
        <w:numPr>
          <w:ilvl w:val="1"/>
          <w:numId w:val="49"/>
        </w:numPr>
        <w:ind w:left="357" w:hanging="357"/>
      </w:pPr>
      <w:bookmarkStart w:id="108" w:name="_Toc210901293"/>
      <w:r>
        <w:t xml:space="preserve">Z 07.01.1 FUNC 1 </w:t>
      </w:r>
      <w:r w:rsidR="005D5AB8" w:rsidRPr="005D5AB8">
        <w:t>Insättnin</w:t>
      </w:r>
      <w:r w:rsidR="005D5AB8" w:rsidRPr="00CE3480">
        <w:t>gar</w:t>
      </w:r>
      <w:r w:rsidR="005D5AB8" w:rsidRPr="007505CF" w:rsidDel="005D5AB8">
        <w:t xml:space="preserve"> </w:t>
      </w:r>
      <w:bookmarkEnd w:id="108"/>
    </w:p>
    <w:p w14:paraId="7FE1B9F9" w14:textId="77777777" w:rsidR="0057131B" w:rsidRDefault="0057131B">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7131B"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57131B" w:rsidRDefault="00355A1C">
            <w:pPr>
              <w:pStyle w:val="P68B1DB1-TableParagraph17"/>
              <w:spacing w:before="108"/>
              <w:ind w:left="85"/>
              <w:jc w:val="both"/>
            </w:pPr>
            <w:r>
              <w:t>Kolumner</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57131B" w:rsidRDefault="00355A1C">
            <w:pPr>
              <w:pStyle w:val="P68B1DB1-TableParagraph17"/>
              <w:spacing w:before="108"/>
              <w:ind w:left="85" w:right="1"/>
              <w:jc w:val="both"/>
            </w:pPr>
            <w:r>
              <w:t>Anvisningar</w:t>
            </w:r>
          </w:p>
        </w:tc>
      </w:tr>
      <w:tr w:rsidR="0057131B"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57131B" w:rsidRDefault="00355A1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57131B" w:rsidRDefault="00355A1C">
            <w:pPr>
              <w:pStyle w:val="P68B1DB1-TableParagraph14"/>
              <w:spacing w:before="108"/>
              <w:ind w:left="85"/>
              <w:jc w:val="both"/>
              <w:rPr>
                <w:bCs/>
              </w:rPr>
            </w:pPr>
            <w:r>
              <w:t>Beskrivning av ekonomisk funktion</w:t>
            </w:r>
          </w:p>
          <w:p w14:paraId="7FE1B9FF" w14:textId="2DF858EE" w:rsidR="0057131B" w:rsidRDefault="00355A1C">
            <w:pPr>
              <w:pStyle w:val="P68B1DB1-TableParagraph17"/>
              <w:spacing w:before="108"/>
              <w:ind w:left="85"/>
            </w:pPr>
            <w:r>
              <w:t xml:space="preserve">Om den ekonomiska funktionen är av typen ”Annan” (funktioner i r0050 till r0070) ska en beskrivning av den funktionen tillhandahållas. </w:t>
            </w:r>
          </w:p>
        </w:tc>
      </w:tr>
      <w:tr w:rsidR="0057131B"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57131B" w:rsidRDefault="00355A1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57131B" w:rsidRDefault="00355A1C">
            <w:pPr>
              <w:pStyle w:val="P68B1DB1-TableParagraph14"/>
              <w:spacing w:before="108"/>
              <w:ind w:left="85"/>
              <w:jc w:val="both"/>
              <w:rPr>
                <w:bCs/>
              </w:rPr>
            </w:pPr>
            <w:r>
              <w:t xml:space="preserve">Marknadsandel </w:t>
            </w:r>
          </w:p>
          <w:p w14:paraId="7FE1BA03" w14:textId="2B787841" w:rsidR="0057131B" w:rsidRDefault="00355A1C">
            <w:pPr>
              <w:pStyle w:val="P68B1DB1-TableParagraph17"/>
              <w:spacing w:before="108"/>
              <w:ind w:left="85"/>
            </w:pPr>
            <w:r>
              <w:t>Institutets eller koncernens förväntade marknadsandel för den ekonomiska funktionen i respektive land eller geografisk område. En procentandel av hela marknaden i form av en värde på konton.</w:t>
            </w:r>
          </w:p>
        </w:tc>
      </w:tr>
      <w:tr w:rsidR="0057131B"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57131B" w:rsidRDefault="00355A1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57131B" w:rsidRDefault="00355A1C">
            <w:pPr>
              <w:pStyle w:val="P68B1DB1-TableParagraph14"/>
              <w:spacing w:before="108"/>
              <w:jc w:val="both"/>
              <w:rPr>
                <w:bCs/>
              </w:rPr>
            </w:pPr>
            <w:r>
              <w:t>Värde på konton</w:t>
            </w:r>
          </w:p>
          <w:p w14:paraId="7FE1BA07" w14:textId="77777777" w:rsidR="0057131B" w:rsidRDefault="00355A1C">
            <w:pPr>
              <w:pStyle w:val="P68B1DB1-TableParagraph17"/>
              <w:spacing w:before="108"/>
            </w:pPr>
            <w:r>
              <w:t>Redovisat värde (inklusive upplupen ränta) av de godkända insättningarna.</w:t>
            </w:r>
          </w:p>
          <w:p w14:paraId="7FE1BA08" w14:textId="77777777" w:rsidR="0057131B" w:rsidRDefault="00355A1C">
            <w:pPr>
              <w:pStyle w:val="P68B1DB1-TableParagraph17"/>
              <w:spacing w:before="108"/>
            </w:pPr>
            <w:r>
              <w:t>Hänvisningar: Finrep, bilagorna III och IV, mall F 08.01 och bilaga V, del 2 punkt 97.</w:t>
            </w:r>
          </w:p>
        </w:tc>
      </w:tr>
      <w:tr w:rsidR="0057131B"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57131B" w:rsidRDefault="00355A1C">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57131B" w:rsidRDefault="00355A1C">
            <w:pPr>
              <w:pStyle w:val="P68B1DB1-TableParagraph14"/>
              <w:spacing w:before="108"/>
              <w:jc w:val="both"/>
              <w:rPr>
                <w:bCs/>
              </w:rPr>
            </w:pPr>
            <w:bookmarkStart w:id="109" w:name="_Hlk162030772"/>
            <w:r>
              <w:t>Varav oförsäkrade</w:t>
            </w:r>
          </w:p>
          <w:p w14:paraId="7FE1BA0C" w14:textId="464500AA" w:rsidR="0057131B" w:rsidRDefault="00355A1C">
            <w:pPr>
              <w:pStyle w:val="P68B1DB1-TableParagraph13"/>
              <w:spacing w:before="108"/>
              <w:rPr>
                <w:rFonts w:eastAsia="Cambria"/>
              </w:rPr>
            </w:pPr>
            <w:r>
              <w:lastRenderedPageBreak/>
              <w:t>Redovisat värde (inklusive upplupen ränta) för mottagen inlåning vars saldo överstiger 100 000,00 EUR</w:t>
            </w:r>
            <w:bookmarkEnd w:id="109"/>
            <w:r>
              <w:t>. Endast belopp över 100 EUR ska rapporteras här.</w:t>
            </w:r>
          </w:p>
        </w:tc>
      </w:tr>
      <w:tr w:rsidR="0057131B"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57131B" w:rsidRDefault="00355A1C">
            <w:pPr>
              <w:pStyle w:val="P68B1DB1-TableParagraph17"/>
              <w:spacing w:before="108"/>
              <w:ind w:left="85"/>
              <w:jc w:val="both"/>
            </w:pPr>
            <w:r>
              <w:lastRenderedPageBreak/>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57131B" w:rsidRDefault="00355A1C">
            <w:pPr>
              <w:pStyle w:val="P68B1DB1-TableParagraph14"/>
              <w:spacing w:before="108"/>
              <w:ind w:left="85"/>
              <w:jc w:val="both"/>
              <w:rPr>
                <w:bCs/>
              </w:rPr>
            </w:pPr>
            <w:bookmarkStart w:id="110" w:name="_Hlk162030782"/>
            <w:r>
              <w:t>Varav återkommande</w:t>
            </w:r>
          </w:p>
          <w:p w14:paraId="7FE1BA12" w14:textId="14AEAE5C" w:rsidR="0057131B" w:rsidRDefault="00355A1C">
            <w:pPr>
              <w:pStyle w:val="P68B1DB1-TableParagraph13"/>
              <w:spacing w:before="108"/>
              <w:ind w:left="85"/>
              <w:jc w:val="both"/>
            </w:pPr>
            <w:bookmarkStart w:id="111" w:name="_Hlk170377814"/>
            <w:bookmarkStart w:id="112" w:name="_Hlk162030851"/>
            <w:r>
              <w:t xml:space="preserve">Redovisat värde (inklusive upplupen ränta) för mottagen inlåning som innehas på ett återkommande inlåningskonto.  Återkommande inlåningskonton är inlåningskonton där kontot har debiterats eller krediterats minst 5 månatliga transaktioner i genomsnitt under de 6 månader som föregår brytdatumet, med undantag för årliga avgifter, andra avgifter och räntebetalningar som avser kontot. </w:t>
            </w:r>
            <w:bookmarkEnd w:id="111"/>
          </w:p>
          <w:bookmarkEnd w:id="110"/>
          <w:bookmarkEnd w:id="112"/>
          <w:p w14:paraId="7FE1BA13" w14:textId="0C63C868" w:rsidR="0057131B" w:rsidRDefault="0057131B">
            <w:pPr>
              <w:pStyle w:val="TableParagraph"/>
              <w:spacing w:before="108"/>
              <w:ind w:left="85"/>
              <w:jc w:val="both"/>
              <w:rPr>
                <w:rFonts w:ascii="Times New Roman" w:hAnsi="Times New Roman" w:cs="Times New Roman"/>
                <w:color w:val="000000" w:themeColor="text1"/>
                <w:sz w:val="20"/>
                <w:szCs w:val="20"/>
              </w:rPr>
            </w:pPr>
          </w:p>
        </w:tc>
      </w:tr>
      <w:tr w:rsidR="0057131B"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57131B" w:rsidRDefault="00355A1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57131B" w:rsidRDefault="00355A1C">
            <w:pPr>
              <w:pStyle w:val="P68B1DB1-TableParagraph14"/>
              <w:spacing w:before="108"/>
              <w:ind w:left="85"/>
              <w:jc w:val="both"/>
              <w:rPr>
                <w:bCs/>
              </w:rPr>
            </w:pPr>
            <w:r>
              <w:t>Antal kunder</w:t>
            </w:r>
          </w:p>
          <w:p w14:paraId="7FE1BA17" w14:textId="77777777" w:rsidR="0057131B" w:rsidRDefault="00355A1C">
            <w:pPr>
              <w:pStyle w:val="P68B1DB1-TableParagraph13"/>
              <w:spacing w:before="108"/>
              <w:ind w:left="85"/>
              <w:jc w:val="both"/>
            </w:pPr>
            <w:r>
              <w:t>Totalt antal kunder som deponerat de värden som rapporterats i c0030 ”Värde på konton”. En kund som använder flera insättningsprodukter/konton ska endast räknas en gång.</w:t>
            </w:r>
          </w:p>
        </w:tc>
      </w:tr>
      <w:tr w:rsidR="0057131B"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57131B" w:rsidRDefault="00355A1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57131B" w:rsidRDefault="00355A1C">
            <w:pPr>
              <w:pStyle w:val="P68B1DB1-TableParagraph14"/>
              <w:spacing w:before="108"/>
              <w:ind w:left="85"/>
              <w:jc w:val="both"/>
              <w:rPr>
                <w:bCs/>
              </w:rPr>
            </w:pPr>
            <w:r>
              <w:t>Antal konton</w:t>
            </w:r>
          </w:p>
          <w:p w14:paraId="7FE1BA1B" w14:textId="77777777" w:rsidR="0057131B" w:rsidRDefault="00355A1C">
            <w:pPr>
              <w:pStyle w:val="P68B1DB1-TableParagraph13"/>
              <w:spacing w:before="108"/>
              <w:ind w:left="85"/>
              <w:jc w:val="both"/>
            </w:pPr>
            <w:r>
              <w:t>Totalt antal löpande konton/inlåning över natten, inlåning med överenskommen löptid och</w:t>
            </w:r>
          </w:p>
          <w:p w14:paraId="7FE1BA1C" w14:textId="36D44222" w:rsidR="0057131B" w:rsidRDefault="00355A1C">
            <w:pPr>
              <w:pStyle w:val="P68B1DB1-TableParagraph13"/>
              <w:spacing w:before="108"/>
              <w:ind w:left="85"/>
              <w:jc w:val="both"/>
            </w:pPr>
            <w:r>
              <w:t>Inlåning med uppsägningstid Gemensamma konton ska endast räknas en gång. 25.</w:t>
            </w:r>
          </w:p>
          <w:p w14:paraId="7FE1BA1D" w14:textId="07F9DB1C" w:rsidR="0057131B" w:rsidRDefault="00355A1C">
            <w:pPr>
              <w:pStyle w:val="P68B1DB1-TableParagraph13"/>
              <w:spacing w:before="108"/>
              <w:ind w:left="85"/>
              <w:jc w:val="both"/>
            </w:pPr>
            <w:r>
              <w:t>det totala antalet konton i denna kolumn motsvarar det värde som rapporteras i c0030</w:t>
            </w:r>
          </w:p>
          <w:p w14:paraId="7FE1BA1E" w14:textId="77777777" w:rsidR="0057131B" w:rsidRDefault="00355A1C">
            <w:pPr>
              <w:pStyle w:val="P68B1DB1-TableParagraph13"/>
              <w:spacing w:before="108"/>
              <w:ind w:left="85"/>
              <w:jc w:val="both"/>
              <w:rPr>
                <w:b/>
                <w:bCs/>
              </w:rPr>
            </w:pPr>
            <w:r>
              <w:t>”bokfört värde”.</w:t>
            </w:r>
          </w:p>
        </w:tc>
      </w:tr>
      <w:tr w:rsidR="0057131B"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57131B" w:rsidRDefault="00355A1C">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57131B" w:rsidRDefault="00355A1C">
            <w:pPr>
              <w:pStyle w:val="P68B1DB1-TableParagraph14"/>
              <w:spacing w:before="108"/>
              <w:ind w:left="85"/>
              <w:jc w:val="both"/>
              <w:rPr>
                <w:bCs/>
              </w:rPr>
            </w:pPr>
            <w:r>
              <w:t>Varav återkommande</w:t>
            </w:r>
          </w:p>
          <w:p w14:paraId="7FE1BA22" w14:textId="00C60993" w:rsidR="0057131B" w:rsidRDefault="00355A1C">
            <w:pPr>
              <w:pStyle w:val="P68B1DB1-TableParagraph13"/>
              <w:spacing w:before="108"/>
              <w:ind w:left="85"/>
              <w:jc w:val="both"/>
            </w:pPr>
            <w:r>
              <w:t>Totalt antal återkommande konton enligt definitionen i c0036</w:t>
            </w:r>
          </w:p>
        </w:tc>
      </w:tr>
      <w:tr w:rsidR="0057131B"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57131B" w:rsidRDefault="00355A1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57131B" w:rsidRDefault="00355A1C">
            <w:pPr>
              <w:pStyle w:val="P68B1DB1-TableParagraph14"/>
              <w:spacing w:before="108"/>
              <w:ind w:left="85"/>
              <w:jc w:val="both"/>
              <w:rPr>
                <w:bCs/>
              </w:rPr>
            </w:pPr>
            <w:r>
              <w:t>Gränsöverskridande värde</w:t>
            </w:r>
          </w:p>
          <w:p w14:paraId="7FE1BA26" w14:textId="77777777" w:rsidR="0057131B" w:rsidRDefault="00355A1C">
            <w:pPr>
              <w:pStyle w:val="P68B1DB1-TableParagraph13"/>
              <w:spacing w:before="108"/>
              <w:ind w:left="85"/>
              <w:jc w:val="both"/>
            </w:pPr>
            <w:r>
              <w:t>Värde på konton som innehas av personer som inte är bosatta i landet (utländska personer). Hushållsanställda omfattar följande: i)</w:t>
            </w:r>
          </w:p>
          <w:p w14:paraId="7FE1BA27" w14:textId="77777777" w:rsidR="0057131B" w:rsidRDefault="00355A1C">
            <w:pPr>
              <w:pStyle w:val="P68B1DB1-TableParagraph13"/>
              <w:spacing w:before="108"/>
              <w:ind w:left="85"/>
              <w:jc w:val="both"/>
            </w:pPr>
            <w:r>
              <w:t>personer som har sitt huvudsakliga ekonomiska intresse (ekonomisk verksamhet i minst ett år,</w:t>
            </w:r>
          </w:p>
          <w:p w14:paraId="7FE1BA28" w14:textId="77777777" w:rsidR="0057131B" w:rsidRDefault="00355A1C">
            <w:pPr>
              <w:pStyle w:val="P68B1DB1-TableParagraph13"/>
              <w:spacing w:before="108"/>
              <w:ind w:left="85"/>
              <w:jc w:val="both"/>
            </w:pPr>
            <w:r>
              <w:t>ägande av fysiska tillgångar anses vara tillräckliga bevis) i det land där</w:t>
            </w:r>
          </w:p>
          <w:p w14:paraId="7FE1BA29" w14:textId="77777777" w:rsidR="0057131B" w:rsidRDefault="00355A1C">
            <w:pPr>
              <w:pStyle w:val="P68B1DB1-TableParagraph13"/>
              <w:spacing w:before="108"/>
              <w:ind w:left="85"/>
              <w:jc w:val="both"/>
            </w:pPr>
            <w:r>
              <w:t>rapporterande företag och ii) utländska filialer till det rapporterande företagets kunder.</w:t>
            </w:r>
          </w:p>
          <w:p w14:paraId="7FE1BA2A" w14:textId="77777777" w:rsidR="0057131B" w:rsidRDefault="00355A1C">
            <w:pPr>
              <w:pStyle w:val="P68B1DB1-TableParagraph13"/>
              <w:spacing w:before="108"/>
              <w:ind w:left="85"/>
              <w:jc w:val="both"/>
              <w:rPr>
                <w:b/>
                <w:bCs/>
              </w:rPr>
            </w:pPr>
            <w:r>
              <w:t xml:space="preserve">Referens: </w:t>
            </w:r>
          </w:p>
        </w:tc>
      </w:tr>
      <w:tr w:rsidR="0057131B"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57131B" w:rsidRDefault="00355A1C">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57131B" w:rsidRDefault="00355A1C">
            <w:pPr>
              <w:pStyle w:val="P68B1DB1-TableParagraph14"/>
              <w:spacing w:before="108"/>
              <w:jc w:val="both"/>
              <w:rPr>
                <w:bCs/>
              </w:rPr>
            </w:pPr>
            <w:r>
              <w:t>Konsekvensanalyser och analyser av godtagbarhet</w:t>
            </w:r>
          </w:p>
          <w:p w14:paraId="7FE1BA2E" w14:textId="2C85C98D" w:rsidR="0057131B" w:rsidRDefault="00355A1C">
            <w:pPr>
              <w:pStyle w:val="P68B1DB1-Normal31"/>
              <w:spacing w:line="276" w:lineRule="auto"/>
              <w:jc w:val="both"/>
            </w:pPr>
            <w:r>
              <w:t>Bedömningskriterierna för inverkan på tredje parter ska omfatta följande delar i enlighet med kommissionens delegerade förordning (EU) 2016/778:</w:t>
            </w:r>
          </w:p>
          <w:p w14:paraId="7FE1BA2F" w14:textId="77777777" w:rsidR="0057131B" w:rsidRDefault="00355A1C">
            <w:pPr>
              <w:pStyle w:val="P68B1DB1-ListParagraph32"/>
              <w:numPr>
                <w:ilvl w:val="0"/>
                <w:numId w:val="131"/>
              </w:numPr>
              <w:spacing w:line="276" w:lineRule="auto"/>
              <w:rPr>
                <w:b/>
                <w:bCs/>
              </w:rPr>
            </w:pPr>
            <w:r>
              <w:rPr>
                <w:b/>
              </w:rPr>
              <w:t>Aktivitetens art och omfattning, global,</w:t>
            </w:r>
            <w:r>
              <w:t xml:space="preserve"> nationell eller regional omfattning, antal transaktioner och deras volym; antalet kunder och motparter; antalet kunder för vilka institutet är den enda eller den huvudsakliga bankpartnern.</w:t>
            </w:r>
          </w:p>
          <w:p w14:paraId="7FE1BA30" w14:textId="77777777" w:rsidR="0057131B" w:rsidRDefault="00355A1C">
            <w:pPr>
              <w:pStyle w:val="P68B1DB1-ListParagraph32"/>
              <w:numPr>
                <w:ilvl w:val="0"/>
                <w:numId w:val="131"/>
              </w:numPr>
              <w:spacing w:line="276" w:lineRule="auto"/>
              <w:rPr>
                <w:b/>
                <w:bCs/>
              </w:rPr>
            </w:pPr>
            <w:r>
              <w:rPr>
                <w:b/>
              </w:rPr>
              <w:t>Institutets betydelse på</w:t>
            </w:r>
            <w:r>
              <w:t xml:space="preserve"> lokal, regional, nationell eller europeisk nivå, beroende på vad som är relevant för den berörda marknaden. Institutets betydelse kan bedömas på grundval av marknadsandel, grad av sammanlänkning, komplexitet och gränsöverskridande verksamhet.</w:t>
            </w:r>
          </w:p>
          <w:p w14:paraId="7FE1BA31" w14:textId="77777777" w:rsidR="0057131B" w:rsidRDefault="00355A1C">
            <w:pPr>
              <w:pStyle w:val="P68B1DB1-ListParagraph32"/>
              <w:numPr>
                <w:ilvl w:val="0"/>
                <w:numId w:val="131"/>
              </w:numPr>
              <w:spacing w:line="276" w:lineRule="auto"/>
              <w:rPr>
                <w:b/>
                <w:bCs/>
              </w:rPr>
            </w:pPr>
            <w:r>
              <w:rPr>
                <w:b/>
              </w:rPr>
              <w:t>Typen av kunder och intressenter som påverkas av funktionen,</w:t>
            </w:r>
            <w:r>
              <w:t xml:space="preserve"> till exempel, men inte begränsat till, privatkunder, företagskunder, interbankkunder, centrala clearingorganisationer och offentliga organ. </w:t>
            </w:r>
          </w:p>
          <w:p w14:paraId="7FE1BA32" w14:textId="77777777" w:rsidR="0057131B" w:rsidRDefault="00355A1C">
            <w:pPr>
              <w:pStyle w:val="P68B1DB1-ListParagraph32"/>
              <w:numPr>
                <w:ilvl w:val="0"/>
                <w:numId w:val="131"/>
              </w:numPr>
              <w:spacing w:line="276" w:lineRule="auto"/>
              <w:rPr>
                <w:b/>
                <w:bCs/>
              </w:rPr>
            </w:pPr>
            <w:r>
              <w:rPr>
                <w:b/>
              </w:rPr>
              <w:t>Den potentiella störning som drabbar marknader, infrastruktur, kunder och offentliga tjänster</w:t>
            </w:r>
            <w:r>
              <w:t xml:space="preserve">. Bedömningen kan särskilt innefatta effekten på de berörda marknadernas likviditet, påverkan och vidd av störningen för kundverksamheten, och </w:t>
            </w:r>
            <w:r>
              <w:lastRenderedPageBreak/>
              <w:t>kortfristiga likviditetsbehov; graden av märkbarhet hos motparter, kunder och allmänheten; kundernas reaktionsförmåga och reaktionshastighet; betydelsen för andra marknader; påverkan på en annan marknads likviditet, verksamhet och struktur; påverkan på andra motparter som är anknuta till de viktigaste kunderna och funktionens sammanlänkning med andra tjänster.</w:t>
            </w:r>
          </w:p>
          <w:p w14:paraId="7FE1BA33" w14:textId="77777777" w:rsidR="0057131B" w:rsidRDefault="0057131B">
            <w:pPr>
              <w:pStyle w:val="TableParagraph"/>
              <w:spacing w:before="108"/>
              <w:ind w:left="85"/>
              <w:jc w:val="both"/>
              <w:rPr>
                <w:rFonts w:ascii="Times New Roman" w:hAnsi="Times New Roman" w:cs="Times New Roman"/>
                <w:b/>
                <w:bCs/>
                <w:color w:val="000000" w:themeColor="text1"/>
                <w:sz w:val="20"/>
                <w:szCs w:val="20"/>
              </w:rPr>
            </w:pPr>
          </w:p>
        </w:tc>
      </w:tr>
      <w:tr w:rsidR="0057131B"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57131B" w:rsidRDefault="00355A1C">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57131B" w:rsidRDefault="00355A1C">
            <w:pPr>
              <w:pStyle w:val="P68B1DB1-TableParagraph14"/>
              <w:spacing w:before="108"/>
              <w:ind w:left="85"/>
              <w:jc w:val="both"/>
              <w:rPr>
                <w:bCs/>
              </w:rPr>
            </w:pPr>
            <w:r>
              <w:t xml:space="preserve">Natur och Reach </w:t>
            </w:r>
          </w:p>
          <w:p w14:paraId="7FE1BA37" w14:textId="77777777" w:rsidR="0057131B" w:rsidRDefault="00355A1C">
            <w:pPr>
              <w:pStyle w:val="P68B1DB1-TableParagraph33"/>
              <w:spacing w:before="108"/>
              <w:ind w:left="85"/>
              <w:jc w:val="both"/>
              <w:rPr>
                <w:rFonts w:cs="Times New Roman"/>
                <w:b/>
                <w:bCs/>
                <w:color w:val="000000" w:themeColor="text1"/>
              </w:rPr>
            </w:pPr>
            <w:r>
              <w:t>Transaktionernas globala, nationella eller regionala räckvidd, volym och antal. antalet kunder och motparter; antalet kunder för vilka institutet är den enda eller den huvudsakliga bankpartnern.</w:t>
            </w:r>
          </w:p>
        </w:tc>
      </w:tr>
      <w:tr w:rsidR="0057131B"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57131B" w:rsidRDefault="00355A1C">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57131B" w:rsidRDefault="00355A1C">
            <w:pPr>
              <w:pStyle w:val="P68B1DB1-TableParagraph14"/>
              <w:spacing w:before="108"/>
              <w:ind w:left="85"/>
              <w:jc w:val="both"/>
              <w:rPr>
                <w:bCs/>
              </w:rPr>
            </w:pPr>
            <w:r>
              <w:t>Storleksindikator 1</w:t>
            </w:r>
          </w:p>
          <w:p w14:paraId="7FE1BA3B" w14:textId="0CA29815"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A3C" w14:textId="77777777" w:rsidR="0057131B" w:rsidRDefault="00355A1C">
            <w:pPr>
              <w:pStyle w:val="P68B1DB1-ListParagraph32"/>
              <w:numPr>
                <w:ilvl w:val="0"/>
                <w:numId w:val="130"/>
              </w:numPr>
              <w:spacing w:line="276" w:lineRule="auto"/>
            </w:pPr>
            <w:r>
              <w:t xml:space="preserve">Expertbedömning av bokföringsvärdets storlek </w:t>
            </w:r>
            <w:r>
              <w:rPr>
                <w:b/>
              </w:rPr>
              <w:t>(</w:t>
            </w:r>
            <w:r>
              <w:t xml:space="preserve"> c0030) ur ett </w:t>
            </w:r>
            <w:r>
              <w:rPr>
                <w:b/>
              </w:rPr>
              <w:t>EU-perspektiv</w:t>
            </w:r>
            <w:r>
              <w:t xml:space="preserve"> </w:t>
            </w:r>
            <w:r>
              <w:rPr>
                <w:i/>
              </w:rPr>
              <w:t>[en nivå högre än den relevanta marknaden. Detta innebär att när den relevanta marknaden är regional, storlek 1 = nationell. när det är nationellt, storlek 1 = EU; när det är EU, storlek 1 = global]</w:t>
            </w:r>
            <w:r>
              <w:t>:</w:t>
            </w:r>
          </w:p>
          <w:p w14:paraId="7FE1BA3D" w14:textId="77777777" w:rsidR="0057131B" w:rsidRDefault="00355A1C">
            <w:pPr>
              <w:pStyle w:val="P68B1DB1-ListParagraph32"/>
              <w:numPr>
                <w:ilvl w:val="1"/>
                <w:numId w:val="129"/>
              </w:numPr>
              <w:spacing w:line="276" w:lineRule="auto"/>
            </w:pPr>
            <w:r>
              <w:t xml:space="preserve">Ur ett EU-perspektiv, hur stort tror du att det totala värdet på konton hos din institution är? </w:t>
            </w:r>
          </w:p>
          <w:p w14:paraId="7FE1BA3E" w14:textId="77777777" w:rsidR="0057131B" w:rsidRDefault="0057131B">
            <w:pPr>
              <w:pStyle w:val="TableParagraph"/>
              <w:spacing w:before="108"/>
              <w:ind w:left="85"/>
              <w:jc w:val="both"/>
              <w:rPr>
                <w:rFonts w:ascii="Times New Roman" w:hAnsi="Times New Roman" w:cs="Times New Roman"/>
                <w:b/>
                <w:bCs/>
                <w:color w:val="000000" w:themeColor="text1"/>
                <w:sz w:val="20"/>
                <w:szCs w:val="20"/>
              </w:rPr>
            </w:pPr>
          </w:p>
        </w:tc>
      </w:tr>
      <w:tr w:rsidR="0057131B"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57131B" w:rsidRDefault="00355A1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57131B" w:rsidRDefault="00355A1C">
            <w:pPr>
              <w:pStyle w:val="P68B1DB1-TableParagraph14"/>
              <w:spacing w:before="108"/>
              <w:ind w:left="85"/>
              <w:jc w:val="both"/>
              <w:rPr>
                <w:bCs/>
              </w:rPr>
            </w:pPr>
            <w:r>
              <w:t>Storleksindikator 2</w:t>
            </w:r>
          </w:p>
          <w:p w14:paraId="3B32AD4C"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A42" w14:textId="7FE1DE6A" w:rsidR="0057131B" w:rsidRDefault="0057131B">
            <w:pPr>
              <w:spacing w:line="276" w:lineRule="auto"/>
              <w:jc w:val="both"/>
              <w:rPr>
                <w:rFonts w:ascii="Times New Roman" w:eastAsia="Times New Roman" w:hAnsi="Times New Roman" w:cs="Times New Roman"/>
                <w:sz w:val="20"/>
                <w:szCs w:val="20"/>
              </w:rPr>
            </w:pPr>
          </w:p>
          <w:p w14:paraId="7FE1BA43" w14:textId="77777777" w:rsidR="0057131B" w:rsidRDefault="00355A1C">
            <w:pPr>
              <w:pStyle w:val="P68B1DB1-ListParagraph32"/>
              <w:numPr>
                <w:ilvl w:val="0"/>
                <w:numId w:val="124"/>
              </w:numPr>
              <w:spacing w:line="276" w:lineRule="auto"/>
            </w:pPr>
            <w:r>
              <w:t xml:space="preserve">Expertbedömning av </w:t>
            </w:r>
            <w:r>
              <w:rPr>
                <w:b/>
              </w:rPr>
              <w:t>antalet</w:t>
            </w:r>
            <w:r>
              <w:t xml:space="preserve"> kunder (c0040) ur ett </w:t>
            </w:r>
            <w:r>
              <w:rPr>
                <w:b/>
              </w:rPr>
              <w:t>nationellt</w:t>
            </w:r>
            <w:r>
              <w:t xml:space="preserve"> perspektiv [</w:t>
            </w:r>
            <w:r>
              <w:rPr>
                <w:i/>
              </w:rPr>
              <w:t>på den relevanta marknaden</w:t>
            </w:r>
            <w:r>
              <w:t>]:</w:t>
            </w:r>
          </w:p>
          <w:p w14:paraId="7FE1BA44" w14:textId="77777777" w:rsidR="0057131B" w:rsidRDefault="00355A1C">
            <w:pPr>
              <w:pStyle w:val="P68B1DB1-ListParagraph32"/>
              <w:numPr>
                <w:ilvl w:val="1"/>
                <w:numId w:val="122"/>
              </w:numPr>
              <w:spacing w:line="276" w:lineRule="auto"/>
            </w:pPr>
            <w:r>
              <w:t>Hur stort uppskattas institutets totala antal kunder ur ett nationellt perspektiv?</w:t>
            </w:r>
          </w:p>
          <w:p w14:paraId="7FE1BA45" w14:textId="77777777" w:rsidR="0057131B" w:rsidRDefault="0057131B">
            <w:pPr>
              <w:pStyle w:val="TableParagraph"/>
              <w:spacing w:before="108"/>
              <w:ind w:left="85"/>
              <w:jc w:val="both"/>
              <w:rPr>
                <w:rFonts w:ascii="Times New Roman" w:hAnsi="Times New Roman" w:cs="Times New Roman"/>
                <w:b/>
                <w:bCs/>
                <w:color w:val="000000" w:themeColor="text1"/>
                <w:sz w:val="20"/>
                <w:szCs w:val="20"/>
              </w:rPr>
            </w:pPr>
          </w:p>
        </w:tc>
      </w:tr>
      <w:tr w:rsidR="0057131B"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57131B" w:rsidRDefault="00355A1C">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57131B" w:rsidRDefault="00355A1C">
            <w:pPr>
              <w:pStyle w:val="P68B1DB1-TableParagraph14"/>
              <w:spacing w:before="108"/>
              <w:ind w:left="85"/>
              <w:jc w:val="both"/>
              <w:rPr>
                <w:bCs/>
              </w:rPr>
            </w:pPr>
            <w:r>
              <w:t>Indikator för gränsöverskridande verksamhet</w:t>
            </w:r>
          </w:p>
          <w:p w14:paraId="7FE1BA49" w14:textId="77777777" w:rsidR="0057131B" w:rsidRDefault="00355A1C">
            <w:pPr>
              <w:pStyle w:val="P68B1DB1-Normal31"/>
              <w:spacing w:line="276" w:lineRule="auto"/>
              <w:jc w:val="both"/>
            </w:pPr>
            <w:r>
              <w:t>Bedöma den gränsöverskridande verksamhetens relativa betydelse för de olika ekonomiska funktionerna.</w:t>
            </w:r>
          </w:p>
          <w:p w14:paraId="7FE1BA4A" w14:textId="77777777" w:rsidR="0057131B" w:rsidRDefault="00355A1C">
            <w:pPr>
              <w:pStyle w:val="P68B1DB1-Normal31"/>
              <w:spacing w:line="276" w:lineRule="auto"/>
              <w:jc w:val="both"/>
            </w:pPr>
            <w:r>
              <w:t xml:space="preserve">Detta behöver inte bedömas när det gäller rapporter där den relevanta marknaden anses vara regional. </w:t>
            </w:r>
          </w:p>
          <w:p w14:paraId="7FE1BA4B" w14:textId="77777777" w:rsidR="0057131B" w:rsidRDefault="00355A1C">
            <w:pPr>
              <w:pStyle w:val="P68B1DB1-ListParagraph32"/>
              <w:numPr>
                <w:ilvl w:val="0"/>
                <w:numId w:val="118"/>
              </w:numPr>
              <w:rPr>
                <w:i/>
                <w:iCs/>
              </w:rPr>
            </w:pPr>
            <w:r>
              <w:t xml:space="preserve">Antal EU-länder där det uppskattas att den rapporterande enheten har en nationell marknadsandel på över 2 %. Betänkande: </w:t>
            </w:r>
          </w:p>
          <w:p w14:paraId="7FE1BA4C" w14:textId="380A40CA" w:rsidR="0057131B" w:rsidRDefault="00355A1C">
            <w:pPr>
              <w:pStyle w:val="P68B1DB1-ListParagraph32"/>
              <w:numPr>
                <w:ilvl w:val="1"/>
                <w:numId w:val="118"/>
              </w:numPr>
              <w:rPr>
                <w:i/>
                <w:iCs/>
              </w:rPr>
            </w:pPr>
            <w:r>
              <w:t xml:space="preserve">≤ 1 land. </w:t>
            </w:r>
          </w:p>
          <w:p w14:paraId="7FE1BA4D" w14:textId="152EAA32" w:rsidR="0057131B" w:rsidRDefault="00355A1C">
            <w:pPr>
              <w:pStyle w:val="P68B1DB1-ListParagraph32"/>
              <w:numPr>
                <w:ilvl w:val="1"/>
                <w:numId w:val="118"/>
              </w:numPr>
              <w:rPr>
                <w:i/>
                <w:iCs/>
              </w:rPr>
            </w:pPr>
            <w:r>
              <w:t xml:space="preserve">2–3 länder </w:t>
            </w:r>
          </w:p>
          <w:p w14:paraId="7FE1BA4E" w14:textId="5E1FD2A4" w:rsidR="0057131B" w:rsidRDefault="00355A1C">
            <w:pPr>
              <w:pStyle w:val="P68B1DB1-ListParagraph32"/>
              <w:numPr>
                <w:ilvl w:val="1"/>
                <w:numId w:val="118"/>
              </w:numPr>
              <w:rPr>
                <w:i/>
                <w:iCs/>
              </w:rPr>
            </w:pPr>
            <w:r>
              <w:t xml:space="preserve">4–5 länder. </w:t>
            </w:r>
          </w:p>
          <w:p w14:paraId="7FE1BA4F" w14:textId="744AB982" w:rsidR="0057131B" w:rsidRDefault="00355A1C">
            <w:pPr>
              <w:pStyle w:val="P68B1DB1-ListParagraph32"/>
              <w:numPr>
                <w:ilvl w:val="1"/>
                <w:numId w:val="118"/>
              </w:numPr>
              <w:rPr>
                <w:i/>
                <w:iCs/>
              </w:rPr>
            </w:pPr>
            <w:r>
              <w:t>&gt; 5 länder.</w:t>
            </w:r>
          </w:p>
          <w:p w14:paraId="7FE1BA50" w14:textId="77777777" w:rsidR="0057131B" w:rsidRDefault="0057131B">
            <w:pPr>
              <w:pStyle w:val="TableParagraph"/>
              <w:spacing w:before="108"/>
              <w:jc w:val="both"/>
              <w:rPr>
                <w:rFonts w:ascii="Times New Roman" w:hAnsi="Times New Roman" w:cs="Times New Roman"/>
                <w:b/>
                <w:bCs/>
                <w:color w:val="000000" w:themeColor="text1"/>
                <w:sz w:val="20"/>
                <w:szCs w:val="20"/>
              </w:rPr>
            </w:pPr>
          </w:p>
        </w:tc>
      </w:tr>
      <w:tr w:rsidR="0057131B"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57131B" w:rsidRDefault="00355A1C">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57131B" w:rsidRDefault="00355A1C">
            <w:pPr>
              <w:pStyle w:val="P68B1DB1-TableParagraph14"/>
              <w:spacing w:before="108"/>
              <w:ind w:left="85"/>
              <w:jc w:val="both"/>
              <w:rPr>
                <w:bCs/>
              </w:rPr>
            </w:pPr>
            <w:r>
              <w:t xml:space="preserve">Relevans — </w:t>
            </w:r>
          </w:p>
          <w:p w14:paraId="7FE1BA54" w14:textId="77777777" w:rsidR="0057131B" w:rsidRDefault="00355A1C">
            <w:pPr>
              <w:pStyle w:val="P68B1DB1-TableParagraph33"/>
              <w:spacing w:before="108"/>
              <w:ind w:left="85"/>
              <w:jc w:val="both"/>
            </w:pPr>
            <w:r>
              <w:t>På lokal, regional, nationell eller europeisk nivå, beroende på vad som är relevant för den berörda marknaden. Institutets betydelse kan bedömas på grundval av marknadsandel, grad av sammanlänkning, komplexitet och gränsöverskridande verksamhet.</w:t>
            </w:r>
          </w:p>
          <w:p w14:paraId="7FE1BA55" w14:textId="77777777" w:rsidR="0057131B" w:rsidRDefault="00355A1C">
            <w:pPr>
              <w:pStyle w:val="P68B1DB1-TableParagraph14"/>
              <w:spacing w:before="108"/>
              <w:ind w:left="85"/>
              <w:jc w:val="both"/>
              <w:rPr>
                <w:bCs/>
              </w:rPr>
            </w:pPr>
            <w:r>
              <w:t>Marknadsandel</w:t>
            </w:r>
          </w:p>
          <w:p w14:paraId="7FE1BA56" w14:textId="77777777" w:rsidR="0057131B" w:rsidRDefault="00355A1C">
            <w:pPr>
              <w:pStyle w:val="P68B1DB1-Normal31"/>
              <w:spacing w:line="276" w:lineRule="auto"/>
              <w:jc w:val="both"/>
            </w:pPr>
            <w:r>
              <w:t xml:space="preserve">Bedöma hur viktig den rapporterande enhetens marknadsandel är, jämfört med den nationella eller andra relevanta marknaden, enligt vad som anges i mallen. Denna bedömning uttrycks kvalitativt som </w:t>
            </w:r>
          </w:p>
          <w:p w14:paraId="7FE1BA57" w14:textId="4FBBC6A6" w:rsidR="0057131B" w:rsidRDefault="00355A1C">
            <w:pPr>
              <w:pStyle w:val="P68B1DB1-ListParagraph32"/>
              <w:numPr>
                <w:ilvl w:val="0"/>
                <w:numId w:val="276"/>
              </w:numPr>
              <w:spacing w:line="276" w:lineRule="auto"/>
              <w:jc w:val="both"/>
            </w:pPr>
            <w:r>
              <w:t>Hög, om marknadsandelen är stor</w:t>
            </w:r>
          </w:p>
          <w:p w14:paraId="7FE1BA58" w14:textId="71C0B34E" w:rsidR="0057131B" w:rsidRDefault="00355A1C">
            <w:pPr>
              <w:pStyle w:val="P68B1DB1-ListParagraph32"/>
              <w:numPr>
                <w:ilvl w:val="0"/>
                <w:numId w:val="276"/>
              </w:numPr>
              <w:spacing w:line="276" w:lineRule="auto"/>
              <w:jc w:val="both"/>
            </w:pPr>
            <w:r>
              <w:t>Medelhög, om marknadsandelen är medelhög</w:t>
            </w:r>
          </w:p>
          <w:p w14:paraId="7FE1BA59" w14:textId="08ABB1D9" w:rsidR="0057131B" w:rsidRDefault="00355A1C">
            <w:pPr>
              <w:pStyle w:val="P68B1DB1-ListParagraph32"/>
              <w:numPr>
                <w:ilvl w:val="0"/>
                <w:numId w:val="276"/>
              </w:numPr>
              <w:spacing w:line="276" w:lineRule="auto"/>
              <w:jc w:val="both"/>
            </w:pPr>
            <w:r>
              <w:t xml:space="preserve">Medellåg, om marknadsandelen är liten eller </w:t>
            </w:r>
          </w:p>
          <w:p w14:paraId="7FE1BA5A" w14:textId="3DD284B5" w:rsidR="0057131B" w:rsidRDefault="00355A1C">
            <w:pPr>
              <w:pStyle w:val="P68B1DB1-ListParagraph32"/>
              <w:numPr>
                <w:ilvl w:val="0"/>
                <w:numId w:val="276"/>
              </w:numPr>
              <w:spacing w:line="276" w:lineRule="auto"/>
              <w:jc w:val="both"/>
            </w:pPr>
            <w:r>
              <w:t xml:space="preserve">Låg, om marknadsandelen är försumbar. </w:t>
            </w:r>
          </w:p>
          <w:p w14:paraId="7FE1BA5B" w14:textId="77777777" w:rsidR="0057131B" w:rsidRDefault="00355A1C">
            <w:pPr>
              <w:pStyle w:val="P68B1DB1-Normal31"/>
              <w:spacing w:line="276" w:lineRule="auto"/>
              <w:jc w:val="both"/>
            </w:pPr>
            <w:r>
              <w:t xml:space="preserve">Denna bedömning tar hänsyn till marknadsstrukturen i den rapporterande enhetens land (eller annan relevant marknad) och marknadsandelar som rapporteras delvis </w:t>
            </w:r>
          </w:p>
          <w:p w14:paraId="7FE1BA5C" w14:textId="77777777" w:rsidR="0057131B" w:rsidRDefault="00355A1C">
            <w:pPr>
              <w:pStyle w:val="P68B1DB1-Normal31"/>
              <w:spacing w:line="276" w:lineRule="auto"/>
              <w:jc w:val="both"/>
            </w:pPr>
            <w:r>
              <w:t>2.Kvantitativa uppgifter:</w:t>
            </w:r>
          </w:p>
          <w:p w14:paraId="7FE1BA5D" w14:textId="77777777" w:rsidR="0057131B" w:rsidRDefault="00355A1C">
            <w:pPr>
              <w:pStyle w:val="P68B1DB1-ListParagraph32"/>
              <w:numPr>
                <w:ilvl w:val="0"/>
                <w:numId w:val="117"/>
              </w:numPr>
              <w:spacing w:line="276" w:lineRule="auto"/>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A5E" w14:textId="77777777" w:rsidR="0057131B" w:rsidRDefault="0057131B">
            <w:pPr>
              <w:spacing w:line="276" w:lineRule="auto"/>
              <w:jc w:val="both"/>
              <w:rPr>
                <w:rFonts w:ascii="Times New Roman" w:eastAsia="Times New Roman" w:hAnsi="Times New Roman" w:cs="Times New Roman"/>
                <w:sz w:val="20"/>
                <w:szCs w:val="20"/>
              </w:rPr>
            </w:pPr>
          </w:p>
          <w:p w14:paraId="7FE1BA5F" w14:textId="77777777" w:rsidR="0057131B" w:rsidRDefault="0057131B">
            <w:pPr>
              <w:pStyle w:val="TableParagraph"/>
              <w:spacing w:before="108"/>
              <w:ind w:left="85"/>
              <w:jc w:val="both"/>
              <w:rPr>
                <w:rFonts w:ascii="Times New Roman" w:hAnsi="Times New Roman" w:cs="Times New Roman"/>
                <w:b/>
                <w:bCs/>
                <w:color w:val="000000" w:themeColor="text1"/>
                <w:sz w:val="20"/>
                <w:szCs w:val="20"/>
              </w:rPr>
            </w:pPr>
          </w:p>
        </w:tc>
      </w:tr>
      <w:tr w:rsidR="0057131B"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57131B" w:rsidRDefault="00355A1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57131B" w:rsidRDefault="00355A1C">
            <w:pPr>
              <w:pStyle w:val="P68B1DB1-TableParagraph14"/>
              <w:spacing w:before="108"/>
              <w:ind w:left="85"/>
              <w:jc w:val="both"/>
              <w:rPr>
                <w:bCs/>
              </w:rPr>
            </w:pPr>
            <w:r>
              <w:t>Marknadsstruktur – marknadskoncentration</w:t>
            </w:r>
          </w:p>
          <w:p w14:paraId="7FE1BA63" w14:textId="77777777" w:rsidR="0057131B" w:rsidRDefault="00355A1C">
            <w:pPr>
              <w:pStyle w:val="P68B1DB1-Normal31"/>
              <w:jc w:val="both"/>
            </w:pPr>
            <w:r>
              <w:t xml:space="preserve">Marknadskoncentrationen, mätt i antalet konkurrenter som för närvarande presterar </w:t>
            </w:r>
          </w:p>
          <w:p w14:paraId="7FE1BA64" w14:textId="77777777" w:rsidR="0057131B" w:rsidRDefault="00355A1C">
            <w:pPr>
              <w:pStyle w:val="P68B1DB1-Normal31"/>
              <w:jc w:val="both"/>
            </w:pPr>
            <w:r>
              <w:t xml:space="preserve">liknande ekonomiska funktioner och/eller liknande tjänster på lika villkor (dvs. </w:t>
            </w:r>
          </w:p>
          <w:p w14:paraId="7FE1BA65" w14:textId="77777777" w:rsidR="0057131B" w:rsidRDefault="00355A1C">
            <w:pPr>
              <w:pStyle w:val="P68B1DB1-Normal31"/>
              <w:jc w:val="both"/>
            </w:pPr>
            <w:r>
              <w:t xml:space="preserve">jämförbar omfattning och kvalitet och till en jämförbar kostnad) som potentiellt tar över </w:t>
            </w:r>
          </w:p>
          <w:p w14:paraId="7FE1BA66" w14:textId="77777777" w:rsidR="0057131B" w:rsidRDefault="00355A1C">
            <w:pPr>
              <w:pStyle w:val="P68B1DB1-Normal31"/>
              <w:jc w:val="both"/>
            </w:pPr>
            <w:r>
              <w:t xml:space="preserve">(del av) det rapporterande företagets kunder och/eller verksamhet inom rimlig tid. </w:t>
            </w:r>
          </w:p>
          <w:p w14:paraId="7FE1BA67" w14:textId="77777777" w:rsidR="0057131B" w:rsidRDefault="00355A1C">
            <w:pPr>
              <w:pStyle w:val="P68B1DB1-Normal31"/>
              <w:jc w:val="both"/>
            </w:pPr>
            <w:r>
              <w:t xml:space="preserve">Detta ska rapporteras i undergrupper, som är desamma för varje underfunktion. </w:t>
            </w:r>
          </w:p>
          <w:p w14:paraId="7FE1BA68" w14:textId="5B483BC6" w:rsidR="0057131B" w:rsidRDefault="00355A1C">
            <w:pPr>
              <w:pStyle w:val="P68B1DB1-ListParagraph32"/>
              <w:numPr>
                <w:ilvl w:val="0"/>
                <w:numId w:val="277"/>
              </w:numPr>
              <w:jc w:val="both"/>
            </w:pPr>
            <w:bookmarkStart w:id="113" w:name="_Hlk194417513"/>
            <w:r>
              <w:t xml:space="preserve">&gt; 20 konkurrenter; </w:t>
            </w:r>
          </w:p>
          <w:p w14:paraId="7FE1BA69" w14:textId="7D2A0C84" w:rsidR="0057131B" w:rsidRDefault="00355A1C">
            <w:pPr>
              <w:pStyle w:val="P68B1DB1-ListParagraph32"/>
              <w:numPr>
                <w:ilvl w:val="0"/>
                <w:numId w:val="277"/>
              </w:numPr>
              <w:jc w:val="both"/>
            </w:pPr>
            <w:r>
              <w:t xml:space="preserve">11–20 konkurrenter. </w:t>
            </w:r>
          </w:p>
          <w:p w14:paraId="7FE1BA6A" w14:textId="5EF3634F" w:rsidR="0057131B" w:rsidRDefault="00355A1C">
            <w:pPr>
              <w:pStyle w:val="P68B1DB1-ListParagraph32"/>
              <w:numPr>
                <w:ilvl w:val="0"/>
                <w:numId w:val="277"/>
              </w:numPr>
              <w:jc w:val="both"/>
            </w:pPr>
            <w:r>
              <w:t xml:space="preserve">5–10 konkurrenter. </w:t>
            </w:r>
          </w:p>
          <w:p w14:paraId="7FE1BA6B" w14:textId="3A6E6804" w:rsidR="0057131B" w:rsidRDefault="00355A1C">
            <w:pPr>
              <w:pStyle w:val="P68B1DB1-ListParagraph32"/>
              <w:numPr>
                <w:ilvl w:val="0"/>
                <w:numId w:val="277"/>
              </w:numPr>
              <w:jc w:val="both"/>
              <w:rPr>
                <w:b/>
                <w:bCs/>
                <w:color w:val="000000" w:themeColor="text1"/>
              </w:rPr>
            </w:pPr>
            <w:r>
              <w:t>5</w:t>
            </w:r>
            <w:bookmarkEnd w:id="113"/>
            <w:r>
              <w:t xml:space="preserve"> konkurrenter</w:t>
            </w:r>
          </w:p>
          <w:p w14:paraId="7FE1BA6C" w14:textId="77777777" w:rsidR="0057131B" w:rsidRDefault="00355A1C">
            <w:pPr>
              <w:pStyle w:val="P68B1DB1-Normal34"/>
              <w:ind w:left="360"/>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A6D" w14:textId="77777777" w:rsidR="0057131B" w:rsidRDefault="0057131B">
            <w:pPr>
              <w:jc w:val="both"/>
              <w:rPr>
                <w:rFonts w:ascii="Times New Roman" w:hAnsi="Times New Roman"/>
                <w:b/>
                <w:bCs/>
                <w:color w:val="000000" w:themeColor="text1"/>
                <w:sz w:val="20"/>
                <w:szCs w:val="20"/>
              </w:rPr>
            </w:pPr>
          </w:p>
        </w:tc>
      </w:tr>
      <w:tr w:rsidR="0057131B"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57131B" w:rsidRDefault="00355A1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57131B" w:rsidRDefault="00355A1C">
            <w:pPr>
              <w:pStyle w:val="P68B1DB1-TableParagraph14"/>
              <w:spacing w:before="108"/>
              <w:ind w:left="85"/>
              <w:jc w:val="both"/>
              <w:rPr>
                <w:bCs/>
              </w:rPr>
            </w:pPr>
            <w:r>
              <w:t>Tidpunkt – förväntad tid för ersättning</w:t>
            </w:r>
          </w:p>
          <w:p w14:paraId="7FE1BA71" w14:textId="77777777" w:rsidR="0057131B" w:rsidRDefault="00355A1C">
            <w:pPr>
              <w:pStyle w:val="P68B1DB1-Normal31"/>
              <w:jc w:val="both"/>
            </w:pPr>
            <w:r>
              <w:t>Uppskatta den tid som krävs för den ekonomiska funktion som rapporteringen ger</w:t>
            </w:r>
          </w:p>
          <w:p w14:paraId="7FE1BA72" w14:textId="77777777" w:rsidR="0057131B" w:rsidRDefault="00355A1C">
            <w:pPr>
              <w:pStyle w:val="P68B1DB1-Normal31"/>
              <w:jc w:val="both"/>
            </w:pPr>
            <w:r>
              <w:t xml:space="preserve">enhet som ska absorberas av marknaden i en krissituation. Stödet omfattar </w:t>
            </w:r>
          </w:p>
          <w:p w14:paraId="7FE1BA73" w14:textId="77777777" w:rsidR="0057131B" w:rsidRDefault="00355A1C">
            <w:pPr>
              <w:pStyle w:val="P68B1DB1-ListParagraph32"/>
              <w:numPr>
                <w:ilvl w:val="0"/>
                <w:numId w:val="274"/>
              </w:numPr>
              <w:jc w:val="both"/>
            </w:pPr>
            <w:r>
              <w:t xml:space="preserve">den tid som en eller flera konkurrenter förväntas behöva för att genomföra de rättsliga och tekniska åtgärderna för att ta över funktionen. och  </w:t>
            </w:r>
          </w:p>
          <w:p w14:paraId="7FE1BA74" w14:textId="77777777" w:rsidR="0057131B" w:rsidRDefault="00355A1C">
            <w:pPr>
              <w:pStyle w:val="P68B1DB1-ListParagraph32"/>
              <w:numPr>
                <w:ilvl w:val="0"/>
                <w:numId w:val="274"/>
              </w:numPr>
              <w:jc w:val="both"/>
            </w:pPr>
            <w:r>
              <w:t xml:space="preserve">den tid som användarna av tjänsten behöver för att flytta till en annan tjänsteleverantör. </w:t>
            </w:r>
          </w:p>
          <w:p w14:paraId="7FE1BA75" w14:textId="77777777" w:rsidR="0057131B" w:rsidRDefault="0057131B">
            <w:pPr>
              <w:jc w:val="both"/>
              <w:rPr>
                <w:rFonts w:ascii="Times New Roman" w:eastAsia="Times New Roman" w:hAnsi="Times New Roman" w:cs="Times New Roman"/>
                <w:sz w:val="20"/>
                <w:szCs w:val="20"/>
              </w:rPr>
            </w:pPr>
          </w:p>
          <w:p w14:paraId="7FE1BA76" w14:textId="77777777" w:rsidR="0057131B" w:rsidRDefault="00355A1C">
            <w:pPr>
              <w:pStyle w:val="P68B1DB1-Normal31"/>
              <w:jc w:val="both"/>
            </w:pPr>
            <w:r>
              <w:t xml:space="preserve">När det gäller insättningar rör det främst alternativa leverantörers finansiella, operativa och tekniska kapacitet att erbjuda tjänster för mottagande av insättningar till den rapporterande bankens kunder och inte överföringen av insättningarna till en annan leverantör till följd av en åtgärd från en myndighets sida eller mottagandet av ersättning från insättningsgarantisystemet. </w:t>
            </w:r>
          </w:p>
          <w:p w14:paraId="7FE1BA77" w14:textId="77777777" w:rsidR="0057131B" w:rsidRDefault="0057131B">
            <w:pPr>
              <w:jc w:val="both"/>
              <w:rPr>
                <w:rFonts w:ascii="Times New Roman" w:eastAsia="Times New Roman" w:hAnsi="Times New Roman" w:cs="Times New Roman"/>
                <w:sz w:val="20"/>
                <w:szCs w:val="20"/>
              </w:rPr>
            </w:pPr>
          </w:p>
          <w:p w14:paraId="7FE1BA78" w14:textId="77777777" w:rsidR="0057131B" w:rsidRDefault="00355A1C">
            <w:pPr>
              <w:pStyle w:val="P68B1DB1-Normal31"/>
              <w:jc w:val="both"/>
            </w:pPr>
            <w:r>
              <w:t xml:space="preserve">Som proxyvariabel för den förstnämnda, ge en uppskattning av den tid det skulle ta den rapporterande enheten att absorbera i sin egen verksamhet (en del av) den tjänst som tillhandahålls </w:t>
            </w:r>
            <w:r>
              <w:lastRenderedPageBreak/>
              <w:t>av ett annat institut, till en rimlig kostnad, i en krissituation. Rapportera den beräknade tiden för substitution i de undergrupper som anges i mallen:</w:t>
            </w:r>
          </w:p>
          <w:p w14:paraId="7FE1BA79" w14:textId="77777777" w:rsidR="0057131B" w:rsidRDefault="0057131B">
            <w:pPr>
              <w:jc w:val="both"/>
              <w:rPr>
                <w:rFonts w:ascii="Times New Roman" w:hAnsi="Times New Roman" w:cs="Times New Roman"/>
                <w:color w:val="000000" w:themeColor="text1"/>
                <w:sz w:val="20"/>
                <w:szCs w:val="20"/>
              </w:rPr>
            </w:pPr>
          </w:p>
          <w:p w14:paraId="7FE1BA7A" w14:textId="77777777" w:rsidR="0057131B" w:rsidRDefault="00355A1C">
            <w:pPr>
              <w:pStyle w:val="P68B1DB1-Normal31"/>
              <w:jc w:val="both"/>
            </w:pPr>
            <w:bookmarkStart w:id="114" w:name="_Hlk194476514"/>
            <w:r>
              <w:t xml:space="preserve">Undergrupper: </w:t>
            </w:r>
          </w:p>
          <w:p w14:paraId="7FE1BA7B" w14:textId="013EC0AB" w:rsidR="0057131B" w:rsidRDefault="00355A1C">
            <w:pPr>
              <w:pStyle w:val="P68B1DB1-ListParagraph32"/>
              <w:numPr>
                <w:ilvl w:val="0"/>
                <w:numId w:val="280"/>
              </w:numPr>
              <w:jc w:val="both"/>
            </w:pPr>
            <w:r>
              <w:t xml:space="preserve">En vecka på 1 vecka. </w:t>
            </w:r>
          </w:p>
          <w:p w14:paraId="7FE1BA7C" w14:textId="6818EF73" w:rsidR="0057131B" w:rsidRDefault="00355A1C">
            <w:pPr>
              <w:pStyle w:val="P68B1DB1-ListParagraph32"/>
              <w:numPr>
                <w:ilvl w:val="0"/>
                <w:numId w:val="280"/>
              </w:numPr>
              <w:jc w:val="both"/>
            </w:pPr>
            <w:r>
              <w:t xml:space="preserve">1 Week-1 månad. </w:t>
            </w:r>
          </w:p>
          <w:p w14:paraId="7FE1BA7D" w14:textId="05597976" w:rsidR="0057131B" w:rsidRDefault="00355A1C">
            <w:pPr>
              <w:pStyle w:val="P68B1DB1-ListParagraph32"/>
              <w:numPr>
                <w:ilvl w:val="0"/>
                <w:numId w:val="280"/>
              </w:numPr>
              <w:jc w:val="both"/>
            </w:pPr>
            <w:r>
              <w:t xml:space="preserve">&gt; 1 månader – 6 månader, </w:t>
            </w:r>
          </w:p>
          <w:p w14:paraId="7FE1BA7E" w14:textId="0D41F489" w:rsidR="0057131B" w:rsidRDefault="00355A1C">
            <w:pPr>
              <w:pStyle w:val="P68B1DB1-ListParagraph32"/>
              <w:numPr>
                <w:ilvl w:val="0"/>
                <w:numId w:val="280"/>
              </w:numPr>
              <w:jc w:val="both"/>
            </w:pPr>
            <w:r>
              <w:t xml:space="preserve">&gt; 6 månader  </w:t>
            </w:r>
          </w:p>
          <w:bookmarkEnd w:id="114"/>
          <w:p w14:paraId="7FE1BA7F" w14:textId="77777777" w:rsidR="0057131B" w:rsidRDefault="0057131B">
            <w:pPr>
              <w:jc w:val="both"/>
              <w:rPr>
                <w:rFonts w:ascii="Times New Roman" w:eastAsia="Times New Roman" w:hAnsi="Times New Roman" w:cs="Times New Roman"/>
                <w:sz w:val="20"/>
                <w:szCs w:val="20"/>
              </w:rPr>
            </w:pPr>
          </w:p>
          <w:p w14:paraId="7FE1BA80" w14:textId="77777777" w:rsidR="0057131B" w:rsidRDefault="0057131B">
            <w:pPr>
              <w:jc w:val="both"/>
              <w:rPr>
                <w:rFonts w:ascii="Times New Roman" w:hAnsi="Times New Roman" w:cs="Times New Roman"/>
                <w:color w:val="000000" w:themeColor="text1"/>
                <w:sz w:val="20"/>
                <w:szCs w:val="20"/>
              </w:rPr>
            </w:pPr>
          </w:p>
        </w:tc>
      </w:tr>
      <w:tr w:rsidR="0057131B"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57131B" w:rsidRDefault="00355A1C">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57131B" w:rsidRDefault="00355A1C">
            <w:pPr>
              <w:pStyle w:val="P68B1DB1-TableParagraph14"/>
              <w:spacing w:before="108"/>
              <w:ind w:left="85"/>
              <w:jc w:val="both"/>
              <w:rPr>
                <w:bCs/>
              </w:rPr>
            </w:pPr>
            <w:r>
              <w:t>Substitutionsförmåga</w:t>
            </w:r>
          </w:p>
        </w:tc>
      </w:tr>
      <w:tr w:rsidR="0057131B"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57131B" w:rsidRDefault="00355A1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57131B" w:rsidRDefault="00355A1C">
            <w:pPr>
              <w:pStyle w:val="P68B1DB1-Normal35"/>
              <w:jc w:val="both"/>
              <w:rPr>
                <w:bCs/>
              </w:rPr>
            </w:pPr>
            <w:r>
              <w:t>Rättsliga hinder för inträde eller expansion</w:t>
            </w:r>
          </w:p>
          <w:p w14:paraId="7FE1BA87" w14:textId="77777777" w:rsidR="0057131B" w:rsidRDefault="0057131B">
            <w:pPr>
              <w:jc w:val="both"/>
              <w:rPr>
                <w:rFonts w:ascii="Times New Roman" w:eastAsia="Times New Roman" w:hAnsi="Times New Roman" w:cs="Times New Roman"/>
                <w:b/>
                <w:bCs/>
                <w:color w:val="000000" w:themeColor="text1"/>
                <w:sz w:val="20"/>
                <w:szCs w:val="20"/>
              </w:rPr>
            </w:pPr>
          </w:p>
          <w:p w14:paraId="7FE1BA88" w14:textId="77777777" w:rsidR="0057131B" w:rsidRDefault="00355A1C">
            <w:pPr>
              <w:pStyle w:val="P68B1DB1-Normal36"/>
              <w:jc w:val="both"/>
            </w:pPr>
            <w:r>
              <w:t xml:space="preserve">Rättsliga hinder för konkurrenter att erbjuda tjänsten. Rättsliga krav för att bedriva verksamhet i kreditinstitut (t.ex. banklicenser eller kapitalkrav) ska inte betraktas som oöverstigliga hinder i närvaro av alternativa tillhandahållare. Denna indikator ska rapporteras i undergrupper, som är desamma för varje underfunktion: </w:t>
            </w:r>
          </w:p>
          <w:p w14:paraId="7FE1BA89" w14:textId="4702A48A" w:rsidR="0057131B" w:rsidRDefault="00355A1C">
            <w:pPr>
              <w:pStyle w:val="P68B1DB1-ListParagraph37"/>
              <w:numPr>
                <w:ilvl w:val="0"/>
                <w:numId w:val="275"/>
              </w:numPr>
              <w:jc w:val="both"/>
            </w:pPr>
            <w:r>
              <w:t xml:space="preserve">inga större hinder, </w:t>
            </w:r>
          </w:p>
          <w:p w14:paraId="7FE1BA8A" w14:textId="10C89312" w:rsidR="0057131B" w:rsidRDefault="00355A1C">
            <w:pPr>
              <w:pStyle w:val="P68B1DB1-ListParagraph37"/>
              <w:numPr>
                <w:ilvl w:val="0"/>
                <w:numId w:val="275"/>
              </w:numPr>
              <w:jc w:val="both"/>
            </w:pPr>
            <w:r>
              <w:t xml:space="preserve">vissa hinder, </w:t>
            </w:r>
          </w:p>
          <w:p w14:paraId="7FE1BA8B" w14:textId="4451FB21" w:rsidR="0057131B" w:rsidRDefault="00355A1C">
            <w:pPr>
              <w:pStyle w:val="P68B1DB1-ListParagraph37"/>
              <w:numPr>
                <w:ilvl w:val="0"/>
                <w:numId w:val="275"/>
              </w:numPr>
              <w:jc w:val="both"/>
            </w:pPr>
            <w:r>
              <w:t xml:space="preserve">betydande (men överlevnadsbara) barriärer. </w:t>
            </w:r>
          </w:p>
          <w:p w14:paraId="7FE1BA8D" w14:textId="48C5B820" w:rsidR="0057131B" w:rsidRDefault="00355A1C">
            <w:pPr>
              <w:pStyle w:val="P68B1DB1-ListParagraph37"/>
              <w:numPr>
                <w:ilvl w:val="0"/>
                <w:numId w:val="275"/>
              </w:numPr>
              <w:jc w:val="both"/>
              <w:rPr>
                <w:b/>
                <w:bCs/>
              </w:rPr>
            </w:pPr>
            <w:r>
              <w:t>kritiska (svårtillgängliga) barriärer.</w:t>
            </w:r>
          </w:p>
        </w:tc>
      </w:tr>
      <w:tr w:rsidR="0057131B"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57131B" w:rsidRDefault="00355A1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57131B" w:rsidRDefault="00355A1C">
            <w:pPr>
              <w:pStyle w:val="P68B1DB1-Normal35"/>
              <w:jc w:val="both"/>
              <w:rPr>
                <w:bCs/>
              </w:rPr>
            </w:pPr>
            <w:r>
              <w:t>Operativa krav för inträde eller utvidgning</w:t>
            </w:r>
          </w:p>
          <w:p w14:paraId="7FE1BA91" w14:textId="77777777" w:rsidR="0057131B" w:rsidRDefault="0057131B">
            <w:pPr>
              <w:jc w:val="both"/>
              <w:rPr>
                <w:rFonts w:ascii="Times New Roman" w:eastAsia="Times New Roman" w:hAnsi="Times New Roman" w:cs="Times New Roman"/>
                <w:b/>
                <w:bCs/>
                <w:color w:val="000000" w:themeColor="text1"/>
                <w:sz w:val="20"/>
                <w:szCs w:val="20"/>
              </w:rPr>
            </w:pPr>
          </w:p>
          <w:p w14:paraId="7FE1BA92" w14:textId="77777777" w:rsidR="0057131B" w:rsidRDefault="00355A1C">
            <w:pPr>
              <w:pStyle w:val="P68B1DB1-Normal36"/>
              <w:jc w:val="both"/>
            </w:pPr>
            <w:r>
              <w:t xml:space="preserve">Organisatoriska, tekniska och infrastrukturmässiga krav för konkurrenter att erbjuda tjänsten. För att erbjuda tjänster med anknytning till (under) funktionen måste leverantörerna investera i (ny eller ytterligare) infrastruktur – eller ändra sina organisationer. Bedöma marknadens förmåga att absorbera den aktuella verksamheten, t.ex. när det gäller kapitalkrav. För utlåning, ta hänsyn till tillhörande riskvägda tillgångar (rapporteras i fråga 17). </w:t>
            </w:r>
          </w:p>
          <w:p w14:paraId="7FE1BA93" w14:textId="77777777" w:rsidR="0057131B" w:rsidRDefault="00355A1C">
            <w:pPr>
              <w:pStyle w:val="P68B1DB1-Normal36"/>
              <w:jc w:val="both"/>
            </w:pPr>
            <w:r>
              <w:t xml:space="preserve">Denna indikator ska rapporteras i undergrupper, som är desamma för varje underfunktion: </w:t>
            </w:r>
          </w:p>
          <w:p w14:paraId="7FE1BA94" w14:textId="2E9A8492" w:rsidR="0057131B" w:rsidRDefault="00355A1C">
            <w:pPr>
              <w:pStyle w:val="P68B1DB1-ListParagraph37"/>
              <w:numPr>
                <w:ilvl w:val="0"/>
                <w:numId w:val="278"/>
              </w:numPr>
              <w:jc w:val="both"/>
            </w:pPr>
            <w:r>
              <w:t xml:space="preserve">inga större krav, </w:t>
            </w:r>
          </w:p>
          <w:p w14:paraId="7FE1BA95" w14:textId="2C17AA9E" w:rsidR="0057131B" w:rsidRDefault="00355A1C">
            <w:pPr>
              <w:pStyle w:val="P68B1DB1-ListParagraph37"/>
              <w:numPr>
                <w:ilvl w:val="0"/>
                <w:numId w:val="278"/>
              </w:numPr>
              <w:jc w:val="both"/>
            </w:pPr>
            <w:r>
              <w:t xml:space="preserve">vissa krav, </w:t>
            </w:r>
          </w:p>
          <w:p w14:paraId="7FE1BA96" w14:textId="3197B4B5" w:rsidR="0057131B" w:rsidRDefault="00355A1C">
            <w:pPr>
              <w:pStyle w:val="P68B1DB1-ListParagraph37"/>
              <w:numPr>
                <w:ilvl w:val="0"/>
                <w:numId w:val="278"/>
              </w:numPr>
              <w:jc w:val="both"/>
            </w:pPr>
            <w:r>
              <w:t xml:space="preserve">väsentliga (men översättbara) krav. </w:t>
            </w:r>
          </w:p>
          <w:p w14:paraId="7FE1BA97" w14:textId="64928FFB" w:rsidR="0057131B" w:rsidRDefault="00355A1C">
            <w:pPr>
              <w:pStyle w:val="P68B1DB1-ListParagraph37"/>
              <w:numPr>
                <w:ilvl w:val="0"/>
                <w:numId w:val="278"/>
              </w:numPr>
              <w:jc w:val="both"/>
            </w:pPr>
            <w:r>
              <w:t>kritiska (svåra att uppfylla) krav.</w:t>
            </w:r>
          </w:p>
          <w:p w14:paraId="7FE1BA9D" w14:textId="77777777" w:rsidR="0057131B" w:rsidRDefault="0057131B">
            <w:pPr>
              <w:pStyle w:val="ListParagraph"/>
              <w:jc w:val="both"/>
              <w:rPr>
                <w:rFonts w:ascii="Times New Roman" w:hAnsi="Times New Roman"/>
                <w:b/>
                <w:bCs/>
                <w:color w:val="000000" w:themeColor="text1"/>
                <w:sz w:val="20"/>
                <w:szCs w:val="20"/>
              </w:rPr>
            </w:pPr>
          </w:p>
        </w:tc>
      </w:tr>
      <w:tr w:rsidR="0057131B"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57131B" w:rsidRDefault="00355A1C">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57131B" w:rsidRDefault="00355A1C">
            <w:pPr>
              <w:pStyle w:val="P68B1DB1-TableParagraph14"/>
              <w:spacing w:before="108"/>
              <w:jc w:val="both"/>
              <w:rPr>
                <w:bCs/>
              </w:rPr>
            </w:pPr>
            <w:r>
              <w:t>Kapacitet för onboarding – Antal ansökningar från nya kunder under 1 arbetsdagar (antal konton)</w:t>
            </w:r>
          </w:p>
          <w:p w14:paraId="7FE1BAA4" w14:textId="404DC9AB" w:rsidR="0057131B" w:rsidRDefault="00355A1C">
            <w:pPr>
              <w:pStyle w:val="P68B1DB1-TableParagraph13"/>
              <w:spacing w:before="108"/>
              <w:jc w:val="both"/>
            </w:pPr>
            <w:r>
              <w:t>Instituten uppmanas att lämna in det högsta antalet ansökningar om institutet har validerat begäran om en banktjänst.</w:t>
            </w:r>
          </w:p>
          <w:p w14:paraId="1312271B" w14:textId="5ECEF0C0" w:rsidR="0057131B" w:rsidRDefault="00355A1C">
            <w:pPr>
              <w:pStyle w:val="P68B1DB1-TableParagraph13"/>
              <w:spacing w:before="108"/>
              <w:jc w:val="both"/>
            </w:pPr>
            <w:r>
              <w:t>Kapaciteten för introduktion i antal nya konton uttrycks över 1 arbetsdagar.</w:t>
            </w:r>
          </w:p>
          <w:p w14:paraId="7FE1BAA8" w14:textId="06166E4A" w:rsidR="0057131B" w:rsidRDefault="00355A1C">
            <w:pPr>
              <w:pStyle w:val="P68B1DB1-TableParagraph13"/>
              <w:spacing w:before="108"/>
              <w:jc w:val="both"/>
              <w:rPr>
                <w:b/>
                <w:bCs/>
              </w:rPr>
            </w:pPr>
            <w:r>
              <w:t>Instituten förväntas ta hänsyn till tidsramen för introduktion av nya kunder eftersom en ny kund har ansökt om en banktjänst.</w:t>
            </w:r>
          </w:p>
        </w:tc>
      </w:tr>
      <w:tr w:rsidR="0057131B"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57131B" w:rsidRDefault="00355A1C">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57131B" w:rsidRDefault="00355A1C">
            <w:pPr>
              <w:pStyle w:val="P68B1DB1-TableParagraph14"/>
              <w:spacing w:before="108"/>
              <w:jc w:val="both"/>
              <w:rPr>
                <w:bCs/>
              </w:rPr>
            </w:pPr>
            <w:r>
              <w:t>Kriticitetsbedömning</w:t>
            </w:r>
          </w:p>
        </w:tc>
      </w:tr>
      <w:tr w:rsidR="0057131B"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57131B" w:rsidRDefault="00355A1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57131B" w:rsidRDefault="00355A1C">
            <w:pPr>
              <w:pStyle w:val="P68B1DB1-TableParagraph14"/>
              <w:spacing w:before="108"/>
              <w:jc w:val="both"/>
              <w:rPr>
                <w:bCs/>
              </w:rPr>
            </w:pPr>
            <w:r>
              <w:t xml:space="preserve">Verkningar på marknaden </w:t>
            </w:r>
          </w:p>
          <w:p w14:paraId="7FE1BAAF" w14:textId="77777777" w:rsidR="0057131B" w:rsidRDefault="00355A1C">
            <w:pPr>
              <w:pStyle w:val="P68B1DB1-TableParagraph13"/>
              <w:spacing w:before="108"/>
              <w:jc w:val="both"/>
            </w:pPr>
            <w:r>
              <w:t>Förväntad inverkan ifall tredjeparters, finansmarknadens eller realekonomins funktion plötsligt upphör, med beaktande av storlek, marknadsandel i landet, extern och intern sammanlänkning, komplexitet samt institutets gränsöverskridande verksamhet.</w:t>
            </w:r>
          </w:p>
          <w:p w14:paraId="7FE1BAB0" w14:textId="765F6584" w:rsidR="0057131B" w:rsidRDefault="00355A1C">
            <w:pPr>
              <w:pStyle w:val="P68B1DB1-TableParagraph13"/>
              <w:spacing w:before="108"/>
              <w:jc w:val="both"/>
            </w:pPr>
            <w:r>
              <w:t>Denna bedömning ska uttryckas kvalitativt som ”hög”, ”medelhög”, ”medelhög” eller ”låg”.</w:t>
            </w:r>
          </w:p>
          <w:p w14:paraId="7FE1BAB1" w14:textId="14727254" w:rsidR="0057131B" w:rsidRDefault="00355A1C">
            <w:pPr>
              <w:pStyle w:val="P68B1DB1-TableParagraph13"/>
              <w:spacing w:before="108"/>
              <w:jc w:val="both"/>
              <w:rPr>
                <w:b/>
                <w:bCs/>
              </w:rPr>
            </w:pPr>
            <w:r>
              <w:t xml:space="preserve">”Hög” ska väljas om nedläggningen har en allvarlig påverkan på den nationella marknaden, </w:t>
            </w:r>
            <w:r>
              <w:lastRenderedPageBreak/>
              <w:t>”Medium-High” om påverkan är betydelsefull, ”Medium-Low” om påverkan är väsentlig men begränsad och ”Låg” om påverkan är ringa.</w:t>
            </w:r>
          </w:p>
        </w:tc>
      </w:tr>
      <w:tr w:rsidR="0057131B"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57131B" w:rsidRDefault="00355A1C">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57131B" w:rsidRDefault="00355A1C">
            <w:pPr>
              <w:pStyle w:val="P68B1DB1-TableParagraph14"/>
              <w:spacing w:before="108"/>
              <w:jc w:val="both"/>
              <w:rPr>
                <w:bCs/>
              </w:rPr>
            </w:pPr>
            <w:r>
              <w:t>Utbytbarhet</w:t>
            </w:r>
          </w:p>
          <w:p w14:paraId="7FE1BAB5" w14:textId="77777777" w:rsidR="0057131B" w:rsidRDefault="00355A1C">
            <w:pPr>
              <w:pStyle w:val="P68B1DB1-TableParagraph13"/>
              <w:spacing w:before="108"/>
              <w:jc w:val="both"/>
            </w:pPr>
            <w:r>
              <w:t>Artikel 6.3 i delegerad förordning (EU) 2016/778.</w:t>
            </w:r>
          </w:p>
          <w:p w14:paraId="7FE1BAB6" w14:textId="77777777" w:rsidR="0057131B" w:rsidRDefault="00355A1C">
            <w:pPr>
              <w:pStyle w:val="P68B1DB1-TableParagraph13"/>
              <w:spacing w:before="108"/>
              <w:jc w:val="both"/>
            </w:pPr>
            <w:r>
              <w:t>En funktion ska anses vara utbytbar om den kan ersättas på ett acceptabelt sätt och inom rimlig tid så att systemproblem för realekonomin och finansmarknaden kan undvikas. Följande ska beaktas:</w:t>
            </w:r>
          </w:p>
          <w:p w14:paraId="7FE1BAB7" w14:textId="77777777" w:rsidR="0057131B" w:rsidRDefault="00355A1C">
            <w:pPr>
              <w:pStyle w:val="P68B1DB1-TableParagraph13"/>
              <w:spacing w:before="108"/>
              <w:jc w:val="both"/>
            </w:pPr>
            <w:r>
              <w:t xml:space="preserve">(a) Funktionens marknadsstruktur och tillgången till ersättningsleverantörer. </w:t>
            </w:r>
          </w:p>
          <w:p w14:paraId="7FE1BAB8" w14:textId="77777777" w:rsidR="0057131B" w:rsidRDefault="00355A1C">
            <w:pPr>
              <w:pStyle w:val="P68B1DB1-TableParagraph13"/>
              <w:spacing w:before="108"/>
              <w:jc w:val="both"/>
            </w:pPr>
            <w:r>
              <w:t xml:space="preserve">(b) andra leverantörers förmåga i fråga om kapacitet, krav för att kunna utföra funktionen och eventuella hinder för marknadsinträde eller expansion. </w:t>
            </w:r>
          </w:p>
          <w:p w14:paraId="7FE1BAB9" w14:textId="77777777" w:rsidR="0057131B" w:rsidRDefault="00355A1C">
            <w:pPr>
              <w:pStyle w:val="P68B1DB1-TableParagraph13"/>
              <w:spacing w:before="108"/>
              <w:jc w:val="both"/>
            </w:pPr>
            <w:r>
              <w:t xml:space="preserve">(c) Incitament för andra leverantörer att ta över denna verksamhet. </w:t>
            </w:r>
          </w:p>
          <w:p w14:paraId="7FE1BABA" w14:textId="77777777" w:rsidR="0057131B" w:rsidRDefault="00355A1C">
            <w:pPr>
              <w:pStyle w:val="P68B1DB1-TableParagraph13"/>
              <w:spacing w:before="108"/>
              <w:jc w:val="both"/>
            </w:pPr>
            <w:r>
              <w:t>(d) den tid som krävs för att de som använder tjänsten ska kunna gå över till den nya leverantören och kostnaderna för denna övergång, den tid som krävs för att andra konkurrenter ska kunna ta över funktionerna, och huruvida den tidsramen är tillräcklig för att förhindra betydande störningar, beroende på typen av tjänst.</w:t>
            </w:r>
          </w:p>
          <w:p w14:paraId="7FE1BABB" w14:textId="48F2EE45" w:rsidR="0057131B" w:rsidRDefault="00355A1C">
            <w:pPr>
              <w:pStyle w:val="P68B1DB1-TableParagraph13"/>
              <w:spacing w:before="108"/>
              <w:jc w:val="both"/>
            </w:pPr>
            <w:r>
              <w:t xml:space="preserve">Ge en övergripande bedömning av den förväntade graden av utbytbarhet för varje funktion, med beaktande av de olika dimensioner som tidigare bedömts (marknadsandel, marknadskoncentration, tid för substitution, rättsliga hinder och operativa krav för inträde eller expansion). Denna bedömning ska uttryckas kvalitativt som ”hög”, ”medelhög”, ”medelhög” eller ”låg”. </w:t>
            </w:r>
          </w:p>
          <w:p w14:paraId="7FE1BABC" w14:textId="47D04A62" w:rsidR="0057131B" w:rsidRDefault="00355A1C">
            <w:pPr>
              <w:pStyle w:val="P68B1DB1-TableParagraph13"/>
              <w:spacing w:before="108"/>
              <w:jc w:val="both"/>
            </w:pPr>
            <w:r>
              <w:t>”H” ska väljas om en funktion enkelt kan tillhandahållas av en annan bank under jämförbara villkor och inom rimlig tid,</w:t>
            </w:r>
          </w:p>
          <w:p w14:paraId="7FE1BABD" w14:textId="7FFD9091" w:rsidR="0057131B" w:rsidRDefault="00355A1C">
            <w:pPr>
              <w:pStyle w:val="P68B1DB1-TableParagraph13"/>
              <w:spacing w:before="108"/>
              <w:jc w:val="both"/>
            </w:pPr>
            <w:r>
              <w:t xml:space="preserve">”Låg” om en funktion inte kan ersättas enkelt eller snabbt, </w:t>
            </w:r>
          </w:p>
          <w:p w14:paraId="7FE1BABE" w14:textId="29287980" w:rsidR="0057131B" w:rsidRDefault="00355A1C">
            <w:pPr>
              <w:pStyle w:val="P68B1DB1-TableParagraph13"/>
              <w:spacing w:before="108"/>
              <w:jc w:val="both"/>
            </w:pPr>
            <w:r>
              <w:t>”Medium-High” och ”Medium-Low” för fall däremellan med beaktande av olika dimensioner (t.ex. marknadsandel, marknadskoncentration, tid fram till bytet, samt rättsliga hinder och operationella krav för marknadsinträde eller expansion).</w:t>
            </w:r>
          </w:p>
        </w:tc>
      </w:tr>
      <w:tr w:rsidR="0057131B"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57131B" w:rsidRDefault="00355A1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57131B" w:rsidRDefault="00355A1C">
            <w:pPr>
              <w:pStyle w:val="P68B1DB1-TableParagraph14"/>
              <w:spacing w:before="108"/>
              <w:jc w:val="both"/>
              <w:rPr>
                <w:bCs/>
              </w:rPr>
            </w:pPr>
            <w:r>
              <w:t>Kritisk funktion</w:t>
            </w:r>
          </w:p>
          <w:p w14:paraId="7FE1BAC2" w14:textId="77777777" w:rsidR="0057131B" w:rsidRDefault="00355A1C">
            <w:pPr>
              <w:pStyle w:val="P68B1DB1-TableParagraph13"/>
              <w:spacing w:before="108"/>
              <w:jc w:val="both"/>
            </w:pPr>
            <w:r>
              <w:t>I denna kolumn ska redovisas huruvida den ekonomiska funktionen kan anses vara kritisk på ifrågavarande lands marknad, detta med beaktande av den av institutionen utförda analys av påverkan och ersättbarhet.</w:t>
            </w:r>
          </w:p>
          <w:p w14:paraId="7FE1BAC3" w14:textId="77777777" w:rsidR="0057131B" w:rsidRDefault="00355A1C">
            <w:pPr>
              <w:pStyle w:val="P68B1DB1-TableParagraph13"/>
              <w:spacing w:before="108"/>
              <w:jc w:val="both"/>
            </w:pPr>
            <w:r>
              <w:t>Redovisa ”ja” eller ”nej”.</w:t>
            </w:r>
          </w:p>
        </w:tc>
      </w:tr>
      <w:tr w:rsidR="0057131B"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57131B" w:rsidRDefault="00355A1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57131B" w:rsidRDefault="00355A1C">
            <w:pPr>
              <w:pStyle w:val="P68B1DB1-TableParagraph14"/>
              <w:spacing w:before="108"/>
              <w:jc w:val="both"/>
              <w:rPr>
                <w:bCs/>
              </w:rPr>
            </w:pPr>
            <w:r>
              <w:t>Synpunkter från koncernen</w:t>
            </w:r>
          </w:p>
          <w:p w14:paraId="7FE1BAC7" w14:textId="77777777" w:rsidR="0057131B" w:rsidRDefault="00355A1C">
            <w:pPr>
              <w:pStyle w:val="P68B1DB1-TableParagraph13"/>
              <w:spacing w:before="108"/>
              <w:jc w:val="both"/>
            </w:pPr>
            <w:r>
              <w:t>Detta fält gör det möjligt för det rapporterande företaget att förklara eventuella antaganden som används för att bedöma kritikaliteten hos den eller de rapporterade funktionerna.</w:t>
            </w:r>
          </w:p>
        </w:tc>
      </w:tr>
    </w:tbl>
    <w:p w14:paraId="7FE1BAC9" w14:textId="77777777" w:rsidR="0057131B" w:rsidRDefault="0057131B">
      <w:pPr>
        <w:rPr>
          <w:rFonts w:ascii="Times New Roman" w:hAnsi="Times New Roman" w:cs="Times New Roman"/>
          <w:color w:val="000000" w:themeColor="text1"/>
          <w:sz w:val="20"/>
          <w:szCs w:val="20"/>
        </w:rPr>
      </w:pPr>
    </w:p>
    <w:p w14:paraId="7FE1BACA" w14:textId="77777777" w:rsidR="0057131B" w:rsidRDefault="0057131B">
      <w:pPr>
        <w:rPr>
          <w:rFonts w:ascii="Times New Roman" w:hAnsi="Times New Roman" w:cs="Times New Roman"/>
          <w:color w:val="000000" w:themeColor="text1"/>
          <w:sz w:val="20"/>
          <w:szCs w:val="20"/>
        </w:rPr>
      </w:pPr>
    </w:p>
    <w:p w14:paraId="7FE1BACB" w14:textId="0F17916B" w:rsidR="0057131B" w:rsidRDefault="00355A1C">
      <w:pPr>
        <w:pStyle w:val="P68B1DB1-Instructionsberschrift25"/>
        <w:numPr>
          <w:ilvl w:val="1"/>
          <w:numId w:val="49"/>
        </w:numPr>
        <w:ind w:left="357" w:hanging="357"/>
      </w:pPr>
      <w:bookmarkStart w:id="115" w:name="_Toc210901294"/>
      <w:r>
        <w:t xml:space="preserve">Z 07.01.2 FUNC 1 </w:t>
      </w:r>
      <w:r w:rsidR="005D5AB8" w:rsidRPr="00CE3480">
        <w:t>Utlåning</w:t>
      </w:r>
      <w:bookmarkEnd w:id="115"/>
    </w:p>
    <w:p w14:paraId="7FE1BAD5" w14:textId="77777777" w:rsidR="0057131B" w:rsidRDefault="0057131B">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7131B"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57131B" w:rsidRDefault="00355A1C">
            <w:pPr>
              <w:pStyle w:val="P68B1DB1-TableParagraph17"/>
              <w:spacing w:before="108"/>
              <w:ind w:left="85"/>
              <w:jc w:val="both"/>
            </w:pPr>
            <w:bookmarkStart w:id="116" w:name="_Hlk162013303"/>
            <w:r>
              <w:t>Kolumner</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57131B" w:rsidRDefault="00355A1C">
            <w:pPr>
              <w:pStyle w:val="P68B1DB1-TableParagraph17"/>
              <w:spacing w:before="108"/>
              <w:ind w:left="85" w:right="1"/>
              <w:jc w:val="both"/>
            </w:pPr>
            <w:r>
              <w:t>Anvisningar</w:t>
            </w:r>
          </w:p>
        </w:tc>
      </w:tr>
      <w:tr w:rsidR="0057131B"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57131B" w:rsidRDefault="00355A1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57131B" w:rsidRDefault="00355A1C">
            <w:pPr>
              <w:pStyle w:val="P68B1DB1-TableParagraph14"/>
              <w:spacing w:before="108"/>
              <w:ind w:left="85"/>
              <w:jc w:val="both"/>
              <w:rPr>
                <w:bCs/>
              </w:rPr>
            </w:pPr>
            <w:r>
              <w:t>Beskrivning av ekonomisk funktion</w:t>
            </w:r>
          </w:p>
          <w:p w14:paraId="7FE1BADB" w14:textId="53DD1C1F" w:rsidR="0057131B" w:rsidRDefault="00355A1C">
            <w:pPr>
              <w:pStyle w:val="P68B1DB1-TableParagraph17"/>
              <w:spacing w:before="108"/>
              <w:ind w:left="85"/>
            </w:pPr>
            <w:r>
              <w:t xml:space="preserve">Om den ekonomiska funktionen är av typen ”Annan” (Z 07.01.2 FUNC 1 </w:t>
            </w:r>
            <w:r w:rsidR="005D5AB8">
              <w:t xml:space="preserve">Utlåning </w:t>
            </w:r>
            <w:r>
              <w:t xml:space="preserve">r0130 till r0150) ska en beskrivning av denna funktion tillhandahållas. </w:t>
            </w:r>
          </w:p>
        </w:tc>
      </w:tr>
      <w:tr w:rsidR="0057131B"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57131B" w:rsidRDefault="00355A1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57131B" w:rsidRDefault="00355A1C">
            <w:pPr>
              <w:pStyle w:val="P68B1DB1-TableParagraph14"/>
              <w:spacing w:before="108"/>
              <w:ind w:left="85"/>
              <w:jc w:val="both"/>
              <w:rPr>
                <w:bCs/>
              </w:rPr>
            </w:pPr>
            <w:r>
              <w:t xml:space="preserve">Marknadsandel </w:t>
            </w:r>
          </w:p>
          <w:p w14:paraId="7FE1BADF" w14:textId="4B4AE08B" w:rsidR="0057131B" w:rsidRDefault="00355A1C">
            <w:pPr>
              <w:pStyle w:val="P68B1DB1-TableParagraph17"/>
              <w:spacing w:before="108"/>
              <w:ind w:left="85"/>
            </w:pPr>
            <w:r>
              <w:lastRenderedPageBreak/>
              <w:t>Institutets eller koncernens förväntade marknadsandel för den ekonomiska funktionen i respektive land eller geografisk område. En procentandel av hela marknaden i form av utstående värde.</w:t>
            </w:r>
          </w:p>
        </w:tc>
      </w:tr>
      <w:tr w:rsidR="0057131B"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57131B" w:rsidRDefault="00355A1C">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57131B" w:rsidRDefault="00355A1C">
            <w:pPr>
              <w:pStyle w:val="P68B1DB1-TableParagraph14"/>
              <w:spacing w:before="108"/>
              <w:rPr>
                <w:bCs/>
              </w:rPr>
            </w:pPr>
            <w:r>
              <w:t>Utestående värde</w:t>
            </w:r>
          </w:p>
          <w:p w14:paraId="7FE1BAE3" w14:textId="77777777" w:rsidR="0057131B" w:rsidRDefault="00355A1C">
            <w:pPr>
              <w:pStyle w:val="P68B1DB1-TableParagraph17"/>
              <w:spacing w:before="108"/>
            </w:pPr>
            <w:r>
              <w:t>Redovisat bruttovärde för säkra och osäkra lån och förskott (inklusive upplupen ränta).</w:t>
            </w:r>
          </w:p>
          <w:p w14:paraId="7FE1BAE4" w14:textId="77777777" w:rsidR="0057131B" w:rsidRDefault="00355A1C">
            <w:pPr>
              <w:pStyle w:val="P68B1DB1-TableParagraph17"/>
              <w:spacing w:before="108"/>
            </w:pPr>
            <w:r>
              <w:t>ränta). Utlåningslager tas som en fullmakt för förväntad framtida utlåning.</w:t>
            </w:r>
          </w:p>
        </w:tc>
      </w:tr>
      <w:tr w:rsidR="0057131B"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57131B" w:rsidRDefault="00355A1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57131B" w:rsidRDefault="00355A1C">
            <w:pPr>
              <w:pStyle w:val="P68B1DB1-TableParagraph14"/>
              <w:spacing w:before="108"/>
              <w:rPr>
                <w:bCs/>
              </w:rPr>
            </w:pPr>
            <w:r>
              <w:t>Antal kunder</w:t>
            </w:r>
          </w:p>
          <w:p w14:paraId="7FE1BAE8" w14:textId="77777777" w:rsidR="0057131B" w:rsidRDefault="00355A1C">
            <w:pPr>
              <w:pStyle w:val="P68B1DB1-TableParagraph17"/>
              <w:spacing w:before="108"/>
            </w:pPr>
            <w:r>
              <w:t>Totalt antal kunder som fick de värden som rapporterats i c0030-värde</w:t>
            </w:r>
          </w:p>
          <w:p w14:paraId="7FE1BAE9" w14:textId="77777777" w:rsidR="0057131B" w:rsidRDefault="00355A1C">
            <w:pPr>
              <w:pStyle w:val="P68B1DB1-TableParagraph17"/>
              <w:spacing w:before="108"/>
            </w:pPr>
            <w:r>
              <w:t>utestående ”. En kund som använder flera låneprodukter/konton räknas en gång.</w:t>
            </w:r>
          </w:p>
          <w:p w14:paraId="7FE1BAEA" w14:textId="77777777" w:rsidR="0057131B" w:rsidRDefault="00355A1C">
            <w:pPr>
              <w:pStyle w:val="P68B1DB1-TableParagraph17"/>
              <w:spacing w:before="108"/>
            </w:pPr>
            <w:r>
              <w:t>endast en gång.</w:t>
            </w:r>
          </w:p>
        </w:tc>
      </w:tr>
      <w:tr w:rsidR="0057131B"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57131B" w:rsidRDefault="00355A1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57131B" w:rsidRDefault="00355A1C">
            <w:pPr>
              <w:pStyle w:val="P68B1DB1-TableParagraph14"/>
              <w:spacing w:before="108"/>
              <w:ind w:left="85"/>
              <w:jc w:val="both"/>
              <w:rPr>
                <w:bCs/>
              </w:rPr>
            </w:pPr>
            <w:r>
              <w:t>Utestående värde – gränsöverskridande värde</w:t>
            </w:r>
          </w:p>
          <w:p w14:paraId="7FE1BAF3" w14:textId="5BF86183" w:rsidR="0057131B" w:rsidRDefault="00355A1C">
            <w:pPr>
              <w:pStyle w:val="P68B1DB1-TableParagraph13"/>
              <w:spacing w:before="108"/>
              <w:ind w:left="85"/>
              <w:jc w:val="both"/>
            </w:pPr>
            <w:r>
              <w:t>Utestående värde (c0030) av lån till utländska aktörer, se Inlåning (c0060) ”Gränsöverskridande</w:t>
            </w:r>
          </w:p>
          <w:p w14:paraId="7FE1BAF4" w14:textId="77777777" w:rsidR="0057131B" w:rsidRDefault="00355A1C">
            <w:pPr>
              <w:pStyle w:val="P68B1DB1-TableParagraph13"/>
              <w:spacing w:before="108"/>
              <w:ind w:left="85"/>
              <w:jc w:val="both"/>
              <w:rPr>
                <w:b/>
                <w:bCs/>
              </w:rPr>
            </w:pPr>
            <w:r>
              <w:t>värde ”.</w:t>
            </w:r>
          </w:p>
        </w:tc>
      </w:tr>
      <w:bookmarkEnd w:id="116"/>
      <w:tr w:rsidR="0057131B"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57131B" w:rsidRDefault="00355A1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57131B" w:rsidRDefault="00355A1C">
            <w:pPr>
              <w:pStyle w:val="P68B1DB1-TableParagraph14"/>
              <w:spacing w:before="108"/>
              <w:jc w:val="both"/>
              <w:rPr>
                <w:bCs/>
              </w:rPr>
            </w:pPr>
            <w:r>
              <w:t>Konsekvensanalyser och analyser av godtagbarhet</w:t>
            </w:r>
          </w:p>
          <w:p w14:paraId="7FE1BAFB" w14:textId="77777777" w:rsidR="0057131B" w:rsidRDefault="00355A1C">
            <w:pPr>
              <w:pStyle w:val="P68B1DB1-TableParagraph13"/>
              <w:spacing w:before="108"/>
            </w:pPr>
            <w:r>
              <w:t>Bedömningskriterierna för inverkan på tredje parter ska omfatta följande delar i enlighet med kommissionens delegerade förordning (EU) 2016/778 om kritiska funktioner:</w:t>
            </w:r>
          </w:p>
          <w:p w14:paraId="7FE1BAFC" w14:textId="77777777" w:rsidR="0057131B" w:rsidRDefault="00355A1C">
            <w:pPr>
              <w:pStyle w:val="P68B1DB1-ListParagraph38"/>
              <w:numPr>
                <w:ilvl w:val="0"/>
                <w:numId w:val="131"/>
              </w:numPr>
              <w:spacing w:line="276" w:lineRule="auto"/>
            </w:pPr>
            <w:r>
              <w:t>Aktivitetens art och omfattning, global, nationell eller regional omfattning, antal transaktioner och deras volym; antalet kunder och motparter; antalet kunder för vilka institutet är den enda eller den huvudsakliga bankpartnern.</w:t>
            </w:r>
          </w:p>
          <w:p w14:paraId="7FE1BAFD" w14:textId="77777777" w:rsidR="0057131B" w:rsidRDefault="00355A1C">
            <w:pPr>
              <w:pStyle w:val="P68B1DB1-ListParagraph38"/>
              <w:numPr>
                <w:ilvl w:val="0"/>
                <w:numId w:val="131"/>
              </w:numPr>
              <w:spacing w:line="276" w:lineRule="auto"/>
            </w:pPr>
            <w:r>
              <w:t>Institutets betydelse på lokal, regional, nationell eller europeisk nivå, beroende på vad som är relevant för den berörda marknaden. Institutets betydelse kan bedömas på grundval av marknadsandel, grad av sammanlänkning, komplexitet och gränsöverskridande verksamhet.</w:t>
            </w:r>
          </w:p>
          <w:p w14:paraId="7FE1BAFE" w14:textId="77777777" w:rsidR="0057131B" w:rsidRDefault="00355A1C">
            <w:pPr>
              <w:pStyle w:val="P68B1DB1-ListParagraph38"/>
              <w:numPr>
                <w:ilvl w:val="0"/>
                <w:numId w:val="131"/>
              </w:numPr>
              <w:spacing w:line="276" w:lineRule="auto"/>
            </w:pPr>
            <w:r>
              <w:t xml:space="preserve">Typen av kunder och intressenter som påverkas av funktionen, till exempel, men inte begränsat till, privatkunder, företagskunder, interbankkunder, centrala clearingorganisationer och offentliga organ. </w:t>
            </w:r>
          </w:p>
          <w:p w14:paraId="7FE1BAFF" w14:textId="77777777" w:rsidR="0057131B" w:rsidRDefault="00355A1C">
            <w:pPr>
              <w:pStyle w:val="P68B1DB1-ListParagraph38"/>
              <w:numPr>
                <w:ilvl w:val="0"/>
                <w:numId w:val="131"/>
              </w:numPr>
              <w:spacing w:line="276" w:lineRule="auto"/>
            </w:pPr>
            <w:r>
              <w:t>Den potentiella störning som drabbar marknader, infrastruktur, kunder och offentliga tjänster. Bedömningen kan särskilt innefatta effekten på de berörda marknadernas likviditet, påverkan och vidd av störningen för kundverksamheten, och kortfristiga likviditetsbehov; graden av märkbarhet hos motparter, kunder och allmänheten; kundernas reaktionsförmåga och reaktionshastighet; betydelsen för andra marknader; påverkan på en annan marknads likviditet, verksamhet och struktur; påverkan på andra motparter som är anknuta till de viktigaste kunderna och funktionens sammanlänkning med andra tjänster.</w:t>
            </w:r>
          </w:p>
          <w:p w14:paraId="7FE1BB00"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57131B" w:rsidRDefault="00355A1C">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57131B" w:rsidRDefault="00355A1C">
            <w:pPr>
              <w:pStyle w:val="P68B1DB1-TableParagraph14"/>
              <w:spacing w:before="108"/>
              <w:jc w:val="both"/>
              <w:rPr>
                <w:bCs/>
              </w:rPr>
            </w:pPr>
            <w:r>
              <w:t xml:space="preserve">Natur och Reach </w:t>
            </w:r>
          </w:p>
          <w:p w14:paraId="7FE1BB04" w14:textId="77777777" w:rsidR="0057131B" w:rsidRDefault="00355A1C">
            <w:pPr>
              <w:pStyle w:val="P68B1DB1-TableParagraph13"/>
              <w:spacing w:before="108"/>
              <w:jc w:val="both"/>
            </w:pPr>
            <w:r>
              <w:t>Transaktionernas globala, nationella eller regionala räckvidd, volym och antal. antalet kunder och motparter; antalet kunder för vilka institutet är den enda eller den huvudsakliga bankpartnern.</w:t>
            </w:r>
          </w:p>
        </w:tc>
      </w:tr>
      <w:tr w:rsidR="0057131B"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57131B" w:rsidRDefault="00355A1C">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57131B" w:rsidRDefault="00355A1C">
            <w:pPr>
              <w:pStyle w:val="P68B1DB1-TableParagraph14"/>
              <w:spacing w:before="108"/>
              <w:jc w:val="both"/>
              <w:rPr>
                <w:bCs/>
              </w:rPr>
            </w:pPr>
            <w:r>
              <w:t>Storleksindikator 1</w:t>
            </w:r>
          </w:p>
          <w:p w14:paraId="50B226E0"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w:t>
            </w:r>
            <w:r>
              <w:lastRenderedPageBreak/>
              <w:t xml:space="preserve">avveckling, clearing och förvaringstjänster) eller marknadsstorlek (för kapitalmarknader och grossistfinansiering) som riktmärke för denna kvalitativa bedömning. </w:t>
            </w:r>
          </w:p>
          <w:p w14:paraId="7FE1BB08" w14:textId="658E0B92" w:rsidR="0057131B" w:rsidRDefault="0057131B">
            <w:pPr>
              <w:pStyle w:val="TableParagraph"/>
              <w:spacing w:before="108"/>
              <w:rPr>
                <w:rFonts w:ascii="Times New Roman" w:hAnsi="Times New Roman" w:cs="Times New Roman"/>
                <w:color w:val="000000" w:themeColor="text1"/>
                <w:sz w:val="20"/>
                <w:szCs w:val="20"/>
              </w:rPr>
            </w:pPr>
          </w:p>
          <w:p w14:paraId="7FE1BB09" w14:textId="199C9DE7" w:rsidR="0057131B" w:rsidRDefault="00355A1C">
            <w:pPr>
              <w:pStyle w:val="P68B1DB1-ListParagraph32"/>
              <w:numPr>
                <w:ilvl w:val="0"/>
                <w:numId w:val="130"/>
              </w:numPr>
              <w:spacing w:line="276" w:lineRule="auto"/>
            </w:pPr>
            <w:r>
              <w:t xml:space="preserve">Expertbedömning av storleken på utestående lån (c0030) ur ett EU-perspektiv </w:t>
            </w:r>
            <w:r>
              <w:rPr>
                <w:i/>
              </w:rPr>
              <w:t>[en nivå högre än den relevanta marknaden].</w:t>
            </w:r>
            <w:r>
              <w:t xml:space="preserve"> Ta även hänsyn till potentiella framtida utlåningsflöden vid bedömningen av denna storleksindikator. Du kan använda den befintliga lånestocken som ett mått på framtida utlåningsflöden, om du anser att tidigare verksamhet korrekt återspeglar den planerade utlåningen på kort till medellång sikt. </w:t>
            </w:r>
          </w:p>
          <w:p w14:paraId="7FE1BB0A" w14:textId="77777777" w:rsidR="0057131B" w:rsidRDefault="00355A1C">
            <w:pPr>
              <w:pStyle w:val="P68B1DB1-ListParagraph32"/>
              <w:numPr>
                <w:ilvl w:val="1"/>
                <w:numId w:val="127"/>
              </w:numPr>
              <w:spacing w:line="276" w:lineRule="auto"/>
            </w:pPr>
            <w:r>
              <w:t>Ur ett EU-perspektiv, hur stort tror du att värdet av utestående och beviljade lån, som ett mått på framtida utlåningsflöden, är?</w:t>
            </w:r>
          </w:p>
          <w:p w14:paraId="7FE1BB0B"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57131B" w:rsidRDefault="00355A1C">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57131B" w:rsidRDefault="00355A1C">
            <w:pPr>
              <w:pStyle w:val="P68B1DB1-TableParagraph14"/>
              <w:spacing w:before="108"/>
              <w:jc w:val="both"/>
              <w:rPr>
                <w:bCs/>
              </w:rPr>
            </w:pPr>
            <w:r>
              <w:t>Storleksindikator 2</w:t>
            </w:r>
          </w:p>
          <w:p w14:paraId="68B7FEDE"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B0F" w14:textId="40E27EAB" w:rsidR="0057131B" w:rsidRDefault="0057131B">
            <w:pPr>
              <w:pStyle w:val="TableParagraph"/>
              <w:spacing w:before="108"/>
              <w:rPr>
                <w:rFonts w:ascii="Times New Roman" w:hAnsi="Times New Roman" w:cs="Times New Roman"/>
                <w:color w:val="000000" w:themeColor="text1"/>
                <w:sz w:val="20"/>
                <w:szCs w:val="20"/>
              </w:rPr>
            </w:pPr>
          </w:p>
          <w:p w14:paraId="7FE1BB10" w14:textId="4C225025" w:rsidR="0057131B" w:rsidRDefault="00355A1C">
            <w:pPr>
              <w:pStyle w:val="P68B1DB1-ListParagraph32"/>
              <w:numPr>
                <w:ilvl w:val="0"/>
                <w:numId w:val="121"/>
              </w:numPr>
              <w:spacing w:line="276" w:lineRule="auto"/>
            </w:pPr>
            <w:r>
              <w:t xml:space="preserve">Expertbedömning av </w:t>
            </w:r>
            <w:r>
              <w:rPr>
                <w:b/>
              </w:rPr>
              <w:t>antalet</w:t>
            </w:r>
            <w:r>
              <w:t xml:space="preserve"> kunder (c0040) ur ett </w:t>
            </w:r>
            <w:r>
              <w:rPr>
                <w:b/>
              </w:rPr>
              <w:t>nationellt</w:t>
            </w:r>
            <w:r>
              <w:t xml:space="preserve"> perspektiv </w:t>
            </w:r>
            <w:r>
              <w:rPr>
                <w:i/>
              </w:rPr>
              <w:t>[på den relevanta marknaden]</w:t>
            </w:r>
            <w:r>
              <w:t>:</w:t>
            </w:r>
          </w:p>
          <w:p w14:paraId="7FE1BB11" w14:textId="77777777" w:rsidR="0057131B" w:rsidRDefault="00355A1C">
            <w:pPr>
              <w:pStyle w:val="P68B1DB1-ListParagraph32"/>
              <w:numPr>
                <w:ilvl w:val="1"/>
                <w:numId w:val="121"/>
              </w:numPr>
              <w:spacing w:line="276" w:lineRule="auto"/>
            </w:pPr>
            <w:r>
              <w:t>Hur stort uppskattas institutets totala antal kunder ur ett nationellt perspektiv?</w:t>
            </w:r>
          </w:p>
          <w:p w14:paraId="7FE1BB17" w14:textId="77777777" w:rsidR="0057131B" w:rsidRDefault="0057131B">
            <w:pPr>
              <w:rPr>
                <w:rFonts w:ascii="Times New Roman" w:hAnsi="Times New Roman"/>
                <w:color w:val="000000" w:themeColor="text1"/>
                <w:sz w:val="20"/>
                <w:szCs w:val="20"/>
              </w:rPr>
            </w:pPr>
          </w:p>
        </w:tc>
      </w:tr>
      <w:tr w:rsidR="0057131B"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57131B" w:rsidRDefault="00355A1C">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57131B" w:rsidRDefault="00355A1C">
            <w:pPr>
              <w:pStyle w:val="P68B1DB1-TableParagraph14"/>
              <w:spacing w:before="108"/>
              <w:jc w:val="both"/>
              <w:rPr>
                <w:bCs/>
              </w:rPr>
            </w:pPr>
            <w:r>
              <w:t>Indikator för gränsöverskridande verksamhet</w:t>
            </w:r>
          </w:p>
          <w:p w14:paraId="7FE1BB1B" w14:textId="77777777" w:rsidR="0057131B" w:rsidRDefault="00355A1C">
            <w:pPr>
              <w:pStyle w:val="P68B1DB1-TableParagraph13"/>
              <w:spacing w:before="108"/>
            </w:pPr>
            <w:r>
              <w:t>Bedöma den gränsöverskridande verksamhetens relativa betydelse för de olika ekonomiska funktionerna.</w:t>
            </w:r>
          </w:p>
          <w:p w14:paraId="7FE1BB1C" w14:textId="77777777" w:rsidR="0057131B" w:rsidRDefault="00355A1C">
            <w:pPr>
              <w:pStyle w:val="P68B1DB1-TableParagraph13"/>
              <w:spacing w:before="108"/>
            </w:pPr>
            <w:r>
              <w:t xml:space="preserve">Detta behöver inte bedömas när det gäller rapporter där den relevanta marknaden anses vara regional. </w:t>
            </w:r>
          </w:p>
          <w:p w14:paraId="7FE1BB1D" w14:textId="77777777" w:rsidR="0057131B" w:rsidRDefault="00355A1C">
            <w:pPr>
              <w:pStyle w:val="P68B1DB1-TableParagraph33"/>
              <w:spacing w:before="108"/>
              <w:jc w:val="both"/>
            </w:pPr>
            <w:r>
              <w:t xml:space="preserve">Antal EU-länder där den rapporterande enheten har en marknadsandel på över 2 % (uttryckt i värdet av utestående lån). Betänkande: </w:t>
            </w:r>
          </w:p>
          <w:p w14:paraId="7FE1BB1E" w14:textId="1382E45D" w:rsidR="0057131B" w:rsidRDefault="00355A1C">
            <w:pPr>
              <w:pStyle w:val="P68B1DB1-TableParagraph33"/>
              <w:numPr>
                <w:ilvl w:val="0"/>
                <w:numId w:val="282"/>
              </w:numPr>
              <w:spacing w:before="108"/>
              <w:jc w:val="both"/>
            </w:pPr>
            <w:r>
              <w:t xml:space="preserve">≤ 1 land. </w:t>
            </w:r>
          </w:p>
          <w:p w14:paraId="7FE1BB1F" w14:textId="1384F453" w:rsidR="0057131B" w:rsidRDefault="00355A1C">
            <w:pPr>
              <w:pStyle w:val="P68B1DB1-TableParagraph33"/>
              <w:numPr>
                <w:ilvl w:val="0"/>
                <w:numId w:val="282"/>
              </w:numPr>
              <w:spacing w:before="108"/>
              <w:jc w:val="both"/>
            </w:pPr>
            <w:r>
              <w:t xml:space="preserve">2–3 länder </w:t>
            </w:r>
          </w:p>
          <w:p w14:paraId="7FE1BB20" w14:textId="2782B087" w:rsidR="0057131B" w:rsidRDefault="00355A1C">
            <w:pPr>
              <w:pStyle w:val="P68B1DB1-TableParagraph33"/>
              <w:numPr>
                <w:ilvl w:val="0"/>
                <w:numId w:val="282"/>
              </w:numPr>
              <w:spacing w:before="108"/>
              <w:jc w:val="both"/>
            </w:pPr>
            <w:r>
              <w:t xml:space="preserve">4–5 länder. </w:t>
            </w:r>
          </w:p>
          <w:p w14:paraId="7FE1BB21" w14:textId="6E7B19E5" w:rsidR="0057131B" w:rsidRDefault="00355A1C">
            <w:pPr>
              <w:pStyle w:val="P68B1DB1-TableParagraph33"/>
              <w:numPr>
                <w:ilvl w:val="0"/>
                <w:numId w:val="282"/>
              </w:numPr>
              <w:spacing w:before="108"/>
              <w:jc w:val="both"/>
              <w:rPr>
                <w:rFonts w:cs="Times New Roman"/>
                <w:color w:val="000000" w:themeColor="text1"/>
              </w:rPr>
            </w:pPr>
            <w:r>
              <w:t>&gt; 5 länder</w:t>
            </w:r>
          </w:p>
        </w:tc>
      </w:tr>
      <w:tr w:rsidR="0057131B"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57131B" w:rsidRDefault="00355A1C">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57131B" w:rsidRDefault="00355A1C">
            <w:pPr>
              <w:pStyle w:val="P68B1DB1-TableParagraph13"/>
              <w:spacing w:before="108"/>
              <w:jc w:val="both"/>
            </w:pPr>
            <w:r>
              <w:rPr>
                <w:b/>
              </w:rPr>
              <w:t xml:space="preserve">Relevans </w:t>
            </w:r>
            <w:r>
              <w:t xml:space="preserve">— </w:t>
            </w:r>
          </w:p>
          <w:p w14:paraId="7FE1BB25" w14:textId="77777777" w:rsidR="0057131B" w:rsidRDefault="00355A1C">
            <w:pPr>
              <w:pStyle w:val="P68B1DB1-TableParagraph13"/>
              <w:spacing w:before="108"/>
              <w:jc w:val="both"/>
            </w:pPr>
            <w:r>
              <w:t>På lokal, regional, nationell eller europeisk nivå, beroende på vad som är relevant för den berörda marknaden. Institutets betydelse kan bedömas på grundval av marknadsandel, grad av sammanlänkning, komplexitet och gränsöverskridande verksamhet.</w:t>
            </w:r>
          </w:p>
          <w:p w14:paraId="7FE1BB26" w14:textId="77777777" w:rsidR="0057131B" w:rsidRDefault="00355A1C">
            <w:pPr>
              <w:pStyle w:val="P68B1DB1-TableParagraph14"/>
              <w:spacing w:before="108"/>
              <w:jc w:val="both"/>
              <w:rPr>
                <w:bCs/>
              </w:rPr>
            </w:pPr>
            <w:r>
              <w:t>Marknadsandel</w:t>
            </w:r>
          </w:p>
          <w:p w14:paraId="4A7FDA65" w14:textId="77777777" w:rsidR="0057131B" w:rsidRDefault="00355A1C">
            <w:pPr>
              <w:pStyle w:val="P68B1DB1-Normal31"/>
              <w:spacing w:line="276" w:lineRule="auto"/>
              <w:jc w:val="both"/>
            </w:pPr>
            <w:r>
              <w:t xml:space="preserve">Bedöma hur viktig den rapporterande enhetens marknadsandel är, jämfört med den nationella eller andra relevanta marknaden, enligt vad som anges i mallen. Denna bedömning uttrycks kvalitativt som </w:t>
            </w:r>
          </w:p>
          <w:p w14:paraId="25EA33C7" w14:textId="77777777" w:rsidR="0057131B" w:rsidRDefault="00355A1C">
            <w:pPr>
              <w:pStyle w:val="P68B1DB1-ListParagraph32"/>
              <w:numPr>
                <w:ilvl w:val="0"/>
                <w:numId w:val="276"/>
              </w:numPr>
              <w:spacing w:line="276" w:lineRule="auto"/>
              <w:jc w:val="both"/>
            </w:pPr>
            <w:r>
              <w:t>Hög, om marknadsandelen är stor</w:t>
            </w:r>
          </w:p>
          <w:p w14:paraId="24D12007" w14:textId="77777777" w:rsidR="0057131B" w:rsidRDefault="00355A1C">
            <w:pPr>
              <w:pStyle w:val="P68B1DB1-ListParagraph32"/>
              <w:numPr>
                <w:ilvl w:val="0"/>
                <w:numId w:val="276"/>
              </w:numPr>
              <w:spacing w:line="276" w:lineRule="auto"/>
              <w:jc w:val="both"/>
            </w:pPr>
            <w:r>
              <w:t>Medelhög, om marknadsandelen är medelhög</w:t>
            </w:r>
          </w:p>
          <w:p w14:paraId="05C67201" w14:textId="77777777" w:rsidR="0057131B" w:rsidRDefault="00355A1C">
            <w:pPr>
              <w:pStyle w:val="P68B1DB1-ListParagraph32"/>
              <w:numPr>
                <w:ilvl w:val="0"/>
                <w:numId w:val="276"/>
              </w:numPr>
              <w:spacing w:line="276" w:lineRule="auto"/>
              <w:jc w:val="both"/>
            </w:pPr>
            <w:r>
              <w:lastRenderedPageBreak/>
              <w:t xml:space="preserve">Medellåg, om marknadsandelen är liten eller </w:t>
            </w:r>
          </w:p>
          <w:p w14:paraId="29105274" w14:textId="77777777" w:rsidR="0057131B" w:rsidRDefault="00355A1C">
            <w:pPr>
              <w:pStyle w:val="P68B1DB1-ListParagraph32"/>
              <w:numPr>
                <w:ilvl w:val="0"/>
                <w:numId w:val="276"/>
              </w:numPr>
              <w:spacing w:line="276" w:lineRule="auto"/>
              <w:jc w:val="both"/>
            </w:pPr>
            <w:r>
              <w:t xml:space="preserve">Låg, om marknadsandelen är försumbar. </w:t>
            </w:r>
          </w:p>
          <w:p w14:paraId="7FE1BB2B" w14:textId="586F4387" w:rsidR="0057131B" w:rsidRDefault="0057131B">
            <w:pPr>
              <w:pStyle w:val="ListParagraph"/>
              <w:spacing w:line="276" w:lineRule="auto"/>
              <w:jc w:val="both"/>
              <w:rPr>
                <w:rFonts w:ascii="Times New Roman" w:eastAsiaTheme="minorHAnsi" w:hAnsi="Times New Roman"/>
                <w:color w:val="000000" w:themeColor="text1"/>
                <w:sz w:val="20"/>
                <w:szCs w:val="20"/>
              </w:rPr>
            </w:pPr>
          </w:p>
          <w:p w14:paraId="7FE1BB2C" w14:textId="77777777" w:rsidR="0057131B" w:rsidRDefault="00355A1C">
            <w:pPr>
              <w:pStyle w:val="P68B1DB1-TableParagraph13"/>
              <w:spacing w:before="108"/>
            </w:pPr>
            <w:r>
              <w:t xml:space="preserve">Denna bedömning tar hänsyn till marknadsstrukturen i den rapporterande enhetens land (eller annan relevant marknad) och marknadsandelar som rapporteras delvis </w:t>
            </w:r>
          </w:p>
          <w:p w14:paraId="7FE1BB2D" w14:textId="77777777" w:rsidR="0057131B" w:rsidRDefault="00355A1C">
            <w:pPr>
              <w:pStyle w:val="P68B1DB1-TableParagraph13"/>
              <w:spacing w:before="108"/>
            </w:pPr>
            <w:r>
              <w:t>2.Kvantitativa uppgifter:</w:t>
            </w:r>
          </w:p>
          <w:p w14:paraId="7FE1BB2E" w14:textId="77777777" w:rsidR="0057131B" w:rsidRDefault="00355A1C">
            <w:pPr>
              <w:pStyle w:val="P68B1DB1-ListParagraph32"/>
              <w:numPr>
                <w:ilvl w:val="0"/>
                <w:numId w:val="117"/>
              </w:numPr>
              <w:spacing w:line="276" w:lineRule="auto"/>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B2F" w14:textId="77777777" w:rsidR="0057131B" w:rsidRDefault="0057131B">
            <w:pPr>
              <w:pStyle w:val="TableParagraph"/>
              <w:spacing w:before="108"/>
              <w:rPr>
                <w:rFonts w:ascii="Times New Roman" w:hAnsi="Times New Roman" w:cs="Times New Roman"/>
                <w:color w:val="000000" w:themeColor="text1"/>
                <w:sz w:val="20"/>
                <w:szCs w:val="20"/>
              </w:rPr>
            </w:pPr>
          </w:p>
          <w:p w14:paraId="7FE1BB30"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57131B" w:rsidRDefault="00355A1C">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57131B" w:rsidRDefault="00355A1C">
            <w:pPr>
              <w:pStyle w:val="P68B1DB1-TableParagraph14"/>
              <w:spacing w:before="108"/>
              <w:jc w:val="both"/>
              <w:rPr>
                <w:bCs/>
              </w:rPr>
            </w:pPr>
            <w:r>
              <w:t>Marknadsstruktur – marknadskoncentration</w:t>
            </w:r>
          </w:p>
          <w:p w14:paraId="7FE1BB34" w14:textId="77777777" w:rsidR="0057131B" w:rsidRDefault="00355A1C">
            <w:pPr>
              <w:pStyle w:val="P68B1DB1-TableParagraph13"/>
              <w:spacing w:before="108"/>
            </w:pPr>
            <w:r>
              <w:t xml:space="preserve">Marknadskoncentrationen, mätt i antalet konkurrenter som för närvarande presterar </w:t>
            </w:r>
          </w:p>
          <w:p w14:paraId="7FE1BB35" w14:textId="77777777" w:rsidR="0057131B" w:rsidRDefault="00355A1C">
            <w:pPr>
              <w:pStyle w:val="P68B1DB1-TableParagraph13"/>
              <w:spacing w:before="108"/>
            </w:pPr>
            <w:r>
              <w:t xml:space="preserve">liknande ekonomiska funktioner och/eller liknande tjänster på lika villkor (dvs. </w:t>
            </w:r>
          </w:p>
          <w:p w14:paraId="7FE1BB36" w14:textId="77777777" w:rsidR="0057131B" w:rsidRDefault="00355A1C">
            <w:pPr>
              <w:pStyle w:val="P68B1DB1-TableParagraph13"/>
              <w:spacing w:before="108"/>
            </w:pPr>
            <w:r>
              <w:t xml:space="preserve">jämförbar omfattning och kvalitet och till en jämförbar kostnad) som potentiellt tar över </w:t>
            </w:r>
          </w:p>
          <w:p w14:paraId="7FE1BB37" w14:textId="77777777" w:rsidR="0057131B" w:rsidRDefault="00355A1C">
            <w:pPr>
              <w:pStyle w:val="P68B1DB1-TableParagraph13"/>
              <w:spacing w:before="108"/>
            </w:pPr>
            <w:r>
              <w:t xml:space="preserve">(del av) det rapporterande företagets kunder och/eller verksamhet inom rimlig tid. </w:t>
            </w:r>
          </w:p>
          <w:p w14:paraId="7FE1BB38" w14:textId="77777777" w:rsidR="0057131B" w:rsidRDefault="00355A1C">
            <w:pPr>
              <w:pStyle w:val="P68B1DB1-TableParagraph13"/>
              <w:spacing w:before="108"/>
            </w:pPr>
            <w:r>
              <w:t xml:space="preserve">Detta ska rapporteras i undergrupper, som är desamma för varje underfunktion. </w:t>
            </w:r>
          </w:p>
          <w:p w14:paraId="6E06F623" w14:textId="77777777" w:rsidR="0057131B" w:rsidRDefault="00355A1C">
            <w:pPr>
              <w:pStyle w:val="P68B1DB1-ListParagraph32"/>
              <w:numPr>
                <w:ilvl w:val="0"/>
                <w:numId w:val="277"/>
              </w:numPr>
              <w:jc w:val="both"/>
            </w:pPr>
            <w:r>
              <w:t xml:space="preserve">&gt; 20 konkurrenter; </w:t>
            </w:r>
          </w:p>
          <w:p w14:paraId="1C1D9521" w14:textId="77777777" w:rsidR="0057131B" w:rsidRDefault="00355A1C">
            <w:pPr>
              <w:pStyle w:val="P68B1DB1-ListParagraph32"/>
              <w:numPr>
                <w:ilvl w:val="0"/>
                <w:numId w:val="277"/>
              </w:numPr>
              <w:jc w:val="both"/>
            </w:pPr>
            <w:r>
              <w:t xml:space="preserve">11–20 konkurrenter. </w:t>
            </w:r>
          </w:p>
          <w:p w14:paraId="35EEC292" w14:textId="77777777" w:rsidR="0057131B" w:rsidRDefault="00355A1C">
            <w:pPr>
              <w:pStyle w:val="P68B1DB1-ListParagraph32"/>
              <w:numPr>
                <w:ilvl w:val="0"/>
                <w:numId w:val="277"/>
              </w:numPr>
              <w:jc w:val="both"/>
            </w:pPr>
            <w:r>
              <w:t xml:space="preserve">5–10 konkurrenter. </w:t>
            </w:r>
          </w:p>
          <w:p w14:paraId="23AB1BA1" w14:textId="77777777" w:rsidR="0057131B" w:rsidRDefault="00355A1C">
            <w:pPr>
              <w:pStyle w:val="P68B1DB1-ListParagraph32"/>
              <w:numPr>
                <w:ilvl w:val="0"/>
                <w:numId w:val="277"/>
              </w:numPr>
              <w:jc w:val="both"/>
              <w:rPr>
                <w:b/>
                <w:bCs/>
                <w:color w:val="000000" w:themeColor="text1"/>
              </w:rPr>
            </w:pPr>
            <w:r>
              <w:t>5 konkurrenter</w:t>
            </w:r>
          </w:p>
          <w:p w14:paraId="7FE1BB3C" w14:textId="356BF98D" w:rsidR="0057131B" w:rsidRDefault="0057131B">
            <w:pPr>
              <w:jc w:val="both"/>
              <w:rPr>
                <w:rFonts w:ascii="Times New Roman" w:hAnsi="Times New Roman"/>
                <w:color w:val="000000" w:themeColor="text1"/>
                <w:sz w:val="20"/>
                <w:szCs w:val="20"/>
              </w:rPr>
            </w:pPr>
          </w:p>
        </w:tc>
      </w:tr>
      <w:tr w:rsidR="0057131B"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57131B" w:rsidRDefault="00355A1C">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57131B" w:rsidRDefault="00355A1C">
            <w:pPr>
              <w:pStyle w:val="P68B1DB1-TableParagraph14"/>
              <w:spacing w:before="108"/>
              <w:jc w:val="both"/>
              <w:rPr>
                <w:bCs/>
              </w:rPr>
            </w:pPr>
            <w:r>
              <w:t>Tidpunkt – förväntad tid för ersättning</w:t>
            </w:r>
          </w:p>
          <w:p w14:paraId="7FE1BB40" w14:textId="77777777" w:rsidR="0057131B" w:rsidRDefault="00355A1C">
            <w:pPr>
              <w:pStyle w:val="P68B1DB1-TableParagraph13"/>
              <w:spacing w:before="108"/>
            </w:pPr>
            <w:r>
              <w:t>Uppskatta den tid som krävs för den ekonomiska funktion som rapporteringen ger</w:t>
            </w:r>
          </w:p>
          <w:p w14:paraId="7FE1BB41" w14:textId="77777777" w:rsidR="0057131B" w:rsidRDefault="00355A1C">
            <w:pPr>
              <w:pStyle w:val="P68B1DB1-TableParagraph13"/>
              <w:spacing w:before="108"/>
            </w:pPr>
            <w:r>
              <w:t xml:space="preserve">enhet som ska absorberas av marknaden i en krissituation. Stödet omfattar </w:t>
            </w:r>
          </w:p>
          <w:p w14:paraId="7FE1BB42" w14:textId="77777777" w:rsidR="0057131B" w:rsidRDefault="00355A1C">
            <w:pPr>
              <w:pStyle w:val="P68B1DB1-ListParagraph38"/>
              <w:numPr>
                <w:ilvl w:val="0"/>
                <w:numId w:val="274"/>
              </w:numPr>
              <w:jc w:val="both"/>
            </w:pPr>
            <w:r>
              <w:t xml:space="preserve">den tid som en eller flera konkurrenter förväntas behöva för att genomföra de rättsliga och tekniska åtgärderna för att ta över funktionen. och  </w:t>
            </w:r>
          </w:p>
          <w:p w14:paraId="7FE1BB43" w14:textId="77777777" w:rsidR="0057131B" w:rsidRDefault="00355A1C">
            <w:pPr>
              <w:pStyle w:val="P68B1DB1-ListParagraph38"/>
              <w:numPr>
                <w:ilvl w:val="0"/>
                <w:numId w:val="274"/>
              </w:numPr>
              <w:jc w:val="both"/>
            </w:pPr>
            <w:r>
              <w:t xml:space="preserve">den tid som användarna av tjänsten behöver för att flytta till en annan tjänsteleverantör. </w:t>
            </w:r>
          </w:p>
          <w:p w14:paraId="7FE1BB44" w14:textId="77777777" w:rsidR="0057131B" w:rsidRDefault="0057131B">
            <w:pPr>
              <w:pStyle w:val="TableParagraph"/>
              <w:spacing w:before="108"/>
              <w:rPr>
                <w:rFonts w:ascii="Times New Roman" w:hAnsi="Times New Roman" w:cs="Times New Roman"/>
                <w:color w:val="000000" w:themeColor="text1"/>
                <w:sz w:val="20"/>
                <w:szCs w:val="20"/>
              </w:rPr>
            </w:pPr>
          </w:p>
          <w:p w14:paraId="7FE1BB45" w14:textId="77777777" w:rsidR="0057131B" w:rsidRDefault="00355A1C">
            <w:pPr>
              <w:pStyle w:val="P68B1DB1-TableParagraph13"/>
              <w:spacing w:before="108"/>
            </w:pPr>
            <w:r>
              <w:t xml:space="preserve">När det gäller utlåning avser detta till exempel inte en avveckling av den utestående portföljen eller överföring av den till en presumtiv köpare, utan snarare hushållens och den offentliga sektorns förmåga att erhålla liknande lån från andra leverantörer. </w:t>
            </w:r>
          </w:p>
          <w:p w14:paraId="7FE1BB46" w14:textId="77777777" w:rsidR="0057131B" w:rsidRDefault="0057131B">
            <w:pPr>
              <w:pStyle w:val="TableParagraph"/>
              <w:spacing w:before="108"/>
              <w:rPr>
                <w:rFonts w:ascii="Times New Roman" w:hAnsi="Times New Roman" w:cs="Times New Roman"/>
                <w:color w:val="000000" w:themeColor="text1"/>
                <w:sz w:val="20"/>
                <w:szCs w:val="20"/>
              </w:rPr>
            </w:pPr>
          </w:p>
          <w:p w14:paraId="7FE1BB47" w14:textId="77777777" w:rsidR="0057131B" w:rsidRDefault="00355A1C">
            <w:pPr>
              <w:pStyle w:val="P68B1DB1-TableParagraph13"/>
              <w:spacing w:before="108"/>
            </w:pPr>
            <w:r>
              <w:t>Som proxyvariabel för den förstnämnda, ge en uppskattning av den tid det skulle ta den rapporterande enheten att absorbera i sin egen verksamhet (en del av) den tjänst som tillhandahålls av ett annat institut, till en rimlig kostnad, i en krissituation. Rapportera den beräknade tiden för substitution i de undergrupper som anges i mallen:</w:t>
            </w:r>
          </w:p>
          <w:p w14:paraId="7FE1BB48" w14:textId="77777777" w:rsidR="0057131B" w:rsidRDefault="0057131B">
            <w:pPr>
              <w:pStyle w:val="TableParagraph"/>
              <w:spacing w:before="108"/>
              <w:rPr>
                <w:rFonts w:ascii="Times New Roman" w:hAnsi="Times New Roman" w:cs="Times New Roman"/>
                <w:color w:val="000000" w:themeColor="text1"/>
                <w:sz w:val="20"/>
                <w:szCs w:val="20"/>
              </w:rPr>
            </w:pPr>
          </w:p>
        </w:tc>
      </w:tr>
      <w:tr w:rsidR="0057131B"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57131B" w:rsidRDefault="00355A1C">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57131B" w:rsidRDefault="00355A1C">
            <w:pPr>
              <w:pStyle w:val="P68B1DB1-TableParagraph14"/>
              <w:spacing w:before="108"/>
              <w:jc w:val="both"/>
              <w:rPr>
                <w:bCs/>
              </w:rPr>
            </w:pPr>
            <w:r>
              <w:t>Substitutionsförmåga</w:t>
            </w:r>
          </w:p>
        </w:tc>
      </w:tr>
      <w:tr w:rsidR="0057131B"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57131B" w:rsidRDefault="00355A1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57131B" w:rsidRDefault="00355A1C">
            <w:pPr>
              <w:pStyle w:val="P68B1DB1-TableParagraph14"/>
              <w:spacing w:before="108"/>
              <w:rPr>
                <w:bCs/>
              </w:rPr>
            </w:pPr>
            <w:r>
              <w:t>Rättsliga hinder för inträde eller expansion</w:t>
            </w:r>
          </w:p>
          <w:p w14:paraId="7FE1BB4F" w14:textId="77777777" w:rsidR="0057131B" w:rsidRDefault="0057131B">
            <w:pPr>
              <w:pStyle w:val="TableParagraph"/>
              <w:spacing w:before="108"/>
              <w:rPr>
                <w:rFonts w:ascii="Times New Roman" w:hAnsi="Times New Roman" w:cs="Times New Roman"/>
                <w:color w:val="000000" w:themeColor="text1"/>
                <w:sz w:val="20"/>
                <w:szCs w:val="20"/>
              </w:rPr>
            </w:pPr>
          </w:p>
          <w:p w14:paraId="7FE1BB50" w14:textId="77777777" w:rsidR="0057131B" w:rsidRDefault="00355A1C">
            <w:pPr>
              <w:pStyle w:val="P68B1DB1-TableParagraph13"/>
              <w:spacing w:before="108"/>
            </w:pPr>
            <w:r>
              <w:t xml:space="preserve">Rättsliga hinder för konkurrenter att erbjuda tjänsten. Rättsliga krav för att bedriva verksamhet i kreditinstitut (t.ex. banklicenser eller kapitalkrav) ska inte betraktas som oöverstigliga hinder i </w:t>
            </w:r>
            <w:r>
              <w:lastRenderedPageBreak/>
              <w:t xml:space="preserve">närvaro av alternativa tillhandahållare. Denna indikator ska rapporteras i undergrupper, som är desamma för varje underfunktion: </w:t>
            </w:r>
          </w:p>
          <w:p w14:paraId="7FE1BB51" w14:textId="068F91A0" w:rsidR="0057131B" w:rsidRDefault="00355A1C">
            <w:pPr>
              <w:pStyle w:val="P68B1DB1-ListParagraph39"/>
              <w:numPr>
                <w:ilvl w:val="0"/>
                <w:numId w:val="275"/>
              </w:numPr>
              <w:jc w:val="both"/>
            </w:pPr>
            <w:r>
              <w:t xml:space="preserve">inga större hinder, </w:t>
            </w:r>
          </w:p>
          <w:p w14:paraId="7FE1BB52" w14:textId="6D8354EB" w:rsidR="0057131B" w:rsidRDefault="00355A1C">
            <w:pPr>
              <w:pStyle w:val="P68B1DB1-ListParagraph39"/>
              <w:numPr>
                <w:ilvl w:val="0"/>
                <w:numId w:val="275"/>
              </w:numPr>
              <w:jc w:val="both"/>
            </w:pPr>
            <w:r>
              <w:t xml:space="preserve">vissa hinder, </w:t>
            </w:r>
          </w:p>
          <w:p w14:paraId="7FE1BB53" w14:textId="1BC21AC5" w:rsidR="0057131B" w:rsidRDefault="00355A1C">
            <w:pPr>
              <w:pStyle w:val="P68B1DB1-ListParagraph39"/>
              <w:numPr>
                <w:ilvl w:val="0"/>
                <w:numId w:val="275"/>
              </w:numPr>
              <w:jc w:val="both"/>
            </w:pPr>
            <w:r>
              <w:t xml:space="preserve">betydande (men överlevnadsbara) barriärer. </w:t>
            </w:r>
          </w:p>
          <w:p w14:paraId="7FE1BB55" w14:textId="539429F5" w:rsidR="0057131B" w:rsidRDefault="00355A1C">
            <w:pPr>
              <w:pStyle w:val="P68B1DB1-ListParagraph8"/>
              <w:numPr>
                <w:ilvl w:val="0"/>
                <w:numId w:val="275"/>
              </w:numPr>
              <w:jc w:val="both"/>
            </w:pPr>
            <w:r>
              <w:t>kritiska (svårtillgängliga) barriärer.</w:t>
            </w:r>
          </w:p>
        </w:tc>
      </w:tr>
      <w:tr w:rsidR="0057131B"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57131B" w:rsidRDefault="00355A1C">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57131B" w:rsidRDefault="00355A1C">
            <w:pPr>
              <w:pStyle w:val="P68B1DB1-TableParagraph14"/>
              <w:spacing w:before="108"/>
              <w:rPr>
                <w:bCs/>
              </w:rPr>
            </w:pPr>
            <w:r>
              <w:t>Operativa krav för inträde eller utvidgning</w:t>
            </w:r>
          </w:p>
          <w:p w14:paraId="7FE1BB59" w14:textId="77777777" w:rsidR="0057131B" w:rsidRDefault="0057131B">
            <w:pPr>
              <w:pStyle w:val="TableParagraph"/>
              <w:spacing w:before="108"/>
              <w:rPr>
                <w:rFonts w:ascii="Times New Roman" w:hAnsi="Times New Roman" w:cs="Times New Roman"/>
                <w:color w:val="000000" w:themeColor="text1"/>
                <w:sz w:val="20"/>
                <w:szCs w:val="20"/>
              </w:rPr>
            </w:pPr>
          </w:p>
          <w:p w14:paraId="7FE1BB5A" w14:textId="7291B555" w:rsidR="0057131B" w:rsidRDefault="00355A1C">
            <w:pPr>
              <w:pStyle w:val="P68B1DB1-TableParagraph13"/>
              <w:spacing w:before="108"/>
            </w:pPr>
            <w:r>
              <w:t xml:space="preserve">Organisatoriska, tekniska och infrastrukturmässiga krav för konkurrenter att erbjuda tjänsten. För att erbjuda tjänster med anknytning till (under) funktionen måste leverantörerna investera i (ny eller ytterligare) infrastruktur – eller ändra sina organisationer. Bedöma marknadens förmåga att absorbera den aktuella verksamheten. </w:t>
            </w:r>
          </w:p>
          <w:p w14:paraId="7FE1BB5B" w14:textId="77777777" w:rsidR="0057131B" w:rsidRDefault="00355A1C">
            <w:pPr>
              <w:pStyle w:val="P68B1DB1-TableParagraph13"/>
              <w:spacing w:before="108"/>
            </w:pPr>
            <w:r>
              <w:t xml:space="preserve">Denna indikator ska rapporteras i undergrupper, som är desamma för varje underfunktion: </w:t>
            </w:r>
          </w:p>
          <w:p w14:paraId="7FE1BB5C" w14:textId="7C8E68F5" w:rsidR="0057131B" w:rsidRDefault="00355A1C">
            <w:pPr>
              <w:pStyle w:val="P68B1DB1-ListParagraph39"/>
              <w:numPr>
                <w:ilvl w:val="0"/>
                <w:numId w:val="278"/>
              </w:numPr>
              <w:jc w:val="both"/>
            </w:pPr>
            <w:r>
              <w:t xml:space="preserve">inga större krav, </w:t>
            </w:r>
          </w:p>
          <w:p w14:paraId="7FE1BB5D" w14:textId="227F4B1C" w:rsidR="0057131B" w:rsidRDefault="00355A1C">
            <w:pPr>
              <w:pStyle w:val="P68B1DB1-ListParagraph39"/>
              <w:numPr>
                <w:ilvl w:val="0"/>
                <w:numId w:val="278"/>
              </w:numPr>
              <w:jc w:val="both"/>
            </w:pPr>
            <w:r>
              <w:t xml:space="preserve">vissa krav, </w:t>
            </w:r>
          </w:p>
          <w:p w14:paraId="7FE1BB5E" w14:textId="11C740DB" w:rsidR="0057131B" w:rsidRDefault="00355A1C">
            <w:pPr>
              <w:pStyle w:val="P68B1DB1-ListParagraph39"/>
              <w:numPr>
                <w:ilvl w:val="0"/>
                <w:numId w:val="278"/>
              </w:numPr>
              <w:jc w:val="both"/>
            </w:pPr>
            <w:r>
              <w:t xml:space="preserve">väsentliga (men översättbara) krav. </w:t>
            </w:r>
          </w:p>
          <w:p w14:paraId="7FE1BB5F" w14:textId="701458A3" w:rsidR="0057131B" w:rsidRDefault="00355A1C">
            <w:pPr>
              <w:pStyle w:val="P68B1DB1-ListParagraph39"/>
              <w:numPr>
                <w:ilvl w:val="0"/>
                <w:numId w:val="278"/>
              </w:numPr>
              <w:jc w:val="both"/>
            </w:pPr>
            <w:r>
              <w:t>kritiska (svåra att uppfylla) krav.</w:t>
            </w:r>
          </w:p>
          <w:p w14:paraId="7FE1BB64" w14:textId="7064EEB7" w:rsidR="0057131B" w:rsidRDefault="00355A1C">
            <w:pPr>
              <w:pStyle w:val="P68B1DB1-TableParagraph40"/>
              <w:spacing w:before="108"/>
              <w:ind w:left="720"/>
              <w:jc w:val="both"/>
              <w:rPr>
                <w:color w:val="000000" w:themeColor="text1"/>
              </w:rPr>
            </w:pPr>
            <w:r>
              <w:t xml:space="preserve"> </w:t>
            </w:r>
          </w:p>
        </w:tc>
      </w:tr>
      <w:tr w:rsidR="0057131B"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57131B" w:rsidRDefault="00355A1C">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57131B" w:rsidRDefault="00355A1C">
            <w:pPr>
              <w:pStyle w:val="P68B1DB1-TableParagraph14"/>
              <w:spacing w:before="108"/>
              <w:rPr>
                <w:bCs/>
              </w:rPr>
            </w:pPr>
            <w:r>
              <w:t>Kriticitetsbedömning</w:t>
            </w:r>
          </w:p>
        </w:tc>
      </w:tr>
      <w:tr w:rsidR="0057131B"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57131B" w:rsidRDefault="00355A1C">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57131B" w:rsidRDefault="00355A1C">
            <w:pPr>
              <w:pStyle w:val="P68B1DB1-TableParagraph14"/>
              <w:spacing w:before="108"/>
              <w:rPr>
                <w:bCs/>
              </w:rPr>
            </w:pPr>
            <w:r>
              <w:t xml:space="preserve">Verkningar på marknaden </w:t>
            </w:r>
          </w:p>
          <w:p w14:paraId="7FE1BB6B" w14:textId="77777777" w:rsidR="0057131B" w:rsidRDefault="00355A1C">
            <w:pPr>
              <w:pStyle w:val="P68B1DB1-TableParagraph13"/>
              <w:spacing w:before="108"/>
            </w:pPr>
            <w:r>
              <w:t>Förväntad inverkan ifall tredjeparters, finansmarknadens eller realekonomins funktion plötsligt upphör, med beaktande av storlek, marknadsandel i landet, extern och intern sammanlänkning, komplexitet samt institutets gränsöverskridande verksamhet.</w:t>
            </w:r>
          </w:p>
          <w:p w14:paraId="7FE1BB6C" w14:textId="3006E0F1" w:rsidR="0057131B" w:rsidRDefault="00355A1C">
            <w:pPr>
              <w:pStyle w:val="P68B1DB1-TableParagraph13"/>
              <w:spacing w:before="108"/>
            </w:pPr>
            <w:r>
              <w:t>Denna bedömning ska uttryckas kvalitativt som ”hög”, ”medelhög”, ”medelhög” eller ”låg”.</w:t>
            </w:r>
          </w:p>
          <w:p w14:paraId="7FE1BB6D" w14:textId="091B1AD9" w:rsidR="0057131B" w:rsidRDefault="00355A1C">
            <w:pPr>
              <w:pStyle w:val="P68B1DB1-TableParagraph13"/>
              <w:spacing w:before="108"/>
            </w:pPr>
            <w:r>
              <w:t>”Hög” ska väljas om nedläggningen har en allvarlig påverkan på den nationella marknaden, ”Medium-High” om påverkan är betydelsefull, ”Medium-Low” om påverkan är väsentlig men begränsad och ”Låg” om påverkan är låg.</w:t>
            </w:r>
          </w:p>
        </w:tc>
      </w:tr>
      <w:tr w:rsidR="0057131B"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57131B" w:rsidRDefault="00355A1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57131B" w:rsidRDefault="00355A1C">
            <w:pPr>
              <w:pStyle w:val="P68B1DB1-TableParagraph14"/>
              <w:spacing w:before="108"/>
              <w:rPr>
                <w:bCs/>
              </w:rPr>
            </w:pPr>
            <w:r>
              <w:t>Utbytbarhet</w:t>
            </w:r>
          </w:p>
          <w:p w14:paraId="7FE1BB71" w14:textId="77777777" w:rsidR="0057131B" w:rsidRDefault="00355A1C">
            <w:pPr>
              <w:pStyle w:val="P68B1DB1-TableParagraph13"/>
              <w:spacing w:before="108"/>
            </w:pPr>
            <w:r>
              <w:t>Artikel 6.3 i delegerad förordning (EU) 2016/778.</w:t>
            </w:r>
          </w:p>
          <w:p w14:paraId="7FE1BB72" w14:textId="77777777" w:rsidR="0057131B" w:rsidRDefault="00355A1C">
            <w:pPr>
              <w:pStyle w:val="P68B1DB1-TableParagraph13"/>
              <w:spacing w:before="108"/>
            </w:pPr>
            <w:r>
              <w:t>En funktion ska anses vara utbytbar om den kan ersättas på ett acceptabelt sätt och inom rimlig tid så att systemproblem för realekonomin och finansmarknaden kan undvikas. Följande ska beaktas:</w:t>
            </w:r>
          </w:p>
          <w:p w14:paraId="7FE1BB73" w14:textId="77777777" w:rsidR="0057131B" w:rsidRDefault="00355A1C">
            <w:pPr>
              <w:pStyle w:val="P68B1DB1-TableParagraph13"/>
              <w:spacing w:before="108"/>
            </w:pPr>
            <w:r>
              <w:t xml:space="preserve">(a) Funktionens marknadsstruktur och tillgången till ersättningsleverantörer. </w:t>
            </w:r>
          </w:p>
          <w:p w14:paraId="7FE1BB74" w14:textId="77777777" w:rsidR="0057131B" w:rsidRDefault="00355A1C">
            <w:pPr>
              <w:pStyle w:val="P68B1DB1-TableParagraph13"/>
              <w:spacing w:before="108"/>
            </w:pPr>
            <w:r>
              <w:t xml:space="preserve">(b) andra leverantörers förmåga i fråga om kapacitet, kraven för att kunna utföra funktionen och eventuella hinder för marknadsinträde eller expansion. </w:t>
            </w:r>
          </w:p>
          <w:p w14:paraId="7FE1BB75" w14:textId="77777777" w:rsidR="0057131B" w:rsidRDefault="00355A1C">
            <w:pPr>
              <w:pStyle w:val="P68B1DB1-TableParagraph13"/>
              <w:spacing w:before="108"/>
            </w:pPr>
            <w:r>
              <w:t xml:space="preserve">(c) Incitament för andra leverantörer att ta över denna verksamhet. </w:t>
            </w:r>
          </w:p>
          <w:p w14:paraId="7FE1BB76" w14:textId="77777777" w:rsidR="0057131B" w:rsidRDefault="00355A1C">
            <w:pPr>
              <w:pStyle w:val="P68B1DB1-TableParagraph13"/>
              <w:spacing w:before="108"/>
            </w:pPr>
            <w:r>
              <w:t>(d) den tid som krävs för att de som använder tjänsten ska kunna gå över till den nya leverantören och kostnaderna för denna övergång, den tid som krävs för att andra konkurrenter ska kunna ta över funktionerna, och huruvida den tidsramen är tillräcklig för att förhindra betydande störningar, beroende på typen av tjänst.</w:t>
            </w:r>
          </w:p>
          <w:p w14:paraId="7FE1BB77" w14:textId="34C328B6" w:rsidR="0057131B" w:rsidRDefault="00355A1C">
            <w:pPr>
              <w:pStyle w:val="P68B1DB1-TableParagraph13"/>
              <w:spacing w:before="108"/>
            </w:pPr>
            <w:r>
              <w:t xml:space="preserve">Ge en övergripande bedömning av den förväntade graden av utbytbarhet för varje funktion, med beaktande av de olika dimensioner som tidigare bedömts (marknadsandel, marknadskoncentration, tid för substitution, rättsliga hinder och operativa krav för inträde eller expansion). Denna bedömning ska uttryckas kvalitativt som ”hög”, ”medelhög”, ”medelhög” eller ”låg”. </w:t>
            </w:r>
          </w:p>
          <w:p w14:paraId="7FE1BB78" w14:textId="70240340" w:rsidR="0057131B" w:rsidRDefault="00355A1C">
            <w:pPr>
              <w:pStyle w:val="P68B1DB1-TableParagraph13"/>
              <w:spacing w:before="108"/>
            </w:pPr>
            <w:r>
              <w:t>”H” ska väljas om en funktion enkelt kan tillhandahållas av en annan bank under jämförbara villkor och inom rimlig tid,</w:t>
            </w:r>
          </w:p>
          <w:p w14:paraId="7FE1BB79" w14:textId="3DFD8C4F" w:rsidR="0057131B" w:rsidRDefault="00355A1C">
            <w:pPr>
              <w:pStyle w:val="P68B1DB1-TableParagraph13"/>
              <w:spacing w:before="108"/>
            </w:pPr>
            <w:r>
              <w:lastRenderedPageBreak/>
              <w:t xml:space="preserve">”Låg” om en funktion inte kan ersättas enkelt eller snabbt, </w:t>
            </w:r>
          </w:p>
          <w:p w14:paraId="7FE1BB7A" w14:textId="4DB7815A" w:rsidR="0057131B" w:rsidRDefault="00355A1C">
            <w:pPr>
              <w:pStyle w:val="P68B1DB1-TableParagraph13"/>
              <w:spacing w:before="108"/>
            </w:pPr>
            <w:r>
              <w:t>”Medium High” och ”Medium Low” för fall däremellan med beaktande av olika dimensioner (t.ex. marknadsandel, marknadskoncentration, tid fram till bytet, samt rättsliga hinder och operationella krav för marknadsinträde eller expansion).</w:t>
            </w:r>
          </w:p>
        </w:tc>
      </w:tr>
      <w:tr w:rsidR="0057131B"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57131B" w:rsidRDefault="00355A1C">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57131B" w:rsidRDefault="00355A1C">
            <w:pPr>
              <w:pStyle w:val="P68B1DB1-TableParagraph14"/>
              <w:spacing w:before="108"/>
              <w:rPr>
                <w:bCs/>
              </w:rPr>
            </w:pPr>
            <w:r>
              <w:t>Kritisk funktion</w:t>
            </w:r>
          </w:p>
          <w:p w14:paraId="7FE1BB7E" w14:textId="77777777" w:rsidR="0057131B" w:rsidRDefault="00355A1C">
            <w:pPr>
              <w:pStyle w:val="P68B1DB1-TableParagraph13"/>
              <w:spacing w:before="108"/>
            </w:pPr>
            <w:r>
              <w:t>I denna kolumn ska redovisas huruvida den ekonomiska funktionen kan anses vara kritisk på ifrågavarande lands marknad, detta med beaktande av den genomförda påverkan och ersättbarhetsanalysen av institutionen.</w:t>
            </w:r>
          </w:p>
          <w:p w14:paraId="7FE1BB7F" w14:textId="77777777" w:rsidR="0057131B" w:rsidRDefault="00355A1C">
            <w:pPr>
              <w:pStyle w:val="P68B1DB1-TableParagraph13"/>
              <w:spacing w:before="108"/>
            </w:pPr>
            <w:r>
              <w:t>Redovisa ”ja” eller ”nej”.</w:t>
            </w:r>
          </w:p>
        </w:tc>
      </w:tr>
      <w:tr w:rsidR="0057131B"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57131B" w:rsidRDefault="00355A1C">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57131B" w:rsidRDefault="00355A1C">
            <w:pPr>
              <w:pStyle w:val="P68B1DB1-TableParagraph14"/>
              <w:spacing w:before="108"/>
              <w:rPr>
                <w:bCs/>
              </w:rPr>
            </w:pPr>
            <w:r>
              <w:t>Synpunkter från koncernen</w:t>
            </w:r>
          </w:p>
          <w:p w14:paraId="7FE1BB83" w14:textId="77777777" w:rsidR="0057131B" w:rsidRDefault="00355A1C">
            <w:pPr>
              <w:pStyle w:val="P68B1DB1-TableParagraph13"/>
              <w:spacing w:before="108"/>
            </w:pPr>
            <w:r>
              <w:t>Detta fält gör det möjligt för det rapporterande företaget att förklara eventuella antaganden som används för att bedöma kritikaliteten hos den eller de rapporterade funktionerna.</w:t>
            </w:r>
          </w:p>
        </w:tc>
      </w:tr>
    </w:tbl>
    <w:p w14:paraId="7FE1BB85" w14:textId="77777777" w:rsidR="0057131B" w:rsidRDefault="0057131B">
      <w:pPr>
        <w:rPr>
          <w:rFonts w:ascii="Times New Roman" w:hAnsi="Times New Roman" w:cs="Times New Roman"/>
          <w:color w:val="000000" w:themeColor="text1"/>
          <w:sz w:val="20"/>
          <w:szCs w:val="20"/>
        </w:rPr>
      </w:pPr>
    </w:p>
    <w:p w14:paraId="7FE1BB86" w14:textId="123203FF" w:rsidR="0057131B" w:rsidRDefault="00355A1C">
      <w:pPr>
        <w:pStyle w:val="P68B1DB1-Instructionsberschrift25"/>
        <w:numPr>
          <w:ilvl w:val="1"/>
          <w:numId w:val="49"/>
        </w:numPr>
        <w:ind w:left="357" w:hanging="357"/>
      </w:pPr>
      <w:bookmarkStart w:id="117" w:name="_Toc210901295"/>
      <w:r>
        <w:t xml:space="preserve">Z 07.01.3 FUNC 1 </w:t>
      </w:r>
      <w:r w:rsidR="00FE208B" w:rsidRPr="00FE208B">
        <w:t xml:space="preserve">Betal-, kontant-, avvecklings-, clearing- och </w:t>
      </w:r>
      <w:r w:rsidR="00FE208B" w:rsidRPr="00CE3480">
        <w:t>depåtjänster</w:t>
      </w:r>
      <w:r w:rsidR="00FE208B" w:rsidRPr="007505CF" w:rsidDel="00FE208B">
        <w:t xml:space="preserve"> </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7131B"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57131B" w:rsidRDefault="00355A1C">
            <w:pPr>
              <w:pStyle w:val="P68B1DB1-TableParagraph17"/>
              <w:spacing w:before="108"/>
              <w:ind w:left="85"/>
              <w:jc w:val="both"/>
            </w:pPr>
            <w:r>
              <w:t>Kolumner</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57131B" w:rsidRDefault="00355A1C">
            <w:pPr>
              <w:pStyle w:val="P68B1DB1-TableParagraph17"/>
              <w:spacing w:before="108"/>
              <w:ind w:left="85" w:right="1"/>
              <w:jc w:val="both"/>
            </w:pPr>
            <w:r>
              <w:t>Anvisningar</w:t>
            </w:r>
          </w:p>
        </w:tc>
      </w:tr>
      <w:tr w:rsidR="0057131B"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57131B" w:rsidRDefault="00355A1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57131B" w:rsidRDefault="00355A1C">
            <w:pPr>
              <w:pStyle w:val="P68B1DB1-TableParagraph14"/>
              <w:spacing w:before="108"/>
              <w:ind w:left="85"/>
              <w:jc w:val="both"/>
              <w:rPr>
                <w:bCs/>
              </w:rPr>
            </w:pPr>
            <w:r>
              <w:t>Beskrivning av ekonomisk funktion</w:t>
            </w:r>
          </w:p>
          <w:p w14:paraId="7FE1BB94" w14:textId="56901CA7" w:rsidR="0057131B" w:rsidRDefault="00355A1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Om den ekonomiska funktionen är av typen ”Annan” (</w:t>
            </w:r>
            <w:r>
              <w:t>Z 07.01.3 FUNC 1 PAY r0220 till r0240)</w:t>
            </w:r>
            <w:r>
              <w:rPr>
                <w:rFonts w:ascii="Times New Roman" w:eastAsia="Cambria" w:hAnsi="Times New Roman" w:cs="Times New Roman"/>
                <w:color w:val="000000" w:themeColor="text1"/>
                <w:sz w:val="20"/>
                <w:szCs w:val="20"/>
              </w:rPr>
              <w:t xml:space="preserve">ska en beskrivning av denna funktion tillhandahållas. </w:t>
            </w:r>
          </w:p>
        </w:tc>
      </w:tr>
      <w:tr w:rsidR="0057131B"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57131B" w:rsidRDefault="00355A1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57131B" w:rsidRDefault="00355A1C">
            <w:pPr>
              <w:pStyle w:val="P68B1DB1-TableParagraph14"/>
              <w:spacing w:before="108"/>
              <w:ind w:left="85"/>
              <w:jc w:val="both"/>
              <w:rPr>
                <w:bCs/>
              </w:rPr>
            </w:pPr>
            <w:r>
              <w:t xml:space="preserve">Marknadsandel </w:t>
            </w:r>
          </w:p>
          <w:p w14:paraId="7FE1BB98" w14:textId="71A825FB" w:rsidR="0057131B" w:rsidRDefault="00355A1C">
            <w:pPr>
              <w:pStyle w:val="P68B1DB1-TableParagraph17"/>
              <w:spacing w:before="108"/>
              <w:ind w:left="85"/>
            </w:pPr>
            <w:r>
              <w:t>Institutets eller koncernens förväntade marknadsandel för den ekonomiska funktionen i respektive land eller geografisk område. En procentandel av hela marknaden i form av ett monetärt belopp. Detta motsvarar transaktionsvärdet för betaltjänster till MFI och icke-MFI, värdet av öppna positioner för centrala motparters clearingtjänster och värdet av tillgångar som depåförvaras för förvaringstjänster.</w:t>
            </w:r>
          </w:p>
        </w:tc>
      </w:tr>
      <w:tr w:rsidR="0057131B"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57131B" w:rsidRDefault="00355A1C">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57131B" w:rsidRDefault="00355A1C">
            <w:pPr>
              <w:pStyle w:val="P68B1DB1-TableParagraph14"/>
              <w:spacing w:before="108"/>
              <w:rPr>
                <w:bCs/>
              </w:rPr>
            </w:pPr>
            <w:r>
              <w:t>Värde av transaktioner</w:t>
            </w:r>
          </w:p>
          <w:p w14:paraId="7FE1BB9C" w14:textId="77777777" w:rsidR="0057131B" w:rsidRDefault="00355A1C">
            <w:pPr>
              <w:pStyle w:val="P68B1DB1-TableParagraph17"/>
              <w:spacing w:before="108"/>
            </w:pPr>
            <w:r>
              <w:t>Medelvärdet för dagliga transaktioner under året ska alltid redovisas. Om inget sådant finns tillgängligt kan ett medelvärde för en kortare period (t.ex. några månader) redovisas.</w:t>
            </w:r>
          </w:p>
          <w:p w14:paraId="7FE1BB9D" w14:textId="32F9B039" w:rsidR="0057131B" w:rsidRDefault="00355A1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Betaltjänster (funktion ID 3.1 och 3.2): Värdet av sända transaktioner.</w:t>
            </w:r>
            <w:r>
              <w:t xml:space="preserve"> </w:t>
            </w:r>
            <w:r>
              <w:rPr>
                <w:rFonts w:ascii="Times New Roman" w:eastAsia="Cambria" w:hAnsi="Times New Roman" w:cs="Times New Roman"/>
                <w:color w:val="000000" w:themeColor="text1"/>
                <w:sz w:val="20"/>
                <w:szCs w:val="20"/>
              </w:rPr>
              <w:t>Bakgrundsreferenser: Direktiv (EU) 2015/2366 om betaltjänster på den inre marknaden artikel 4.5. Europeiska centralbankens förordning (EU) 2020/2011 om ändring av förordning (EU) nr 1409/2013 om betalningsstatistik (ECB/2020/59)</w:t>
            </w:r>
          </w:p>
          <w:p w14:paraId="7FE1BB9E" w14:textId="77777777" w:rsidR="0057131B" w:rsidRDefault="00355A1C">
            <w:pPr>
              <w:pStyle w:val="P68B1DB1-TableParagraph17"/>
              <w:spacing w:before="108"/>
            </w:pPr>
            <w:r>
              <w:t>Kontanttjänster (function ID 3.3): Värdet av ATM-transaktioner vid uttagsautomater i rapporteringen</w:t>
            </w:r>
          </w:p>
          <w:p w14:paraId="7FE1BB9F" w14:textId="34BA0294" w:rsidR="0057131B" w:rsidRDefault="00355A1C">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institut, enligt definitionen i Europeiska centralbankens förordning (EU) nr 1409/2013 om betalningsstatistik ( ECB/2013/43) tabell 5a, samt kontanter över disk</w:t>
            </w:r>
          </w:p>
          <w:p w14:paraId="7FE1BBA0" w14:textId="0D8555C2" w:rsidR="0057131B" w:rsidRDefault="00355A1C">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uttag i den rapporterande enhetens filialkontor, enligt definitionen i</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tabell ECB/2014/15</w:t>
            </w:r>
          </w:p>
          <w:p w14:paraId="7FE1BBA1" w14:textId="77777777" w:rsidR="0057131B" w:rsidRDefault="00355A1C">
            <w:pPr>
              <w:pStyle w:val="P68B1DB1-TableParagraph17"/>
              <w:spacing w:before="108"/>
            </w:pPr>
            <w:r>
              <w:lastRenderedPageBreak/>
              <w:t>Värdepappersavvecklingstjänster (function ID 3.4): Värde av behandlade överföringar av värdepapper</w:t>
            </w:r>
          </w:p>
          <w:p w14:paraId="7FE1BBA2" w14:textId="77777777" w:rsidR="0057131B" w:rsidRDefault="00355A1C">
            <w:pPr>
              <w:pStyle w:val="P68B1DB1-TableParagraph17"/>
              <w:spacing w:before="108"/>
            </w:pPr>
            <w:r>
              <w:t>för kunds räkning Detta inbegriper transaktioner som avvecklas med värdepappersavveckling.</w:t>
            </w:r>
          </w:p>
          <w:p w14:paraId="7FE1BBA3" w14:textId="77777777" w:rsidR="0057131B" w:rsidRDefault="00355A1C">
            <w:pPr>
              <w:pStyle w:val="P68B1DB1-TableParagraph17"/>
              <w:spacing w:before="108"/>
            </w:pPr>
            <w:r>
              <w:t>system eller avvecklat internt av de rapporterande enheterna och ”avgiftsfritt”</w:t>
            </w:r>
          </w:p>
          <w:p w14:paraId="7FE1BBA4" w14:textId="77777777" w:rsidR="0057131B" w:rsidRDefault="00355A1C">
            <w:pPr>
              <w:pStyle w:val="P68B1DB1-TableParagraph17"/>
              <w:spacing w:before="108"/>
            </w:pPr>
            <w:r>
              <w:t>Transaktioner. Rapportera endast värdet av de transaktioner som skickats.</w:t>
            </w:r>
          </w:p>
        </w:tc>
      </w:tr>
      <w:tr w:rsidR="0057131B"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57131B" w:rsidRDefault="00355A1C">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57131B" w:rsidRDefault="00355A1C">
            <w:pPr>
              <w:pStyle w:val="P68B1DB1-TableParagraph14"/>
              <w:spacing w:before="108"/>
              <w:rPr>
                <w:bCs/>
              </w:rPr>
            </w:pPr>
            <w:r>
              <w:t>Värde av transaktioner varav återkommande</w:t>
            </w:r>
          </w:p>
          <w:p w14:paraId="7FE1BBA8" w14:textId="484D97FA" w:rsidR="0057131B" w:rsidRDefault="00355A1C">
            <w:pPr>
              <w:pStyle w:val="P68B1DB1-TableParagraph17"/>
              <w:spacing w:before="108"/>
            </w:pPr>
            <w:r>
              <w:t>Värdet av de transaktioner som rapporteras i (c0030) och som görs på ett konto för återkommande betaltjänster.  Återkommande betalkonton är betalkonton där kontot har debiterats eller krediterats minst 5 månatliga transaktioner i genomsnitt under de 6 månader som föregår brytdatumet, med undantag för årliga avgifter, andra avgifter och räntebetalningar som avser kontot.</w:t>
            </w:r>
            <w:r>
              <w:tab/>
            </w:r>
            <w:r>
              <w:tab/>
            </w:r>
            <w:r>
              <w:tab/>
            </w:r>
            <w:r>
              <w:tab/>
            </w:r>
            <w:r>
              <w:tab/>
            </w:r>
            <w:r>
              <w:tab/>
            </w:r>
            <w:r>
              <w:tab/>
            </w:r>
            <w:r>
              <w:tab/>
            </w:r>
          </w:p>
        </w:tc>
      </w:tr>
      <w:tr w:rsidR="0057131B"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57131B" w:rsidRDefault="00355A1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57131B" w:rsidRDefault="00355A1C">
            <w:pPr>
              <w:pStyle w:val="P68B1DB1-Normal42"/>
              <w:rPr>
                <w:bCs/>
              </w:rPr>
            </w:pPr>
            <w:r>
              <w:t>Värdet på öppna positioner</w:t>
            </w:r>
          </w:p>
          <w:p w14:paraId="7FE1BBAC" w14:textId="77777777" w:rsidR="0057131B" w:rsidRDefault="00355A1C">
            <w:pPr>
              <w:pStyle w:val="P68B1DB1-TableParagraph17"/>
              <w:spacing w:before="108"/>
              <w:jc w:val="both"/>
            </w:pPr>
            <w:r>
              <w:t>Endast rapport för funktion ID 3.5 ”centrala motparters clearingtjänster”: de positioner (exponering) som</w:t>
            </w:r>
          </w:p>
          <w:p w14:paraId="7FE1BBAD" w14:textId="77777777" w:rsidR="0057131B" w:rsidRDefault="00355A1C">
            <w:pPr>
              <w:pStyle w:val="P68B1DB1-TableParagraph17"/>
              <w:spacing w:before="108"/>
              <w:jc w:val="both"/>
            </w:pPr>
            <w:r>
              <w:t>Centrala motparter i vilka institutet är medlem ingår avtal med institutet på dess vägnar</w:t>
            </w:r>
          </w:p>
          <w:p w14:paraId="7FE1BBAE" w14:textId="63CC2224" w:rsidR="0057131B" w:rsidRDefault="00355A1C">
            <w:pPr>
              <w:pStyle w:val="P68B1DB1-TableParagraph17"/>
              <w:spacing w:before="108"/>
              <w:jc w:val="both"/>
            </w:pPr>
            <w:r>
              <w:t>kunder Redovisa det dagliga medelvärdet för öppna positioner som är kopplade till kundaktiviteter hos en CCP.</w:t>
            </w:r>
          </w:p>
          <w:p w14:paraId="7FE1BBAF" w14:textId="77777777" w:rsidR="0057131B" w:rsidRDefault="00355A1C">
            <w:pPr>
              <w:pStyle w:val="P68B1DB1-TableParagraph17"/>
              <w:spacing w:before="108"/>
              <w:jc w:val="both"/>
            </w:pPr>
            <w:r>
              <w:t>Centrala motparter. Om inget sådant finns tillgängligt kan ett medelvärde för en kortare period (t.ex. några månader) redovisas.</w:t>
            </w:r>
          </w:p>
          <w:p w14:paraId="7FE1BBB0" w14:textId="77777777" w:rsidR="0057131B" w:rsidRDefault="00355A1C">
            <w:pPr>
              <w:pStyle w:val="P68B1DB1-TableParagraph17"/>
              <w:spacing w:before="108"/>
              <w:jc w:val="both"/>
            </w:pPr>
            <w:r>
              <w:t>eller öppna positioner i slutet av året.</w:t>
            </w:r>
          </w:p>
        </w:tc>
      </w:tr>
      <w:tr w:rsidR="0057131B"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57131B" w:rsidRDefault="00355A1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57131B" w:rsidRDefault="00355A1C">
            <w:pPr>
              <w:pStyle w:val="P68B1DB1-Normal42"/>
              <w:rPr>
                <w:bCs/>
              </w:rPr>
            </w:pPr>
            <w:r>
              <w:t>Värde för tillgångar under förvaring</w:t>
            </w:r>
          </w:p>
          <w:p w14:paraId="7FE1BBB4" w14:textId="77777777" w:rsidR="0057131B" w:rsidRDefault="00355A1C">
            <w:pPr>
              <w:pStyle w:val="P68B1DB1-TableParagraph13"/>
              <w:spacing w:before="108"/>
              <w:jc w:val="both"/>
            </w:pPr>
            <w:r>
              <w:t>Endast rapportera för funktion ID 3.6 ”Custoding-tjänster”: värdet av förvaltade tillgångar,</w:t>
            </w:r>
          </w:p>
          <w:p w14:paraId="7FE1BBB5" w14:textId="77777777" w:rsidR="0057131B" w:rsidRDefault="00355A1C">
            <w:pPr>
              <w:pStyle w:val="P68B1DB1-TableParagraph13"/>
              <w:spacing w:before="108"/>
              <w:jc w:val="both"/>
            </w:pPr>
            <w:r>
              <w:t>användning av verkligt värde. Om verkligt värde inte finns tillgängligt kan andra värderingsgrunder användas, t.ex. nominellt värde.</w:t>
            </w:r>
          </w:p>
          <w:p w14:paraId="7FE1BBB6" w14:textId="77777777" w:rsidR="0057131B" w:rsidRDefault="00355A1C">
            <w:pPr>
              <w:pStyle w:val="P68B1DB1-TableParagraph13"/>
              <w:spacing w:before="108"/>
              <w:jc w:val="both"/>
            </w:pPr>
            <w:r>
              <w:t>värdet är inte tillgängligt. I de fall där institutet tillhandahåller tjänster till enheter</w:t>
            </w:r>
          </w:p>
          <w:p w14:paraId="7FE1BBB7" w14:textId="77777777" w:rsidR="0057131B" w:rsidRDefault="00355A1C">
            <w:pPr>
              <w:pStyle w:val="P68B1DB1-TableParagraph13"/>
              <w:spacing w:before="108"/>
              <w:jc w:val="both"/>
            </w:pPr>
            <w:r>
              <w:t>till exempel företag för kollektiva investeringar eller pensionsfonder, kan de berörda tillgångarna</w:t>
            </w:r>
          </w:p>
          <w:p w14:paraId="7FE1BBB8" w14:textId="77777777" w:rsidR="0057131B" w:rsidRDefault="00355A1C">
            <w:pPr>
              <w:pStyle w:val="P68B1DB1-TableParagraph13"/>
              <w:spacing w:before="108"/>
              <w:jc w:val="both"/>
            </w:pPr>
            <w:r>
              <w:t>redovisas till det värde till vilket dessa företag redovisar tillgångarna i sin egen balansräkning.</w:t>
            </w:r>
          </w:p>
          <w:p w14:paraId="7FE1BBB9" w14:textId="77777777" w:rsidR="0057131B" w:rsidRDefault="00355A1C">
            <w:pPr>
              <w:pStyle w:val="P68B1DB1-TableParagraph13"/>
              <w:spacing w:before="108"/>
              <w:jc w:val="both"/>
              <w:rPr>
                <w:b/>
                <w:bCs/>
              </w:rPr>
            </w:pPr>
            <w:r>
              <w:t>De redovisade beloppen ska i tillämpliga fall innehålla upplupen ränta.</w:t>
            </w:r>
          </w:p>
        </w:tc>
      </w:tr>
      <w:tr w:rsidR="0057131B"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57131B" w:rsidRDefault="00355A1C">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57131B" w:rsidRDefault="00355A1C">
            <w:pPr>
              <w:pStyle w:val="P68B1DB1-TableParagraph14"/>
              <w:spacing w:before="108"/>
              <w:ind w:left="85"/>
              <w:jc w:val="both"/>
              <w:rPr>
                <w:bCs/>
              </w:rPr>
            </w:pPr>
            <w:r>
              <w:t>Gränsöverskridande värde</w:t>
            </w:r>
          </w:p>
          <w:p w14:paraId="7FE1BBBD" w14:textId="77777777" w:rsidR="0057131B" w:rsidRDefault="00355A1C">
            <w:pPr>
              <w:pStyle w:val="P68B1DB1-TableParagraph13"/>
              <w:spacing w:before="108"/>
              <w:ind w:left="85"/>
              <w:jc w:val="both"/>
            </w:pPr>
            <w:r>
              <w:t>För att undvika dubbelräkning när det gäller skickade transaktioner är gränsöverskridande transaktioner</w:t>
            </w:r>
          </w:p>
          <w:p w14:paraId="7FE1BBBE" w14:textId="77777777" w:rsidR="0057131B" w:rsidRDefault="00355A1C">
            <w:pPr>
              <w:pStyle w:val="P68B1DB1-TableParagraph13"/>
              <w:spacing w:before="108"/>
              <w:ind w:left="85"/>
              <w:jc w:val="both"/>
              <w:rPr>
                <w:b/>
                <w:bCs/>
              </w:rPr>
            </w:pPr>
            <w:r>
              <w:t>räknas i det land där transaktionen har sitt ursprung.</w:t>
            </w:r>
          </w:p>
        </w:tc>
      </w:tr>
      <w:tr w:rsidR="0057131B"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57131B" w:rsidRDefault="00355A1C">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57131B" w:rsidRDefault="00355A1C">
            <w:pPr>
              <w:pStyle w:val="P68B1DB1-Normal42"/>
              <w:rPr>
                <w:bCs/>
              </w:rPr>
            </w:pPr>
            <w:r>
              <w:t>Antal transaktioner</w:t>
            </w:r>
          </w:p>
          <w:p w14:paraId="7FE1BBC2" w14:textId="18871174" w:rsidR="0057131B" w:rsidRDefault="00355A1C">
            <w:pPr>
              <w:pStyle w:val="P68B1DB1-TableParagraph16"/>
              <w:spacing w:before="108"/>
              <w:jc w:val="both"/>
            </w:pPr>
            <w:r>
              <w:t xml:space="preserve">Som en allmän regel ska det genomsnittliga antalet dagliga transaktioner under året som motsvarar de värden som rapporteras under funktionerna ID 3.1–3.4 raderna 0160–0190, kolumn 0030, rapporteras. Om inget sådant finns tillgängligt kan ett medelvärde för en kortare period (t.ex. några månader) redovisas. Särskilt vad gäller de olika funktionerna ska följande åtgärder vidtas13: </w:t>
            </w:r>
          </w:p>
          <w:p w14:paraId="7FE1BBC3" w14:textId="77777777" w:rsidR="0057131B" w:rsidRDefault="00355A1C">
            <w:pPr>
              <w:pStyle w:val="P68B1DB1-TableParagraph16"/>
              <w:spacing w:before="108"/>
              <w:jc w:val="both"/>
            </w:pPr>
            <w:r>
              <w:t xml:space="preserve">Betaltjänster (ID 3.1–3.2): Antal sända transaktioner. Bakgrundsreferenser: Artikel 4.5 i </w:t>
            </w:r>
            <w:r>
              <w:lastRenderedPageBreak/>
              <w:t xml:space="preserve">EU-direktivet om betaltjänster på den inre marknaden (2015/2366). ECB:s förordning om betalningsstatistik (ECB/2013/43). </w:t>
            </w:r>
          </w:p>
          <w:p w14:paraId="7FE1BBC4" w14:textId="176A1AD0" w:rsidR="0057131B" w:rsidRDefault="00355A1C">
            <w:pPr>
              <w:pStyle w:val="P68B1DB1-TableParagraph16"/>
              <w:spacing w:before="108"/>
              <w:jc w:val="both"/>
            </w:pPr>
            <w:r>
              <w:t xml:space="preserve">Kontanttjänster (ID 3.3): Antalet uttagsautomattransaktioner, enligt definitionen i ECB/2021/16 tabell 5 a, såväl som uttag över disk, enligt definitionen i ECB/2014/15 tabell 4. </w:t>
            </w:r>
          </w:p>
          <w:p w14:paraId="7FE1BBC5" w14:textId="77777777" w:rsidR="0057131B" w:rsidRDefault="00355A1C">
            <w:pPr>
              <w:pStyle w:val="P68B1DB1-TableParagraph16"/>
              <w:spacing w:before="108"/>
              <w:jc w:val="both"/>
              <w:rPr>
                <w:b/>
                <w:bCs/>
                <w:color w:val="000000" w:themeColor="text1"/>
                <w:sz w:val="20"/>
                <w:szCs w:val="20"/>
              </w:rPr>
            </w:pPr>
            <w:r>
              <w:t>Värdepappersavvecklingstjänster (ID 3.4): Antalet värdepappersöverföringar för kunders räkning. Här ingår transaktioner genomförda i ett värdepappersavvecklingssystem eller genomförda internt av det redovisande institutet, samt ”betalfria” transaktioner.</w:t>
            </w:r>
          </w:p>
        </w:tc>
      </w:tr>
      <w:tr w:rsidR="0057131B"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57131B" w:rsidRDefault="00355A1C">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57131B" w:rsidRDefault="00355A1C">
            <w:pPr>
              <w:pStyle w:val="P68B1DB1-TableParagraph14"/>
              <w:spacing w:before="108"/>
              <w:ind w:left="85"/>
              <w:jc w:val="both"/>
              <w:rPr>
                <w:bCs/>
              </w:rPr>
            </w:pPr>
            <w:r>
              <w:t>Antal kunder</w:t>
            </w:r>
          </w:p>
          <w:p w14:paraId="7FE1BBC9" w14:textId="5C934B58" w:rsidR="0057131B" w:rsidRDefault="00355A1C">
            <w:pPr>
              <w:pStyle w:val="P68B1DB1-TableParagraph13"/>
              <w:spacing w:before="108"/>
              <w:ind w:left="85"/>
              <w:jc w:val="both"/>
            </w:pPr>
            <w:r>
              <w:t>Antal (inhemska och utländska) kunder till vilka tjänsten tillhandahålls. Om en kund använder en tjänst inom en underfunktion mer än en gång ska kunden endast räknas en gång.</w:t>
            </w:r>
          </w:p>
        </w:tc>
      </w:tr>
      <w:tr w:rsidR="0057131B"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57131B" w:rsidRDefault="00355A1C">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57131B" w:rsidRDefault="00355A1C">
            <w:pPr>
              <w:pStyle w:val="P68B1DB1-TableParagraph14"/>
              <w:spacing w:before="108"/>
              <w:jc w:val="both"/>
              <w:rPr>
                <w:bCs/>
              </w:rPr>
            </w:pPr>
            <w:r>
              <w:t>Konsekvensanalyser och analyser av godtagbarhet</w:t>
            </w:r>
          </w:p>
          <w:p w14:paraId="7FE1BBD0" w14:textId="77777777" w:rsidR="0057131B" w:rsidRDefault="00355A1C">
            <w:pPr>
              <w:pStyle w:val="P68B1DB1-TableParagraph13"/>
              <w:spacing w:before="108"/>
              <w:jc w:val="both"/>
            </w:pPr>
            <w:r>
              <w:t>Bedömningskriterierna för inverkan på tredje parter ska omfatta följande delar i enlighet med kommissionens delegerade förordning (EU) 2016/778 om kritiska funktioner:</w:t>
            </w:r>
          </w:p>
          <w:p w14:paraId="7FE1BBD1" w14:textId="77777777" w:rsidR="0057131B" w:rsidRDefault="00355A1C">
            <w:pPr>
              <w:pStyle w:val="P68B1DB1-ListParagraph38"/>
              <w:numPr>
                <w:ilvl w:val="0"/>
                <w:numId w:val="131"/>
              </w:numPr>
              <w:spacing w:line="276" w:lineRule="auto"/>
            </w:pPr>
            <w:r>
              <w:t>Aktivitetens art och omfattning, global, nationell eller regional omfattning, antal transaktioner och deras volym; antalet kunder och motparter; antalet kunder för vilka institutet är den enda eller den huvudsakliga bankpartnern.</w:t>
            </w:r>
          </w:p>
          <w:p w14:paraId="7FE1BBD2" w14:textId="77777777" w:rsidR="0057131B" w:rsidRDefault="00355A1C">
            <w:pPr>
              <w:pStyle w:val="P68B1DB1-ListParagraph38"/>
              <w:numPr>
                <w:ilvl w:val="0"/>
                <w:numId w:val="131"/>
              </w:numPr>
              <w:spacing w:line="276" w:lineRule="auto"/>
            </w:pPr>
            <w:r>
              <w:t>Institutets betydelse på lokal, regional, nationell eller europeisk nivå, beroende på vad som är relevant för den berörda marknaden. Institutets betydelse kan bedömas på grundval av marknadsandel, grad av sammanlänkning, komplexitet och gränsöverskridande verksamhet.</w:t>
            </w:r>
          </w:p>
          <w:p w14:paraId="7FE1BBD3" w14:textId="77777777" w:rsidR="0057131B" w:rsidRDefault="00355A1C">
            <w:pPr>
              <w:pStyle w:val="P68B1DB1-ListParagraph38"/>
              <w:numPr>
                <w:ilvl w:val="0"/>
                <w:numId w:val="131"/>
              </w:numPr>
              <w:spacing w:line="276" w:lineRule="auto"/>
            </w:pPr>
            <w:r>
              <w:t xml:space="preserve">Typen av kunder och intressenter som påverkas av funktionen, till exempel, men inte begränsat till, privatkunder, företagskunder, interbankkunder, centrala clearingorganisationer och offentliga organ. </w:t>
            </w:r>
          </w:p>
          <w:p w14:paraId="7FE1BBD4" w14:textId="77777777" w:rsidR="0057131B" w:rsidRDefault="00355A1C">
            <w:pPr>
              <w:pStyle w:val="P68B1DB1-ListParagraph38"/>
              <w:numPr>
                <w:ilvl w:val="0"/>
                <w:numId w:val="131"/>
              </w:numPr>
              <w:spacing w:line="276" w:lineRule="auto"/>
            </w:pPr>
            <w:r>
              <w:t>Den potentiella störning som drabbar marknader, infrastruktur, kunder och offentliga tjänster. Bedömningen kan särskilt innefatta effekten på de berörda marknadernas likviditet, påverkan och vidd av störningen för kundverksamheten, och kortfristiga likviditetsbehov; graden av märkbarhet hos motparter, kunder och allmänheten; kundernas reaktionsförmåga och reaktionshastighet; betydelsen för andra marknader; påverkan på en annan marknads likviditet, verksamhet och struktur; påverkan på andra motparter som är anknuta till de viktigaste kunderna och funktionens sammanlänkning med andra tjänster.</w:t>
            </w:r>
          </w:p>
          <w:p w14:paraId="7FE1BBD5"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57131B" w:rsidRDefault="00355A1C">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57131B" w:rsidRDefault="00355A1C">
            <w:pPr>
              <w:pStyle w:val="P68B1DB1-TableParagraph14"/>
              <w:spacing w:before="108"/>
              <w:jc w:val="both"/>
              <w:rPr>
                <w:bCs/>
              </w:rPr>
            </w:pPr>
            <w:r>
              <w:t xml:space="preserve">Natur och Reach </w:t>
            </w:r>
          </w:p>
          <w:p w14:paraId="7FE1BBD9" w14:textId="77777777" w:rsidR="0057131B" w:rsidRDefault="00355A1C">
            <w:pPr>
              <w:pStyle w:val="P68B1DB1-TableParagraph13"/>
              <w:spacing w:before="108"/>
              <w:jc w:val="both"/>
            </w:pPr>
            <w:r>
              <w:t>Transaktionernas globala, nationella eller regionala räckvidd, volym och antal. antalet kunder och motparter; antalet kunder för vilka institutet är den enda eller den huvudsakliga bankpartnern.</w:t>
            </w:r>
          </w:p>
        </w:tc>
      </w:tr>
      <w:tr w:rsidR="0057131B"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57131B" w:rsidRDefault="00355A1C">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57131B" w:rsidRDefault="00355A1C">
            <w:pPr>
              <w:pStyle w:val="P68B1DB1-TableParagraph14"/>
              <w:spacing w:before="108"/>
              <w:jc w:val="both"/>
              <w:rPr>
                <w:bCs/>
              </w:rPr>
            </w:pPr>
            <w:r>
              <w:t>Storleksindikator 1</w:t>
            </w:r>
          </w:p>
          <w:p w14:paraId="0D530995"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BDD" w14:textId="31D8226E" w:rsidR="0057131B" w:rsidRDefault="0057131B">
            <w:pPr>
              <w:pStyle w:val="TableParagraph"/>
              <w:spacing w:before="108"/>
              <w:jc w:val="both"/>
              <w:rPr>
                <w:rFonts w:ascii="Times New Roman" w:hAnsi="Times New Roman" w:cs="Times New Roman"/>
                <w:color w:val="000000" w:themeColor="text1"/>
                <w:sz w:val="20"/>
                <w:szCs w:val="20"/>
              </w:rPr>
            </w:pPr>
          </w:p>
          <w:p w14:paraId="7FE1BBDE" w14:textId="19F9153D" w:rsidR="0057131B" w:rsidRDefault="00355A1C">
            <w:pPr>
              <w:pStyle w:val="P68B1DB1-ListParagraph32"/>
              <w:numPr>
                <w:ilvl w:val="0"/>
                <w:numId w:val="300"/>
              </w:numPr>
              <w:spacing w:line="276" w:lineRule="auto"/>
            </w:pPr>
            <w:r>
              <w:lastRenderedPageBreak/>
              <w:t xml:space="preserve">Expertbedömning av transaktionsvärdet </w:t>
            </w:r>
            <w:r>
              <w:rPr>
                <w:b/>
              </w:rPr>
              <w:t>(</w:t>
            </w:r>
            <w:r>
              <w:t xml:space="preserve"> c0030 för funktionerna ID 3.1, 3.2, 3.3 och 3.4). öppna positioner (c0050 för ID 3.5). eller totala förvarade tillgångar (c0060 för ID 3.6) ur ett </w:t>
            </w:r>
            <w:r>
              <w:rPr>
                <w:b/>
              </w:rPr>
              <w:t>EU-perspektiv</w:t>
            </w:r>
            <w:r>
              <w:t xml:space="preserve"> [</w:t>
            </w:r>
            <w:r>
              <w:rPr>
                <w:i/>
              </w:rPr>
              <w:t>en nivå högre än den relevanta marknaden]</w:t>
            </w:r>
            <w:r>
              <w:t xml:space="preserve">: </w:t>
            </w:r>
          </w:p>
          <w:p w14:paraId="7FE1BBDF" w14:textId="77777777" w:rsidR="0057131B" w:rsidRDefault="00355A1C">
            <w:pPr>
              <w:pStyle w:val="P68B1DB1-ListParagraph32"/>
              <w:numPr>
                <w:ilvl w:val="0"/>
                <w:numId w:val="126"/>
              </w:numPr>
              <w:spacing w:line="276" w:lineRule="auto"/>
            </w:pPr>
            <w:r>
              <w:t xml:space="preserve">Ur ett EU-perspektiv, hur stort tror du att värdet av de transaktioner som din bank behandlar </w:t>
            </w:r>
            <w:r>
              <w:rPr>
                <w:i/>
              </w:rPr>
              <w:t>eller</w:t>
            </w:r>
            <w:r>
              <w:t xml:space="preserve"> de öppna positionerna hos din banks kunder hos centrala motparter, </w:t>
            </w:r>
            <w:r>
              <w:rPr>
                <w:i/>
              </w:rPr>
              <w:t>eller</w:t>
            </w:r>
            <w:r>
              <w:t xml:space="preserve"> de totala tillgångar som ditt institut håller under förvaring för sina kunder, är?</w:t>
            </w:r>
          </w:p>
        </w:tc>
      </w:tr>
      <w:tr w:rsidR="0057131B"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57131B" w:rsidRDefault="00355A1C">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57131B" w:rsidRDefault="00355A1C">
            <w:pPr>
              <w:pStyle w:val="P68B1DB1-TableParagraph14"/>
              <w:spacing w:before="108"/>
              <w:jc w:val="both"/>
              <w:rPr>
                <w:bCs/>
              </w:rPr>
            </w:pPr>
            <w:r>
              <w:t>Storleksindikator 2</w:t>
            </w:r>
          </w:p>
          <w:p w14:paraId="7D6A05E9"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BE3" w14:textId="27BCCC99" w:rsidR="0057131B" w:rsidRDefault="00355A1C">
            <w:pPr>
              <w:pStyle w:val="P68B1DB1-TableParagraph13"/>
              <w:spacing w:before="108"/>
              <w:jc w:val="both"/>
            </w:pPr>
            <w:r>
              <w:t xml:space="preserve"> </w:t>
            </w:r>
          </w:p>
          <w:p w14:paraId="7FE1BBE4" w14:textId="0FB26117" w:rsidR="0057131B" w:rsidRDefault="00355A1C">
            <w:pPr>
              <w:pStyle w:val="P68B1DB1-ListParagraph32"/>
              <w:numPr>
                <w:ilvl w:val="0"/>
                <w:numId w:val="120"/>
              </w:numPr>
              <w:spacing w:line="276" w:lineRule="auto"/>
            </w:pPr>
            <w:r>
              <w:t xml:space="preserve">Expertbedömning av </w:t>
            </w:r>
            <w:r>
              <w:rPr>
                <w:b/>
              </w:rPr>
              <w:t>antalet</w:t>
            </w:r>
            <w:r>
              <w:t xml:space="preserve"> transaktioner (c0100 för funktion ID 3.1, 3.2, 3.3 och 3.4). eller antal kunder (c0110 för ID 3.5 och 3.6) ur ett </w:t>
            </w:r>
            <w:r>
              <w:rPr>
                <w:b/>
              </w:rPr>
              <w:t>nationellt</w:t>
            </w:r>
            <w:r>
              <w:t xml:space="preserve"> perspektiv [</w:t>
            </w:r>
            <w:r>
              <w:rPr>
                <w:i/>
              </w:rPr>
              <w:t>på nivån för den relevanta marknaden</w:t>
            </w:r>
            <w:r>
              <w:t>]:</w:t>
            </w:r>
          </w:p>
          <w:p w14:paraId="7FE1BBE5" w14:textId="77777777" w:rsidR="0057131B" w:rsidRDefault="00355A1C">
            <w:pPr>
              <w:pStyle w:val="P68B1DB1-ListParagraph32"/>
              <w:numPr>
                <w:ilvl w:val="1"/>
                <w:numId w:val="124"/>
              </w:numPr>
              <w:spacing w:line="276" w:lineRule="auto"/>
            </w:pPr>
            <w:r>
              <w:t>Hur stort är det uppskattade totala antalet transaktioner</w:t>
            </w:r>
            <w:r>
              <w:rPr>
                <w:i/>
              </w:rPr>
              <w:t xml:space="preserve"> eller</w:t>
            </w:r>
            <w:r>
              <w:t xml:space="preserve"> det uppskattade antalet kunder till ditt institut ur ett nationellt perspektiv?</w:t>
            </w:r>
          </w:p>
          <w:p w14:paraId="7FE1BBE6" w14:textId="77777777" w:rsidR="0057131B" w:rsidRDefault="0057131B">
            <w:pPr>
              <w:spacing w:line="276" w:lineRule="auto"/>
              <w:rPr>
                <w:rFonts w:ascii="Times New Roman" w:hAnsi="Times New Roman"/>
                <w:color w:val="000000" w:themeColor="text1"/>
                <w:sz w:val="20"/>
                <w:szCs w:val="20"/>
              </w:rPr>
            </w:pPr>
          </w:p>
        </w:tc>
      </w:tr>
      <w:tr w:rsidR="0057131B"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57131B" w:rsidRDefault="00355A1C">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57131B" w:rsidRDefault="00355A1C">
            <w:pPr>
              <w:pStyle w:val="P68B1DB1-TableParagraph14"/>
              <w:spacing w:before="108"/>
              <w:jc w:val="both"/>
              <w:rPr>
                <w:bCs/>
              </w:rPr>
            </w:pPr>
            <w:r>
              <w:t>Indikator för gränsöverskridande verksamhet</w:t>
            </w:r>
          </w:p>
          <w:p w14:paraId="7FE1BBEA" w14:textId="77777777" w:rsidR="0057131B" w:rsidRDefault="00355A1C">
            <w:pPr>
              <w:pStyle w:val="P68B1DB1-TableParagraph13"/>
              <w:spacing w:before="108"/>
              <w:jc w:val="both"/>
            </w:pPr>
            <w:r>
              <w:t>Bedöma den gränsöverskridande verksamhetens relativa betydelse för de olika ekonomiska funktionerna.</w:t>
            </w:r>
          </w:p>
          <w:p w14:paraId="7FE1BBEB" w14:textId="77777777" w:rsidR="0057131B" w:rsidRDefault="00355A1C">
            <w:pPr>
              <w:pStyle w:val="P68B1DB1-TableParagraph13"/>
              <w:spacing w:before="108"/>
              <w:jc w:val="both"/>
            </w:pPr>
            <w:r>
              <w:t xml:space="preserve">Detta behöver inte bedömas när det gäller rapporter där den relevanta marknaden anses vara regional. </w:t>
            </w:r>
          </w:p>
          <w:p w14:paraId="31893031" w14:textId="17F40C8B" w:rsidR="0057131B" w:rsidRDefault="00355A1C">
            <w:pPr>
              <w:pStyle w:val="P68B1DB1-TableParagraph33"/>
              <w:spacing w:before="108"/>
              <w:jc w:val="both"/>
            </w:pPr>
            <w:r>
              <w:t xml:space="preserve">Antal EU-länder där den rapporterande enheten har en marknadsandel på över 2 % (uttryckt i värde av betalningar, värdepapper eller kontanttransaktioner, eller öppna kundpositioner hos centrala motparter, eller totala tillgångar som förvaras). Betänkande: </w:t>
            </w:r>
          </w:p>
          <w:p w14:paraId="58BCAA6E" w14:textId="090336B0" w:rsidR="0057131B" w:rsidRDefault="00355A1C">
            <w:pPr>
              <w:pStyle w:val="P68B1DB1-TableParagraph33"/>
              <w:numPr>
                <w:ilvl w:val="0"/>
                <w:numId w:val="282"/>
              </w:numPr>
              <w:spacing w:before="108"/>
              <w:jc w:val="both"/>
            </w:pPr>
            <w:r>
              <w:t xml:space="preserve">≤ 1 land. </w:t>
            </w:r>
          </w:p>
          <w:p w14:paraId="5B55A7F9" w14:textId="6B3C23F3" w:rsidR="0057131B" w:rsidRDefault="00355A1C">
            <w:pPr>
              <w:pStyle w:val="P68B1DB1-TableParagraph33"/>
              <w:numPr>
                <w:ilvl w:val="0"/>
                <w:numId w:val="282"/>
              </w:numPr>
              <w:spacing w:before="108"/>
              <w:jc w:val="both"/>
            </w:pPr>
            <w:r>
              <w:t>2–3 länder</w:t>
            </w:r>
          </w:p>
          <w:p w14:paraId="6A334CED" w14:textId="15F946E0" w:rsidR="0057131B" w:rsidRDefault="00355A1C">
            <w:pPr>
              <w:pStyle w:val="P68B1DB1-TableParagraph33"/>
              <w:numPr>
                <w:ilvl w:val="0"/>
                <w:numId w:val="282"/>
              </w:numPr>
              <w:spacing w:before="108"/>
              <w:jc w:val="both"/>
            </w:pPr>
            <w:r>
              <w:t xml:space="preserve">4–5 länder. </w:t>
            </w:r>
          </w:p>
          <w:p w14:paraId="4D1B0AB8" w14:textId="03F4FDF2" w:rsidR="0057131B" w:rsidRDefault="00355A1C">
            <w:pPr>
              <w:pStyle w:val="P68B1DB1-TableParagraph33"/>
              <w:numPr>
                <w:ilvl w:val="0"/>
                <w:numId w:val="282"/>
              </w:numPr>
              <w:spacing w:before="108"/>
              <w:jc w:val="both"/>
            </w:pPr>
            <w:r>
              <w:t xml:space="preserve">&gt; 5 länder, </w:t>
            </w:r>
          </w:p>
          <w:p w14:paraId="7FE1BBED" w14:textId="6A2A41A1" w:rsidR="0057131B" w:rsidRDefault="00355A1C">
            <w:pPr>
              <w:pStyle w:val="P68B1DB1-TableParagraph33"/>
              <w:spacing w:before="108"/>
              <w:jc w:val="both"/>
              <w:rPr>
                <w:rFonts w:cs="Times New Roman"/>
                <w:color w:val="000000" w:themeColor="text1"/>
              </w:rPr>
            </w:pPr>
            <w:r>
              <w:t xml:space="preserve"> </w:t>
            </w:r>
          </w:p>
        </w:tc>
      </w:tr>
      <w:tr w:rsidR="0057131B"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57131B" w:rsidRDefault="00355A1C">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57131B" w:rsidRDefault="00355A1C">
            <w:pPr>
              <w:pStyle w:val="P68B1DB1-TableParagraph14"/>
              <w:spacing w:before="108"/>
              <w:jc w:val="both"/>
              <w:rPr>
                <w:bCs/>
              </w:rPr>
            </w:pPr>
            <w:r>
              <w:t xml:space="preserve">Relevans — </w:t>
            </w:r>
          </w:p>
          <w:p w14:paraId="7FE1BBF1" w14:textId="77777777" w:rsidR="0057131B" w:rsidRDefault="00355A1C">
            <w:pPr>
              <w:pStyle w:val="P68B1DB1-TableParagraph13"/>
              <w:spacing w:before="108"/>
              <w:jc w:val="both"/>
            </w:pPr>
            <w:r>
              <w:t>På lokal, regional, nationell eller europeisk nivå, beroende på vad som är relevant för den berörda marknaden. Institutets betydelse kan bedömas på grundval av marknadsandel, grad av sammanlänkning, komplexitet och gränsöverskridande verksamhet.</w:t>
            </w:r>
          </w:p>
          <w:p w14:paraId="7FE1BBF2" w14:textId="77777777" w:rsidR="0057131B" w:rsidRDefault="00355A1C">
            <w:pPr>
              <w:pStyle w:val="P68B1DB1-TableParagraph14"/>
              <w:spacing w:before="108"/>
              <w:jc w:val="both"/>
              <w:rPr>
                <w:bCs/>
              </w:rPr>
            </w:pPr>
            <w:r>
              <w:t>Marknadsandel</w:t>
            </w:r>
          </w:p>
          <w:p w14:paraId="30AC503F" w14:textId="77777777" w:rsidR="0057131B" w:rsidRDefault="00355A1C">
            <w:pPr>
              <w:pStyle w:val="P68B1DB1-Normal31"/>
              <w:spacing w:line="276" w:lineRule="auto"/>
              <w:jc w:val="both"/>
            </w:pPr>
            <w:r>
              <w:t xml:space="preserve">Bedöma hur viktig den rapporterande enhetens marknadsandel är, jämfört med den nationella eller andra relevanta marknaden, enligt vad som anges i mallen. Denna bedömning uttrycks kvalitativt som </w:t>
            </w:r>
          </w:p>
          <w:p w14:paraId="5D8F45F8" w14:textId="77777777" w:rsidR="0057131B" w:rsidRDefault="00355A1C">
            <w:pPr>
              <w:pStyle w:val="P68B1DB1-ListParagraph32"/>
              <w:numPr>
                <w:ilvl w:val="0"/>
                <w:numId w:val="276"/>
              </w:numPr>
              <w:spacing w:line="276" w:lineRule="auto"/>
              <w:jc w:val="both"/>
            </w:pPr>
            <w:r>
              <w:t>Hög, om marknadsandelen är stor</w:t>
            </w:r>
          </w:p>
          <w:p w14:paraId="5C7C2710" w14:textId="77777777" w:rsidR="0057131B" w:rsidRDefault="00355A1C">
            <w:pPr>
              <w:pStyle w:val="P68B1DB1-ListParagraph32"/>
              <w:numPr>
                <w:ilvl w:val="0"/>
                <w:numId w:val="276"/>
              </w:numPr>
              <w:spacing w:line="276" w:lineRule="auto"/>
              <w:jc w:val="both"/>
            </w:pPr>
            <w:r>
              <w:t>Medelhög, om marknadsandelen är medelhög</w:t>
            </w:r>
          </w:p>
          <w:p w14:paraId="21F38734" w14:textId="77777777" w:rsidR="0057131B" w:rsidRDefault="00355A1C">
            <w:pPr>
              <w:pStyle w:val="P68B1DB1-ListParagraph32"/>
              <w:numPr>
                <w:ilvl w:val="0"/>
                <w:numId w:val="276"/>
              </w:numPr>
              <w:spacing w:line="276" w:lineRule="auto"/>
              <w:jc w:val="both"/>
            </w:pPr>
            <w:r>
              <w:t xml:space="preserve">Medellåg, om marknadsandelen är liten eller </w:t>
            </w:r>
          </w:p>
          <w:p w14:paraId="16968912" w14:textId="77777777" w:rsidR="0057131B" w:rsidRDefault="00355A1C">
            <w:pPr>
              <w:pStyle w:val="P68B1DB1-ListParagraph32"/>
              <w:numPr>
                <w:ilvl w:val="0"/>
                <w:numId w:val="276"/>
              </w:numPr>
              <w:spacing w:line="276" w:lineRule="auto"/>
              <w:jc w:val="both"/>
            </w:pPr>
            <w:r>
              <w:lastRenderedPageBreak/>
              <w:t xml:space="preserve">Låg, om marknadsandelen är försumbar. </w:t>
            </w:r>
          </w:p>
          <w:p w14:paraId="7FE1BBF7" w14:textId="3931B1D9" w:rsidR="0057131B" w:rsidRDefault="0057131B">
            <w:pPr>
              <w:pStyle w:val="ListParagraph"/>
              <w:spacing w:line="276" w:lineRule="auto"/>
              <w:jc w:val="both"/>
              <w:rPr>
                <w:rFonts w:ascii="Times New Roman" w:eastAsiaTheme="minorHAnsi" w:hAnsi="Times New Roman"/>
                <w:color w:val="000000" w:themeColor="text1"/>
                <w:sz w:val="20"/>
                <w:szCs w:val="20"/>
              </w:rPr>
            </w:pPr>
          </w:p>
          <w:p w14:paraId="7FE1BBF8" w14:textId="77777777" w:rsidR="0057131B" w:rsidRDefault="00355A1C">
            <w:pPr>
              <w:pStyle w:val="P68B1DB1-TableParagraph13"/>
              <w:spacing w:before="108"/>
              <w:jc w:val="both"/>
            </w:pPr>
            <w:r>
              <w:t xml:space="preserve">Denna bedömning tar hänsyn till marknadsstrukturen i den rapporterande enhetens land (eller annan relevant marknad) och marknadsandelar som rapporteras delvis </w:t>
            </w:r>
          </w:p>
          <w:p w14:paraId="7FE1BBF9" w14:textId="77777777" w:rsidR="0057131B" w:rsidRDefault="00355A1C">
            <w:pPr>
              <w:pStyle w:val="P68B1DB1-TableParagraph13"/>
              <w:spacing w:before="108"/>
              <w:jc w:val="both"/>
            </w:pPr>
            <w:r>
              <w:t>2.Kvantitativa uppgifter:</w:t>
            </w:r>
          </w:p>
          <w:p w14:paraId="7FE1BBFA" w14:textId="77777777" w:rsidR="0057131B" w:rsidRDefault="00355A1C">
            <w:pPr>
              <w:pStyle w:val="P68B1DB1-ListParagraph32"/>
              <w:numPr>
                <w:ilvl w:val="0"/>
                <w:numId w:val="117"/>
              </w:numPr>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BFB"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BFC"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57131B" w:rsidRDefault="00355A1C">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57131B" w:rsidRDefault="00355A1C">
            <w:pPr>
              <w:pStyle w:val="P68B1DB1-TableParagraph14"/>
              <w:spacing w:before="108"/>
              <w:jc w:val="both"/>
              <w:rPr>
                <w:bCs/>
              </w:rPr>
            </w:pPr>
            <w:r>
              <w:t>Marknadsstruktur – marknadskoncentration</w:t>
            </w:r>
          </w:p>
          <w:p w14:paraId="7FE1BC00" w14:textId="77777777" w:rsidR="0057131B" w:rsidRDefault="00355A1C">
            <w:pPr>
              <w:pStyle w:val="P68B1DB1-TableParagraph13"/>
              <w:spacing w:before="108"/>
              <w:jc w:val="both"/>
            </w:pPr>
            <w:r>
              <w:t xml:space="preserve">Marknadskoncentrationen, mätt i antalet konkurrenter som för närvarande presterar </w:t>
            </w:r>
          </w:p>
          <w:p w14:paraId="7FE1BC01" w14:textId="77777777" w:rsidR="0057131B" w:rsidRDefault="00355A1C">
            <w:pPr>
              <w:pStyle w:val="P68B1DB1-TableParagraph13"/>
              <w:spacing w:before="108"/>
              <w:jc w:val="both"/>
            </w:pPr>
            <w:r>
              <w:t xml:space="preserve">liknande ekonomiska funktioner och/eller liknande tjänster på lika villkor (dvs. </w:t>
            </w:r>
          </w:p>
          <w:p w14:paraId="7FE1BC02" w14:textId="77777777" w:rsidR="0057131B" w:rsidRDefault="00355A1C">
            <w:pPr>
              <w:pStyle w:val="P68B1DB1-TableParagraph13"/>
              <w:spacing w:before="108"/>
              <w:jc w:val="both"/>
            </w:pPr>
            <w:r>
              <w:t xml:space="preserve">jämförbar omfattning och kvalitet och till en jämförbar kostnad) som potentiellt tar över </w:t>
            </w:r>
          </w:p>
          <w:p w14:paraId="7FE1BC03" w14:textId="77777777" w:rsidR="0057131B" w:rsidRDefault="00355A1C">
            <w:pPr>
              <w:pStyle w:val="P68B1DB1-TableParagraph13"/>
              <w:spacing w:before="108"/>
              <w:jc w:val="both"/>
            </w:pPr>
            <w:r>
              <w:t xml:space="preserve">(del av) det rapporterande företagets kunder och/eller verksamhet inom rimlig tid. </w:t>
            </w:r>
          </w:p>
          <w:p w14:paraId="7FE1BC04" w14:textId="77777777" w:rsidR="0057131B" w:rsidRDefault="00355A1C">
            <w:pPr>
              <w:pStyle w:val="P68B1DB1-TableParagraph13"/>
              <w:spacing w:before="108"/>
              <w:jc w:val="both"/>
            </w:pPr>
            <w:r>
              <w:t xml:space="preserve">Detta ska rapporteras i undergrupper, som är desamma för varje underfunktion. </w:t>
            </w:r>
          </w:p>
          <w:p w14:paraId="4C2F14CB" w14:textId="77777777" w:rsidR="0057131B" w:rsidRDefault="00355A1C">
            <w:pPr>
              <w:pStyle w:val="P68B1DB1-ListParagraph32"/>
              <w:numPr>
                <w:ilvl w:val="0"/>
                <w:numId w:val="277"/>
              </w:numPr>
              <w:jc w:val="both"/>
            </w:pPr>
            <w:r>
              <w:t xml:space="preserve">&gt; 20 konkurrenter; </w:t>
            </w:r>
          </w:p>
          <w:p w14:paraId="453D853E" w14:textId="77777777" w:rsidR="0057131B" w:rsidRDefault="00355A1C">
            <w:pPr>
              <w:pStyle w:val="P68B1DB1-ListParagraph32"/>
              <w:numPr>
                <w:ilvl w:val="0"/>
                <w:numId w:val="277"/>
              </w:numPr>
              <w:jc w:val="both"/>
            </w:pPr>
            <w:r>
              <w:t xml:space="preserve">11–20 konkurrenter. </w:t>
            </w:r>
          </w:p>
          <w:p w14:paraId="642D6421" w14:textId="77777777" w:rsidR="0057131B" w:rsidRDefault="00355A1C">
            <w:pPr>
              <w:pStyle w:val="P68B1DB1-ListParagraph32"/>
              <w:numPr>
                <w:ilvl w:val="0"/>
                <w:numId w:val="277"/>
              </w:numPr>
              <w:jc w:val="both"/>
            </w:pPr>
            <w:r>
              <w:t xml:space="preserve">5–10 konkurrenter. </w:t>
            </w:r>
          </w:p>
          <w:p w14:paraId="3C672034" w14:textId="77777777" w:rsidR="0057131B" w:rsidRDefault="00355A1C">
            <w:pPr>
              <w:pStyle w:val="P68B1DB1-ListParagraph32"/>
              <w:numPr>
                <w:ilvl w:val="0"/>
                <w:numId w:val="277"/>
              </w:numPr>
              <w:jc w:val="both"/>
              <w:rPr>
                <w:b/>
                <w:bCs/>
                <w:color w:val="000000" w:themeColor="text1"/>
              </w:rPr>
            </w:pPr>
            <w:r>
              <w:t>5 konkurrenter</w:t>
            </w:r>
          </w:p>
          <w:p w14:paraId="7FE1BC08" w14:textId="3B09659F" w:rsidR="0057131B" w:rsidRDefault="0057131B">
            <w:pPr>
              <w:jc w:val="both"/>
              <w:rPr>
                <w:rFonts w:ascii="Times New Roman" w:hAnsi="Times New Roman"/>
                <w:color w:val="000000" w:themeColor="text1"/>
                <w:sz w:val="20"/>
                <w:szCs w:val="20"/>
              </w:rPr>
            </w:pPr>
          </w:p>
        </w:tc>
      </w:tr>
      <w:tr w:rsidR="0057131B"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57131B" w:rsidRDefault="00355A1C">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57131B" w:rsidRDefault="00355A1C">
            <w:pPr>
              <w:pStyle w:val="P68B1DB1-TableParagraph14"/>
              <w:spacing w:before="108"/>
              <w:jc w:val="both"/>
              <w:rPr>
                <w:bCs/>
              </w:rPr>
            </w:pPr>
            <w:r>
              <w:t>Tidpunkt – förväntad tid för ersättning</w:t>
            </w:r>
          </w:p>
          <w:p w14:paraId="7FE1BC0C" w14:textId="77777777" w:rsidR="0057131B" w:rsidRDefault="00355A1C">
            <w:pPr>
              <w:pStyle w:val="P68B1DB1-TableParagraph13"/>
              <w:spacing w:before="108"/>
              <w:jc w:val="both"/>
            </w:pPr>
            <w:r>
              <w:t>Uppskatta den tid som krävs för den ekonomiska funktion som rapporteringen ger</w:t>
            </w:r>
          </w:p>
          <w:p w14:paraId="7FE1BC0D" w14:textId="77777777" w:rsidR="0057131B" w:rsidRDefault="00355A1C">
            <w:pPr>
              <w:pStyle w:val="P68B1DB1-TableParagraph13"/>
              <w:spacing w:before="108"/>
              <w:jc w:val="both"/>
            </w:pPr>
            <w:r>
              <w:t xml:space="preserve">enhet som ska absorberas av marknaden i en krissituation. Stödet omfattar </w:t>
            </w:r>
          </w:p>
          <w:p w14:paraId="7FE1BC0E" w14:textId="77777777" w:rsidR="0057131B" w:rsidRDefault="00355A1C">
            <w:pPr>
              <w:pStyle w:val="P68B1DB1-ListParagraph38"/>
              <w:numPr>
                <w:ilvl w:val="0"/>
                <w:numId w:val="274"/>
              </w:numPr>
              <w:jc w:val="both"/>
            </w:pPr>
            <w:r>
              <w:t xml:space="preserve">den tid som en eller flera konkurrenter förväntas behöva för att genomföra de rättsliga och tekniska åtgärderna för att ta över funktionen. och  </w:t>
            </w:r>
          </w:p>
          <w:p w14:paraId="7FE1BC0F" w14:textId="77777777" w:rsidR="0057131B" w:rsidRDefault="00355A1C">
            <w:pPr>
              <w:pStyle w:val="P68B1DB1-ListParagraph38"/>
              <w:numPr>
                <w:ilvl w:val="0"/>
                <w:numId w:val="274"/>
              </w:numPr>
              <w:jc w:val="both"/>
            </w:pPr>
            <w:r>
              <w:t xml:space="preserve">den tid som användarna av tjänsten behöver för att flytta till en annan tjänsteleverantör. </w:t>
            </w:r>
          </w:p>
          <w:p w14:paraId="7FE1BC10"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11" w14:textId="77777777" w:rsidR="0057131B" w:rsidRDefault="00355A1C">
            <w:pPr>
              <w:pStyle w:val="P68B1DB1-TableParagraph13"/>
              <w:spacing w:before="108"/>
              <w:jc w:val="both"/>
            </w:pPr>
            <w:r>
              <w:t>Som proxyvariabel för den förstnämnda, ge en uppskattning av den tid det skulle ta den rapporterande enheten att absorbera i sin egen verksamhet (en del av) den tjänst som tillhandahålls av ett annat institut, till en rimlig kostnad, i en krissituation. Rapportera den beräknade tiden för substitution i de undergrupper som anges i mallen:</w:t>
            </w:r>
          </w:p>
          <w:p w14:paraId="7FE1BC12" w14:textId="77777777" w:rsidR="0057131B" w:rsidRDefault="0057131B">
            <w:pPr>
              <w:jc w:val="both"/>
              <w:rPr>
                <w:rFonts w:ascii="Times New Roman" w:eastAsia="Times New Roman" w:hAnsi="Times New Roman" w:cs="Times New Roman"/>
                <w:sz w:val="20"/>
                <w:szCs w:val="20"/>
              </w:rPr>
            </w:pPr>
          </w:p>
          <w:p w14:paraId="7FE1BC13" w14:textId="77777777" w:rsidR="0057131B" w:rsidRDefault="00355A1C">
            <w:pPr>
              <w:pStyle w:val="P68B1DB1-Normal31"/>
              <w:jc w:val="both"/>
            </w:pPr>
            <w:bookmarkStart w:id="118" w:name="_Hlk194476081"/>
            <w:r>
              <w:t xml:space="preserve">Undergrupper: </w:t>
            </w:r>
          </w:p>
          <w:p w14:paraId="7FE1BC14" w14:textId="728C4DE4" w:rsidR="0057131B" w:rsidRDefault="00355A1C">
            <w:pPr>
              <w:pStyle w:val="P68B1DB1-ListParagraph32"/>
              <w:numPr>
                <w:ilvl w:val="0"/>
                <w:numId w:val="284"/>
              </w:numPr>
              <w:jc w:val="both"/>
            </w:pPr>
            <w:r>
              <w:t xml:space="preserve">1 dag. </w:t>
            </w:r>
          </w:p>
          <w:p w14:paraId="7FE1BC15" w14:textId="15883A0D" w:rsidR="0057131B" w:rsidRDefault="00355A1C">
            <w:pPr>
              <w:pStyle w:val="P68B1DB1-ListParagraph32"/>
              <w:numPr>
                <w:ilvl w:val="0"/>
                <w:numId w:val="284"/>
              </w:numPr>
              <w:jc w:val="both"/>
            </w:pPr>
            <w:r>
              <w:t xml:space="preserve">1–2 dagar, </w:t>
            </w:r>
          </w:p>
          <w:p w14:paraId="7FE1BC16" w14:textId="0B950876" w:rsidR="0057131B" w:rsidRDefault="00355A1C">
            <w:pPr>
              <w:pStyle w:val="P68B1DB1-ListParagraph32"/>
              <w:numPr>
                <w:ilvl w:val="0"/>
                <w:numId w:val="284"/>
              </w:numPr>
              <w:jc w:val="both"/>
            </w:pPr>
            <w:r>
              <w:t xml:space="preserve">&gt; 2 dagar ≤ 1 vecka </w:t>
            </w:r>
          </w:p>
          <w:p w14:paraId="7FE1BC17" w14:textId="0973D87D" w:rsidR="0057131B" w:rsidRDefault="00355A1C">
            <w:pPr>
              <w:pStyle w:val="P68B1DB1-ListParagraph32"/>
              <w:numPr>
                <w:ilvl w:val="0"/>
                <w:numId w:val="284"/>
              </w:numPr>
              <w:jc w:val="both"/>
            </w:pPr>
            <w:r>
              <w:t xml:space="preserve">&gt; 1 vecka </w:t>
            </w:r>
          </w:p>
          <w:bookmarkEnd w:id="118"/>
          <w:p w14:paraId="7FE1BC18"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57131B" w:rsidRDefault="00355A1C">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57131B" w:rsidRDefault="00355A1C">
            <w:pPr>
              <w:pStyle w:val="P68B1DB1-TableParagraph14"/>
              <w:spacing w:before="108"/>
              <w:jc w:val="both"/>
              <w:rPr>
                <w:bCs/>
              </w:rPr>
            </w:pPr>
            <w:r>
              <w:t>Substitutionsförmåga</w:t>
            </w:r>
          </w:p>
        </w:tc>
      </w:tr>
      <w:tr w:rsidR="0057131B"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57131B" w:rsidRDefault="00355A1C">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57131B" w:rsidRDefault="00355A1C">
            <w:pPr>
              <w:pStyle w:val="P68B1DB1-TableParagraph14"/>
              <w:spacing w:before="108"/>
              <w:jc w:val="both"/>
              <w:rPr>
                <w:bCs/>
              </w:rPr>
            </w:pPr>
            <w:r>
              <w:t>Rättsliga hinder för inträde eller expansion</w:t>
            </w:r>
          </w:p>
          <w:p w14:paraId="7FE1BC1F"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20" w14:textId="77777777" w:rsidR="0057131B" w:rsidRDefault="00355A1C">
            <w:pPr>
              <w:pStyle w:val="P68B1DB1-TableParagraph13"/>
              <w:spacing w:before="108"/>
              <w:jc w:val="both"/>
            </w:pPr>
            <w:r>
              <w:t xml:space="preserve">Rättsliga hinder för konkurrenter att erbjuda tjänsten. Rättsliga krav för att bedriva verksamhet i kreditinstitut (t.ex. banklicenser eller kapitalkrav) ska inte betraktas som oöverstigliga hinder i </w:t>
            </w:r>
            <w:r>
              <w:lastRenderedPageBreak/>
              <w:t xml:space="preserve">närvaro av alternativa tillhandahållare. Denna indikator ska rapporteras i undergrupper, som är desamma för varje underfunktion: </w:t>
            </w:r>
          </w:p>
          <w:p w14:paraId="7FE1BC21" w14:textId="474C67C3" w:rsidR="0057131B" w:rsidRDefault="00355A1C">
            <w:pPr>
              <w:pStyle w:val="P68B1DB1-ListParagraph39"/>
              <w:numPr>
                <w:ilvl w:val="0"/>
                <w:numId w:val="275"/>
              </w:numPr>
              <w:jc w:val="both"/>
            </w:pPr>
            <w:r>
              <w:t xml:space="preserve">inga större hinder, </w:t>
            </w:r>
          </w:p>
          <w:p w14:paraId="7FE1BC22" w14:textId="2597009C" w:rsidR="0057131B" w:rsidRDefault="00355A1C">
            <w:pPr>
              <w:pStyle w:val="P68B1DB1-ListParagraph39"/>
              <w:numPr>
                <w:ilvl w:val="0"/>
                <w:numId w:val="275"/>
              </w:numPr>
              <w:jc w:val="both"/>
            </w:pPr>
            <w:r>
              <w:t xml:space="preserve">vissa hinder, </w:t>
            </w:r>
          </w:p>
          <w:p w14:paraId="7FE1BC23" w14:textId="78601E46" w:rsidR="0057131B" w:rsidRDefault="00355A1C">
            <w:pPr>
              <w:pStyle w:val="P68B1DB1-ListParagraph39"/>
              <w:numPr>
                <w:ilvl w:val="0"/>
                <w:numId w:val="275"/>
              </w:numPr>
              <w:jc w:val="both"/>
            </w:pPr>
            <w:r>
              <w:t xml:space="preserve">betydande (men överlevnadsbara) barriärer. </w:t>
            </w:r>
          </w:p>
          <w:p w14:paraId="7FE1BC25" w14:textId="12D666ED" w:rsidR="0057131B" w:rsidRDefault="00355A1C">
            <w:pPr>
              <w:pStyle w:val="P68B1DB1-ListParagraph8"/>
              <w:numPr>
                <w:ilvl w:val="0"/>
                <w:numId w:val="275"/>
              </w:numPr>
              <w:jc w:val="both"/>
            </w:pPr>
            <w:r>
              <w:t>kritiska (svårtillgängliga) barriärer.</w:t>
            </w:r>
          </w:p>
        </w:tc>
      </w:tr>
      <w:tr w:rsidR="0057131B"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57131B" w:rsidRDefault="00355A1C">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57131B" w:rsidRDefault="00355A1C">
            <w:pPr>
              <w:pStyle w:val="P68B1DB1-TableParagraph14"/>
              <w:spacing w:before="108"/>
              <w:jc w:val="both"/>
              <w:rPr>
                <w:bCs/>
              </w:rPr>
            </w:pPr>
            <w:r>
              <w:t>Operativa krav för inträde eller utvidgning</w:t>
            </w:r>
          </w:p>
          <w:p w14:paraId="7FE1BC29"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2A" w14:textId="46374DD1" w:rsidR="0057131B" w:rsidRDefault="00355A1C">
            <w:pPr>
              <w:pStyle w:val="P68B1DB1-TableParagraph13"/>
              <w:spacing w:before="108"/>
              <w:jc w:val="both"/>
            </w:pPr>
            <w:r>
              <w:t xml:space="preserve">Organisatoriska, tekniska och infrastrukturmässiga krav för konkurrenter att erbjuda tjänsten. För att erbjuda tjänster med anknytning till (under) funktionen måste leverantörerna investera i (ny eller ytterligare) infrastruktur – eller ändra sina organisationer. Bedöma marknadens förmåga att absorbera den aktuella verksamheten, t.ex. när det gäller kapitalkrav. </w:t>
            </w:r>
          </w:p>
          <w:p w14:paraId="7FE1BC2B" w14:textId="77777777" w:rsidR="0057131B" w:rsidRDefault="00355A1C">
            <w:pPr>
              <w:pStyle w:val="P68B1DB1-TableParagraph13"/>
              <w:spacing w:before="108"/>
              <w:jc w:val="both"/>
            </w:pPr>
            <w:r>
              <w:t xml:space="preserve">Denna indikator ska rapporteras i undergrupper, som är desamma för varje underfunktion: </w:t>
            </w:r>
          </w:p>
          <w:p w14:paraId="7FE1BC2C" w14:textId="59F4E6B2" w:rsidR="0057131B" w:rsidRDefault="00355A1C">
            <w:pPr>
              <w:pStyle w:val="P68B1DB1-ListParagraph39"/>
              <w:numPr>
                <w:ilvl w:val="0"/>
                <w:numId w:val="278"/>
              </w:numPr>
              <w:jc w:val="both"/>
            </w:pPr>
            <w:r>
              <w:t xml:space="preserve">inga större krav, </w:t>
            </w:r>
          </w:p>
          <w:p w14:paraId="7FE1BC2D" w14:textId="17A47EF8" w:rsidR="0057131B" w:rsidRDefault="00355A1C">
            <w:pPr>
              <w:pStyle w:val="P68B1DB1-ListParagraph39"/>
              <w:numPr>
                <w:ilvl w:val="0"/>
                <w:numId w:val="278"/>
              </w:numPr>
              <w:jc w:val="both"/>
            </w:pPr>
            <w:r>
              <w:t xml:space="preserve">vissa krav, </w:t>
            </w:r>
          </w:p>
          <w:p w14:paraId="7FE1BC2E" w14:textId="6B2B459E" w:rsidR="0057131B" w:rsidRDefault="00355A1C">
            <w:pPr>
              <w:pStyle w:val="P68B1DB1-ListParagraph39"/>
              <w:numPr>
                <w:ilvl w:val="0"/>
                <w:numId w:val="278"/>
              </w:numPr>
              <w:jc w:val="both"/>
            </w:pPr>
            <w:r>
              <w:t xml:space="preserve">väsentliga (men översättbara) krav. </w:t>
            </w:r>
          </w:p>
          <w:p w14:paraId="7FE1BC2F" w14:textId="79851C7C" w:rsidR="0057131B" w:rsidRDefault="00355A1C">
            <w:pPr>
              <w:pStyle w:val="P68B1DB1-ListParagraph39"/>
              <w:numPr>
                <w:ilvl w:val="0"/>
                <w:numId w:val="278"/>
              </w:numPr>
              <w:jc w:val="both"/>
            </w:pPr>
            <w:r>
              <w:t>kritiska (svåra att uppfylla) krav.</w:t>
            </w:r>
          </w:p>
          <w:p w14:paraId="7FE1BC30"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57131B" w:rsidRDefault="00355A1C">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57131B" w:rsidRDefault="00355A1C">
            <w:pPr>
              <w:pStyle w:val="P68B1DB1-TableParagraph14"/>
              <w:spacing w:before="108"/>
              <w:jc w:val="both"/>
              <w:rPr>
                <w:bCs/>
              </w:rPr>
            </w:pPr>
            <w:r>
              <w:t>Kapacitet för på- och avstigning</w:t>
            </w:r>
          </w:p>
        </w:tc>
      </w:tr>
      <w:tr w:rsidR="0057131B"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57131B" w:rsidRDefault="00355A1C">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57131B" w:rsidRDefault="00355A1C">
            <w:pPr>
              <w:pStyle w:val="P68B1DB1-TableParagraph14"/>
              <w:spacing w:before="108"/>
              <w:rPr>
                <w:bCs/>
              </w:rPr>
            </w:pPr>
            <w:r>
              <w:t>Kapacitet för ombordstigning – Antal ansökningar från ny kund 1 arbetsdag (antal)</w:t>
            </w:r>
          </w:p>
          <w:p w14:paraId="2BBAFCB8" w14:textId="77777777" w:rsidR="0057131B" w:rsidRDefault="00355A1C">
            <w:pPr>
              <w:pStyle w:val="P68B1DB1-TableParagraph13"/>
              <w:spacing w:before="108"/>
            </w:pPr>
            <w:r>
              <w:t>Instituten uppmanas att lämna in det högsta antalet ansökningar om institutet har validerat begäran om en banktjänst.</w:t>
            </w:r>
          </w:p>
          <w:p w14:paraId="3F7DDDEF"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5AB7F16A" w14:textId="77777777" w:rsidR="0057131B" w:rsidRDefault="00355A1C">
            <w:pPr>
              <w:pStyle w:val="P68B1DB1-TableParagraph13"/>
              <w:spacing w:before="108"/>
              <w:jc w:val="both"/>
              <w:rPr>
                <w:b/>
                <w:bCs/>
              </w:rPr>
            </w:pPr>
            <w:r>
              <w:t xml:space="preserve">Kapaciteten för onboarding för betaltjänster till MFI, betaltjänster till icke-MFI och kontanttjänster uttryckt i antal nya konton uttrycks under 1 arbetsdagar. </w:t>
            </w:r>
          </w:p>
          <w:p w14:paraId="10BCF6A2" w14:textId="77777777" w:rsidR="0057131B" w:rsidRDefault="00355A1C">
            <w:pPr>
              <w:pStyle w:val="P68B1DB1-TableParagraph13"/>
              <w:spacing w:before="108"/>
              <w:jc w:val="both"/>
              <w:rPr>
                <w:b/>
                <w:bCs/>
              </w:rPr>
            </w:pPr>
            <w:r>
              <w:t>Instituten förväntas ta hänsyn till tidsramen för introduktion av nya kunder eftersom en ny kund har ansökt om en banktjänst.</w:t>
            </w:r>
          </w:p>
          <w:p w14:paraId="54138520" w14:textId="77777777" w:rsidR="0057131B" w:rsidRDefault="0057131B">
            <w:pPr>
              <w:pStyle w:val="TableParagraph"/>
              <w:spacing w:before="108"/>
              <w:rPr>
                <w:rFonts w:ascii="Times New Roman" w:hAnsi="Times New Roman" w:cs="Times New Roman"/>
                <w:b/>
                <w:bCs/>
                <w:color w:val="000000" w:themeColor="text1"/>
                <w:sz w:val="20"/>
                <w:szCs w:val="20"/>
              </w:rPr>
            </w:pPr>
          </w:p>
        </w:tc>
      </w:tr>
      <w:tr w:rsidR="0057131B"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57131B" w:rsidRDefault="00355A1C">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57131B" w:rsidRDefault="00355A1C">
            <w:pPr>
              <w:pStyle w:val="P68B1DB1-TableParagraph14"/>
              <w:spacing w:before="108"/>
              <w:rPr>
                <w:bCs/>
              </w:rPr>
            </w:pPr>
            <w:r>
              <w:t>Kapacitet för onboarding – Antal ansökningar från nya kunder under 7 arbetsdagar (antal)</w:t>
            </w:r>
          </w:p>
          <w:p w14:paraId="6C6045B8" w14:textId="77777777" w:rsidR="0057131B" w:rsidRDefault="00355A1C">
            <w:pPr>
              <w:pStyle w:val="P68B1DB1-TableParagraph13"/>
              <w:spacing w:before="108"/>
            </w:pPr>
            <w:r>
              <w:t>Instituten uppmanas att lämna in det högsta antalet ansökningar om institutet har validerat begäran om en banktjänst.</w:t>
            </w:r>
          </w:p>
          <w:p w14:paraId="59CBAFC9" w14:textId="77777777" w:rsidR="0057131B" w:rsidRDefault="00355A1C">
            <w:pPr>
              <w:pStyle w:val="P68B1DB1-TableParagraph13"/>
              <w:spacing w:before="108"/>
              <w:jc w:val="both"/>
            </w:pPr>
            <w:r>
              <w:t>Kapaciteten för onboarding för värdepappersavvecklingstjänster, centrala motparters clearingtjänster och förvaringstjänster uttryckt i antal nya konton uttrycks under 7 arbetsdagar.</w:t>
            </w:r>
          </w:p>
          <w:p w14:paraId="7623A7E1" w14:textId="77777777" w:rsidR="0057131B" w:rsidRDefault="00355A1C">
            <w:pPr>
              <w:pStyle w:val="P68B1DB1-TableParagraph13"/>
              <w:spacing w:before="108"/>
              <w:jc w:val="both"/>
              <w:rPr>
                <w:b/>
                <w:bCs/>
              </w:rPr>
            </w:pPr>
            <w:r>
              <w:t>Instituten förväntas ta hänsyn till tidsramen för introduktion av nya kunder eftersom en ny kund har ansökt om en banktjänst.</w:t>
            </w:r>
          </w:p>
          <w:p w14:paraId="6541ECB8" w14:textId="7269F4A9" w:rsidR="0057131B" w:rsidRDefault="0057131B">
            <w:pPr>
              <w:pStyle w:val="TableParagraph"/>
              <w:spacing w:before="108"/>
              <w:rPr>
                <w:rFonts w:ascii="Times New Roman" w:hAnsi="Times New Roman" w:cs="Times New Roman"/>
                <w:b/>
                <w:bCs/>
                <w:color w:val="000000" w:themeColor="text1"/>
                <w:sz w:val="20"/>
                <w:szCs w:val="20"/>
              </w:rPr>
            </w:pPr>
          </w:p>
        </w:tc>
      </w:tr>
      <w:tr w:rsidR="0057131B"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57131B" w:rsidRDefault="00355A1C">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57131B" w:rsidRDefault="00355A1C">
            <w:pPr>
              <w:pStyle w:val="P68B1DB1-TableParagraph14"/>
              <w:spacing w:before="108"/>
              <w:rPr>
                <w:bCs/>
              </w:rPr>
            </w:pPr>
            <w:r>
              <w:t>Kriticitetsbedömning</w:t>
            </w:r>
          </w:p>
        </w:tc>
      </w:tr>
      <w:tr w:rsidR="0057131B"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57131B" w:rsidRDefault="00355A1C">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57131B" w:rsidRDefault="00355A1C">
            <w:pPr>
              <w:pStyle w:val="P68B1DB1-TableParagraph13"/>
              <w:spacing w:before="108"/>
            </w:pPr>
            <w:r>
              <w:t xml:space="preserve">Verkningar på marknaden </w:t>
            </w:r>
          </w:p>
          <w:p w14:paraId="7FE1BC42" w14:textId="77777777" w:rsidR="0057131B" w:rsidRDefault="00355A1C">
            <w:pPr>
              <w:pStyle w:val="P68B1DB1-TableParagraph13"/>
              <w:spacing w:before="108"/>
            </w:pPr>
            <w:r>
              <w:t>Förväntad inverkan ifall tredjeparters, finansmarknadens eller realekonomins funktion plötsligt upphör, med beaktande av storlek, marknadsandel i landet, extern och intern sammanlänkning, komplexitet samt institutets gränsöverskridande verksamhet.</w:t>
            </w:r>
          </w:p>
          <w:p w14:paraId="7FE1BC43" w14:textId="46266FB9" w:rsidR="0057131B" w:rsidRDefault="00355A1C">
            <w:pPr>
              <w:pStyle w:val="P68B1DB1-TableParagraph13"/>
              <w:spacing w:before="108"/>
            </w:pPr>
            <w:r>
              <w:t>Denna bedömning ska uttryckas kvalitativt som ”hög”, ”medelhög”, ”medelhög” eller ”låg”.</w:t>
            </w:r>
          </w:p>
          <w:p w14:paraId="7FE1BC44" w14:textId="7CCB4614" w:rsidR="0057131B" w:rsidRDefault="00355A1C">
            <w:pPr>
              <w:pStyle w:val="P68B1DB1-TableParagraph13"/>
              <w:spacing w:before="108"/>
            </w:pPr>
            <w:r>
              <w:t xml:space="preserve">”Hög” ska väljas om nedläggningen har en allvarlig påverkan på den nationella marknaden, </w:t>
            </w:r>
            <w:r>
              <w:lastRenderedPageBreak/>
              <w:t>”Medium-High” om påverkan är betydelsefull, ”Medium-Low” om påverkan är väsentlig men begränsad och ”Låg” om påverkan är låg.</w:t>
            </w:r>
          </w:p>
        </w:tc>
      </w:tr>
      <w:tr w:rsidR="0057131B"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57131B" w:rsidRDefault="00355A1C">
            <w:pPr>
              <w:pStyle w:val="P68B1DB1-TableParagraph17"/>
              <w:spacing w:before="108"/>
              <w:jc w:val="both"/>
            </w:pPr>
            <w:r>
              <w:lastRenderedPageBreak/>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57131B" w:rsidRDefault="00355A1C">
            <w:pPr>
              <w:pStyle w:val="P68B1DB1-TableParagraph14"/>
              <w:spacing w:before="108"/>
              <w:rPr>
                <w:bCs/>
              </w:rPr>
            </w:pPr>
            <w:r>
              <w:t>Utbytbarhet</w:t>
            </w:r>
          </w:p>
          <w:p w14:paraId="7FE1BC48" w14:textId="77777777" w:rsidR="0057131B" w:rsidRDefault="00355A1C">
            <w:pPr>
              <w:pStyle w:val="P68B1DB1-TableParagraph13"/>
              <w:spacing w:before="108"/>
            </w:pPr>
            <w:r>
              <w:t>Artikel 6.3 i delegerad förordning (EU) 2016/778.</w:t>
            </w:r>
          </w:p>
          <w:p w14:paraId="7FE1BC49" w14:textId="77777777" w:rsidR="0057131B" w:rsidRDefault="00355A1C">
            <w:pPr>
              <w:pStyle w:val="P68B1DB1-TableParagraph13"/>
              <w:spacing w:before="108"/>
            </w:pPr>
            <w:r>
              <w:t>En funktion ska anses vara utbytbar om den kan ersättas på ett acceptabelt sätt och inom rimlig tid så att systemproblem för realekonomin och finansmarknaden kan undvikas. Följande ska beaktas:</w:t>
            </w:r>
          </w:p>
          <w:p w14:paraId="7FE1BC4A" w14:textId="77777777" w:rsidR="0057131B" w:rsidRDefault="00355A1C">
            <w:pPr>
              <w:pStyle w:val="P68B1DB1-TableParagraph13"/>
              <w:spacing w:before="108"/>
            </w:pPr>
            <w:r>
              <w:t xml:space="preserve">(a) Funktionens marknadsstruktur och tillgången till ersättningsleverantörer. </w:t>
            </w:r>
          </w:p>
          <w:p w14:paraId="7FE1BC4B" w14:textId="77777777" w:rsidR="0057131B" w:rsidRDefault="00355A1C">
            <w:pPr>
              <w:pStyle w:val="P68B1DB1-TableParagraph13"/>
              <w:spacing w:before="108"/>
            </w:pPr>
            <w:r>
              <w:t xml:space="preserve">(b) andra leverantörers förmåga i fråga om kapacitet, krav för att kunna utföra funktionen och eventuella hinder för marknadsinträde eller expansion. </w:t>
            </w:r>
          </w:p>
          <w:p w14:paraId="7FE1BC4C" w14:textId="77777777" w:rsidR="0057131B" w:rsidRDefault="00355A1C">
            <w:pPr>
              <w:pStyle w:val="P68B1DB1-TableParagraph13"/>
              <w:spacing w:before="108"/>
            </w:pPr>
            <w:r>
              <w:t xml:space="preserve">(c) Incitament för andra leverantörer att ta över denna verksamhet. </w:t>
            </w:r>
          </w:p>
          <w:p w14:paraId="7FE1BC4D" w14:textId="77777777" w:rsidR="0057131B" w:rsidRDefault="00355A1C">
            <w:pPr>
              <w:pStyle w:val="P68B1DB1-TableParagraph13"/>
              <w:spacing w:before="108"/>
            </w:pPr>
            <w:r>
              <w:t>(d) den tid som krävs för att de som använder tjänsten ska kunna gå över till den nya leverantören och kostnaderna för denna övergång, den tid som krävs för att andra konkurrenter ska kunna ta över funktionerna, och huruvida den tidsramen är tillräcklig för att förhindra betydande störningar, beroende på typen av tjänst.</w:t>
            </w:r>
          </w:p>
          <w:p w14:paraId="7FE1BC4E" w14:textId="5259F9E9" w:rsidR="0057131B" w:rsidRDefault="00355A1C">
            <w:pPr>
              <w:pStyle w:val="P68B1DB1-TableParagraph13"/>
              <w:spacing w:before="108"/>
            </w:pPr>
            <w:r>
              <w:t xml:space="preserve">Ge en övergripande bedömning av den förväntade graden av utbytbarhet för varje funktion, med beaktande av de olika dimensioner som tidigare bedömts (marknadsandel, marknadskoncentration, tid för substitution, rättsliga hinder och operativa krav för inträde eller expansion). Denna bedömning ska uttryckas kvalitativt som ”hög”, ”medelhög”, ”medelhög” eller ”låg”. </w:t>
            </w:r>
          </w:p>
          <w:p w14:paraId="7FE1BC4F" w14:textId="2848C2C9" w:rsidR="0057131B" w:rsidRDefault="00355A1C">
            <w:pPr>
              <w:pStyle w:val="P68B1DB1-TableParagraph13"/>
              <w:spacing w:before="108"/>
            </w:pPr>
            <w:r>
              <w:t>”H” ska väljas om en funktion enkelt kan tillhandahållas av en annan bank under jämförbara villkor och inom rimlig tid,</w:t>
            </w:r>
          </w:p>
          <w:p w14:paraId="7FE1BC50" w14:textId="60D54ED6" w:rsidR="0057131B" w:rsidRDefault="00355A1C">
            <w:pPr>
              <w:pStyle w:val="P68B1DB1-TableParagraph13"/>
              <w:spacing w:before="108"/>
            </w:pPr>
            <w:r>
              <w:t xml:space="preserve">”Låg” om en funktion inte kan ersättas enkelt eller snabbt, </w:t>
            </w:r>
          </w:p>
          <w:p w14:paraId="7FE1BC51" w14:textId="0F9A1660" w:rsidR="0057131B" w:rsidRDefault="00355A1C">
            <w:pPr>
              <w:pStyle w:val="P68B1DB1-TableParagraph13"/>
              <w:spacing w:before="108"/>
            </w:pPr>
            <w:r>
              <w:t>”Medium High” och ”Medium Low” för fall däremellan med beaktande av olika dimensioner (t.ex. marknadsandel, marknadskoncentration, tid fram till bytet, samt rättsliga hinder och operationella krav för marknadsinträde eller expansion).</w:t>
            </w:r>
          </w:p>
        </w:tc>
      </w:tr>
      <w:tr w:rsidR="0057131B"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57131B" w:rsidRDefault="00355A1C">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57131B" w:rsidRDefault="00355A1C">
            <w:pPr>
              <w:pStyle w:val="P68B1DB1-TableParagraph14"/>
              <w:spacing w:before="108"/>
              <w:rPr>
                <w:bCs/>
              </w:rPr>
            </w:pPr>
            <w:r>
              <w:t>Kritisk funktion</w:t>
            </w:r>
          </w:p>
          <w:p w14:paraId="7FE1BC55" w14:textId="77777777" w:rsidR="0057131B" w:rsidRDefault="00355A1C">
            <w:pPr>
              <w:pStyle w:val="P68B1DB1-TableParagraph13"/>
              <w:spacing w:before="108"/>
            </w:pPr>
            <w:r>
              <w:t>I denna kolumn ska redovisas huruvida den ekonomiska funktionen kan anses vara kritisk på ifrågavarande lands marknad, detta med beaktande av den genomförda påverkan och ersättbarhetsanalysen av institutionen.</w:t>
            </w:r>
          </w:p>
          <w:p w14:paraId="7FE1BC56" w14:textId="77777777" w:rsidR="0057131B" w:rsidRDefault="00355A1C">
            <w:pPr>
              <w:pStyle w:val="P68B1DB1-TableParagraph13"/>
              <w:spacing w:before="108"/>
            </w:pPr>
            <w:r>
              <w:t>Redovisa ”ja” eller ”nej”.</w:t>
            </w:r>
          </w:p>
        </w:tc>
      </w:tr>
      <w:tr w:rsidR="0057131B"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57131B" w:rsidRDefault="00355A1C">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57131B" w:rsidRDefault="00355A1C">
            <w:pPr>
              <w:pStyle w:val="P68B1DB1-TableParagraph14"/>
              <w:spacing w:before="108"/>
              <w:rPr>
                <w:bCs/>
              </w:rPr>
            </w:pPr>
            <w:r>
              <w:t>Synpunkter från koncernen</w:t>
            </w:r>
          </w:p>
          <w:p w14:paraId="7FE1BC5A" w14:textId="77777777" w:rsidR="0057131B" w:rsidRDefault="00355A1C">
            <w:pPr>
              <w:pStyle w:val="P68B1DB1-TableParagraph13"/>
              <w:spacing w:before="108"/>
            </w:pPr>
            <w:r>
              <w:t>Detta fält gör det möjligt för det rapporterande företaget att förklara eventuella antaganden som används för att bedöma kritikaliteten hos den eller de rapporterade funktionerna.</w:t>
            </w:r>
          </w:p>
        </w:tc>
      </w:tr>
    </w:tbl>
    <w:p w14:paraId="7FE1BC5C" w14:textId="77777777" w:rsidR="0057131B" w:rsidRDefault="0057131B">
      <w:pPr>
        <w:pStyle w:val="Instructionsberschrift2"/>
        <w:rPr>
          <w:rFonts w:ascii="Times New Roman" w:hAnsi="Times New Roman" w:cs="Times New Roman"/>
        </w:rPr>
      </w:pPr>
    </w:p>
    <w:p w14:paraId="7FE1BC5D" w14:textId="6D051186" w:rsidR="0057131B" w:rsidRDefault="00355A1C">
      <w:pPr>
        <w:pStyle w:val="P68B1DB1-Instructionsberschrift25"/>
      </w:pPr>
      <w:bookmarkStart w:id="119" w:name="_Toc210901296"/>
      <w:r>
        <w:t>II.13</w:t>
      </w:r>
      <w:r>
        <w:tab/>
        <w:t>Z 07.01.4 FUNC 1 </w:t>
      </w:r>
      <w:r w:rsidR="004157F3">
        <w:t>Kapitalmarknader</w:t>
      </w:r>
      <w:bookmarkEnd w:id="119"/>
    </w:p>
    <w:p w14:paraId="7FE1BC65" w14:textId="77777777" w:rsidR="0057131B" w:rsidRDefault="0057131B">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7131B"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57131B" w:rsidRDefault="00355A1C">
            <w:pPr>
              <w:pStyle w:val="P68B1DB1-TableParagraph17"/>
              <w:spacing w:before="108"/>
              <w:ind w:left="85"/>
              <w:jc w:val="both"/>
            </w:pPr>
            <w:r>
              <w:t>Kolumner</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57131B" w:rsidRDefault="00355A1C">
            <w:pPr>
              <w:pStyle w:val="P68B1DB1-TableParagraph17"/>
              <w:spacing w:before="108"/>
              <w:ind w:left="85" w:right="1"/>
              <w:jc w:val="both"/>
            </w:pPr>
            <w:r>
              <w:t>Anvisningar</w:t>
            </w:r>
          </w:p>
        </w:tc>
      </w:tr>
      <w:tr w:rsidR="0057131B"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57131B" w:rsidRDefault="00355A1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57131B" w:rsidRDefault="00355A1C">
            <w:pPr>
              <w:pStyle w:val="P68B1DB1-TableParagraph14"/>
              <w:spacing w:before="108"/>
              <w:ind w:left="85"/>
              <w:jc w:val="both"/>
              <w:rPr>
                <w:bCs/>
              </w:rPr>
            </w:pPr>
            <w:r>
              <w:t>Beskrivning av ekonomisk funktion</w:t>
            </w:r>
          </w:p>
          <w:p w14:paraId="7FE1BC6B" w14:textId="5F91DAF7" w:rsidR="0057131B" w:rsidRDefault="00355A1C">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Om den ekonomiska funktionen är av typen ”Annan” (</w:t>
            </w:r>
            <w:r>
              <w:t xml:space="preserve">Z 07.01.4 FUNC 1 </w:t>
            </w:r>
            <w:r w:rsidR="00E16021">
              <w:t xml:space="preserve">Kapitalmarknader </w:t>
            </w:r>
            <w:r>
              <w:rPr>
                <w:rFonts w:ascii="Times New Roman" w:eastAsia="Cambria" w:hAnsi="Times New Roman" w:cs="Times New Roman"/>
                <w:color w:val="000000" w:themeColor="text1"/>
                <w:sz w:val="20"/>
                <w:szCs w:val="20"/>
              </w:rPr>
              <w:t xml:space="preserve">r0290 till r0310) ska en beskrivning av denna funktion tillhandahållas. </w:t>
            </w:r>
          </w:p>
        </w:tc>
      </w:tr>
      <w:tr w:rsidR="0057131B"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57131B" w:rsidRDefault="00355A1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57131B" w:rsidRDefault="00355A1C">
            <w:pPr>
              <w:pStyle w:val="P68B1DB1-TableParagraph14"/>
              <w:spacing w:before="108"/>
              <w:ind w:left="85"/>
              <w:jc w:val="both"/>
              <w:rPr>
                <w:bCs/>
              </w:rPr>
            </w:pPr>
            <w:r>
              <w:t xml:space="preserve">Marknadsandel </w:t>
            </w:r>
          </w:p>
          <w:p w14:paraId="7FE1BC6F" w14:textId="629D801B" w:rsidR="0057131B" w:rsidRDefault="00355A1C">
            <w:pPr>
              <w:pStyle w:val="P68B1DB1-TableParagraph17"/>
              <w:spacing w:before="108"/>
              <w:ind w:left="85"/>
            </w:pPr>
            <w:r>
              <w:lastRenderedPageBreak/>
              <w:t>Institutets eller koncernens förväntade marknadsandel för den ekonomiska funktionen i respektive land eller geografisk område. En procentandel av den totala marknaden uttryckt i nominellt belopp för derivat. det redovisade värdet för sekundärmarknader och avgiftsintäkter för primärmarknader.</w:t>
            </w:r>
          </w:p>
        </w:tc>
      </w:tr>
      <w:tr w:rsidR="0057131B"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57131B" w:rsidRDefault="00355A1C">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57131B" w:rsidRDefault="00355A1C">
            <w:pPr>
              <w:pStyle w:val="P68B1DB1-TableParagraph14"/>
              <w:spacing w:before="108"/>
              <w:rPr>
                <w:bCs/>
              </w:rPr>
            </w:pPr>
            <w:r>
              <w:t>Teoretiskt belopp</w:t>
            </w:r>
          </w:p>
          <w:p w14:paraId="7FE1BC73" w14:textId="77777777" w:rsidR="0057131B" w:rsidRDefault="00355A1C">
            <w:pPr>
              <w:pStyle w:val="P68B1DB1-TableParagraph17"/>
              <w:spacing w:before="108"/>
            </w:pPr>
            <w:r>
              <w:t xml:space="preserve">Det teoretiska bruttobeloppet för alla ingångna avtal som ännu inte avvecklats vid referensdatumet. </w:t>
            </w:r>
          </w:p>
          <w:p w14:paraId="7FE1BC74" w14:textId="77777777" w:rsidR="0057131B" w:rsidRDefault="00355A1C">
            <w:pPr>
              <w:pStyle w:val="P68B1DB1-TableParagraph17"/>
              <w:spacing w:before="108"/>
            </w:pPr>
            <w:r>
              <w:t>Hänvisningar: Finrep, bilaga V, del 2, punkt 133 (definition). För data, Finrep, bilagorna III, IV och V:</w:t>
            </w:r>
          </w:p>
          <w:p w14:paraId="7FE1BC75" w14:textId="77777777" w:rsidR="0057131B" w:rsidRDefault="00355A1C">
            <w:pPr>
              <w:pStyle w:val="P68B1DB1-TableParagraph17"/>
              <w:spacing w:before="108"/>
            </w:pPr>
            <w:r>
              <w:t>— Summa derivat (4.1–4.2): Mall F 10.00 kolumn 030 rad 290.</w:t>
            </w:r>
          </w:p>
          <w:p w14:paraId="7FE1BC76" w14:textId="77777777" w:rsidR="0057131B" w:rsidRDefault="00355A1C">
            <w:pPr>
              <w:pStyle w:val="P68B1DB1-TableParagraph17"/>
              <w:spacing w:before="108"/>
            </w:pPr>
            <w:r>
              <w:t>— OTC-derivat (4.1): Mall F 10.00 kolumn 030 rad 300+ 310+ 320.</w:t>
            </w:r>
          </w:p>
        </w:tc>
      </w:tr>
      <w:tr w:rsidR="0057131B"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57131B" w:rsidRDefault="00355A1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57131B" w:rsidRDefault="00355A1C">
            <w:pPr>
              <w:pStyle w:val="P68B1DB1-TableParagraph14"/>
              <w:spacing w:before="108"/>
              <w:rPr>
                <w:bCs/>
              </w:rPr>
            </w:pPr>
            <w:r>
              <w:t>Redovisat värde</w:t>
            </w:r>
          </w:p>
          <w:p w14:paraId="7FE1BC7A" w14:textId="77777777" w:rsidR="0057131B" w:rsidRDefault="00355A1C">
            <w:pPr>
              <w:pStyle w:val="P68B1DB1-TableParagraph17"/>
              <w:spacing w:before="108"/>
            </w:pPr>
            <w:r>
              <w:t>Tillgångar som redovisat värde – det redovisade värde som ska redovisas bland balansräkningens tillgångar, inklusive upplupen ränta [Finrep: Bilaga V, del 1, punkt 27] för egetkapitalinstrument och räntebärande värdepapper [Finrep: Bilaga V, del 1, punkt 31], klassade som ”innehas för handel” [Finrep: Bilaga V, del 1, punkt 15 (a) och punkt 16 (a)].</w:t>
            </w:r>
          </w:p>
          <w:p w14:paraId="7FE1BC7B" w14:textId="77777777" w:rsidR="0057131B" w:rsidRDefault="00355A1C">
            <w:pPr>
              <w:pStyle w:val="P68B1DB1-TableParagraph17"/>
              <w:spacing w:before="108"/>
            </w:pPr>
            <w:r>
              <w:t>Referens: FINREP: Bilaga III mall F 04.01 kolumn 010 rad 010+ 060+ 120.</w:t>
            </w:r>
          </w:p>
        </w:tc>
      </w:tr>
      <w:tr w:rsidR="0057131B"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57131B" w:rsidRDefault="00355A1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57131B" w:rsidRDefault="00355A1C">
            <w:pPr>
              <w:pStyle w:val="P68B1DB1-TableParagraph14"/>
              <w:spacing w:before="108"/>
              <w:jc w:val="both"/>
              <w:rPr>
                <w:bCs/>
              </w:rPr>
            </w:pPr>
            <w:r>
              <w:t>Intäkter från avgifter</w:t>
            </w:r>
          </w:p>
          <w:p w14:paraId="7FE1BC7F" w14:textId="77777777" w:rsidR="0057131B" w:rsidRDefault="00355A1C">
            <w:pPr>
              <w:pStyle w:val="P68B1DB1-TableParagraph13"/>
              <w:spacing w:before="108"/>
              <w:jc w:val="both"/>
            </w:pPr>
            <w:r>
              <w:t>Arvoden och provisioner som erhållits för deltagande i upplägg eller emission av säkerheter som inte lagts upp eller emitterats av institutet.</w:t>
            </w:r>
          </w:p>
          <w:p w14:paraId="7FE1BC80" w14:textId="77777777" w:rsidR="0057131B" w:rsidRDefault="00355A1C">
            <w:pPr>
              <w:pStyle w:val="P68B1DB1-TableParagraph13"/>
              <w:spacing w:before="108"/>
              <w:jc w:val="both"/>
            </w:pPr>
            <w:r>
              <w:t>Referens: FINREP: Bilaga III, IV mall F 22.01 kolumn 010 rad 030+ 180.</w:t>
            </w:r>
          </w:p>
        </w:tc>
      </w:tr>
      <w:tr w:rsidR="0057131B"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57131B" w:rsidRDefault="00355A1C">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57131B" w:rsidRDefault="00355A1C">
            <w:pPr>
              <w:pStyle w:val="P68B1DB1-TableParagraph14"/>
              <w:spacing w:before="108"/>
              <w:jc w:val="both"/>
              <w:rPr>
                <w:bCs/>
              </w:rPr>
            </w:pPr>
            <w:r>
              <w:t>Gränsöverskridande värde</w:t>
            </w:r>
          </w:p>
          <w:p w14:paraId="7FE1BC84" w14:textId="4F4878AE" w:rsidR="0057131B" w:rsidRDefault="00355A1C">
            <w:pPr>
              <w:pStyle w:val="P68B1DB1-TableParagraph13"/>
              <w:spacing w:before="108"/>
              <w:jc w:val="both"/>
            </w:pPr>
            <w:r>
              <w:t xml:space="preserve">Derivat: det teoretiska utestående beloppet utanför hemlandet eller det relevanta landet. </w:t>
            </w:r>
          </w:p>
          <w:p w14:paraId="7FE1BC85" w14:textId="77777777" w:rsidR="0057131B" w:rsidRDefault="00355A1C">
            <w:pPr>
              <w:pStyle w:val="P68B1DB1-TableParagraph13"/>
              <w:spacing w:before="108"/>
              <w:jc w:val="both"/>
            </w:pPr>
            <w:r>
              <w:t>Andrahandsmarknader: redovisat bruttovärde som är utestående utanför hemlandet eller det relevanta landet. Bakgrundsinformation: Finrep bilaga III tabell 20.04 kolumn 011 rad 040 + 080, alla länder utom hemlandet eller relevant land.</w:t>
            </w:r>
          </w:p>
          <w:p w14:paraId="7FE1BC86" w14:textId="68837303" w:rsidR="0057131B" w:rsidRDefault="00355A1C">
            <w:pPr>
              <w:pStyle w:val="P68B1DB1-TableParagraph13"/>
              <w:spacing w:before="108"/>
              <w:jc w:val="both"/>
            </w:pPr>
            <w:r>
              <w:t>Primärmarknader: avgiftsinkomster som genereras utanför hemlandet eller det berörda landet.</w:t>
            </w:r>
          </w:p>
        </w:tc>
      </w:tr>
      <w:tr w:rsidR="0057131B"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57131B" w:rsidRDefault="00355A1C">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57131B" w:rsidRDefault="00355A1C">
            <w:pPr>
              <w:pStyle w:val="P68B1DB1-TableParagraph14"/>
              <w:spacing w:before="108"/>
              <w:jc w:val="both"/>
              <w:rPr>
                <w:bCs/>
              </w:rPr>
            </w:pPr>
            <w:r>
              <w:t>Antal motparter eller transaktioner.</w:t>
            </w:r>
          </w:p>
          <w:p w14:paraId="7FE1BC8A" w14:textId="77777777" w:rsidR="0057131B" w:rsidRDefault="00355A1C">
            <w:pPr>
              <w:pStyle w:val="P68B1DB1-TableParagraph13"/>
              <w:spacing w:before="108"/>
              <w:jc w:val="both"/>
              <w:rPr>
                <w:b/>
                <w:bCs/>
              </w:rPr>
            </w:pPr>
            <w:r>
              <w:t>För derivat och andrahandsmarknader totalt antal motparter. För primärmarknader, totalt antal tecknade transaktioner.</w:t>
            </w:r>
          </w:p>
        </w:tc>
      </w:tr>
      <w:tr w:rsidR="0057131B"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57131B" w:rsidRDefault="00355A1C">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57131B" w:rsidRDefault="00355A1C">
            <w:pPr>
              <w:pStyle w:val="P68B1DB1-TableParagraph14"/>
              <w:spacing w:before="108"/>
              <w:jc w:val="both"/>
              <w:rPr>
                <w:bCs/>
              </w:rPr>
            </w:pPr>
            <w:r>
              <w:t>Konsekvensanalyser och analyser av godtagbarhet</w:t>
            </w:r>
          </w:p>
          <w:p w14:paraId="7FE1BC8E" w14:textId="77777777" w:rsidR="0057131B" w:rsidRDefault="00355A1C">
            <w:pPr>
              <w:pStyle w:val="P68B1DB1-TableParagraph13"/>
              <w:spacing w:before="108"/>
              <w:jc w:val="both"/>
            </w:pPr>
            <w:r>
              <w:t>Bedömningskriterierna för inverkan på tredje parter ska omfatta följande delar i enlighet med kommissionens delegerade förordning (EU) 2016/778 om kritiska funktioner:</w:t>
            </w:r>
          </w:p>
          <w:p w14:paraId="7FE1BC8F" w14:textId="77777777" w:rsidR="0057131B" w:rsidRDefault="00355A1C">
            <w:pPr>
              <w:pStyle w:val="P68B1DB1-ListParagraph38"/>
              <w:numPr>
                <w:ilvl w:val="0"/>
                <w:numId w:val="131"/>
              </w:numPr>
              <w:spacing w:line="276" w:lineRule="auto"/>
            </w:pPr>
            <w:r>
              <w:t>Aktivitetens art och omfattning, global, nationell eller regional omfattning, antal transaktioner och deras volym; antalet kunder och motparter; antalet kunder för vilka institutet är den enda eller den huvudsakliga bankpartnern.</w:t>
            </w:r>
          </w:p>
          <w:p w14:paraId="7FE1BC90" w14:textId="77777777" w:rsidR="0057131B" w:rsidRDefault="00355A1C">
            <w:pPr>
              <w:pStyle w:val="P68B1DB1-ListParagraph38"/>
              <w:numPr>
                <w:ilvl w:val="0"/>
                <w:numId w:val="131"/>
              </w:numPr>
              <w:spacing w:line="276" w:lineRule="auto"/>
            </w:pPr>
            <w:r>
              <w:t>Institutets betydelse på lokal, regional, nationell eller europeisk nivå, beroende på vad som är relevant för den berörda marknaden. Institutets betydelse kan bedömas på grundval av marknadsandel, grad av sammanlänkning, komplexitet och gränsöverskridande verksamhet.</w:t>
            </w:r>
          </w:p>
          <w:p w14:paraId="7FE1BC91" w14:textId="77777777" w:rsidR="0057131B" w:rsidRDefault="00355A1C">
            <w:pPr>
              <w:pStyle w:val="P68B1DB1-ListParagraph38"/>
              <w:numPr>
                <w:ilvl w:val="0"/>
                <w:numId w:val="131"/>
              </w:numPr>
              <w:spacing w:line="276" w:lineRule="auto"/>
            </w:pPr>
            <w:r>
              <w:t xml:space="preserve">Typen av kunder och intressenter som påverkas av funktionen, till exempel, men inte begränsat till, privatkunder, företagskunder, interbankkunder, centrala clearingorganisationer och offentliga organ. </w:t>
            </w:r>
          </w:p>
          <w:p w14:paraId="7FE1BC92" w14:textId="77777777" w:rsidR="0057131B" w:rsidRDefault="00355A1C">
            <w:pPr>
              <w:pStyle w:val="P68B1DB1-ListParagraph38"/>
              <w:numPr>
                <w:ilvl w:val="0"/>
                <w:numId w:val="131"/>
              </w:numPr>
              <w:spacing w:line="276" w:lineRule="auto"/>
            </w:pPr>
            <w:r>
              <w:lastRenderedPageBreak/>
              <w:t>Den potentiella störning som drabbar marknader, infrastruktur, kunder och offentliga tjänster. Bedömningen kan särskilt innefatta effekten på de berörda marknadernas likviditet, påverkan och vidd av störningen för kundverksamheten, och kortfristiga likviditetsbehov; graden av märkbarhet hos motparter, kunder och allmänheten; kundernas reaktionsförmåga och reaktionshastighet; betydelsen för andra marknader; påverkan på en annan marknads likviditet, verksamhet och struktur; påverkan på andra motparter som är anknuta till de viktigaste kunderna och funktionens sammanlänkning med andra tjänster.</w:t>
            </w:r>
          </w:p>
          <w:p w14:paraId="7FE1BC93"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57131B" w:rsidRDefault="00355A1C">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57131B" w:rsidRDefault="00355A1C">
            <w:pPr>
              <w:pStyle w:val="P68B1DB1-TableParagraph14"/>
              <w:spacing w:before="108"/>
              <w:jc w:val="both"/>
              <w:rPr>
                <w:bCs/>
              </w:rPr>
            </w:pPr>
            <w:r>
              <w:t xml:space="preserve">Natur och Reach </w:t>
            </w:r>
          </w:p>
          <w:p w14:paraId="7FE1BC97" w14:textId="77777777" w:rsidR="0057131B" w:rsidRDefault="00355A1C">
            <w:pPr>
              <w:pStyle w:val="P68B1DB1-TableParagraph13"/>
              <w:spacing w:before="108"/>
              <w:jc w:val="both"/>
            </w:pPr>
            <w:r>
              <w:t>Transaktionernas globala, nationella eller regionala räckvidd, volym och antal. antalet kunder och motparter; antalet kunder för vilka institutet är den enda eller den huvudsakliga bankpartnern.</w:t>
            </w:r>
          </w:p>
        </w:tc>
      </w:tr>
      <w:tr w:rsidR="0057131B"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57131B" w:rsidRDefault="00355A1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57131B" w:rsidRDefault="00355A1C">
            <w:pPr>
              <w:pStyle w:val="P68B1DB1-TableParagraph14"/>
              <w:spacing w:before="108"/>
              <w:jc w:val="both"/>
              <w:rPr>
                <w:bCs/>
              </w:rPr>
            </w:pPr>
            <w:r>
              <w:t>Storleksindikator 1</w:t>
            </w:r>
          </w:p>
          <w:p w14:paraId="4965F0DF"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C9B" w14:textId="478A7B58" w:rsidR="0057131B" w:rsidRDefault="00355A1C">
            <w:pPr>
              <w:pStyle w:val="P68B1DB1-TableParagraph13"/>
              <w:spacing w:before="108"/>
              <w:jc w:val="both"/>
            </w:pPr>
            <w:r>
              <w:t xml:space="preserve"> </w:t>
            </w:r>
          </w:p>
          <w:p w14:paraId="7FE1BC9C" w14:textId="3823487E" w:rsidR="0057131B" w:rsidRDefault="00355A1C">
            <w:pPr>
              <w:pStyle w:val="P68B1DB1-ListParagraph32"/>
              <w:numPr>
                <w:ilvl w:val="0"/>
                <w:numId w:val="126"/>
              </w:numPr>
              <w:spacing w:line="276" w:lineRule="auto"/>
            </w:pPr>
            <w:r>
              <w:t xml:space="preserve">Expertbedömning av storleken på det </w:t>
            </w:r>
            <w:r>
              <w:rPr>
                <w:b/>
              </w:rPr>
              <w:t>utestående</w:t>
            </w:r>
            <w:r>
              <w:t xml:space="preserve"> teoretiska beloppet (c0030 för funktion ID 4.1 och 4.2). redovisat värde (c0040 för ID 4.3). eller avgiftsintäkter som genereras (c0050 för ID 4.4) ur ett </w:t>
            </w:r>
            <w:r>
              <w:rPr>
                <w:b/>
              </w:rPr>
              <w:t>globalt</w:t>
            </w:r>
            <w:r>
              <w:t xml:space="preserve"> perspektiv [</w:t>
            </w:r>
            <w:r>
              <w:rPr>
                <w:i/>
              </w:rPr>
              <w:t>en nivå högre än den relevanta marknaden. Om den relevanta marknaden är global blir storlek 1 överflödig och behöver inte rapporteras]</w:t>
            </w:r>
            <w:r>
              <w:t>:</w:t>
            </w:r>
          </w:p>
          <w:p w14:paraId="7FE1BC9D" w14:textId="77777777" w:rsidR="0057131B" w:rsidRDefault="00355A1C">
            <w:pPr>
              <w:pStyle w:val="P68B1DB1-TableParagraph33"/>
              <w:spacing w:before="108"/>
              <w:jc w:val="both"/>
              <w:rPr>
                <w:rFonts w:cs="Times New Roman"/>
                <w:color w:val="000000" w:themeColor="text1"/>
              </w:rPr>
            </w:pPr>
            <w:r>
              <w:t>Hur stort anser du att det totala teoretiska belopp som genereras är det totala utestående eller redovisade värdet eller avgiftsinkomsten ur ett globalt perspektiv?</w:t>
            </w:r>
          </w:p>
        </w:tc>
      </w:tr>
      <w:tr w:rsidR="0057131B"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57131B" w:rsidRDefault="00355A1C">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57131B" w:rsidRDefault="00355A1C">
            <w:pPr>
              <w:pStyle w:val="P68B1DB1-TableParagraph14"/>
              <w:spacing w:before="108"/>
              <w:jc w:val="both"/>
              <w:rPr>
                <w:bCs/>
              </w:rPr>
            </w:pPr>
            <w:r>
              <w:t>Storleksindikator 2</w:t>
            </w:r>
          </w:p>
          <w:p w14:paraId="419C7762"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CA1" w14:textId="7FB998B3" w:rsidR="0057131B" w:rsidRDefault="00355A1C">
            <w:pPr>
              <w:pStyle w:val="P68B1DB1-TableParagraph13"/>
              <w:spacing w:before="108"/>
              <w:jc w:val="both"/>
            </w:pPr>
            <w:r>
              <w:t xml:space="preserve"> </w:t>
            </w:r>
          </w:p>
          <w:p w14:paraId="3C42A32E" w14:textId="77777777" w:rsidR="0057131B" w:rsidRDefault="00355A1C">
            <w:pPr>
              <w:pStyle w:val="P68B1DB1-ListParagraph32"/>
              <w:numPr>
                <w:ilvl w:val="0"/>
                <w:numId w:val="124"/>
              </w:numPr>
              <w:spacing w:line="276" w:lineRule="auto"/>
            </w:pPr>
            <w:r>
              <w:t xml:space="preserve">Expertbedömning av antalet motparter (c0090 för funktion ID 4,1, 4.2, 4.3) eller </w:t>
            </w:r>
            <w:r>
              <w:rPr>
                <w:b/>
              </w:rPr>
              <w:t>antalet</w:t>
            </w:r>
            <w:r>
              <w:t xml:space="preserve"> tecknade transaktioner (c0100 för ID 4.4) ur ett </w:t>
            </w:r>
            <w:r>
              <w:rPr>
                <w:b/>
              </w:rPr>
              <w:t>nationellt</w:t>
            </w:r>
            <w:r>
              <w:t xml:space="preserve"> perspektiv [</w:t>
            </w:r>
            <w:r>
              <w:rPr>
                <w:i/>
              </w:rPr>
              <w:t>på nivån för den relevanta marknaden</w:t>
            </w:r>
            <w:r>
              <w:t>]:</w:t>
            </w:r>
          </w:p>
          <w:p w14:paraId="7FE1BCA3" w14:textId="77777777" w:rsidR="0057131B" w:rsidRDefault="00355A1C">
            <w:pPr>
              <w:pStyle w:val="P68B1DB1-ListParagraph32"/>
              <w:numPr>
                <w:ilvl w:val="1"/>
                <w:numId w:val="124"/>
              </w:numPr>
              <w:spacing w:line="276" w:lineRule="auto"/>
            </w:pPr>
            <w:r>
              <w:t>Hur stort är det uppskattade antalet motparter</w:t>
            </w:r>
            <w:r>
              <w:rPr>
                <w:i/>
              </w:rPr>
              <w:t xml:space="preserve"> eller</w:t>
            </w:r>
            <w:r>
              <w:t xml:space="preserve"> tecknade transaktioner från ditt institut ur ett nationellt perspektiv?</w:t>
            </w:r>
          </w:p>
          <w:p w14:paraId="7FE1BCA4"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57131B" w:rsidRDefault="00355A1C">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57131B" w:rsidRDefault="00355A1C">
            <w:pPr>
              <w:pStyle w:val="P68B1DB1-TableParagraph14"/>
              <w:spacing w:before="108"/>
              <w:jc w:val="both"/>
              <w:rPr>
                <w:bCs/>
              </w:rPr>
            </w:pPr>
            <w:r>
              <w:t>Indikator för gränsöverskridande verksamhet</w:t>
            </w:r>
          </w:p>
          <w:p w14:paraId="7FE1BCA8" w14:textId="77777777" w:rsidR="0057131B" w:rsidRDefault="00355A1C">
            <w:pPr>
              <w:pStyle w:val="P68B1DB1-TableParagraph13"/>
              <w:spacing w:before="108"/>
              <w:jc w:val="both"/>
            </w:pPr>
            <w:r>
              <w:t>Bedöma den gränsöverskridande verksamhetens relativa betydelse för de olika ekonomiska funktionerna.</w:t>
            </w:r>
          </w:p>
          <w:p w14:paraId="7FE1BCA9" w14:textId="77777777" w:rsidR="0057131B" w:rsidRDefault="00355A1C">
            <w:pPr>
              <w:pStyle w:val="P68B1DB1-TableParagraph13"/>
              <w:spacing w:before="108"/>
              <w:jc w:val="both"/>
            </w:pPr>
            <w:r>
              <w:lastRenderedPageBreak/>
              <w:t xml:space="preserve">Detta behöver inte bedömas när det gäller rapporter där den relevanta marknaden anses vara regional. </w:t>
            </w:r>
          </w:p>
          <w:p w14:paraId="7FE1BCAA" w14:textId="77777777" w:rsidR="0057131B" w:rsidRDefault="00355A1C">
            <w:pPr>
              <w:pStyle w:val="P68B1DB1-ListParagraph32"/>
              <w:numPr>
                <w:ilvl w:val="0"/>
                <w:numId w:val="118"/>
              </w:numPr>
              <w:rPr>
                <w:i/>
                <w:iCs/>
              </w:rPr>
            </w:pPr>
            <w:r>
              <w:t xml:space="preserve">Andel av det rapporterande företagets verksamhet över jurisdiktionsgränserna i procent av det totala värdet, uttryckt i teoretiska belopp (derivat), redovisat värde (andrahandsmarknader), avgiftsintäkter från utländska kunder (primärmarknader). Betänkande: </w:t>
            </w:r>
          </w:p>
          <w:p w14:paraId="7FE1BCAB" w14:textId="7D11D6B0" w:rsidR="0057131B" w:rsidRDefault="00355A1C">
            <w:pPr>
              <w:pStyle w:val="P68B1DB1-ListParagraph32"/>
              <w:numPr>
                <w:ilvl w:val="1"/>
                <w:numId w:val="118"/>
              </w:numPr>
              <w:rPr>
                <w:i/>
                <w:iCs/>
              </w:rPr>
            </w:pPr>
            <w:bookmarkStart w:id="120" w:name="_Hlk194476322"/>
            <w:r>
              <w:t xml:space="preserve">5 %. </w:t>
            </w:r>
          </w:p>
          <w:p w14:paraId="7FE1BCAC" w14:textId="35A9186D" w:rsidR="0057131B" w:rsidRDefault="00355A1C">
            <w:pPr>
              <w:pStyle w:val="P68B1DB1-ListParagraph32"/>
              <w:numPr>
                <w:ilvl w:val="1"/>
                <w:numId w:val="118"/>
              </w:numPr>
              <w:rPr>
                <w:i/>
                <w:iCs/>
              </w:rPr>
            </w:pPr>
            <w:r>
              <w:t xml:space="preserve">5 – -15 %. </w:t>
            </w:r>
          </w:p>
          <w:p w14:paraId="7FE1BCAD" w14:textId="54C07240" w:rsidR="0057131B" w:rsidRDefault="00355A1C">
            <w:pPr>
              <w:pStyle w:val="P68B1DB1-ListParagraph32"/>
              <w:numPr>
                <w:ilvl w:val="1"/>
                <w:numId w:val="118"/>
              </w:numPr>
              <w:rPr>
                <w:i/>
                <w:iCs/>
              </w:rPr>
            </w:pPr>
            <w:r>
              <w:t xml:space="preserve">16–25 %, </w:t>
            </w:r>
          </w:p>
          <w:p w14:paraId="7FE1BCAE" w14:textId="34AC2F5B" w:rsidR="0057131B" w:rsidRDefault="00355A1C">
            <w:pPr>
              <w:pStyle w:val="P68B1DB1-ListParagraph32"/>
              <w:numPr>
                <w:ilvl w:val="1"/>
                <w:numId w:val="118"/>
              </w:numPr>
              <w:rPr>
                <w:i/>
                <w:iCs/>
              </w:rPr>
            </w:pPr>
            <w:r>
              <w:t xml:space="preserve">&gt; 25 %. </w:t>
            </w:r>
          </w:p>
          <w:bookmarkEnd w:id="120"/>
          <w:p w14:paraId="7FE1BCAF"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57131B" w:rsidRDefault="00355A1C">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57131B" w:rsidRDefault="00355A1C">
            <w:pPr>
              <w:pStyle w:val="P68B1DB1-TableParagraph14"/>
              <w:spacing w:before="108"/>
              <w:jc w:val="both"/>
              <w:rPr>
                <w:bCs/>
              </w:rPr>
            </w:pPr>
            <w:r>
              <w:t xml:space="preserve">Relevans — </w:t>
            </w:r>
          </w:p>
          <w:p w14:paraId="7FE1BCB3" w14:textId="77777777" w:rsidR="0057131B" w:rsidRDefault="00355A1C">
            <w:pPr>
              <w:pStyle w:val="P68B1DB1-TableParagraph13"/>
              <w:spacing w:before="108"/>
              <w:jc w:val="both"/>
            </w:pPr>
            <w:r>
              <w:t>På lokal, regional, nationell eller europeisk nivå, beroende på vad som är relevant för den berörda marknaden. Institutets betydelse kan bedömas på grundval av marknadsandel, grad av sammanlänkning, komplexitet och gränsöverskridande verksamhet.</w:t>
            </w:r>
          </w:p>
          <w:p w14:paraId="7FE1BCB4" w14:textId="77777777" w:rsidR="0057131B" w:rsidRDefault="00355A1C">
            <w:pPr>
              <w:pStyle w:val="P68B1DB1-TableParagraph14"/>
              <w:spacing w:before="108"/>
              <w:jc w:val="both"/>
              <w:rPr>
                <w:bCs/>
              </w:rPr>
            </w:pPr>
            <w:r>
              <w:t>Marknadsandel</w:t>
            </w:r>
          </w:p>
          <w:p w14:paraId="7FE1BCB5" w14:textId="77777777" w:rsidR="0057131B" w:rsidRDefault="00355A1C">
            <w:pPr>
              <w:pStyle w:val="P68B1DB1-TableParagraph13"/>
              <w:spacing w:before="108"/>
              <w:jc w:val="both"/>
            </w:pPr>
            <w:r>
              <w:t xml:space="preserve">Bedöma hur viktig den rapporterande enhetens marknadsandel är, jämfört med den nationella eller andra relevanta marknaden, enligt vad som anges i mallen. Denna bedömning uttrycks kvalitativt som </w:t>
            </w:r>
          </w:p>
          <w:p w14:paraId="7FE1BCB6" w14:textId="3D988DC8" w:rsidR="0057131B" w:rsidRDefault="00355A1C">
            <w:pPr>
              <w:pStyle w:val="P68B1DB1-ListParagraph38"/>
              <w:numPr>
                <w:ilvl w:val="0"/>
                <w:numId w:val="276"/>
              </w:numPr>
              <w:spacing w:line="276" w:lineRule="auto"/>
              <w:jc w:val="both"/>
            </w:pPr>
            <w:r>
              <w:t>Hög, om marknadsandelen är stor</w:t>
            </w:r>
          </w:p>
          <w:p w14:paraId="7FE1BCB7" w14:textId="2084195C" w:rsidR="0057131B" w:rsidRDefault="00355A1C">
            <w:pPr>
              <w:pStyle w:val="P68B1DB1-ListParagraph38"/>
              <w:numPr>
                <w:ilvl w:val="0"/>
                <w:numId w:val="276"/>
              </w:numPr>
              <w:spacing w:line="276" w:lineRule="auto"/>
              <w:jc w:val="both"/>
            </w:pPr>
            <w:r>
              <w:t>Medelhög, om marknadsandelen är medelhög</w:t>
            </w:r>
          </w:p>
          <w:p w14:paraId="7FE1BCB8" w14:textId="06CDA0E3" w:rsidR="0057131B" w:rsidRDefault="00355A1C">
            <w:pPr>
              <w:pStyle w:val="P68B1DB1-ListParagraph38"/>
              <w:numPr>
                <w:ilvl w:val="0"/>
                <w:numId w:val="276"/>
              </w:numPr>
              <w:spacing w:line="276" w:lineRule="auto"/>
              <w:jc w:val="both"/>
            </w:pPr>
            <w:r>
              <w:t xml:space="preserve">Medellåg om marknadsandelen är liten, eller </w:t>
            </w:r>
          </w:p>
          <w:p w14:paraId="7FE1BCB9" w14:textId="19A1DC5D" w:rsidR="0057131B" w:rsidRDefault="00355A1C">
            <w:pPr>
              <w:pStyle w:val="P68B1DB1-ListParagraph38"/>
              <w:numPr>
                <w:ilvl w:val="0"/>
                <w:numId w:val="276"/>
              </w:numPr>
              <w:spacing w:line="276" w:lineRule="auto"/>
              <w:jc w:val="both"/>
            </w:pPr>
            <w:r>
              <w:t xml:space="preserve">Låg ”om marknadsandelen är försumbar. </w:t>
            </w:r>
          </w:p>
          <w:p w14:paraId="7FE1BCBA" w14:textId="77777777" w:rsidR="0057131B" w:rsidRDefault="00355A1C">
            <w:pPr>
              <w:pStyle w:val="P68B1DB1-TableParagraph13"/>
              <w:spacing w:before="108"/>
              <w:jc w:val="both"/>
            </w:pPr>
            <w:r>
              <w:t xml:space="preserve">Denna bedömning tar hänsyn till marknadsstrukturen i den rapporterande enhetens land (eller annan relevant marknad) och marknadsandelar som rapporteras delvis </w:t>
            </w:r>
          </w:p>
          <w:p w14:paraId="7FE1BCBB" w14:textId="77777777" w:rsidR="0057131B" w:rsidRDefault="00355A1C">
            <w:pPr>
              <w:pStyle w:val="P68B1DB1-TableParagraph13"/>
              <w:spacing w:before="108"/>
              <w:jc w:val="both"/>
            </w:pPr>
            <w:r>
              <w:t>2.Kvantitativa uppgifter:</w:t>
            </w:r>
          </w:p>
          <w:p w14:paraId="7FE1BCBC" w14:textId="77777777" w:rsidR="0057131B" w:rsidRDefault="00355A1C">
            <w:pPr>
              <w:pStyle w:val="P68B1DB1-ListParagraph32"/>
              <w:numPr>
                <w:ilvl w:val="0"/>
                <w:numId w:val="117"/>
              </w:numPr>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CBD"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BE"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57131B" w:rsidRDefault="00355A1C">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57131B" w:rsidRDefault="00355A1C">
            <w:pPr>
              <w:pStyle w:val="P68B1DB1-TableParagraph14"/>
              <w:spacing w:before="108"/>
              <w:jc w:val="both"/>
              <w:rPr>
                <w:bCs/>
              </w:rPr>
            </w:pPr>
            <w:r>
              <w:t>Marknadsstruktur – marknadskoncentration</w:t>
            </w:r>
          </w:p>
          <w:p w14:paraId="7FE1BCC2" w14:textId="77777777" w:rsidR="0057131B" w:rsidRDefault="00355A1C">
            <w:pPr>
              <w:pStyle w:val="P68B1DB1-TableParagraph13"/>
              <w:spacing w:before="108"/>
              <w:jc w:val="both"/>
            </w:pPr>
            <w:r>
              <w:t xml:space="preserve">Marknadskoncentrationen, mätt i antalet konkurrenter som för närvarande presterar </w:t>
            </w:r>
          </w:p>
          <w:p w14:paraId="7FE1BCC3" w14:textId="77777777" w:rsidR="0057131B" w:rsidRDefault="00355A1C">
            <w:pPr>
              <w:pStyle w:val="P68B1DB1-TableParagraph13"/>
              <w:spacing w:before="108"/>
              <w:jc w:val="both"/>
            </w:pPr>
            <w:r>
              <w:t xml:space="preserve">liknande ekonomiska funktioner och/eller liknande tjänster på lika villkor (dvs. </w:t>
            </w:r>
          </w:p>
          <w:p w14:paraId="7FE1BCC4" w14:textId="77777777" w:rsidR="0057131B" w:rsidRDefault="00355A1C">
            <w:pPr>
              <w:pStyle w:val="P68B1DB1-TableParagraph13"/>
              <w:spacing w:before="108"/>
              <w:jc w:val="both"/>
            </w:pPr>
            <w:r>
              <w:t xml:space="preserve">jämförbar omfattning och kvalitet och till en jämförbar kostnad) som potentiellt tar över </w:t>
            </w:r>
          </w:p>
          <w:p w14:paraId="7FE1BCC5" w14:textId="77777777" w:rsidR="0057131B" w:rsidRDefault="00355A1C">
            <w:pPr>
              <w:pStyle w:val="P68B1DB1-TableParagraph13"/>
              <w:spacing w:before="108"/>
              <w:jc w:val="both"/>
            </w:pPr>
            <w:r>
              <w:t xml:space="preserve">(del av) det rapporterande företagets kunder och/eller verksamhet inom rimlig tid. </w:t>
            </w:r>
          </w:p>
          <w:p w14:paraId="7FE1BCC6" w14:textId="77777777" w:rsidR="0057131B" w:rsidRDefault="00355A1C">
            <w:pPr>
              <w:pStyle w:val="P68B1DB1-TableParagraph13"/>
              <w:spacing w:before="108"/>
              <w:jc w:val="both"/>
            </w:pPr>
            <w:r>
              <w:t xml:space="preserve">Detta ska rapporteras i undergrupper, som är desamma för varje underfunktion. </w:t>
            </w:r>
          </w:p>
          <w:p w14:paraId="6E6D19F8" w14:textId="77777777" w:rsidR="0057131B" w:rsidRDefault="00355A1C">
            <w:pPr>
              <w:pStyle w:val="P68B1DB1-ListParagraph32"/>
              <w:numPr>
                <w:ilvl w:val="0"/>
                <w:numId w:val="277"/>
              </w:numPr>
              <w:jc w:val="both"/>
            </w:pPr>
            <w:r>
              <w:t xml:space="preserve">&gt; 20 konkurrenter; </w:t>
            </w:r>
          </w:p>
          <w:p w14:paraId="6A8A3C5F" w14:textId="77777777" w:rsidR="0057131B" w:rsidRDefault="00355A1C">
            <w:pPr>
              <w:pStyle w:val="P68B1DB1-ListParagraph32"/>
              <w:numPr>
                <w:ilvl w:val="0"/>
                <w:numId w:val="277"/>
              </w:numPr>
              <w:jc w:val="both"/>
            </w:pPr>
            <w:r>
              <w:t xml:space="preserve">11–20 konkurrenter. </w:t>
            </w:r>
          </w:p>
          <w:p w14:paraId="543AFD53" w14:textId="77777777" w:rsidR="0057131B" w:rsidRDefault="00355A1C">
            <w:pPr>
              <w:pStyle w:val="P68B1DB1-ListParagraph32"/>
              <w:numPr>
                <w:ilvl w:val="0"/>
                <w:numId w:val="277"/>
              </w:numPr>
              <w:jc w:val="both"/>
            </w:pPr>
            <w:r>
              <w:t xml:space="preserve">5–10 konkurrenter. </w:t>
            </w:r>
          </w:p>
          <w:p w14:paraId="761539CF" w14:textId="77777777" w:rsidR="0057131B" w:rsidRDefault="00355A1C">
            <w:pPr>
              <w:pStyle w:val="P68B1DB1-ListParagraph32"/>
              <w:numPr>
                <w:ilvl w:val="0"/>
                <w:numId w:val="277"/>
              </w:numPr>
              <w:jc w:val="both"/>
              <w:rPr>
                <w:b/>
                <w:bCs/>
                <w:color w:val="000000" w:themeColor="text1"/>
              </w:rPr>
            </w:pPr>
            <w:r>
              <w:t>5 konkurrenter</w:t>
            </w:r>
          </w:p>
          <w:p w14:paraId="7FE1BCCA" w14:textId="06EC2320" w:rsidR="0057131B" w:rsidRDefault="0057131B">
            <w:pPr>
              <w:jc w:val="both"/>
              <w:rPr>
                <w:rFonts w:ascii="Times New Roman" w:hAnsi="Times New Roman"/>
                <w:color w:val="000000" w:themeColor="text1"/>
                <w:sz w:val="20"/>
                <w:szCs w:val="20"/>
              </w:rPr>
            </w:pPr>
          </w:p>
        </w:tc>
      </w:tr>
      <w:tr w:rsidR="0057131B"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57131B" w:rsidRDefault="00355A1C">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57131B" w:rsidRDefault="00355A1C">
            <w:pPr>
              <w:pStyle w:val="P68B1DB1-TableParagraph14"/>
              <w:spacing w:before="108"/>
              <w:jc w:val="both"/>
              <w:rPr>
                <w:bCs/>
              </w:rPr>
            </w:pPr>
            <w:r>
              <w:t>Tidpunkt – förväntad tid för ersättning</w:t>
            </w:r>
          </w:p>
          <w:p w14:paraId="7FE1BCCE" w14:textId="77777777" w:rsidR="0057131B" w:rsidRDefault="00355A1C">
            <w:pPr>
              <w:pStyle w:val="P68B1DB1-TableParagraph13"/>
              <w:spacing w:before="108"/>
              <w:jc w:val="both"/>
            </w:pPr>
            <w:r>
              <w:t>Uppskatta den tid som krävs för den ekonomiska funktion som rapporteringen ger</w:t>
            </w:r>
          </w:p>
          <w:p w14:paraId="7FE1BCCF" w14:textId="77777777" w:rsidR="0057131B" w:rsidRDefault="00355A1C">
            <w:pPr>
              <w:pStyle w:val="P68B1DB1-TableParagraph13"/>
              <w:spacing w:before="108"/>
              <w:jc w:val="both"/>
            </w:pPr>
            <w:r>
              <w:t xml:space="preserve">enhet som ska absorberas av marknaden i en krissituation. Stödet omfattar </w:t>
            </w:r>
          </w:p>
          <w:p w14:paraId="7FE1BCD0" w14:textId="77777777" w:rsidR="0057131B" w:rsidRDefault="00355A1C">
            <w:pPr>
              <w:pStyle w:val="P68B1DB1-ListParagraph38"/>
              <w:numPr>
                <w:ilvl w:val="0"/>
                <w:numId w:val="274"/>
              </w:numPr>
              <w:jc w:val="both"/>
            </w:pPr>
            <w:r>
              <w:lastRenderedPageBreak/>
              <w:t xml:space="preserve">den tid som en eller flera konkurrenter förväntas behöva för att genomföra de rättsliga och tekniska åtgärderna för att ta över funktionen. och  </w:t>
            </w:r>
          </w:p>
          <w:p w14:paraId="7FE1BCD1" w14:textId="77777777" w:rsidR="0057131B" w:rsidRDefault="00355A1C">
            <w:pPr>
              <w:pStyle w:val="P68B1DB1-ListParagraph38"/>
              <w:numPr>
                <w:ilvl w:val="0"/>
                <w:numId w:val="274"/>
              </w:numPr>
              <w:jc w:val="both"/>
            </w:pPr>
            <w:r>
              <w:t xml:space="preserve">den tid som användarna av tjänsten behöver för att flytta till en annan tjänsteleverantör. </w:t>
            </w:r>
          </w:p>
          <w:p w14:paraId="7FE1BCD2"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D3" w14:textId="77777777" w:rsidR="0057131B" w:rsidRDefault="00355A1C">
            <w:pPr>
              <w:pStyle w:val="P68B1DB1-TableParagraph13"/>
              <w:spacing w:before="108"/>
              <w:jc w:val="both"/>
            </w:pPr>
            <w:r>
              <w:t>Som proxyvariabel för den förstnämnda, ge en uppskattning av den tid det skulle ta den rapporterande enheten att absorbera i sin egen verksamhet (en del av) den tjänst som tillhandahålls av ett annat institut, till en rimlig kostnad, i en krissituation. Rapportera den beräknade tiden för substitution i de undergrupper som anges i mallen:</w:t>
            </w:r>
          </w:p>
          <w:p w14:paraId="7FE1BCD4" w14:textId="77777777" w:rsidR="0057131B" w:rsidRDefault="00355A1C">
            <w:pPr>
              <w:pStyle w:val="P68B1DB1-Normal31"/>
              <w:jc w:val="both"/>
            </w:pPr>
            <w:r>
              <w:t xml:space="preserve">Undergrupper: </w:t>
            </w:r>
          </w:p>
          <w:p w14:paraId="7FE1BCD5" w14:textId="275C74C6" w:rsidR="0057131B" w:rsidRDefault="00355A1C">
            <w:pPr>
              <w:pStyle w:val="P68B1DB1-ListParagraph32"/>
              <w:numPr>
                <w:ilvl w:val="0"/>
                <w:numId w:val="286"/>
              </w:numPr>
              <w:jc w:val="both"/>
            </w:pPr>
            <w:r>
              <w:t xml:space="preserve">En vecka på 1 vecka. </w:t>
            </w:r>
          </w:p>
          <w:p w14:paraId="7FE1BCD6" w14:textId="712CDEEF" w:rsidR="0057131B" w:rsidRDefault="00355A1C">
            <w:pPr>
              <w:pStyle w:val="P68B1DB1-ListParagraph32"/>
              <w:numPr>
                <w:ilvl w:val="0"/>
                <w:numId w:val="286"/>
              </w:numPr>
              <w:jc w:val="both"/>
            </w:pPr>
            <w:r>
              <w:t xml:space="preserve">1 Week-1 månad. </w:t>
            </w:r>
          </w:p>
          <w:p w14:paraId="7FE1BCD7" w14:textId="5ECCCD1B" w:rsidR="0057131B" w:rsidRDefault="00355A1C">
            <w:pPr>
              <w:pStyle w:val="P68B1DB1-ListParagraph32"/>
              <w:numPr>
                <w:ilvl w:val="0"/>
                <w:numId w:val="286"/>
              </w:numPr>
              <w:jc w:val="both"/>
            </w:pPr>
            <w:r>
              <w:t xml:space="preserve">&gt; 1 månader – 6 månader, </w:t>
            </w:r>
          </w:p>
          <w:p w14:paraId="7FE1BCD8" w14:textId="66817B18" w:rsidR="0057131B" w:rsidRDefault="00355A1C">
            <w:pPr>
              <w:pStyle w:val="P68B1DB1-ListParagraph32"/>
              <w:numPr>
                <w:ilvl w:val="0"/>
                <w:numId w:val="286"/>
              </w:numPr>
              <w:jc w:val="both"/>
            </w:pPr>
            <w:r>
              <w:t xml:space="preserve">&gt; 6 månader  </w:t>
            </w:r>
          </w:p>
          <w:p w14:paraId="7FE1BCD9"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57131B" w:rsidRDefault="00355A1C">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57131B" w:rsidRDefault="00355A1C">
            <w:pPr>
              <w:pStyle w:val="P68B1DB1-TableParagraph14"/>
              <w:spacing w:before="108"/>
              <w:jc w:val="both"/>
              <w:rPr>
                <w:bCs/>
              </w:rPr>
            </w:pPr>
            <w:r>
              <w:t>Substitutionsförmåga</w:t>
            </w:r>
          </w:p>
        </w:tc>
      </w:tr>
      <w:tr w:rsidR="0057131B"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57131B" w:rsidRDefault="00355A1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57131B" w:rsidRDefault="00355A1C">
            <w:pPr>
              <w:pStyle w:val="P68B1DB1-TableParagraph14"/>
              <w:spacing w:before="108"/>
              <w:jc w:val="both"/>
              <w:rPr>
                <w:bCs/>
              </w:rPr>
            </w:pPr>
            <w:r>
              <w:t>Rättsliga hinder för inträde eller expansion</w:t>
            </w:r>
          </w:p>
          <w:p w14:paraId="7FE1BCE0"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E1" w14:textId="77777777" w:rsidR="0057131B" w:rsidRDefault="00355A1C">
            <w:pPr>
              <w:pStyle w:val="P68B1DB1-TableParagraph13"/>
              <w:spacing w:before="108"/>
              <w:jc w:val="both"/>
            </w:pPr>
            <w:r>
              <w:t xml:space="preserve">Rättsliga hinder för konkurrenter att erbjuda tjänsten. Rättsliga krav för att bedriva verksamhet i kreditinstitut (t.ex. banklicenser eller kapitalkrav) ska inte betraktas som oöverstigliga hinder i närvaro av alternativa tillhandahållare. Denna indikator ska rapporteras i undergrupper, som är desamma för varje underfunktion: </w:t>
            </w:r>
          </w:p>
          <w:p w14:paraId="7FE1BCE2" w14:textId="67FD7AF2" w:rsidR="0057131B" w:rsidRDefault="00355A1C">
            <w:pPr>
              <w:pStyle w:val="P68B1DB1-ListParagraph39"/>
              <w:numPr>
                <w:ilvl w:val="0"/>
                <w:numId w:val="275"/>
              </w:numPr>
              <w:jc w:val="both"/>
            </w:pPr>
            <w:r>
              <w:t xml:space="preserve">inga större hinder, </w:t>
            </w:r>
          </w:p>
          <w:p w14:paraId="7FE1BCE3" w14:textId="6C8F8F76" w:rsidR="0057131B" w:rsidRDefault="00355A1C">
            <w:pPr>
              <w:pStyle w:val="P68B1DB1-ListParagraph39"/>
              <w:numPr>
                <w:ilvl w:val="0"/>
                <w:numId w:val="275"/>
              </w:numPr>
              <w:jc w:val="both"/>
            </w:pPr>
            <w:r>
              <w:t xml:space="preserve">vissa hinder, </w:t>
            </w:r>
          </w:p>
          <w:p w14:paraId="7FE1BCE4" w14:textId="389397E1" w:rsidR="0057131B" w:rsidRDefault="00355A1C">
            <w:pPr>
              <w:pStyle w:val="P68B1DB1-ListParagraph39"/>
              <w:numPr>
                <w:ilvl w:val="0"/>
                <w:numId w:val="275"/>
              </w:numPr>
              <w:jc w:val="both"/>
            </w:pPr>
            <w:r>
              <w:t xml:space="preserve">betydande (men överlevnadsbara) barriärer. </w:t>
            </w:r>
          </w:p>
          <w:p w14:paraId="7FE1BCE6" w14:textId="5882E7D2" w:rsidR="0057131B" w:rsidRDefault="00355A1C">
            <w:pPr>
              <w:pStyle w:val="P68B1DB1-ListParagraph8"/>
              <w:numPr>
                <w:ilvl w:val="0"/>
                <w:numId w:val="275"/>
              </w:numPr>
              <w:jc w:val="both"/>
            </w:pPr>
            <w:r>
              <w:t>kritiska (svårtillgängliga) barriärer.</w:t>
            </w:r>
          </w:p>
        </w:tc>
      </w:tr>
      <w:tr w:rsidR="0057131B"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57131B" w:rsidRDefault="00355A1C">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57131B" w:rsidRDefault="00355A1C">
            <w:pPr>
              <w:pStyle w:val="P68B1DB1-TableParagraph14"/>
              <w:spacing w:before="108"/>
              <w:jc w:val="both"/>
              <w:rPr>
                <w:bCs/>
              </w:rPr>
            </w:pPr>
            <w:r>
              <w:t>Operativa krav för inträde eller utvidgning</w:t>
            </w:r>
          </w:p>
          <w:p w14:paraId="7FE1BCEA" w14:textId="77777777" w:rsidR="0057131B" w:rsidRDefault="0057131B">
            <w:pPr>
              <w:pStyle w:val="TableParagraph"/>
              <w:spacing w:before="108"/>
              <w:jc w:val="both"/>
              <w:rPr>
                <w:rFonts w:ascii="Times New Roman" w:hAnsi="Times New Roman" w:cs="Times New Roman"/>
                <w:color w:val="000000" w:themeColor="text1"/>
                <w:sz w:val="20"/>
                <w:szCs w:val="20"/>
              </w:rPr>
            </w:pPr>
          </w:p>
          <w:p w14:paraId="7FE1BCEB" w14:textId="31044453" w:rsidR="0057131B" w:rsidRDefault="00355A1C">
            <w:pPr>
              <w:pStyle w:val="P68B1DB1-TableParagraph13"/>
              <w:spacing w:before="108"/>
              <w:jc w:val="both"/>
            </w:pPr>
            <w:r>
              <w:t xml:space="preserve">Organisatoriska, tekniska och infrastrukturmässiga krav för konkurrenter att erbjuda tjänsten. För att erbjuda tjänster med anknytning till (under) funktionen måste leverantörerna investera i (ny eller ytterligare) infrastruktur – eller ändra sina organisationer. Bedöma marknadens förmåga att absorbera den aktuella verksamheten, t.ex. när det gäller kapitalkrav. </w:t>
            </w:r>
          </w:p>
          <w:p w14:paraId="7FE1BCEC" w14:textId="77777777" w:rsidR="0057131B" w:rsidRDefault="00355A1C">
            <w:pPr>
              <w:pStyle w:val="P68B1DB1-TableParagraph13"/>
              <w:spacing w:before="108"/>
              <w:jc w:val="both"/>
            </w:pPr>
            <w:r>
              <w:t xml:space="preserve">Denna indikator ska rapporteras i undergrupper, som är desamma för varje underfunktion: </w:t>
            </w:r>
          </w:p>
          <w:p w14:paraId="7FE1BCED" w14:textId="5283E021" w:rsidR="0057131B" w:rsidRDefault="00355A1C">
            <w:pPr>
              <w:pStyle w:val="P68B1DB1-ListParagraph39"/>
              <w:numPr>
                <w:ilvl w:val="0"/>
                <w:numId w:val="278"/>
              </w:numPr>
              <w:jc w:val="both"/>
            </w:pPr>
            <w:r>
              <w:t xml:space="preserve">inga större krav, </w:t>
            </w:r>
          </w:p>
          <w:p w14:paraId="7FE1BCEE" w14:textId="5ADAB5CD" w:rsidR="0057131B" w:rsidRDefault="00355A1C">
            <w:pPr>
              <w:pStyle w:val="P68B1DB1-ListParagraph39"/>
              <w:numPr>
                <w:ilvl w:val="0"/>
                <w:numId w:val="278"/>
              </w:numPr>
              <w:jc w:val="both"/>
            </w:pPr>
            <w:r>
              <w:t xml:space="preserve">vissa krav, </w:t>
            </w:r>
          </w:p>
          <w:p w14:paraId="7FE1BCEF" w14:textId="579CC165" w:rsidR="0057131B" w:rsidRDefault="00355A1C">
            <w:pPr>
              <w:pStyle w:val="P68B1DB1-ListParagraph39"/>
              <w:numPr>
                <w:ilvl w:val="0"/>
                <w:numId w:val="278"/>
              </w:numPr>
              <w:jc w:val="both"/>
            </w:pPr>
            <w:r>
              <w:t xml:space="preserve">väsentliga (men översättbara) krav. </w:t>
            </w:r>
          </w:p>
          <w:p w14:paraId="7FE1BCF0" w14:textId="5F9F9690" w:rsidR="0057131B" w:rsidRDefault="00355A1C">
            <w:pPr>
              <w:pStyle w:val="P68B1DB1-ListParagraph39"/>
              <w:numPr>
                <w:ilvl w:val="0"/>
                <w:numId w:val="278"/>
              </w:numPr>
              <w:jc w:val="both"/>
            </w:pPr>
            <w:r>
              <w:t>kritiska (svåra att uppfylla) krav.</w:t>
            </w:r>
          </w:p>
          <w:p w14:paraId="7FE1BCF1" w14:textId="77777777" w:rsidR="0057131B" w:rsidRDefault="0057131B">
            <w:pPr>
              <w:pStyle w:val="TableParagraph"/>
              <w:spacing w:before="108"/>
              <w:jc w:val="both"/>
              <w:rPr>
                <w:rFonts w:ascii="Times New Roman" w:hAnsi="Times New Roman" w:cs="Times New Roman"/>
                <w:color w:val="000000" w:themeColor="text1"/>
                <w:sz w:val="20"/>
                <w:szCs w:val="20"/>
              </w:rPr>
            </w:pPr>
          </w:p>
        </w:tc>
      </w:tr>
      <w:tr w:rsidR="0057131B"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57131B" w:rsidRDefault="00355A1C">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57131B" w:rsidRDefault="00355A1C">
            <w:pPr>
              <w:pStyle w:val="P68B1DB1-TableParagraph14"/>
              <w:spacing w:before="108"/>
              <w:jc w:val="both"/>
              <w:rPr>
                <w:bCs/>
              </w:rPr>
            </w:pPr>
            <w:r>
              <w:t>Kriticitetsbedömning</w:t>
            </w:r>
          </w:p>
        </w:tc>
      </w:tr>
      <w:tr w:rsidR="0057131B"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57131B" w:rsidRDefault="00355A1C">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57131B" w:rsidRDefault="00355A1C">
            <w:pPr>
              <w:pStyle w:val="P68B1DB1-TableParagraph14"/>
              <w:spacing w:before="108"/>
              <w:jc w:val="both"/>
              <w:rPr>
                <w:bCs/>
              </w:rPr>
            </w:pPr>
            <w:r>
              <w:t xml:space="preserve">Verkningar på marknaden </w:t>
            </w:r>
          </w:p>
          <w:p w14:paraId="7FE1BCF8" w14:textId="77777777" w:rsidR="0057131B" w:rsidRDefault="00355A1C">
            <w:pPr>
              <w:pStyle w:val="P68B1DB1-TableParagraph13"/>
              <w:spacing w:before="108"/>
              <w:jc w:val="both"/>
            </w:pPr>
            <w:r>
              <w:t>Förväntad inverkan ifall tredjeparters, finansmarknadens eller realekonomins funktion plötsligt upphör, med beaktande av storlek, marknadsandel i landet, extern och intern sammanlänkning, komplexitet samt institutets gränsöverskridande verksamhet.</w:t>
            </w:r>
          </w:p>
          <w:p w14:paraId="7FE1BCF9" w14:textId="22534111" w:rsidR="0057131B" w:rsidRDefault="00355A1C">
            <w:pPr>
              <w:pStyle w:val="P68B1DB1-TableParagraph13"/>
              <w:spacing w:before="108"/>
              <w:jc w:val="both"/>
            </w:pPr>
            <w:r>
              <w:t>Denna bedömning ska uttryckas kvalitativt som ”hög”, ”medelhög”, ”medelhög” eller ”låg”.</w:t>
            </w:r>
          </w:p>
          <w:p w14:paraId="7FE1BCFA" w14:textId="60C791C3" w:rsidR="0057131B" w:rsidRDefault="00355A1C">
            <w:pPr>
              <w:pStyle w:val="P68B1DB1-TableParagraph13"/>
              <w:spacing w:before="108"/>
              <w:jc w:val="both"/>
            </w:pPr>
            <w:r>
              <w:t xml:space="preserve">”Hög” ska väljas om nedläggningen har en allvarlig påverkan på den nationella marknaden, ”Medium-High” om påverkan är betydelsefull, ”Medium-Low” om påverkan är väsentlig men </w:t>
            </w:r>
            <w:r>
              <w:lastRenderedPageBreak/>
              <w:t>begränsad och ”Låg” om påverkan är låg.</w:t>
            </w:r>
          </w:p>
        </w:tc>
      </w:tr>
      <w:tr w:rsidR="0057131B"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57131B" w:rsidRDefault="00355A1C">
            <w:pPr>
              <w:pStyle w:val="P68B1DB1-TableParagraph17"/>
              <w:spacing w:before="108"/>
              <w:ind w:left="85"/>
              <w:jc w:val="both"/>
            </w:pPr>
            <w:r>
              <w:lastRenderedPageBreak/>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57131B" w:rsidRDefault="00355A1C">
            <w:pPr>
              <w:pStyle w:val="P68B1DB1-TableParagraph14"/>
              <w:spacing w:before="108"/>
              <w:jc w:val="both"/>
              <w:rPr>
                <w:bCs/>
              </w:rPr>
            </w:pPr>
            <w:r>
              <w:t>Utbytbarhet</w:t>
            </w:r>
          </w:p>
          <w:p w14:paraId="7FE1BCFE" w14:textId="77777777" w:rsidR="0057131B" w:rsidRDefault="00355A1C">
            <w:pPr>
              <w:pStyle w:val="P68B1DB1-TableParagraph13"/>
              <w:spacing w:before="108"/>
              <w:jc w:val="both"/>
            </w:pPr>
            <w:r>
              <w:t>Artikel 6.3 i delegerad förordning (EU) 2016/778.</w:t>
            </w:r>
          </w:p>
          <w:p w14:paraId="7FE1BCFF" w14:textId="77777777" w:rsidR="0057131B" w:rsidRDefault="00355A1C">
            <w:pPr>
              <w:pStyle w:val="P68B1DB1-TableParagraph13"/>
              <w:spacing w:before="108"/>
              <w:jc w:val="both"/>
            </w:pPr>
            <w:r>
              <w:t>En funktion ska anses vara utbytbar om den kan ersättas på ett acceptabelt sätt och inom rimlig tid så att systemproblem för realekonomin och finansmarknaden kan undvikas. Följande ska beaktas:</w:t>
            </w:r>
          </w:p>
          <w:p w14:paraId="7FE1BD00" w14:textId="77777777" w:rsidR="0057131B" w:rsidRDefault="00355A1C">
            <w:pPr>
              <w:pStyle w:val="P68B1DB1-TableParagraph13"/>
              <w:spacing w:before="108"/>
              <w:jc w:val="both"/>
            </w:pPr>
            <w:r>
              <w:t xml:space="preserve">(a) Funktionens marknadsstruktur och tillgången till ersättningsleverantörer. </w:t>
            </w:r>
          </w:p>
          <w:p w14:paraId="7FE1BD01" w14:textId="77777777" w:rsidR="0057131B" w:rsidRDefault="00355A1C">
            <w:pPr>
              <w:pStyle w:val="P68B1DB1-TableParagraph13"/>
              <w:spacing w:before="108"/>
              <w:jc w:val="both"/>
            </w:pPr>
            <w:r>
              <w:t xml:space="preserve">(b) andra leverantörers förmåga i fråga om kapacitet, krav för att kunna utföra funktionen och eventuella hinder för marknadsinträde eller expansion. </w:t>
            </w:r>
          </w:p>
          <w:p w14:paraId="7FE1BD02" w14:textId="77777777" w:rsidR="0057131B" w:rsidRDefault="00355A1C">
            <w:pPr>
              <w:pStyle w:val="P68B1DB1-TableParagraph13"/>
              <w:spacing w:before="108"/>
              <w:jc w:val="both"/>
            </w:pPr>
            <w:r>
              <w:t xml:space="preserve">(c) Incitament för andra leverantörer att ta över denna verksamhet. </w:t>
            </w:r>
          </w:p>
          <w:p w14:paraId="7FE1BD03" w14:textId="77777777" w:rsidR="0057131B" w:rsidRDefault="00355A1C">
            <w:pPr>
              <w:pStyle w:val="P68B1DB1-TableParagraph13"/>
              <w:spacing w:before="108"/>
              <w:jc w:val="both"/>
            </w:pPr>
            <w:r>
              <w:t>(d) den tid som krävs för att de som använder tjänsten ska kunna gå över till den nya leverantören och kostnaderna för denna övergång, den tid som krävs för att andra konkurrenter ska kunna ta över funktionerna, och huruvida den tidsramen är tillräcklig för att förhindra betydande störningar, beroende på typen av tjänst.</w:t>
            </w:r>
          </w:p>
          <w:p w14:paraId="7FE1BD04" w14:textId="379B1AA4" w:rsidR="0057131B" w:rsidRDefault="00355A1C">
            <w:pPr>
              <w:pStyle w:val="P68B1DB1-TableParagraph13"/>
              <w:spacing w:before="108"/>
              <w:jc w:val="both"/>
            </w:pPr>
            <w:r>
              <w:t xml:space="preserve">Ge en övergripande bedömning av den förväntade graden av utbytbarhet för varje funktion, med beaktande av de olika dimensioner som tidigare bedömts (marknadsandel, marknadskoncentration, tid för substitution, rättsliga hinder och operativa krav för inträde eller expansion). Denna bedömning ska uttryckas kvalitativt som ”hög”, ”medelhög”, ”medelhög” eller ”låg”. </w:t>
            </w:r>
          </w:p>
          <w:p w14:paraId="7FE1BD05" w14:textId="3E0B0177" w:rsidR="0057131B" w:rsidRDefault="00355A1C">
            <w:pPr>
              <w:pStyle w:val="P68B1DB1-TableParagraph13"/>
              <w:spacing w:before="108"/>
              <w:jc w:val="both"/>
            </w:pPr>
            <w:r>
              <w:t>”H” ska väljas om en funktion enkelt kan tillhandahållas av en annan bank under jämförbara villkor och inom rimlig tid,</w:t>
            </w:r>
          </w:p>
          <w:p w14:paraId="7FE1BD06" w14:textId="5459DD51" w:rsidR="0057131B" w:rsidRDefault="00355A1C">
            <w:pPr>
              <w:pStyle w:val="P68B1DB1-TableParagraph13"/>
              <w:spacing w:before="108"/>
              <w:jc w:val="both"/>
            </w:pPr>
            <w:r>
              <w:t xml:space="preserve">”Låg” om en funktion inte kan ersättas enkelt eller snabbt, </w:t>
            </w:r>
          </w:p>
          <w:p w14:paraId="7FE1BD07" w14:textId="113A35A6" w:rsidR="0057131B" w:rsidRDefault="00355A1C">
            <w:pPr>
              <w:pStyle w:val="P68B1DB1-TableParagraph13"/>
              <w:spacing w:before="108"/>
              <w:jc w:val="both"/>
            </w:pPr>
            <w:r>
              <w:t>”Medium-High” och ”Medium-Low” för fall däremellan med beaktande av olika dimensioner (t.ex. marknadsandel, marknadskoncentration, tid fram till bytet, samt rättsliga hinder och operationella krav för marknadsinträde eller expansion).</w:t>
            </w:r>
          </w:p>
        </w:tc>
      </w:tr>
      <w:tr w:rsidR="0057131B"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57131B" w:rsidRDefault="00355A1C">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57131B" w:rsidRDefault="00355A1C">
            <w:pPr>
              <w:pStyle w:val="P68B1DB1-TableParagraph14"/>
              <w:spacing w:before="108"/>
              <w:jc w:val="both"/>
              <w:rPr>
                <w:bCs/>
              </w:rPr>
            </w:pPr>
            <w:r>
              <w:t>Kritisk funktion</w:t>
            </w:r>
          </w:p>
          <w:p w14:paraId="7FE1BD0B" w14:textId="77777777" w:rsidR="0057131B" w:rsidRDefault="00355A1C">
            <w:pPr>
              <w:pStyle w:val="P68B1DB1-TableParagraph13"/>
              <w:spacing w:before="108"/>
              <w:jc w:val="both"/>
            </w:pPr>
            <w:r>
              <w:t>I denna kolumn ska redovisas huruvida den ekonomiska funktionen kan anses vara kritisk på ifrågavarande lands marknad, detta med beaktande av den genomförda påverkan och ersättbarhetsanalysen av institutionen.</w:t>
            </w:r>
          </w:p>
          <w:p w14:paraId="7FE1BD0C" w14:textId="77777777" w:rsidR="0057131B" w:rsidRDefault="00355A1C">
            <w:pPr>
              <w:pStyle w:val="P68B1DB1-TableParagraph13"/>
              <w:spacing w:before="108"/>
              <w:jc w:val="both"/>
            </w:pPr>
            <w:r>
              <w:t>Redovisa ”ja” eller ”nej”.</w:t>
            </w:r>
          </w:p>
        </w:tc>
      </w:tr>
      <w:tr w:rsidR="0057131B"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57131B" w:rsidRDefault="00355A1C">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57131B" w:rsidRDefault="00355A1C">
            <w:pPr>
              <w:pStyle w:val="P68B1DB1-TableParagraph14"/>
              <w:spacing w:before="108"/>
              <w:jc w:val="both"/>
              <w:rPr>
                <w:bCs/>
              </w:rPr>
            </w:pPr>
            <w:r>
              <w:t>Synpunkter från koncernen</w:t>
            </w:r>
          </w:p>
          <w:p w14:paraId="7FE1BD10" w14:textId="77777777" w:rsidR="0057131B" w:rsidRDefault="00355A1C">
            <w:pPr>
              <w:pStyle w:val="P68B1DB1-TableParagraph13"/>
              <w:spacing w:before="108"/>
              <w:jc w:val="both"/>
            </w:pPr>
            <w:r>
              <w:t>Detta fält gör det möjligt för det rapporterande företaget att förklara eventuella antaganden som används för att bedöma kritikaliteten hos den eller de rapporterade funktionerna.</w:t>
            </w:r>
          </w:p>
        </w:tc>
      </w:tr>
    </w:tbl>
    <w:p w14:paraId="7FE1BD12" w14:textId="77777777" w:rsidR="0057131B" w:rsidRDefault="0057131B">
      <w:pPr>
        <w:rPr>
          <w:rFonts w:ascii="Times New Roman" w:hAnsi="Times New Roman" w:cs="Times New Roman"/>
          <w:color w:val="000000" w:themeColor="text1"/>
          <w:sz w:val="20"/>
          <w:szCs w:val="20"/>
        </w:rPr>
      </w:pPr>
    </w:p>
    <w:p w14:paraId="7FE1BD13" w14:textId="77777777" w:rsidR="0057131B" w:rsidRDefault="0057131B">
      <w:pPr>
        <w:rPr>
          <w:rFonts w:ascii="Times New Roman" w:hAnsi="Times New Roman" w:cs="Times New Roman"/>
          <w:color w:val="000000" w:themeColor="text1"/>
          <w:sz w:val="20"/>
          <w:szCs w:val="20"/>
        </w:rPr>
      </w:pPr>
    </w:p>
    <w:p w14:paraId="7FE1BD14" w14:textId="798A12CA" w:rsidR="0057131B" w:rsidRDefault="00355A1C">
      <w:pPr>
        <w:pStyle w:val="P68B1DB1-Instructionsberschrift25"/>
      </w:pPr>
      <w:bookmarkStart w:id="121" w:name="_Toc210901297"/>
      <w:r>
        <w:t>II.13</w:t>
      </w:r>
      <w:r>
        <w:tab/>
        <w:t xml:space="preserve">Z 07.01.5 FUNC 1 </w:t>
      </w:r>
      <w:r w:rsidR="0047448E" w:rsidRPr="0047448E">
        <w:t>Kapitalmarknadsfinansiering</w:t>
      </w:r>
      <w:bookmarkEnd w:id="121"/>
    </w:p>
    <w:p w14:paraId="7FE1BD1C" w14:textId="77777777" w:rsidR="0057131B" w:rsidRDefault="0057131B">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7131B"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57131B" w:rsidRDefault="00355A1C">
            <w:pPr>
              <w:pStyle w:val="P68B1DB1-TableParagraph17"/>
              <w:spacing w:before="108"/>
              <w:ind w:left="85"/>
              <w:jc w:val="both"/>
            </w:pPr>
            <w:r>
              <w:t>Kolumner</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57131B" w:rsidRDefault="00355A1C">
            <w:pPr>
              <w:pStyle w:val="P68B1DB1-TableParagraph17"/>
              <w:spacing w:before="108"/>
              <w:ind w:left="85" w:right="1"/>
              <w:jc w:val="both"/>
            </w:pPr>
            <w:r>
              <w:t>Anvisningar</w:t>
            </w:r>
          </w:p>
        </w:tc>
      </w:tr>
      <w:tr w:rsidR="0057131B"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57131B" w:rsidRDefault="00355A1C">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57131B" w:rsidRDefault="00355A1C">
            <w:pPr>
              <w:pStyle w:val="P68B1DB1-TableParagraph14"/>
              <w:spacing w:before="108"/>
              <w:ind w:left="85"/>
              <w:jc w:val="both"/>
              <w:rPr>
                <w:bCs/>
              </w:rPr>
            </w:pPr>
            <w:r>
              <w:t>Beskrivning av ekonomisk funktion</w:t>
            </w:r>
          </w:p>
          <w:p w14:paraId="7FE1BD22" w14:textId="6BE3B37A" w:rsidR="0057131B" w:rsidRDefault="00355A1C">
            <w:pPr>
              <w:pStyle w:val="P68B1DB1-TableParagraph17"/>
              <w:spacing w:before="108"/>
              <w:ind w:left="85"/>
            </w:pPr>
            <w:r>
              <w:t xml:space="preserve">Om den ekonomiska funktionen är av typen ”Annan” (Z 07.01.5 FUNC 1 </w:t>
            </w:r>
            <w:r w:rsidR="0047448E" w:rsidRPr="0047448E">
              <w:t>Kapitalmarknadsfinansiering</w:t>
            </w:r>
            <w:r>
              <w:t xml:space="preserve"> r0360 till r0380) ska en beskrivning av denna funktion tillhandahållas. </w:t>
            </w:r>
          </w:p>
        </w:tc>
      </w:tr>
      <w:tr w:rsidR="0057131B"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57131B" w:rsidRDefault="00355A1C">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57131B" w:rsidRDefault="00355A1C">
            <w:pPr>
              <w:pStyle w:val="P68B1DB1-TableParagraph14"/>
              <w:spacing w:before="108"/>
              <w:ind w:left="85"/>
              <w:jc w:val="both"/>
              <w:rPr>
                <w:bCs/>
              </w:rPr>
            </w:pPr>
            <w:r>
              <w:t xml:space="preserve">Marknadsandel </w:t>
            </w:r>
          </w:p>
          <w:p w14:paraId="7FE1BD26" w14:textId="470CCD5A" w:rsidR="0057131B" w:rsidRDefault="00355A1C">
            <w:pPr>
              <w:pStyle w:val="P68B1DB1-TableParagraph17"/>
              <w:spacing w:before="108"/>
              <w:ind w:left="85"/>
            </w:pPr>
            <w:r>
              <w:lastRenderedPageBreak/>
              <w:t>Institutets eller koncernens förväntade marknadsandel för den ekonomiska funktionen i respektive land eller geografisk område. En procentandel av hela marknaden i form av ett brutto bärande belopp.</w:t>
            </w:r>
          </w:p>
        </w:tc>
      </w:tr>
      <w:tr w:rsidR="0057131B"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57131B" w:rsidRDefault="00355A1C">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57131B" w:rsidRDefault="00355A1C">
            <w:pPr>
              <w:pStyle w:val="P68B1DB1-Normal42"/>
              <w:rPr>
                <w:bCs/>
              </w:rPr>
            </w:pPr>
            <w:r>
              <w:t>Redovisat bruttovärde</w:t>
            </w:r>
          </w:p>
          <w:p w14:paraId="7FE1BD2A" w14:textId="77777777" w:rsidR="0057131B" w:rsidRDefault="00355A1C">
            <w:pPr>
              <w:pStyle w:val="P68B1DB1-TableParagraph17"/>
              <w:spacing w:before="108"/>
            </w:pPr>
            <w:r>
              <w:t xml:space="preserve">Använd redovisat bruttovärde enligt definition i Finrep. </w:t>
            </w:r>
          </w:p>
          <w:p w14:paraId="7FE1BD2B" w14:textId="77777777" w:rsidR="0057131B" w:rsidRDefault="00355A1C">
            <w:pPr>
              <w:pStyle w:val="P68B1DB1-TableParagraph17"/>
              <w:spacing w:before="108"/>
            </w:pPr>
            <w:r>
              <w:t xml:space="preserve">Hänvisningar: FINREP: Bilaga V, del 1 punkt 34, Finrep: Bilaga III, IV, mallar: </w:t>
            </w:r>
          </w:p>
          <w:p w14:paraId="7FE1BD2C" w14:textId="77777777" w:rsidR="0057131B" w:rsidRDefault="00355A1C">
            <w:pPr>
              <w:pStyle w:val="P68B1DB1-TableParagraph17"/>
              <w:spacing w:before="108"/>
            </w:pPr>
            <w:r>
              <w:t>— Upplåning (5.1): Mall F 20.06 kolumn 010 rad 100+ 110, samtliga länder.</w:t>
            </w:r>
          </w:p>
          <w:p w14:paraId="7FE1BD2D" w14:textId="77777777" w:rsidR="0057131B" w:rsidRDefault="00355A1C">
            <w:pPr>
              <w:pStyle w:val="P68B1DB1-TableParagraph17"/>
              <w:spacing w:before="108"/>
            </w:pPr>
            <w:r>
              <w:t>— Derivat (tillgångar) (5.2): Mall F20.04 kolumn 010 rad 010, samtliga länder.</w:t>
            </w:r>
          </w:p>
          <w:p w14:paraId="7FE1BD2E" w14:textId="77777777" w:rsidR="0057131B" w:rsidRDefault="00355A1C">
            <w:pPr>
              <w:pStyle w:val="P68B1DB1-TableParagraph17"/>
              <w:spacing w:before="108"/>
            </w:pPr>
            <w:r>
              <w:t xml:space="preserve">— Utlåning (5.3): Mall F20.04 kolumn 010 rad 170+ 180, samtliga länder. </w:t>
            </w:r>
          </w:p>
          <w:p w14:paraId="7FE1BD30" w14:textId="58CF223C" w:rsidR="0057131B" w:rsidRDefault="00355A1C">
            <w:pPr>
              <w:pStyle w:val="P68B1DB1-TableParagraph17"/>
              <w:spacing w:before="108"/>
            </w:pPr>
            <w:r>
              <w:t>— Derivat (skulder) (5.4): Mall F20.06 kolumn 010 rad 010, samtliga länder.</w:t>
            </w:r>
          </w:p>
        </w:tc>
      </w:tr>
      <w:tr w:rsidR="0057131B"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57131B" w:rsidRDefault="00355A1C">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57131B" w:rsidRDefault="00355A1C">
            <w:pPr>
              <w:pStyle w:val="P68B1DB1-Normal42"/>
              <w:rPr>
                <w:bCs/>
              </w:rPr>
            </w:pPr>
            <w:r>
              <w:t>Antal motparter</w:t>
            </w:r>
          </w:p>
          <w:p w14:paraId="7FE1BD34" w14:textId="77777777" w:rsidR="0057131B" w:rsidRDefault="00355A1C">
            <w:pPr>
              <w:pStyle w:val="P68B1DB1-TableParagraph17"/>
              <w:spacing w:before="108"/>
            </w:pPr>
            <w:r>
              <w:t>Totalt antal motparter. En motpart som har flera konton och/eller flera transaktioner ska endast räknas en gång.</w:t>
            </w:r>
          </w:p>
        </w:tc>
      </w:tr>
      <w:tr w:rsidR="0057131B"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57131B" w:rsidRDefault="00355A1C">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57131B" w:rsidRDefault="00355A1C">
            <w:pPr>
              <w:pStyle w:val="P68B1DB1-TableParagraph14"/>
              <w:spacing w:before="108"/>
              <w:jc w:val="both"/>
              <w:rPr>
                <w:bCs/>
              </w:rPr>
            </w:pPr>
            <w:r>
              <w:t>(Omvända) repor</w:t>
            </w:r>
          </w:p>
          <w:p w14:paraId="7FE1BD38" w14:textId="77777777" w:rsidR="0057131B" w:rsidRDefault="00355A1C">
            <w:pPr>
              <w:pStyle w:val="P68B1DB1-TableParagraph13"/>
              <w:spacing w:before="108"/>
              <w:jc w:val="both"/>
            </w:pPr>
            <w:r>
              <w:t>Rapportera återköpsavtal inom ramen för upplåning på grossistnivå. Återköp</w:t>
            </w:r>
          </w:p>
          <w:p w14:paraId="7FE1BD39" w14:textId="77777777" w:rsidR="0057131B" w:rsidRDefault="00355A1C">
            <w:pPr>
              <w:pStyle w:val="P68B1DB1-TableParagraph13"/>
              <w:spacing w:before="108"/>
              <w:jc w:val="both"/>
            </w:pPr>
            <w:r>
              <w:t>med avtal avses kontanter som erhålls i utbyte mot värdepapper som säljs till ett visst pris enligt</w:t>
            </w:r>
          </w:p>
          <w:p w14:paraId="7FE1BD3A" w14:textId="77777777" w:rsidR="0057131B" w:rsidRDefault="00355A1C">
            <w:pPr>
              <w:pStyle w:val="P68B1DB1-TableParagraph13"/>
              <w:spacing w:before="108"/>
              <w:jc w:val="both"/>
            </w:pPr>
            <w:r>
              <w:t>fast åtagande att återköpa samma (eller liknande) värdepapper till ett fast pris på en</w:t>
            </w:r>
          </w:p>
          <w:p w14:paraId="7FE1BD3B" w14:textId="77777777" w:rsidR="0057131B" w:rsidRDefault="00355A1C">
            <w:pPr>
              <w:pStyle w:val="P68B1DB1-TableParagraph13"/>
              <w:spacing w:before="108"/>
              <w:jc w:val="both"/>
            </w:pPr>
            <w:r>
              <w:t xml:space="preserve">specificerat framtida datum. </w:t>
            </w:r>
          </w:p>
          <w:p w14:paraId="7FE1BD3C" w14:textId="77777777" w:rsidR="0057131B" w:rsidRDefault="00355A1C">
            <w:pPr>
              <w:pStyle w:val="P68B1DB1-TableParagraph13"/>
              <w:spacing w:before="108"/>
              <w:jc w:val="both"/>
            </w:pPr>
            <w:r>
              <w:t>Rapportera omvända repolån inom ramen för kapitalmarknadsutlåning. Omvända repor innebär finansiering som beviljas i utbyte mot köpta värdepapper</w:t>
            </w:r>
          </w:p>
          <w:p w14:paraId="7FE1BD3D" w14:textId="77777777" w:rsidR="0057131B" w:rsidRDefault="00355A1C">
            <w:pPr>
              <w:pStyle w:val="P68B1DB1-TableParagraph13"/>
              <w:spacing w:before="108"/>
              <w:jc w:val="both"/>
            </w:pPr>
            <w:r>
              <w:t>enligt återköpsavtal eller lånade enligt avtal om värdepapperslån.</w:t>
            </w:r>
          </w:p>
          <w:p w14:paraId="7FE1BD3E" w14:textId="77777777" w:rsidR="0057131B" w:rsidRDefault="00355A1C">
            <w:pPr>
              <w:pStyle w:val="P68B1DB1-TableParagraph13"/>
              <w:spacing w:before="108"/>
              <w:jc w:val="both"/>
            </w:pPr>
            <w:r>
              <w:t>Bakgrundsreferenser: Förordning (EG) nr 2015/2365 om transparens i fråga om finansiering av värdepapper</w:t>
            </w:r>
          </w:p>
          <w:p w14:paraId="7FE1BD3F" w14:textId="77777777" w:rsidR="0057131B" w:rsidRDefault="00355A1C">
            <w:pPr>
              <w:pStyle w:val="P68B1DB1-TableParagraph13"/>
              <w:spacing w:before="108"/>
              <w:jc w:val="both"/>
            </w:pPr>
            <w:r>
              <w:t>transaktioner och återanvändning artikel 3 (9). FINREP: Bilaga V del 2. Kapitel 5, punkt 85 e</w:t>
            </w:r>
          </w:p>
          <w:p w14:paraId="7FE1BD40" w14:textId="77777777" w:rsidR="0057131B" w:rsidRDefault="00355A1C">
            <w:pPr>
              <w:pStyle w:val="P68B1DB1-TableParagraph13"/>
              <w:spacing w:before="108"/>
              <w:jc w:val="both"/>
            </w:pPr>
            <w:r>
              <w:t>och kapitel 14 punkt 183, Bilaga III:</w:t>
            </w:r>
          </w:p>
          <w:p w14:paraId="7FE1BD41" w14:textId="77777777" w:rsidR="0057131B" w:rsidRDefault="00355A1C">
            <w:pPr>
              <w:pStyle w:val="P68B1DB1-TableParagraph13"/>
              <w:numPr>
                <w:ilvl w:val="0"/>
                <w:numId w:val="153"/>
              </w:numPr>
              <w:spacing w:before="108"/>
              <w:jc w:val="both"/>
            </w:pPr>
            <w:r>
              <w:t>Återköpsavtal: Tabell 08.01, kolumnerna 010 + 020 + 030 raderna 200 + 250.</w:t>
            </w:r>
          </w:p>
          <w:p w14:paraId="7FE1BD42" w14:textId="77777777" w:rsidR="0057131B" w:rsidRDefault="00355A1C">
            <w:pPr>
              <w:pStyle w:val="P68B1DB1-TableParagraph13"/>
              <w:numPr>
                <w:ilvl w:val="0"/>
                <w:numId w:val="153"/>
              </w:numPr>
              <w:spacing w:before="108"/>
              <w:jc w:val="both"/>
            </w:pPr>
            <w:r>
              <w:t>Omvänd repa: Tabell 05.00, kolumnerna 030 + 040 rad 050.</w:t>
            </w:r>
          </w:p>
        </w:tc>
      </w:tr>
      <w:tr w:rsidR="0057131B"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57131B" w:rsidRDefault="00355A1C">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57131B" w:rsidRDefault="00355A1C">
            <w:pPr>
              <w:pStyle w:val="P68B1DB1-TableParagraph14"/>
              <w:spacing w:before="108"/>
              <w:jc w:val="both"/>
              <w:rPr>
                <w:bCs/>
              </w:rPr>
            </w:pPr>
            <w:r>
              <w:t>Gränsöverskridande värde</w:t>
            </w:r>
          </w:p>
          <w:p w14:paraId="7FE1BD46" w14:textId="77777777" w:rsidR="0057131B" w:rsidRDefault="00355A1C">
            <w:pPr>
              <w:pStyle w:val="P68B1DB1-TableParagraph13"/>
              <w:spacing w:before="108"/>
              <w:jc w:val="both"/>
            </w:pPr>
            <w:r>
              <w:t>Lägg till redovisat bruttovärde för alla länder utom hemlandet eller det relevanta landet.</w:t>
            </w:r>
          </w:p>
        </w:tc>
      </w:tr>
      <w:tr w:rsidR="0057131B"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57131B" w:rsidRDefault="00355A1C">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57131B" w:rsidRDefault="00355A1C">
            <w:pPr>
              <w:pStyle w:val="P68B1DB1-Normal42"/>
              <w:rPr>
                <w:bCs/>
              </w:rPr>
            </w:pPr>
            <w:r>
              <w:t>Värde hos kreditinstitut</w:t>
            </w:r>
          </w:p>
          <w:p w14:paraId="7FE1BD4A" w14:textId="77777777" w:rsidR="0057131B" w:rsidRDefault="00355A1C">
            <w:pPr>
              <w:pStyle w:val="P68B1DB1-TableParagraph13"/>
              <w:spacing w:before="108"/>
              <w:jc w:val="both"/>
            </w:pPr>
            <w:r>
              <w:t>Redovisat bruttovärde hos kreditinstitut. Sektorsdefinition enligt</w:t>
            </w:r>
          </w:p>
          <w:p w14:paraId="7FE1BD4B" w14:textId="77777777" w:rsidR="0057131B" w:rsidRDefault="00355A1C">
            <w:pPr>
              <w:pStyle w:val="P68B1DB1-TableParagraph13"/>
              <w:spacing w:before="108"/>
              <w:jc w:val="both"/>
            </w:pPr>
            <w:r>
              <w:t xml:space="preserve">Finrep (bilaga V). </w:t>
            </w:r>
          </w:p>
          <w:p w14:paraId="7FE1BD4C" w14:textId="77777777" w:rsidR="0057131B" w:rsidRDefault="00355A1C">
            <w:pPr>
              <w:pStyle w:val="P68B1DB1-TableParagraph13"/>
              <w:spacing w:before="108"/>
              <w:jc w:val="both"/>
            </w:pPr>
            <w:r>
              <w:t>Bakgrundsreferenser: FINREP: Bilaga III:</w:t>
            </w:r>
          </w:p>
          <w:p w14:paraId="7FE1BD4D" w14:textId="77777777" w:rsidR="0057131B" w:rsidRDefault="00355A1C">
            <w:pPr>
              <w:pStyle w:val="P68B1DB1-TableParagraph13"/>
              <w:numPr>
                <w:ilvl w:val="0"/>
                <w:numId w:val="153"/>
              </w:numPr>
              <w:spacing w:before="108"/>
              <w:jc w:val="both"/>
            </w:pPr>
            <w:r>
              <w:t>Upplåning: Tabell 20.06 kolumn 010 rad 100, samtliga länder.</w:t>
            </w:r>
          </w:p>
          <w:p w14:paraId="7FE1BD4E" w14:textId="77777777" w:rsidR="0057131B" w:rsidRDefault="00355A1C">
            <w:pPr>
              <w:pStyle w:val="P68B1DB1-TableParagraph13"/>
              <w:numPr>
                <w:ilvl w:val="0"/>
                <w:numId w:val="153"/>
              </w:numPr>
              <w:spacing w:before="108"/>
              <w:jc w:val="both"/>
            </w:pPr>
            <w:r>
              <w:t>Derivat (tillgångar): Tabell 20.04 kolumn 010 rad 020, samtliga länder.</w:t>
            </w:r>
          </w:p>
          <w:p w14:paraId="7FE1BD4F" w14:textId="77777777" w:rsidR="0057131B" w:rsidRDefault="00355A1C">
            <w:pPr>
              <w:pStyle w:val="P68B1DB1-TableParagraph13"/>
              <w:numPr>
                <w:ilvl w:val="0"/>
                <w:numId w:val="153"/>
              </w:numPr>
              <w:spacing w:before="108"/>
              <w:jc w:val="both"/>
            </w:pPr>
            <w:r>
              <w:t>Utlåning: Tabell 20.04 kolumn 010 rad 170, samtliga länder.</w:t>
            </w:r>
          </w:p>
          <w:p w14:paraId="7FE1BD50" w14:textId="77777777" w:rsidR="0057131B" w:rsidRDefault="00355A1C">
            <w:pPr>
              <w:pStyle w:val="P68B1DB1-TableParagraph13"/>
              <w:numPr>
                <w:ilvl w:val="0"/>
                <w:numId w:val="153"/>
              </w:numPr>
              <w:spacing w:before="108"/>
              <w:jc w:val="both"/>
            </w:pPr>
            <w:r>
              <w:t>Derivatskulder: Tabell 20.06 kolumn 010 rad 020, samtliga länder.</w:t>
            </w:r>
          </w:p>
        </w:tc>
      </w:tr>
      <w:tr w:rsidR="0057131B"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57131B" w:rsidRDefault="00355A1C">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57131B" w:rsidRDefault="00355A1C">
            <w:pPr>
              <w:pStyle w:val="P68B1DB1-Normal42"/>
              <w:rPr>
                <w:bCs/>
              </w:rPr>
            </w:pPr>
            <w:r>
              <w:t>Konsekvensanalyser och analyser av godtagbarhet</w:t>
            </w:r>
          </w:p>
          <w:p w14:paraId="7FE1BD54" w14:textId="77777777" w:rsidR="0057131B" w:rsidRDefault="00355A1C">
            <w:pPr>
              <w:pStyle w:val="P68B1DB1-Normal43"/>
            </w:pPr>
            <w:r>
              <w:t>Bedömningskriterierna för inverkan på tredje parter ska omfatta följande delar i enlighet med kommissionens delegerade förordning (EU) 2016/778 om kritiska funktioner:</w:t>
            </w:r>
          </w:p>
          <w:p w14:paraId="7FE1BD55" w14:textId="77777777" w:rsidR="0057131B" w:rsidRDefault="00355A1C">
            <w:pPr>
              <w:pStyle w:val="P68B1DB1-ListParagraph38"/>
              <w:numPr>
                <w:ilvl w:val="0"/>
                <w:numId w:val="131"/>
              </w:numPr>
              <w:spacing w:line="276" w:lineRule="auto"/>
            </w:pPr>
            <w:r>
              <w:lastRenderedPageBreak/>
              <w:t>Aktivitetens art och omfattning, global, nationell eller regional omfattning, antal transaktioner och deras volym; antalet kunder och motparter; antalet kunder för vilka institutet är den enda eller den huvudsakliga bankpartnern.</w:t>
            </w:r>
          </w:p>
          <w:p w14:paraId="7FE1BD56" w14:textId="77777777" w:rsidR="0057131B" w:rsidRDefault="00355A1C">
            <w:pPr>
              <w:pStyle w:val="P68B1DB1-ListParagraph38"/>
              <w:numPr>
                <w:ilvl w:val="0"/>
                <w:numId w:val="131"/>
              </w:numPr>
              <w:spacing w:line="276" w:lineRule="auto"/>
            </w:pPr>
            <w:r>
              <w:t>Institutets betydelse på lokal, regional, nationell eller europeisk nivå, beroende på vad som är relevant för den berörda marknaden. Institutets betydelse kan bedömas på grundval av marknadsandel, grad av sammanlänkning, komplexitet och gränsöverskridande verksamhet.</w:t>
            </w:r>
          </w:p>
          <w:p w14:paraId="7FE1BD57" w14:textId="77777777" w:rsidR="0057131B" w:rsidRDefault="00355A1C">
            <w:pPr>
              <w:pStyle w:val="P68B1DB1-ListParagraph38"/>
              <w:numPr>
                <w:ilvl w:val="0"/>
                <w:numId w:val="131"/>
              </w:numPr>
              <w:spacing w:line="276" w:lineRule="auto"/>
            </w:pPr>
            <w:r>
              <w:t xml:space="preserve">Typen av kunder och intressenter som påverkas av funktionen, till exempel, men inte begränsat till, privatkunder, företagskunder, interbankkunder, centrala clearingorganisationer och offentliga organ. </w:t>
            </w:r>
          </w:p>
          <w:p w14:paraId="7FE1BD58" w14:textId="77777777" w:rsidR="0057131B" w:rsidRDefault="00355A1C">
            <w:pPr>
              <w:pStyle w:val="P68B1DB1-ListParagraph38"/>
              <w:numPr>
                <w:ilvl w:val="0"/>
                <w:numId w:val="131"/>
              </w:numPr>
              <w:spacing w:line="276" w:lineRule="auto"/>
            </w:pPr>
            <w:r>
              <w:t>Den potentiella störning som drabbar marknader, infrastruktur, kunder och offentliga tjänster. Bedömningen kan särskilt innefatta effekten på de berörda marknadernas likviditet, påverkan och vidd av störningen för kundverksamheten, och kortfristiga likviditetsbehov; graden av märkbarhet hos motparter, kunder och allmänheten; kundernas reaktionsförmåga och reaktionshastighet; betydelsen för andra marknader; påverkan på en annan marknads likviditet, verksamhet och struktur; påverkan på andra motparter som är anknuta till de viktigaste kunderna och funktionens sammanlänkning med andra tjänster.</w:t>
            </w:r>
          </w:p>
          <w:p w14:paraId="7FE1BD59" w14:textId="77777777" w:rsidR="0057131B" w:rsidRDefault="0057131B">
            <w:pPr>
              <w:rPr>
                <w:rFonts w:ascii="Times New Roman" w:eastAsiaTheme="minorHAnsi" w:hAnsi="Times New Roman" w:cs="Times New Roman"/>
                <w:color w:val="000000" w:themeColor="text1"/>
                <w:sz w:val="20"/>
                <w:szCs w:val="20"/>
              </w:rPr>
            </w:pPr>
          </w:p>
        </w:tc>
      </w:tr>
      <w:tr w:rsidR="0057131B"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57131B" w:rsidRDefault="00355A1C">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57131B" w:rsidRDefault="00355A1C">
            <w:pPr>
              <w:pStyle w:val="P68B1DB1-Normal42"/>
              <w:rPr>
                <w:bCs/>
              </w:rPr>
            </w:pPr>
            <w:r>
              <w:t xml:space="preserve">Natur och Reach </w:t>
            </w:r>
          </w:p>
          <w:p w14:paraId="7FE1BD5D" w14:textId="77777777" w:rsidR="0057131B" w:rsidRDefault="00355A1C">
            <w:pPr>
              <w:pStyle w:val="P68B1DB1-Normal43"/>
            </w:pPr>
            <w:r>
              <w:t>Transaktionernas globala, nationella eller regionala räckvidd, volym och antal. antalet kunder och motparter; antalet kunder för vilka institutet är den enda eller den huvudsakliga bankpartnern.</w:t>
            </w:r>
          </w:p>
        </w:tc>
      </w:tr>
      <w:tr w:rsidR="0057131B"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57131B" w:rsidRDefault="00355A1C">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57131B" w:rsidRDefault="00355A1C">
            <w:pPr>
              <w:pStyle w:val="P68B1DB1-Normal42"/>
              <w:rPr>
                <w:bCs/>
              </w:rPr>
            </w:pPr>
            <w:r>
              <w:t>Storleksindikator 1</w:t>
            </w:r>
          </w:p>
          <w:p w14:paraId="611DAB08"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D61" w14:textId="0497CCAC" w:rsidR="0057131B" w:rsidRDefault="00355A1C">
            <w:pPr>
              <w:pStyle w:val="P68B1DB1-Normal43"/>
            </w:pPr>
            <w:r>
              <w:t xml:space="preserve"> </w:t>
            </w:r>
          </w:p>
          <w:p w14:paraId="7FE1BD62" w14:textId="77777777" w:rsidR="0057131B" w:rsidRDefault="00355A1C">
            <w:pPr>
              <w:pStyle w:val="P68B1DB1-ListParagraph32"/>
              <w:numPr>
                <w:ilvl w:val="0"/>
                <w:numId w:val="125"/>
              </w:numPr>
              <w:spacing w:line="276" w:lineRule="auto"/>
            </w:pPr>
            <w:r>
              <w:t xml:space="preserve">Expertbedömning av storleken på det rapporterande institutets redovisade </w:t>
            </w:r>
            <w:r>
              <w:rPr>
                <w:b/>
              </w:rPr>
              <w:t>bruttovärde</w:t>
            </w:r>
            <w:r>
              <w:t xml:space="preserve"> (c0030) ur ett </w:t>
            </w:r>
            <w:r>
              <w:rPr>
                <w:b/>
              </w:rPr>
              <w:t>globalt</w:t>
            </w:r>
            <w:r>
              <w:t xml:space="preserve"> perspektiv [en nivå</w:t>
            </w:r>
            <w:r>
              <w:rPr>
                <w:i/>
              </w:rPr>
              <w:t>högre än den relevanta marknaden. Om den relevanta marknaden är global blir storlek 1 överflödig och behöver inte rapporteras]</w:t>
            </w:r>
            <w:r>
              <w:t>:</w:t>
            </w:r>
          </w:p>
          <w:p w14:paraId="7FE1BD63" w14:textId="77777777" w:rsidR="0057131B" w:rsidRDefault="00355A1C">
            <w:pPr>
              <w:pStyle w:val="P68B1DB1-ListParagraph32"/>
              <w:numPr>
                <w:ilvl w:val="1"/>
                <w:numId w:val="125"/>
              </w:numPr>
              <w:spacing w:line="276" w:lineRule="auto"/>
            </w:pPr>
            <w:r>
              <w:t>Ur ett globalt perspektiv, hur stor tror du att det rapporterande företagets redovisade bruttovärde är?</w:t>
            </w:r>
          </w:p>
          <w:p w14:paraId="7FE1BD64" w14:textId="77777777" w:rsidR="0057131B" w:rsidRDefault="0057131B">
            <w:pPr>
              <w:rPr>
                <w:rFonts w:ascii="Times New Roman" w:eastAsiaTheme="minorHAnsi" w:hAnsi="Times New Roman" w:cs="Times New Roman"/>
                <w:color w:val="000000" w:themeColor="text1"/>
                <w:sz w:val="20"/>
                <w:szCs w:val="20"/>
              </w:rPr>
            </w:pPr>
          </w:p>
        </w:tc>
      </w:tr>
      <w:tr w:rsidR="0057131B"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57131B" w:rsidRDefault="00355A1C">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57131B" w:rsidRDefault="00355A1C">
            <w:pPr>
              <w:pStyle w:val="P68B1DB1-Normal42"/>
              <w:rPr>
                <w:bCs/>
              </w:rPr>
            </w:pPr>
            <w:r>
              <w:t>Storleksindikator 2</w:t>
            </w:r>
          </w:p>
          <w:p w14:paraId="75C87AE7" w14:textId="77777777" w:rsidR="0057131B" w:rsidRDefault="00355A1C">
            <w:pPr>
              <w:pStyle w:val="P68B1DB1-Normal31"/>
              <w:spacing w:line="276" w:lineRule="auto"/>
              <w:jc w:val="both"/>
            </w:pPr>
            <w:r>
              <w:t xml:space="preserve">Bedöma hur viktig banken är i denna verksamhet. Denna bedömning uttrycks kvalitativt som ”hög”, ”medelhög”, ”medelhög” eller ”låg”. Rapportera ”Hög” om funktionens storlek är stor, ”medelhög” om den är medelhög, ”Medium-Low” om den är liten, och ”låg” om den är försumbar. Använda makroekonomiska variabler som BNP, befolkning (för insättning, utlåning, betalningar, kontanter, avveckling, clearing och förvaringstjänster) eller marknadsstorlek (för kapitalmarknader och grossistfinansiering) som riktmärke för denna kvalitativa bedömning. </w:t>
            </w:r>
          </w:p>
          <w:p w14:paraId="7FE1BD68" w14:textId="10683EF9" w:rsidR="0057131B" w:rsidRDefault="00355A1C">
            <w:pPr>
              <w:pStyle w:val="P68B1DB1-Normal43"/>
            </w:pPr>
            <w:r>
              <w:t xml:space="preserve"> </w:t>
            </w:r>
          </w:p>
          <w:p w14:paraId="7FE1BD69" w14:textId="77777777" w:rsidR="0057131B" w:rsidRDefault="00355A1C">
            <w:pPr>
              <w:pStyle w:val="P68B1DB1-ListParagraph32"/>
              <w:numPr>
                <w:ilvl w:val="0"/>
                <w:numId w:val="119"/>
              </w:numPr>
              <w:spacing w:line="276" w:lineRule="auto"/>
            </w:pPr>
            <w:r>
              <w:t xml:space="preserve">Expertbedömning av storleken på </w:t>
            </w:r>
            <w:r>
              <w:rPr>
                <w:b/>
              </w:rPr>
              <w:t>antalet</w:t>
            </w:r>
            <w:r>
              <w:t xml:space="preserve"> motparter eller transaktioner (c0040) ur ett </w:t>
            </w:r>
            <w:r>
              <w:rPr>
                <w:b/>
              </w:rPr>
              <w:t>nationellt</w:t>
            </w:r>
            <w:r>
              <w:t xml:space="preserve"> perspektiv [</w:t>
            </w:r>
            <w:r>
              <w:rPr>
                <w:i/>
              </w:rPr>
              <w:t>på nivån för den relevanta marknaden</w:t>
            </w:r>
            <w:r>
              <w:t>]:</w:t>
            </w:r>
          </w:p>
          <w:p w14:paraId="7FE1BD6A" w14:textId="77777777" w:rsidR="0057131B" w:rsidRDefault="00355A1C">
            <w:pPr>
              <w:pStyle w:val="P68B1DB1-ListParagraph32"/>
              <w:numPr>
                <w:ilvl w:val="1"/>
                <w:numId w:val="119"/>
              </w:numPr>
              <w:spacing w:line="276" w:lineRule="auto"/>
            </w:pPr>
            <w:r>
              <w:t>Hur stort är det uppskattade antalet motparter från era institut ur ett nationellt perspektiv?</w:t>
            </w:r>
          </w:p>
          <w:p w14:paraId="7FE1BD6B" w14:textId="77777777" w:rsidR="0057131B" w:rsidRDefault="0057131B">
            <w:pPr>
              <w:rPr>
                <w:rFonts w:ascii="Times New Roman" w:eastAsiaTheme="minorHAnsi" w:hAnsi="Times New Roman" w:cs="Times New Roman"/>
                <w:color w:val="000000" w:themeColor="text1"/>
                <w:sz w:val="20"/>
                <w:szCs w:val="20"/>
              </w:rPr>
            </w:pPr>
          </w:p>
        </w:tc>
      </w:tr>
      <w:tr w:rsidR="0057131B"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57131B" w:rsidRDefault="00355A1C">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57131B" w:rsidRDefault="00355A1C">
            <w:pPr>
              <w:pStyle w:val="P68B1DB1-Normal42"/>
              <w:rPr>
                <w:bCs/>
              </w:rPr>
            </w:pPr>
            <w:r>
              <w:t>Indikator för gränsöverskridande verksamhet</w:t>
            </w:r>
          </w:p>
          <w:p w14:paraId="7FE1BD6F" w14:textId="77777777" w:rsidR="0057131B" w:rsidRDefault="00355A1C">
            <w:pPr>
              <w:pStyle w:val="P68B1DB1-Normal43"/>
            </w:pPr>
            <w:r>
              <w:t>Bedöma den gränsöverskridande verksamhetens relativa betydelse för de olika ekonomiska funktionerna.</w:t>
            </w:r>
          </w:p>
          <w:p w14:paraId="7FE1BD70" w14:textId="77777777" w:rsidR="0057131B" w:rsidRDefault="00355A1C">
            <w:pPr>
              <w:pStyle w:val="P68B1DB1-Normal43"/>
            </w:pPr>
            <w:r>
              <w:t xml:space="preserve">Detta behöver inte bedömas när det gäller rapporter där den relevanta marknaden anses vara regional. </w:t>
            </w:r>
          </w:p>
          <w:p w14:paraId="482F1D03" w14:textId="77777777" w:rsidR="0057131B" w:rsidRDefault="00355A1C">
            <w:pPr>
              <w:pStyle w:val="P68B1DB1-ListParagraph32"/>
              <w:numPr>
                <w:ilvl w:val="0"/>
                <w:numId w:val="118"/>
              </w:numPr>
              <w:rPr>
                <w:i/>
                <w:iCs/>
              </w:rPr>
            </w:pPr>
            <w:r>
              <w:t>Andel av det rapporterande företagets verksamhet över jurisdiktionsgränserna i procent av det totala värdet, uttryckt i redovisat bruttovärde. Betänkande:</w:t>
            </w:r>
          </w:p>
          <w:p w14:paraId="7E6697A4" w14:textId="0A448298" w:rsidR="0057131B" w:rsidRDefault="00355A1C">
            <w:pPr>
              <w:pStyle w:val="P68B1DB1-ListParagraph32"/>
              <w:numPr>
                <w:ilvl w:val="1"/>
                <w:numId w:val="118"/>
              </w:numPr>
              <w:rPr>
                <w:i/>
                <w:iCs/>
              </w:rPr>
            </w:pPr>
            <w:r>
              <w:t xml:space="preserve"> 5 %. </w:t>
            </w:r>
          </w:p>
          <w:p w14:paraId="30B91FAF" w14:textId="5CD6C33D" w:rsidR="0057131B" w:rsidRDefault="00355A1C">
            <w:pPr>
              <w:pStyle w:val="P68B1DB1-ListParagraph32"/>
              <w:numPr>
                <w:ilvl w:val="1"/>
                <w:numId w:val="118"/>
              </w:numPr>
              <w:rPr>
                <w:i/>
                <w:iCs/>
              </w:rPr>
            </w:pPr>
            <w:r>
              <w:t xml:space="preserve">5 – -15 %. </w:t>
            </w:r>
          </w:p>
          <w:p w14:paraId="50353685" w14:textId="2995AD20" w:rsidR="0057131B" w:rsidRDefault="00355A1C">
            <w:pPr>
              <w:pStyle w:val="P68B1DB1-ListParagraph32"/>
              <w:numPr>
                <w:ilvl w:val="1"/>
                <w:numId w:val="118"/>
              </w:numPr>
              <w:rPr>
                <w:i/>
                <w:iCs/>
              </w:rPr>
            </w:pPr>
            <w:r>
              <w:t xml:space="preserve">15–25 %, </w:t>
            </w:r>
          </w:p>
          <w:p w14:paraId="7FE1BD71" w14:textId="6E1F5AA5" w:rsidR="0057131B" w:rsidRDefault="00355A1C">
            <w:pPr>
              <w:pStyle w:val="P68B1DB1-ListParagraph32"/>
              <w:numPr>
                <w:ilvl w:val="1"/>
                <w:numId w:val="118"/>
              </w:numPr>
              <w:rPr>
                <w:i/>
                <w:iCs/>
              </w:rPr>
            </w:pPr>
            <w:r>
              <w:t>&gt; 25 %.</w:t>
            </w:r>
          </w:p>
          <w:p w14:paraId="7FE1BD72" w14:textId="77777777" w:rsidR="0057131B" w:rsidRDefault="0057131B">
            <w:pPr>
              <w:rPr>
                <w:rFonts w:ascii="Times New Roman" w:eastAsiaTheme="minorHAnsi" w:hAnsi="Times New Roman" w:cs="Times New Roman"/>
                <w:color w:val="000000" w:themeColor="text1"/>
                <w:sz w:val="20"/>
                <w:szCs w:val="20"/>
              </w:rPr>
            </w:pPr>
          </w:p>
        </w:tc>
      </w:tr>
      <w:tr w:rsidR="0057131B"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57131B" w:rsidRDefault="00355A1C">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57131B" w:rsidRDefault="00355A1C">
            <w:pPr>
              <w:pStyle w:val="P68B1DB1-Normal42"/>
              <w:rPr>
                <w:bCs/>
              </w:rPr>
            </w:pPr>
            <w:r>
              <w:t xml:space="preserve">Relevans — </w:t>
            </w:r>
          </w:p>
          <w:p w14:paraId="7FE1BD76" w14:textId="77777777" w:rsidR="0057131B" w:rsidRDefault="00355A1C">
            <w:pPr>
              <w:pStyle w:val="P68B1DB1-Normal43"/>
            </w:pPr>
            <w:r>
              <w:t>På lokal, regional, nationell eller europeisk nivå, beroende på vad som är relevant för den berörda marknaden. Institutets betydelse kan bedömas på grundval av marknadsandel, grad av sammanlänkning, komplexitet och gränsöverskridande verksamhet.</w:t>
            </w:r>
          </w:p>
          <w:p w14:paraId="7FE1BD77" w14:textId="77777777" w:rsidR="0057131B" w:rsidRDefault="00355A1C">
            <w:pPr>
              <w:pStyle w:val="P68B1DB1-Normal42"/>
              <w:rPr>
                <w:bCs/>
              </w:rPr>
            </w:pPr>
            <w:r>
              <w:t>Marknadsandel</w:t>
            </w:r>
          </w:p>
          <w:p w14:paraId="7FE1BD78" w14:textId="77777777" w:rsidR="0057131B" w:rsidRDefault="00355A1C">
            <w:pPr>
              <w:pStyle w:val="P68B1DB1-Normal43"/>
            </w:pPr>
            <w:r>
              <w:t xml:space="preserve">Bedöma hur viktig den rapporterande enhetens marknadsandel är, jämfört med den nationella eller andra relevanta marknaden, enligt vad som anges i mallen. Denna bedömning uttrycks kvalitativt som </w:t>
            </w:r>
          </w:p>
          <w:p w14:paraId="7FE1BD79" w14:textId="43E56AB8" w:rsidR="0057131B" w:rsidRDefault="00355A1C">
            <w:pPr>
              <w:pStyle w:val="P68B1DB1-ListParagraph38"/>
              <w:numPr>
                <w:ilvl w:val="0"/>
                <w:numId w:val="276"/>
              </w:numPr>
              <w:spacing w:line="276" w:lineRule="auto"/>
              <w:jc w:val="both"/>
            </w:pPr>
            <w:r>
              <w:t>Hög, om marknadsandelen är stor</w:t>
            </w:r>
          </w:p>
          <w:p w14:paraId="7FE1BD7A" w14:textId="533BFB92" w:rsidR="0057131B" w:rsidRDefault="00355A1C">
            <w:pPr>
              <w:pStyle w:val="P68B1DB1-ListParagraph38"/>
              <w:numPr>
                <w:ilvl w:val="0"/>
                <w:numId w:val="276"/>
              </w:numPr>
              <w:spacing w:line="276" w:lineRule="auto"/>
              <w:jc w:val="both"/>
            </w:pPr>
            <w:r>
              <w:t>Medelhög, om marknadsandelen är medelhög</w:t>
            </w:r>
          </w:p>
          <w:p w14:paraId="7FE1BD7B" w14:textId="3F2EEB01" w:rsidR="0057131B" w:rsidRDefault="00355A1C">
            <w:pPr>
              <w:pStyle w:val="P68B1DB1-ListParagraph38"/>
              <w:numPr>
                <w:ilvl w:val="0"/>
                <w:numId w:val="276"/>
              </w:numPr>
              <w:spacing w:line="276" w:lineRule="auto"/>
              <w:jc w:val="both"/>
            </w:pPr>
            <w:r>
              <w:t xml:space="preserve">Medellåg om marknadsandelen är liten, eller </w:t>
            </w:r>
          </w:p>
          <w:p w14:paraId="7FE1BD7C" w14:textId="05FA4C79" w:rsidR="0057131B" w:rsidRDefault="00355A1C">
            <w:pPr>
              <w:pStyle w:val="P68B1DB1-ListParagraph38"/>
              <w:numPr>
                <w:ilvl w:val="0"/>
                <w:numId w:val="276"/>
              </w:numPr>
              <w:spacing w:line="276" w:lineRule="auto"/>
              <w:jc w:val="both"/>
            </w:pPr>
            <w:r>
              <w:t xml:space="preserve">Låg om marknadsandelen är försumbar. </w:t>
            </w:r>
          </w:p>
          <w:p w14:paraId="7FE1BD7D" w14:textId="77777777" w:rsidR="0057131B" w:rsidRDefault="00355A1C">
            <w:pPr>
              <w:pStyle w:val="P68B1DB1-Normal43"/>
            </w:pPr>
            <w:r>
              <w:t xml:space="preserve">Denna bedömning tar hänsyn till marknadsstrukturen i den rapporterande enhetens land (eller annan relevant marknad) och marknadsandelar som rapporteras delvis </w:t>
            </w:r>
          </w:p>
          <w:p w14:paraId="7FE1BD7E" w14:textId="77777777" w:rsidR="0057131B" w:rsidRDefault="00355A1C">
            <w:pPr>
              <w:pStyle w:val="P68B1DB1-Normal43"/>
            </w:pPr>
            <w:r>
              <w:t>2.Kvantitativa uppgifter:</w:t>
            </w:r>
          </w:p>
          <w:p w14:paraId="7FE1BD7F" w14:textId="77777777" w:rsidR="0057131B" w:rsidRDefault="00355A1C">
            <w:pPr>
              <w:pStyle w:val="P68B1DB1-ListParagraph32"/>
              <w:numPr>
                <w:ilvl w:val="0"/>
                <w:numId w:val="116"/>
              </w:numPr>
              <w:jc w:val="both"/>
              <w:rPr>
                <w:i/>
                <w:iCs/>
              </w:rPr>
            </w:pPr>
            <w:r>
              <w:t xml:space="preserve">Expertbedömning av storleken på den </w:t>
            </w:r>
            <w:r>
              <w:rPr>
                <w:b/>
              </w:rPr>
              <w:t xml:space="preserve">nationella </w:t>
            </w:r>
            <w:r>
              <w:t>marknadsandelen (rapporteras i c0020, utom i fall där rapporten tillhandahålls för en annan relevant marknadsnivå, i vilket fall en bedömning av den relevanta marknadsandelen förväntas).</w:t>
            </w:r>
          </w:p>
          <w:p w14:paraId="7FE1BD80" w14:textId="77777777" w:rsidR="0057131B" w:rsidRDefault="0057131B">
            <w:pPr>
              <w:rPr>
                <w:rFonts w:ascii="Times New Roman" w:eastAsiaTheme="minorHAnsi" w:hAnsi="Times New Roman" w:cs="Times New Roman"/>
                <w:color w:val="000000" w:themeColor="text1"/>
                <w:sz w:val="20"/>
                <w:szCs w:val="20"/>
              </w:rPr>
            </w:pPr>
          </w:p>
          <w:p w14:paraId="7FE1BD81" w14:textId="77777777" w:rsidR="0057131B" w:rsidRDefault="0057131B">
            <w:pPr>
              <w:rPr>
                <w:rFonts w:ascii="Times New Roman" w:eastAsiaTheme="minorHAnsi" w:hAnsi="Times New Roman" w:cs="Times New Roman"/>
                <w:color w:val="000000" w:themeColor="text1"/>
                <w:sz w:val="20"/>
                <w:szCs w:val="20"/>
              </w:rPr>
            </w:pPr>
          </w:p>
        </w:tc>
      </w:tr>
      <w:tr w:rsidR="0057131B"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57131B" w:rsidRDefault="00355A1C">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57131B" w:rsidRDefault="00355A1C">
            <w:pPr>
              <w:pStyle w:val="P68B1DB1-Normal42"/>
              <w:rPr>
                <w:bCs/>
              </w:rPr>
            </w:pPr>
            <w:r>
              <w:t>Marknadsstruktur – marknadskoncentration</w:t>
            </w:r>
          </w:p>
          <w:p w14:paraId="7FE1BD85" w14:textId="77777777" w:rsidR="0057131B" w:rsidRDefault="00355A1C">
            <w:pPr>
              <w:pStyle w:val="P68B1DB1-Normal43"/>
            </w:pPr>
            <w:r>
              <w:t xml:space="preserve">Marknadskoncentrationen, mätt i antalet konkurrenter som för närvarande presterar </w:t>
            </w:r>
          </w:p>
          <w:p w14:paraId="7FE1BD86" w14:textId="77777777" w:rsidR="0057131B" w:rsidRDefault="00355A1C">
            <w:pPr>
              <w:pStyle w:val="P68B1DB1-Normal43"/>
            </w:pPr>
            <w:r>
              <w:t xml:space="preserve">liknande ekonomiska funktioner och/eller liknande tjänster på lika villkor (dvs. </w:t>
            </w:r>
          </w:p>
          <w:p w14:paraId="7FE1BD87" w14:textId="77777777" w:rsidR="0057131B" w:rsidRDefault="00355A1C">
            <w:pPr>
              <w:pStyle w:val="P68B1DB1-Normal43"/>
            </w:pPr>
            <w:r>
              <w:t xml:space="preserve">jämförbar omfattning och kvalitet och till en jämförbar kostnad) som potentiellt tar över </w:t>
            </w:r>
          </w:p>
          <w:p w14:paraId="7FE1BD88" w14:textId="77777777" w:rsidR="0057131B" w:rsidRDefault="00355A1C">
            <w:pPr>
              <w:pStyle w:val="P68B1DB1-Normal43"/>
            </w:pPr>
            <w:r>
              <w:t xml:space="preserve">(del av) det rapporterande företagets kunder och/eller verksamhet inom rimlig tid. </w:t>
            </w:r>
          </w:p>
          <w:p w14:paraId="7FE1BD89" w14:textId="77777777" w:rsidR="0057131B" w:rsidRDefault="00355A1C">
            <w:pPr>
              <w:pStyle w:val="P68B1DB1-Normal43"/>
            </w:pPr>
            <w:r>
              <w:t xml:space="preserve">Detta ska rapporteras i undergrupper, som är desamma för varje underfunktion. </w:t>
            </w:r>
          </w:p>
          <w:p w14:paraId="5A8DDF15" w14:textId="77777777" w:rsidR="0057131B" w:rsidRDefault="00355A1C">
            <w:pPr>
              <w:pStyle w:val="P68B1DB1-ListParagraph32"/>
              <w:numPr>
                <w:ilvl w:val="0"/>
                <w:numId w:val="277"/>
              </w:numPr>
              <w:jc w:val="both"/>
            </w:pPr>
            <w:r>
              <w:t xml:space="preserve">&gt; 20 konkurrenter; </w:t>
            </w:r>
          </w:p>
          <w:p w14:paraId="0FB3FECD" w14:textId="77777777" w:rsidR="0057131B" w:rsidRDefault="00355A1C">
            <w:pPr>
              <w:pStyle w:val="P68B1DB1-ListParagraph32"/>
              <w:numPr>
                <w:ilvl w:val="0"/>
                <w:numId w:val="277"/>
              </w:numPr>
              <w:jc w:val="both"/>
            </w:pPr>
            <w:r>
              <w:t xml:space="preserve">11–20 konkurrenter. </w:t>
            </w:r>
          </w:p>
          <w:p w14:paraId="0742AD9B" w14:textId="77777777" w:rsidR="0057131B" w:rsidRDefault="00355A1C">
            <w:pPr>
              <w:pStyle w:val="P68B1DB1-ListParagraph32"/>
              <w:numPr>
                <w:ilvl w:val="0"/>
                <w:numId w:val="277"/>
              </w:numPr>
              <w:jc w:val="both"/>
            </w:pPr>
            <w:r>
              <w:t xml:space="preserve">5–10 konkurrenter. </w:t>
            </w:r>
          </w:p>
          <w:p w14:paraId="240AD074" w14:textId="77777777" w:rsidR="0057131B" w:rsidRDefault="00355A1C">
            <w:pPr>
              <w:pStyle w:val="P68B1DB1-ListParagraph32"/>
              <w:numPr>
                <w:ilvl w:val="0"/>
                <w:numId w:val="277"/>
              </w:numPr>
              <w:jc w:val="both"/>
              <w:rPr>
                <w:b/>
                <w:bCs/>
                <w:color w:val="000000" w:themeColor="text1"/>
              </w:rPr>
            </w:pPr>
            <w:r>
              <w:t>5 konkurrenter</w:t>
            </w:r>
          </w:p>
          <w:p w14:paraId="7FE1BD8D" w14:textId="2F17E01A" w:rsidR="0057131B" w:rsidRDefault="0057131B">
            <w:pPr>
              <w:jc w:val="both"/>
              <w:rPr>
                <w:rFonts w:ascii="Times New Roman" w:hAnsi="Times New Roman"/>
                <w:color w:val="000000" w:themeColor="text1"/>
                <w:sz w:val="20"/>
                <w:szCs w:val="20"/>
              </w:rPr>
            </w:pPr>
          </w:p>
        </w:tc>
      </w:tr>
      <w:tr w:rsidR="0057131B"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57131B" w:rsidRDefault="00355A1C">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57131B" w:rsidRDefault="00355A1C">
            <w:pPr>
              <w:pStyle w:val="P68B1DB1-Normal42"/>
              <w:rPr>
                <w:bCs/>
              </w:rPr>
            </w:pPr>
            <w:r>
              <w:t>Tidpunkt – förväntad tid för ersättning</w:t>
            </w:r>
          </w:p>
          <w:p w14:paraId="7FE1BD91" w14:textId="77777777" w:rsidR="0057131B" w:rsidRDefault="00355A1C">
            <w:pPr>
              <w:pStyle w:val="P68B1DB1-Normal43"/>
            </w:pPr>
            <w:r>
              <w:t>Uppskatta den tid som krävs för den ekonomiska funktion som rapporteringen ger</w:t>
            </w:r>
          </w:p>
          <w:p w14:paraId="7FE1BD92" w14:textId="77777777" w:rsidR="0057131B" w:rsidRDefault="00355A1C">
            <w:pPr>
              <w:pStyle w:val="P68B1DB1-Normal43"/>
            </w:pPr>
            <w:r>
              <w:t xml:space="preserve">enhet som ska absorberas av marknaden i en krissituation. Stödet omfattar </w:t>
            </w:r>
          </w:p>
          <w:p w14:paraId="7FE1BD93" w14:textId="77777777" w:rsidR="0057131B" w:rsidRDefault="00355A1C">
            <w:pPr>
              <w:pStyle w:val="P68B1DB1-ListParagraph38"/>
              <w:numPr>
                <w:ilvl w:val="0"/>
                <w:numId w:val="274"/>
              </w:numPr>
              <w:jc w:val="both"/>
            </w:pPr>
            <w:r>
              <w:t xml:space="preserve">den tid som en eller flera konkurrenter förväntas behöva för att genomföra de rättsliga och tekniska åtgärderna för att ta över funktionen. och  </w:t>
            </w:r>
          </w:p>
          <w:p w14:paraId="7FE1BD94" w14:textId="77777777" w:rsidR="0057131B" w:rsidRDefault="00355A1C">
            <w:pPr>
              <w:pStyle w:val="P68B1DB1-ListParagraph38"/>
              <w:numPr>
                <w:ilvl w:val="0"/>
                <w:numId w:val="274"/>
              </w:numPr>
              <w:jc w:val="both"/>
            </w:pPr>
            <w:r>
              <w:t xml:space="preserve">den tid som användarna av tjänsten behöver för att flytta till en annan tjänsteleverantör. </w:t>
            </w:r>
          </w:p>
          <w:p w14:paraId="7FE1BD95" w14:textId="77777777" w:rsidR="0057131B" w:rsidRDefault="0057131B">
            <w:pPr>
              <w:rPr>
                <w:rFonts w:ascii="Times New Roman" w:eastAsiaTheme="minorHAnsi" w:hAnsi="Times New Roman" w:cs="Times New Roman"/>
                <w:color w:val="000000" w:themeColor="text1"/>
                <w:sz w:val="20"/>
                <w:szCs w:val="20"/>
              </w:rPr>
            </w:pPr>
          </w:p>
          <w:p w14:paraId="7FE1BD96" w14:textId="77777777" w:rsidR="0057131B" w:rsidRDefault="00355A1C">
            <w:pPr>
              <w:pStyle w:val="P68B1DB1-Normal43"/>
            </w:pPr>
            <w:r>
              <w:t>Som proxyvariabel för den förstnämnda, ge en uppskattning av den tid det skulle ta den rapporterande enheten att absorbera i sin egen verksamhet (en del av) den tjänst som tillhandahålls av ett annat institut, till en rimlig kostnad, i en krissituation. Rapportera den beräknade tiden för substitution i de undergrupper som anges i mallen:</w:t>
            </w:r>
          </w:p>
          <w:p w14:paraId="7FE1BD97" w14:textId="77777777" w:rsidR="0057131B" w:rsidRDefault="00355A1C">
            <w:pPr>
              <w:pStyle w:val="P68B1DB1-Normal31"/>
            </w:pPr>
            <w:r>
              <w:lastRenderedPageBreak/>
              <w:t xml:space="preserve">Undergrupper: </w:t>
            </w:r>
          </w:p>
          <w:p w14:paraId="7FE1BD98" w14:textId="077A9BD3" w:rsidR="0057131B" w:rsidRDefault="00355A1C">
            <w:pPr>
              <w:pStyle w:val="P68B1DB1-ListParagraph32"/>
              <w:numPr>
                <w:ilvl w:val="0"/>
                <w:numId w:val="287"/>
              </w:numPr>
            </w:pPr>
            <w:r>
              <w:t xml:space="preserve">≤ 1 dag, </w:t>
            </w:r>
          </w:p>
          <w:p w14:paraId="7FE1BD99" w14:textId="07CCFE77" w:rsidR="0057131B" w:rsidRDefault="00355A1C">
            <w:pPr>
              <w:pStyle w:val="P68B1DB1-ListParagraph32"/>
              <w:numPr>
                <w:ilvl w:val="0"/>
                <w:numId w:val="287"/>
              </w:numPr>
            </w:pPr>
            <w:r>
              <w:t xml:space="preserve">1 dag-1 vecka. </w:t>
            </w:r>
          </w:p>
          <w:p w14:paraId="7FE1BD9A" w14:textId="47AC6C88" w:rsidR="0057131B" w:rsidRDefault="00355A1C">
            <w:pPr>
              <w:pStyle w:val="P68B1DB1-ListParagraph32"/>
              <w:numPr>
                <w:ilvl w:val="0"/>
                <w:numId w:val="287"/>
              </w:numPr>
            </w:pPr>
            <w:r>
              <w:t xml:space="preserve">&gt; 1 vecka – 1 månad; </w:t>
            </w:r>
          </w:p>
          <w:p w14:paraId="7FE1BD9B" w14:textId="3CEE3934" w:rsidR="0057131B" w:rsidRDefault="00355A1C">
            <w:pPr>
              <w:pStyle w:val="P68B1DB1-ListParagraph32"/>
              <w:numPr>
                <w:ilvl w:val="0"/>
                <w:numId w:val="287"/>
              </w:numPr>
              <w:rPr>
                <w:color w:val="000000" w:themeColor="text1"/>
              </w:rPr>
            </w:pPr>
            <w:r>
              <w:t>&gt; 1 månad</w:t>
            </w:r>
          </w:p>
        </w:tc>
      </w:tr>
      <w:tr w:rsidR="0057131B"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57131B" w:rsidRDefault="00355A1C">
            <w:pPr>
              <w:pStyle w:val="P68B1DB1-TableParagraph17"/>
              <w:spacing w:before="108"/>
              <w:ind w:left="85"/>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57131B" w:rsidRDefault="00355A1C">
            <w:pPr>
              <w:pStyle w:val="P68B1DB1-Normal42"/>
              <w:rPr>
                <w:bCs/>
              </w:rPr>
            </w:pPr>
            <w:r>
              <w:t>Substitutionsförmåga</w:t>
            </w:r>
          </w:p>
        </w:tc>
      </w:tr>
      <w:tr w:rsidR="0057131B"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57131B" w:rsidRDefault="00355A1C">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57131B" w:rsidRDefault="00355A1C">
            <w:pPr>
              <w:pStyle w:val="P68B1DB1-Normal42"/>
              <w:rPr>
                <w:bCs/>
              </w:rPr>
            </w:pPr>
            <w:r>
              <w:t>Rättsliga hinder för inträde eller expansion</w:t>
            </w:r>
          </w:p>
          <w:p w14:paraId="7FE1BDA2" w14:textId="77777777" w:rsidR="0057131B" w:rsidRDefault="0057131B">
            <w:pPr>
              <w:rPr>
                <w:rFonts w:ascii="Times New Roman" w:eastAsiaTheme="minorHAnsi" w:hAnsi="Times New Roman" w:cs="Times New Roman"/>
                <w:color w:val="000000" w:themeColor="text1"/>
                <w:sz w:val="20"/>
                <w:szCs w:val="20"/>
              </w:rPr>
            </w:pPr>
          </w:p>
          <w:p w14:paraId="7FE1BDA3" w14:textId="77777777" w:rsidR="0057131B" w:rsidRDefault="00355A1C">
            <w:pPr>
              <w:pStyle w:val="P68B1DB1-Normal43"/>
            </w:pPr>
            <w:r>
              <w:t xml:space="preserve">Rättsliga hinder för konkurrenter att erbjuda tjänsten. Rättsliga krav för att bedriva verksamhet i kreditinstitut (t.ex. banklicenser eller kapitalkrav) ska inte betraktas som oöverstigliga hinder i närvaro av alternativa tillhandahållare. Denna indikator ska rapporteras i undergrupper, som är desamma för varje underfunktion: </w:t>
            </w:r>
          </w:p>
          <w:p w14:paraId="7FE1BDA4" w14:textId="5F64D555" w:rsidR="0057131B" w:rsidRDefault="00355A1C">
            <w:pPr>
              <w:pStyle w:val="P68B1DB1-ListParagraph39"/>
              <w:numPr>
                <w:ilvl w:val="0"/>
                <w:numId w:val="275"/>
              </w:numPr>
              <w:jc w:val="both"/>
            </w:pPr>
            <w:r>
              <w:t xml:space="preserve">inga större hinder, </w:t>
            </w:r>
          </w:p>
          <w:p w14:paraId="7FE1BDA5" w14:textId="09B8D427" w:rsidR="0057131B" w:rsidRDefault="00355A1C">
            <w:pPr>
              <w:pStyle w:val="P68B1DB1-ListParagraph39"/>
              <w:numPr>
                <w:ilvl w:val="0"/>
                <w:numId w:val="275"/>
              </w:numPr>
              <w:jc w:val="both"/>
            </w:pPr>
            <w:r>
              <w:t xml:space="preserve">vissa hinder, </w:t>
            </w:r>
          </w:p>
          <w:p w14:paraId="7FE1BDA6" w14:textId="14CFE055" w:rsidR="0057131B" w:rsidRDefault="00355A1C">
            <w:pPr>
              <w:pStyle w:val="P68B1DB1-ListParagraph39"/>
              <w:numPr>
                <w:ilvl w:val="0"/>
                <w:numId w:val="275"/>
              </w:numPr>
              <w:jc w:val="both"/>
            </w:pPr>
            <w:r>
              <w:t xml:space="preserve">betydande (men överlevnadsbara) barriärer. </w:t>
            </w:r>
          </w:p>
          <w:p w14:paraId="7FE1BDA8" w14:textId="2895BA0A" w:rsidR="0057131B" w:rsidRDefault="00355A1C">
            <w:pPr>
              <w:pStyle w:val="P68B1DB1-ListParagraph8"/>
              <w:numPr>
                <w:ilvl w:val="0"/>
                <w:numId w:val="275"/>
              </w:numPr>
              <w:jc w:val="both"/>
              <w:rPr>
                <w:rFonts w:eastAsiaTheme="minorHAnsi"/>
              </w:rPr>
            </w:pPr>
            <w:r>
              <w:t>kritiska (svårtillgängliga) barriärer.</w:t>
            </w:r>
          </w:p>
        </w:tc>
      </w:tr>
      <w:tr w:rsidR="0057131B"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57131B" w:rsidRDefault="00355A1C">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57131B" w:rsidRDefault="00355A1C">
            <w:pPr>
              <w:pStyle w:val="P68B1DB1-Normal42"/>
              <w:rPr>
                <w:bCs/>
              </w:rPr>
            </w:pPr>
            <w:r>
              <w:t>Operativa krav för inträde eller utvidgning</w:t>
            </w:r>
          </w:p>
          <w:p w14:paraId="7FE1BDAC" w14:textId="77777777" w:rsidR="0057131B" w:rsidRDefault="0057131B">
            <w:pPr>
              <w:rPr>
                <w:rFonts w:ascii="Times New Roman" w:eastAsiaTheme="minorHAnsi" w:hAnsi="Times New Roman" w:cs="Times New Roman"/>
                <w:color w:val="000000" w:themeColor="text1"/>
                <w:sz w:val="20"/>
                <w:szCs w:val="20"/>
              </w:rPr>
            </w:pPr>
          </w:p>
          <w:p w14:paraId="7FE1BDAD" w14:textId="130EC7BC" w:rsidR="0057131B" w:rsidRDefault="00355A1C">
            <w:pPr>
              <w:pStyle w:val="P68B1DB1-Normal43"/>
            </w:pPr>
            <w:r>
              <w:t xml:space="preserve">Organisatoriska, tekniska och infrastrukturmässiga krav för konkurrenter att erbjuda tjänsten. För att erbjuda tjänster med anknytning till (under) funktionen måste leverantörerna investera i (ny eller ytterligare) infrastruktur – eller ändra sina organisationer. Bedöma marknadens förmåga att absorbera den aktuella verksamheten, t.ex. när det gäller kapitalkrav. </w:t>
            </w:r>
          </w:p>
          <w:p w14:paraId="7FE1BDAE" w14:textId="77777777" w:rsidR="0057131B" w:rsidRDefault="00355A1C">
            <w:pPr>
              <w:pStyle w:val="P68B1DB1-Normal43"/>
            </w:pPr>
            <w:r>
              <w:t xml:space="preserve">Denna indikator ska rapporteras i undergrupper, som är desamma för varje underfunktion: </w:t>
            </w:r>
          </w:p>
          <w:p w14:paraId="7FE1BDAF" w14:textId="39113051" w:rsidR="0057131B" w:rsidRDefault="00355A1C">
            <w:pPr>
              <w:pStyle w:val="P68B1DB1-ListParagraph38"/>
              <w:numPr>
                <w:ilvl w:val="0"/>
                <w:numId w:val="278"/>
              </w:numPr>
              <w:jc w:val="both"/>
            </w:pPr>
            <w:r>
              <w:t xml:space="preserve">inga större krav, </w:t>
            </w:r>
          </w:p>
          <w:p w14:paraId="7FE1BDB0" w14:textId="63777608" w:rsidR="0057131B" w:rsidRDefault="00355A1C">
            <w:pPr>
              <w:pStyle w:val="P68B1DB1-ListParagraph38"/>
              <w:numPr>
                <w:ilvl w:val="0"/>
                <w:numId w:val="278"/>
              </w:numPr>
              <w:jc w:val="both"/>
            </w:pPr>
            <w:r>
              <w:t xml:space="preserve">vissa krav, </w:t>
            </w:r>
          </w:p>
          <w:p w14:paraId="7FE1BDB1" w14:textId="78F7EC3E" w:rsidR="0057131B" w:rsidRDefault="00355A1C">
            <w:pPr>
              <w:pStyle w:val="P68B1DB1-ListParagraph38"/>
              <w:numPr>
                <w:ilvl w:val="0"/>
                <w:numId w:val="278"/>
              </w:numPr>
              <w:jc w:val="both"/>
            </w:pPr>
            <w:r>
              <w:t xml:space="preserve">väsentliga (men översättbara) krav. </w:t>
            </w:r>
          </w:p>
          <w:p w14:paraId="7FE1BDB2" w14:textId="5A2EF079" w:rsidR="0057131B" w:rsidRDefault="00355A1C">
            <w:pPr>
              <w:pStyle w:val="P68B1DB1-ListParagraph38"/>
              <w:numPr>
                <w:ilvl w:val="0"/>
                <w:numId w:val="278"/>
              </w:numPr>
              <w:jc w:val="both"/>
            </w:pPr>
            <w:r>
              <w:t>kritiska (svåra att uppfylla) krav.</w:t>
            </w:r>
          </w:p>
          <w:p w14:paraId="7FE1BDB3" w14:textId="77777777" w:rsidR="0057131B" w:rsidRDefault="0057131B">
            <w:pPr>
              <w:rPr>
                <w:rFonts w:ascii="Times New Roman" w:eastAsiaTheme="minorHAnsi" w:hAnsi="Times New Roman" w:cs="Times New Roman"/>
                <w:color w:val="000000" w:themeColor="text1"/>
                <w:sz w:val="20"/>
                <w:szCs w:val="20"/>
              </w:rPr>
            </w:pPr>
          </w:p>
        </w:tc>
      </w:tr>
      <w:tr w:rsidR="0057131B"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57131B" w:rsidRDefault="00355A1C">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57131B" w:rsidRDefault="00355A1C">
            <w:pPr>
              <w:pStyle w:val="P68B1DB1-Normal42"/>
              <w:rPr>
                <w:bCs/>
              </w:rPr>
            </w:pPr>
            <w:r>
              <w:t>Kriticitetsbedömning</w:t>
            </w:r>
          </w:p>
        </w:tc>
      </w:tr>
      <w:tr w:rsidR="0057131B"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57131B" w:rsidRDefault="00355A1C">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57131B" w:rsidRDefault="00355A1C">
            <w:pPr>
              <w:pStyle w:val="P68B1DB1-Normal42"/>
              <w:rPr>
                <w:bCs/>
              </w:rPr>
            </w:pPr>
            <w:r>
              <w:t xml:space="preserve">Verkningar på marknaden </w:t>
            </w:r>
          </w:p>
          <w:p w14:paraId="7FE1BDBA" w14:textId="77777777" w:rsidR="0057131B" w:rsidRDefault="00355A1C">
            <w:pPr>
              <w:pStyle w:val="P68B1DB1-Normal43"/>
            </w:pPr>
            <w:r>
              <w:t>Förväntad inverkan ifall tredjeparters, finansmarknadens eller realekonomins funktion plötsligt upphör, med beaktande av storlek, marknadsandel i landet, extern och intern sammanlänkning, komplexitet samt institutets gränsöverskridande verksamhet.</w:t>
            </w:r>
          </w:p>
          <w:p w14:paraId="7FE1BDBB" w14:textId="26AC665D" w:rsidR="0057131B" w:rsidRDefault="00355A1C">
            <w:pPr>
              <w:pStyle w:val="P68B1DB1-Normal43"/>
            </w:pPr>
            <w:r>
              <w:t>Denna bedömning ska uttryckas kvalitativt som ”hög”, ”medelhög”, ”medelhög” eller ”låg”.</w:t>
            </w:r>
          </w:p>
          <w:p w14:paraId="7FE1BDBC" w14:textId="64D10370" w:rsidR="0057131B" w:rsidRDefault="00355A1C">
            <w:pPr>
              <w:pStyle w:val="P68B1DB1-Normal43"/>
            </w:pPr>
            <w:r>
              <w:t>”Hög” ska väljas om nedläggningen har en allvarlig påverkan på den nationella marknaden, ”Medium-High” om påverkan är betydelsefull, ”Medium-Low” om påverkan är väsentlig men begränsad och ”Låg” om påverkan är ringa.</w:t>
            </w:r>
          </w:p>
        </w:tc>
      </w:tr>
      <w:tr w:rsidR="0057131B"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57131B" w:rsidRDefault="00355A1C">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57131B" w:rsidRDefault="00355A1C">
            <w:pPr>
              <w:pStyle w:val="P68B1DB1-Normal42"/>
              <w:rPr>
                <w:bCs/>
              </w:rPr>
            </w:pPr>
            <w:r>
              <w:t>Utbytbarhet</w:t>
            </w:r>
          </w:p>
          <w:p w14:paraId="7FE1BDC0" w14:textId="77777777" w:rsidR="0057131B" w:rsidRDefault="00355A1C">
            <w:pPr>
              <w:pStyle w:val="P68B1DB1-Normal43"/>
            </w:pPr>
            <w:r>
              <w:t>Artikel 6.3 i delegerad förordning (EU) 2016/778.</w:t>
            </w:r>
          </w:p>
          <w:p w14:paraId="7FE1BDC1" w14:textId="77777777" w:rsidR="0057131B" w:rsidRDefault="00355A1C">
            <w:pPr>
              <w:pStyle w:val="P68B1DB1-Normal43"/>
            </w:pPr>
            <w:r>
              <w:t>En funktion ska anses vara utbytbar om den kan ersättas på ett acceptabelt sätt och inom rimlig tid så att systemproblem för realekonomin och finansmarknaden kan undvikas. Följande ska beaktas:</w:t>
            </w:r>
          </w:p>
          <w:p w14:paraId="7FE1BDC2" w14:textId="77777777" w:rsidR="0057131B" w:rsidRDefault="00355A1C">
            <w:pPr>
              <w:pStyle w:val="P68B1DB1-Normal43"/>
            </w:pPr>
            <w:r>
              <w:t xml:space="preserve">(a) Funktionens marknadsstruktur och tillgången till ersättningsleverantörer. </w:t>
            </w:r>
          </w:p>
          <w:p w14:paraId="7FE1BDC3" w14:textId="77777777" w:rsidR="0057131B" w:rsidRDefault="00355A1C">
            <w:pPr>
              <w:pStyle w:val="P68B1DB1-Normal43"/>
            </w:pPr>
            <w:r>
              <w:t xml:space="preserve">(b) andra leverantörers förmåga i fråga om kapacitet, kraven för att kunna utföra funktionen och eventuella hinder för marknadsinträde eller expansion. </w:t>
            </w:r>
          </w:p>
          <w:p w14:paraId="7FE1BDC4" w14:textId="77777777" w:rsidR="0057131B" w:rsidRDefault="00355A1C">
            <w:pPr>
              <w:pStyle w:val="P68B1DB1-Normal43"/>
            </w:pPr>
            <w:r>
              <w:t xml:space="preserve">(c) Incitament för andra leverantörer att ta över denna verksamhet. </w:t>
            </w:r>
          </w:p>
          <w:p w14:paraId="7FE1BDC5" w14:textId="77777777" w:rsidR="0057131B" w:rsidRDefault="00355A1C">
            <w:pPr>
              <w:pStyle w:val="P68B1DB1-Normal43"/>
            </w:pPr>
            <w:r>
              <w:t>(d) den tid som krävs för att de som använder tjänsten ska kunna gå över till den nya leverantören och kostnaderna för denna övergång, den tid som krävs för att andra konkurrenter ska kunna ta över funktionerna, och huruvida den tidsramen är tillräcklig för att förhindra betydande störningar, beroende på typen av tjänst.</w:t>
            </w:r>
          </w:p>
          <w:p w14:paraId="7FE1BDC6" w14:textId="024DAF4C" w:rsidR="0057131B" w:rsidRDefault="00355A1C">
            <w:pPr>
              <w:pStyle w:val="P68B1DB1-Normal3"/>
            </w:pPr>
            <w:r>
              <w:t xml:space="preserve">Ge en övergripande bedömning av den förväntade graden av utbytbarhet för varje funktion, med beaktande av de olika dimensioner som tidigare bedömts (marknadsandel, marknadskoncentration, </w:t>
            </w:r>
            <w:r>
              <w:lastRenderedPageBreak/>
              <w:t xml:space="preserve">tid för substitution, rättsliga hinder och operativa krav för inträde eller expansion). Denna bedömning ska uttryckas kvalitativt som ”hög”, ”medelhög”, ”medelhög” eller ”låg”. </w:t>
            </w:r>
          </w:p>
          <w:p w14:paraId="07F40115" w14:textId="77777777" w:rsidR="0057131B" w:rsidRDefault="0057131B">
            <w:pPr>
              <w:rPr>
                <w:rFonts w:ascii="Times New Roman" w:eastAsiaTheme="minorHAnsi" w:hAnsi="Times New Roman" w:cs="Times New Roman"/>
                <w:color w:val="000000" w:themeColor="text1"/>
                <w:sz w:val="20"/>
                <w:szCs w:val="20"/>
              </w:rPr>
            </w:pPr>
          </w:p>
          <w:p w14:paraId="7FE1BDC7" w14:textId="704E53DC" w:rsidR="0057131B" w:rsidRDefault="00355A1C">
            <w:pPr>
              <w:pStyle w:val="P68B1DB1-Normal43"/>
            </w:pPr>
            <w:r>
              <w:t>”H” ska väljas om en funktion enkelt kan tillhandahållas av en annan bank under jämförbara villkor och inom rimlig tid,</w:t>
            </w:r>
          </w:p>
          <w:p w14:paraId="7FE1BDC8" w14:textId="794A9FE4" w:rsidR="0057131B" w:rsidRDefault="00355A1C">
            <w:pPr>
              <w:pStyle w:val="P68B1DB1-Normal43"/>
            </w:pPr>
            <w:r>
              <w:t xml:space="preserve">”Låg” om en funktion inte kan ersättas enkelt eller snabbt, </w:t>
            </w:r>
          </w:p>
          <w:p w14:paraId="7FE1BDC9" w14:textId="02A9D6A2" w:rsidR="0057131B" w:rsidRDefault="00355A1C">
            <w:pPr>
              <w:pStyle w:val="P68B1DB1-Normal43"/>
            </w:pPr>
            <w:r>
              <w:t>”Medium-High” och ”Medium-Low” för fall däremellan med beaktande av olika dimensioner (t.ex. marknadsandel, marknadskoncentration, tid fram till bytet, samt rättsliga hinder och operationella krav för marknadsinträde eller expansion).</w:t>
            </w:r>
          </w:p>
        </w:tc>
      </w:tr>
      <w:tr w:rsidR="0057131B"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57131B" w:rsidRDefault="00355A1C">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57131B" w:rsidRDefault="00355A1C">
            <w:pPr>
              <w:pStyle w:val="P68B1DB1-Normal42"/>
              <w:rPr>
                <w:bCs/>
              </w:rPr>
            </w:pPr>
            <w:r>
              <w:t>Kritisk funktion</w:t>
            </w:r>
          </w:p>
          <w:p w14:paraId="7FE1BDCD" w14:textId="77777777" w:rsidR="0057131B" w:rsidRDefault="00355A1C">
            <w:pPr>
              <w:pStyle w:val="P68B1DB1-Normal43"/>
            </w:pPr>
            <w:r>
              <w:t>I denna kolumn ska redovisas huruvida den ekonomiska funktionen kan anses vara kritisk på ifrågavarande lands marknad, detta med beaktande av den av institutionen utförda analys av påverkan och ersättbarhet.</w:t>
            </w:r>
          </w:p>
          <w:p w14:paraId="7FE1BDCE" w14:textId="77777777" w:rsidR="0057131B" w:rsidRDefault="00355A1C">
            <w:pPr>
              <w:pStyle w:val="P68B1DB1-Normal43"/>
            </w:pPr>
            <w:r>
              <w:t>Redovisa ”ja” eller ”nej”.</w:t>
            </w:r>
          </w:p>
        </w:tc>
      </w:tr>
      <w:tr w:rsidR="0057131B"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57131B" w:rsidRDefault="00355A1C">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57131B" w:rsidRDefault="00355A1C">
            <w:pPr>
              <w:pStyle w:val="P68B1DB1-Normal42"/>
              <w:rPr>
                <w:bCs/>
              </w:rPr>
            </w:pPr>
            <w:r>
              <w:t>Synpunkter från koncernen</w:t>
            </w:r>
          </w:p>
          <w:p w14:paraId="7FE1BDD2" w14:textId="77777777" w:rsidR="0057131B" w:rsidRDefault="00355A1C">
            <w:pPr>
              <w:pStyle w:val="P68B1DB1-Normal43"/>
            </w:pPr>
            <w:r>
              <w:t>Detta fält gör det möjligt för det rapporterande företaget att förklara eventuella antaganden som används för att bedöma kritikaliteten hos den eller de rapporterade funktionerna.</w:t>
            </w:r>
          </w:p>
        </w:tc>
      </w:tr>
    </w:tbl>
    <w:p w14:paraId="7FE1BDD4" w14:textId="77777777" w:rsidR="0057131B" w:rsidRDefault="0057131B">
      <w:pPr>
        <w:rPr>
          <w:rFonts w:ascii="Times New Roman" w:hAnsi="Times New Roman" w:cs="Times New Roman"/>
          <w:color w:val="000000" w:themeColor="text1"/>
          <w:sz w:val="20"/>
          <w:szCs w:val="20"/>
        </w:rPr>
      </w:pPr>
    </w:p>
    <w:p w14:paraId="7FE1BFB4" w14:textId="77777777" w:rsidR="0057131B" w:rsidRDefault="0057131B">
      <w:pPr>
        <w:rPr>
          <w:rFonts w:ascii="Times New Roman" w:hAnsi="Times New Roman" w:cs="Times New Roman"/>
        </w:rPr>
      </w:pPr>
    </w:p>
    <w:p w14:paraId="7FE1BFB5" w14:textId="432A2FAA" w:rsidR="0057131B" w:rsidRDefault="00355A1C">
      <w:pPr>
        <w:pStyle w:val="P68B1DB1-Instructionsberschrift25"/>
        <w:numPr>
          <w:ilvl w:val="1"/>
          <w:numId w:val="49"/>
        </w:numPr>
        <w:ind w:left="357" w:hanging="357"/>
      </w:pPr>
      <w:bookmarkStart w:id="122" w:name="_Toc210901298"/>
      <w:r>
        <w:t>Z 07.02 – Kartläggning av ekonomiska funktioner enligt juridisk person (FUNC 2)</w:t>
      </w:r>
      <w:bookmarkEnd w:id="122"/>
      <w:r>
        <w:t xml:space="preserve"> </w:t>
      </w:r>
    </w:p>
    <w:p w14:paraId="7FE1BFB6" w14:textId="77777777" w:rsidR="0057131B" w:rsidRDefault="00355A1C">
      <w:pPr>
        <w:pStyle w:val="P68B1DB1-Instructionsberschrift312"/>
        <w:rPr>
          <w:color w:val="auto"/>
        </w:rPr>
      </w:pPr>
      <w:r>
        <w:t>Instruktioner</w:t>
      </w:r>
      <w:r>
        <w:rPr>
          <w:color w:val="auto"/>
        </w:rPr>
        <w:t xml:space="preserve"> för specifika positioner</w:t>
      </w:r>
    </w:p>
    <w:p w14:paraId="7FE1BFB7" w14:textId="7A5F9014" w:rsidR="0057131B" w:rsidRDefault="00355A1C">
      <w:pPr>
        <w:pStyle w:val="P68B1DB1-InstructionsText26"/>
        <w:numPr>
          <w:ilvl w:val="0"/>
          <w:numId w:val="232"/>
        </w:numPr>
        <w:spacing w:before="0"/>
      </w:pPr>
      <w:r>
        <w:t>Denna mall ska rapporteras för hela gruppen och med beaktande av de ekonomiska funktioner som gruppen tillhandahåller ekonomin.</w:t>
      </w:r>
    </w:p>
    <w:p w14:paraId="7FE1BFB8" w14:textId="77777777" w:rsidR="0057131B" w:rsidRDefault="00355A1C">
      <w:pPr>
        <w:pStyle w:val="P68B1DB1-InstructionsText26"/>
        <w:numPr>
          <w:ilvl w:val="0"/>
          <w:numId w:val="232"/>
        </w:numPr>
        <w:spacing w:before="0"/>
      </w:pPr>
      <w:r>
        <w:t>Kombinationen av värden som redovisas i kolumnerna 0010, 0020 och 0040 i denna mall utgör en primärnyckel som måste vara unik för varje rad i mallen.</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7131B"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57131B" w:rsidRDefault="00355A1C">
            <w:pPr>
              <w:pStyle w:val="P68B1DB1-TableParagraph17"/>
              <w:spacing w:before="108"/>
              <w:ind w:left="85"/>
              <w:jc w:val="both"/>
            </w:pPr>
            <w:r>
              <w:t>Kolumner</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57131B" w:rsidRDefault="00355A1C">
            <w:pPr>
              <w:pStyle w:val="P68B1DB1-TableParagraph17"/>
              <w:spacing w:before="108"/>
              <w:ind w:left="85" w:right="1"/>
              <w:jc w:val="both"/>
            </w:pPr>
            <w:r>
              <w:t>Anvisningar</w:t>
            </w:r>
          </w:p>
        </w:tc>
      </w:tr>
      <w:tr w:rsidR="0057131B"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57131B" w:rsidRDefault="00355A1C">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57131B" w:rsidRDefault="00355A1C">
            <w:pPr>
              <w:pStyle w:val="P68B1DB1-TableParagraph14"/>
              <w:spacing w:before="108"/>
              <w:ind w:left="85"/>
              <w:jc w:val="both"/>
              <w:rPr>
                <w:bCs/>
              </w:rPr>
            </w:pPr>
            <w:r>
              <w:t>Ekonomisk funktion</w:t>
            </w:r>
          </w:p>
        </w:tc>
      </w:tr>
      <w:tr w:rsidR="0057131B"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57131B" w:rsidRDefault="00355A1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57131B" w:rsidRDefault="00355A1C">
            <w:pPr>
              <w:pStyle w:val="P68B1DB1-TableParagraph14"/>
              <w:spacing w:before="108"/>
              <w:ind w:left="85"/>
              <w:jc w:val="both"/>
              <w:rPr>
                <w:bCs/>
              </w:rPr>
            </w:pPr>
            <w:r>
              <w:t>Land</w:t>
            </w:r>
          </w:p>
          <w:p w14:paraId="7FE1BFC1" w14:textId="235DC4B1" w:rsidR="0057131B" w:rsidRDefault="00355A1C">
            <w:pPr>
              <w:pStyle w:val="P68B1DB1-TableParagraph17"/>
              <w:spacing w:before="108"/>
              <w:ind w:left="85"/>
            </w:pPr>
            <w:r>
              <w:t>Det land för vilket den ekonomiska funktionen tillhandahålls.</w:t>
            </w:r>
          </w:p>
        </w:tc>
      </w:tr>
      <w:tr w:rsidR="0057131B"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57131B" w:rsidRDefault="00355A1C">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57131B" w:rsidRDefault="00355A1C">
            <w:pPr>
              <w:pStyle w:val="P68B1DB1-TableParagraph14"/>
              <w:spacing w:before="108"/>
              <w:ind w:left="85"/>
              <w:jc w:val="both"/>
              <w:rPr>
                <w:bCs/>
              </w:rPr>
            </w:pPr>
            <w:r>
              <w:t>ID</w:t>
            </w:r>
          </w:p>
          <w:p w14:paraId="7FE1BFC5" w14:textId="05F6B42D" w:rsidR="0057131B" w:rsidRDefault="00355A1C">
            <w:pPr>
              <w:pStyle w:val="P68B1DB1-TableParagraph17"/>
              <w:spacing w:before="108"/>
              <w:ind w:left="85"/>
            </w:pPr>
            <w:r>
              <w:t>ID för de ekonomiska funktionerna (som avses i mall Z 07.01 (FUNC 1) när det gäller kritiska funktioner).</w:t>
            </w:r>
          </w:p>
        </w:tc>
      </w:tr>
      <w:tr w:rsidR="0057131B"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57131B" w:rsidRDefault="00355A1C">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57131B" w:rsidRDefault="00355A1C">
            <w:pPr>
              <w:pStyle w:val="P68B1DB1-TableParagraph14"/>
              <w:spacing w:before="108"/>
              <w:ind w:left="85"/>
              <w:jc w:val="both"/>
              <w:rPr>
                <w:bCs/>
              </w:rPr>
            </w:pPr>
            <w:r>
              <w:t>Rättslig enhet</w:t>
            </w:r>
          </w:p>
        </w:tc>
      </w:tr>
      <w:tr w:rsidR="0057131B"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57131B" w:rsidRDefault="00355A1C">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57131B" w:rsidRDefault="00355A1C">
            <w:pPr>
              <w:pStyle w:val="P68B1DB1-TableParagraph14"/>
              <w:spacing w:before="108"/>
              <w:ind w:left="85"/>
              <w:jc w:val="both"/>
              <w:rPr>
                <w:bCs/>
              </w:rPr>
            </w:pPr>
            <w:r>
              <w:t>Enhetens namn</w:t>
            </w:r>
          </w:p>
          <w:p w14:paraId="7FE1BFCD" w14:textId="375A6177" w:rsidR="0057131B" w:rsidRDefault="00355A1C">
            <w:pPr>
              <w:pStyle w:val="P68B1DB1-TableParagraph17"/>
              <w:spacing w:before="108"/>
              <w:ind w:left="85"/>
            </w:pPr>
            <w:r>
              <w:t>Namn på enheten som utför den ekonomiska funktionen, enligt vad som anges i Z 01.01 (ORG 1).</w:t>
            </w:r>
          </w:p>
          <w:p w14:paraId="7FE1BFCE" w14:textId="2159DCA3" w:rsidR="0057131B" w:rsidRDefault="00355A1C">
            <w:pPr>
              <w:pStyle w:val="P68B1DB1-TableParagraph17"/>
              <w:spacing w:before="108"/>
              <w:ind w:left="85"/>
            </w:pPr>
            <w:r>
              <w:t>Om flera enheter utför samma ekonomiska funktion i samma land ska varje enhet redovisas på en separat rad.</w:t>
            </w:r>
          </w:p>
        </w:tc>
      </w:tr>
      <w:tr w:rsidR="0057131B"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57131B" w:rsidRDefault="00355A1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57131B" w:rsidRDefault="00355A1C">
            <w:pPr>
              <w:pStyle w:val="P68B1DB1-TableParagraph14"/>
              <w:spacing w:before="108"/>
              <w:ind w:left="85"/>
              <w:jc w:val="both"/>
              <w:rPr>
                <w:bCs/>
              </w:rPr>
            </w:pPr>
            <w:r>
              <w:t>Kod</w:t>
            </w:r>
          </w:p>
          <w:p w14:paraId="7FE1BFD2" w14:textId="77777777" w:rsidR="0057131B" w:rsidRDefault="00355A1C">
            <w:pPr>
              <w:pStyle w:val="P68B1DB1-TableParagraph17"/>
              <w:spacing w:before="108"/>
              <w:ind w:left="85"/>
            </w:pPr>
            <w:r>
              <w:t>Unik identifieringskod för den juridiska personen i kolumn 0020 enligt vad som redovisas i mall Z 01.01 (ORG 1).</w:t>
            </w:r>
          </w:p>
          <w:p w14:paraId="7FE1BFD3" w14:textId="0AEAE2F2" w:rsidR="0057131B" w:rsidRDefault="00355A1C">
            <w:pPr>
              <w:pStyle w:val="P68B1DB1-TableParagraph17"/>
              <w:spacing w:before="108"/>
              <w:ind w:left="85"/>
            </w:pPr>
            <w:r>
              <w:lastRenderedPageBreak/>
              <w:t>Identifieringen av enheter ska göras på ett enhetligt sätt i mallarna.</w:t>
            </w:r>
          </w:p>
        </w:tc>
      </w:tr>
      <w:tr w:rsidR="0057131B"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57131B" w:rsidRDefault="00355A1C">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57131B" w:rsidRDefault="00355A1C">
            <w:pPr>
              <w:pStyle w:val="P68B1DB1-TableParagraph14"/>
              <w:spacing w:before="108"/>
              <w:ind w:left="85"/>
              <w:jc w:val="both"/>
              <w:rPr>
                <w:bCs/>
              </w:rPr>
            </w:pPr>
            <w:r>
              <w:t>Typ av kod</w:t>
            </w:r>
          </w:p>
          <w:p w14:paraId="29A7EF10" w14:textId="77777777" w:rsidR="0057131B" w:rsidRDefault="00355A1C">
            <w:pPr>
              <w:pStyle w:val="P68B1DB1-TableParagraph13"/>
              <w:spacing w:before="108"/>
            </w:pPr>
            <w:r>
              <w:t>Välj en av följande alternativ: ”LEI-kod”, ”MFI-kod” eller ”Typ av identifierare, annan än LEI-kod eller MFI-kod”.</w:t>
            </w:r>
          </w:p>
          <w:p w14:paraId="7FE1BFDA" w14:textId="77777777" w:rsidR="0057131B" w:rsidRDefault="00355A1C">
            <w:pPr>
              <w:pStyle w:val="P68B1DB1-TableParagraph13"/>
              <w:spacing w:before="108"/>
              <w:ind w:left="85"/>
              <w:jc w:val="both"/>
              <w:rPr>
                <w:b/>
                <w:bCs/>
              </w:rPr>
            </w:pPr>
            <w:r>
              <w:t>Identifieringen av enheter ska göras på ett enhetligt sätt i mallarna.</w:t>
            </w:r>
          </w:p>
        </w:tc>
      </w:tr>
      <w:tr w:rsidR="0057131B"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57131B" w:rsidRDefault="00355A1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57131B" w:rsidRDefault="00355A1C">
            <w:pPr>
              <w:pStyle w:val="P68B1DB1-TableParagraph14"/>
              <w:spacing w:before="108"/>
              <w:ind w:left="85"/>
              <w:jc w:val="both"/>
              <w:rPr>
                <w:bCs/>
              </w:rPr>
            </w:pPr>
            <w:r>
              <w:t>Monetärt belopp</w:t>
            </w:r>
          </w:p>
          <w:p w14:paraId="7FE1BFDE" w14:textId="1157FFA9" w:rsidR="0057131B" w:rsidRDefault="00355A1C">
            <w:pPr>
              <w:pStyle w:val="P68B1DB1-TableParagraph17"/>
              <w:spacing w:before="108"/>
              <w:ind w:left="85"/>
            </w:pPr>
            <w:r>
              <w:t>Den juridiska personens bidrag, i monetärt belopp, till det monetära beloppet enligt beskrivning i mall Z 07.01 (FUNC 1):</w:t>
            </w:r>
          </w:p>
          <w:p w14:paraId="7FE1BFDF" w14:textId="77777777" w:rsidR="0057131B" w:rsidRDefault="00355A1C">
            <w:pPr>
              <w:pStyle w:val="P68B1DB1-TableParagraph17"/>
              <w:numPr>
                <w:ilvl w:val="0"/>
                <w:numId w:val="64"/>
              </w:numPr>
              <w:spacing w:before="108"/>
            </w:pPr>
            <w:r>
              <w:t>Inlåning – Kontots värde</w:t>
            </w:r>
          </w:p>
          <w:p w14:paraId="7FE1BFE0" w14:textId="77777777" w:rsidR="0057131B" w:rsidRDefault="00355A1C">
            <w:pPr>
              <w:pStyle w:val="P68B1DB1-TableParagraph17"/>
              <w:numPr>
                <w:ilvl w:val="0"/>
                <w:numId w:val="64"/>
              </w:numPr>
              <w:spacing w:before="108"/>
            </w:pPr>
            <w:r>
              <w:t>Utlåning – utestående värde</w:t>
            </w:r>
          </w:p>
          <w:p w14:paraId="7FE1BFE1" w14:textId="77777777" w:rsidR="0057131B" w:rsidRDefault="00355A1C">
            <w:pPr>
              <w:pStyle w:val="P68B1DB1-TableParagraph17"/>
              <w:numPr>
                <w:ilvl w:val="0"/>
                <w:numId w:val="64"/>
              </w:numPr>
              <w:spacing w:before="108"/>
            </w:pPr>
            <w:r>
              <w:t>Betalningar – värde av transaktioner/öppna positioner/förvarade tillgångar (beroende på vad som är tillämpligt)</w:t>
            </w:r>
          </w:p>
          <w:p w14:paraId="7FE1BFE2" w14:textId="77777777" w:rsidR="0057131B" w:rsidRDefault="00355A1C">
            <w:pPr>
              <w:pStyle w:val="P68B1DB1-TableParagraph17"/>
              <w:numPr>
                <w:ilvl w:val="0"/>
                <w:numId w:val="64"/>
              </w:numPr>
              <w:spacing w:before="108"/>
            </w:pPr>
            <w:r>
              <w:t>Kapitalmarknader – teoretiskt belopp/redovisat belopp/avgiftsinkomst (beroende på vad som är tillämpligt)</w:t>
            </w:r>
          </w:p>
          <w:p w14:paraId="7FE1BFE3" w14:textId="77777777" w:rsidR="0057131B" w:rsidRDefault="00355A1C">
            <w:pPr>
              <w:pStyle w:val="P68B1DB1-TableParagraph17"/>
              <w:numPr>
                <w:ilvl w:val="0"/>
                <w:numId w:val="64"/>
              </w:numPr>
              <w:spacing w:before="108"/>
            </w:pPr>
            <w:r>
              <w:t>Kapitalmarknadsfinansiering – redovisat bruttovärde</w:t>
            </w:r>
          </w:p>
        </w:tc>
      </w:tr>
    </w:tbl>
    <w:p w14:paraId="7FE1BFE5" w14:textId="77777777" w:rsidR="0057131B" w:rsidRDefault="0057131B">
      <w:pPr>
        <w:rPr>
          <w:rFonts w:ascii="Times New Roman" w:hAnsi="Times New Roman" w:cs="Times New Roman"/>
          <w:color w:val="000000" w:themeColor="text1"/>
          <w:sz w:val="20"/>
          <w:szCs w:val="20"/>
        </w:rPr>
      </w:pPr>
    </w:p>
    <w:p w14:paraId="7FE1BFE6" w14:textId="30C6C61A" w:rsidR="0057131B" w:rsidRDefault="00355A1C">
      <w:pPr>
        <w:pStyle w:val="P68B1DB1-Instructionsberschrift25"/>
        <w:numPr>
          <w:ilvl w:val="1"/>
          <w:numId w:val="49"/>
        </w:numPr>
        <w:ind w:left="357" w:hanging="357"/>
      </w:pPr>
      <w:bookmarkStart w:id="123" w:name="_Toc210901299"/>
      <w:r>
        <w:t>Z 07.03 -Kartläggning av kärnaffärsområden enligt juridisk person (FUNC 3)</w:t>
      </w:r>
      <w:bookmarkEnd w:id="123"/>
    </w:p>
    <w:p w14:paraId="7FE1BFE7" w14:textId="2A9EA2DA" w:rsidR="0057131B" w:rsidRDefault="00355A1C">
      <w:pPr>
        <w:pStyle w:val="P68B1DB1-Instructionsberschrift312"/>
        <w:rPr>
          <w:bCs/>
        </w:rPr>
      </w:pPr>
      <w:r>
        <w:t>Instruktioner för specifika positioner</w:t>
      </w:r>
    </w:p>
    <w:p w14:paraId="7FE1BFE8" w14:textId="22DA3D65" w:rsidR="0057131B" w:rsidRDefault="00355A1C">
      <w:pPr>
        <w:pStyle w:val="P68B1DB1-InstructionsText26"/>
        <w:numPr>
          <w:ilvl w:val="0"/>
          <w:numId w:val="232"/>
        </w:numPr>
        <w:spacing w:before="0"/>
      </w:pPr>
      <w:r>
        <w:t>Kombinationen av värden som redovisas i kolumnerna 0020 och 0050 i denna mall utgör en primärnyckel som måste vara unik för varje rad i mallen.</w:t>
      </w:r>
    </w:p>
    <w:p w14:paraId="7FE1BFE9" w14:textId="29720803" w:rsidR="0057131B" w:rsidRDefault="00355A1C">
      <w:pPr>
        <w:pStyle w:val="P68B1DB1-InstructionsText26"/>
        <w:numPr>
          <w:ilvl w:val="0"/>
          <w:numId w:val="232"/>
        </w:numPr>
        <w:spacing w:before="0"/>
      </w:pPr>
      <w:r>
        <w:t xml:space="preserve">Endast de verksamhetsområden som gäller för de juridiska personerna ska anges i denna mall.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7131B"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57131B" w:rsidRDefault="00355A1C">
            <w:pPr>
              <w:pStyle w:val="P68B1DB1-TableParagraph17"/>
              <w:spacing w:before="108"/>
              <w:ind w:left="85"/>
              <w:jc w:val="both"/>
            </w:pPr>
            <w:r>
              <w:t>Kolumner</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57131B" w:rsidRDefault="00355A1C">
            <w:pPr>
              <w:pStyle w:val="P68B1DB1-TableParagraph17"/>
              <w:spacing w:before="108"/>
              <w:ind w:left="85" w:right="1"/>
              <w:jc w:val="both"/>
            </w:pPr>
            <w:r>
              <w:t>Anvisningar</w:t>
            </w:r>
          </w:p>
        </w:tc>
      </w:tr>
      <w:tr w:rsidR="0057131B"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57131B" w:rsidRDefault="00355A1C">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57131B" w:rsidRDefault="00355A1C">
            <w:pPr>
              <w:pStyle w:val="P68B1DB1-TableParagraph14"/>
              <w:spacing w:before="108"/>
              <w:ind w:left="85"/>
              <w:jc w:val="both"/>
              <w:rPr>
                <w:bCs/>
              </w:rPr>
            </w:pPr>
            <w:r>
              <w:t>Centralt affärsområde</w:t>
            </w:r>
          </w:p>
        </w:tc>
      </w:tr>
      <w:tr w:rsidR="0057131B"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57131B" w:rsidRDefault="00355A1C">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57131B" w:rsidRDefault="00355A1C">
            <w:pPr>
              <w:pStyle w:val="P68B1DB1-TableParagraph14"/>
              <w:spacing w:before="108"/>
              <w:ind w:left="85"/>
              <w:jc w:val="both"/>
              <w:rPr>
                <w:bCs/>
              </w:rPr>
            </w:pPr>
            <w:r>
              <w:t>Centralt affärsområde</w:t>
            </w:r>
          </w:p>
          <w:p w14:paraId="7FE1BFF2" w14:textId="65133358" w:rsidR="0057131B" w:rsidRDefault="00355A1C">
            <w:pPr>
              <w:pStyle w:val="P68B1DB1-TableParagraph17"/>
              <w:spacing w:before="108"/>
              <w:ind w:left="85"/>
            </w:pPr>
            <w:r>
              <w:t>Kärnaffärsområden enligt artiklarna 2.1.36 och 2.2 i direktiv 2014/59/EU.</w:t>
            </w:r>
          </w:p>
          <w:p w14:paraId="7FE1BFF3" w14:textId="77777777" w:rsidR="0057131B" w:rsidRDefault="00355A1C">
            <w:pPr>
              <w:pStyle w:val="P68B1DB1-TableParagraph17"/>
              <w:spacing w:before="108"/>
              <w:ind w:left="85"/>
            </w:pPr>
            <w:r>
              <w:t>Kärnaffärsområdet ska vara ett av de affärsområden som anges nedan.</w:t>
            </w:r>
          </w:p>
          <w:p w14:paraId="7FE1BFF4" w14:textId="77777777" w:rsidR="0057131B" w:rsidRDefault="00355A1C">
            <w:pPr>
              <w:pStyle w:val="P68B1DB1-TableParagraph17"/>
              <w:numPr>
                <w:ilvl w:val="0"/>
                <w:numId w:val="139"/>
              </w:numPr>
              <w:spacing w:before="108"/>
              <w:rPr>
                <w:rFonts w:eastAsiaTheme="minorEastAsia"/>
              </w:rPr>
            </w:pPr>
            <w:r>
              <w:t xml:space="preserve">Konsumentbankverksamhet </w:t>
            </w:r>
          </w:p>
          <w:p w14:paraId="7FE1BFF5" w14:textId="77777777" w:rsidR="0057131B" w:rsidRDefault="00355A1C">
            <w:pPr>
              <w:pStyle w:val="P68B1DB1-TableParagraph17"/>
              <w:numPr>
                <w:ilvl w:val="0"/>
                <w:numId w:val="139"/>
              </w:numPr>
              <w:spacing w:before="108"/>
            </w:pPr>
            <w:r>
              <w:t>Företagskunder</w:t>
            </w:r>
          </w:p>
          <w:p w14:paraId="7FE1BFF6" w14:textId="77777777" w:rsidR="0057131B" w:rsidRDefault="00355A1C">
            <w:pPr>
              <w:pStyle w:val="P68B1DB1-TableParagraph17"/>
              <w:numPr>
                <w:ilvl w:val="0"/>
                <w:numId w:val="139"/>
              </w:numPr>
              <w:spacing w:before="108"/>
            </w:pPr>
            <w:r>
              <w:t xml:space="preserve">Investeringsbanktjänster </w:t>
            </w:r>
          </w:p>
          <w:p w14:paraId="7FE1BFF7" w14:textId="77777777" w:rsidR="0057131B" w:rsidRDefault="00355A1C">
            <w:pPr>
              <w:pStyle w:val="P68B1DB1-TableParagraph17"/>
              <w:numPr>
                <w:ilvl w:val="0"/>
                <w:numId w:val="139"/>
              </w:numPr>
              <w:spacing w:before="108"/>
            </w:pPr>
            <w:r>
              <w:t>Försäkring</w:t>
            </w:r>
          </w:p>
          <w:p w14:paraId="7FE1BFF8" w14:textId="77777777" w:rsidR="0057131B" w:rsidRDefault="00355A1C">
            <w:pPr>
              <w:pStyle w:val="P68B1DB1-TableParagraph17"/>
              <w:numPr>
                <w:ilvl w:val="0"/>
                <w:numId w:val="139"/>
              </w:numPr>
              <w:spacing w:before="108"/>
            </w:pPr>
            <w:r>
              <w:t>Återförsäkring</w:t>
            </w:r>
          </w:p>
          <w:p w14:paraId="7FE1BFF9" w14:textId="77777777" w:rsidR="0057131B" w:rsidRDefault="00355A1C">
            <w:pPr>
              <w:pStyle w:val="P68B1DB1-TableParagraph17"/>
              <w:numPr>
                <w:ilvl w:val="0"/>
                <w:numId w:val="139"/>
              </w:numPr>
              <w:spacing w:before="108"/>
            </w:pPr>
            <w:r>
              <w:t>Mäkleri mot hushåll</w:t>
            </w:r>
          </w:p>
          <w:p w14:paraId="7FE1BFFA" w14:textId="77777777" w:rsidR="0057131B" w:rsidRDefault="00355A1C">
            <w:pPr>
              <w:pStyle w:val="P68B1DB1-TableParagraph17"/>
              <w:numPr>
                <w:ilvl w:val="0"/>
                <w:numId w:val="139"/>
              </w:numPr>
              <w:spacing w:before="108"/>
            </w:pPr>
            <w:r>
              <w:t xml:space="preserve">Förmögenhetsförvaltning </w:t>
            </w:r>
          </w:p>
          <w:p w14:paraId="7FE1BFFB" w14:textId="77777777" w:rsidR="0057131B" w:rsidRDefault="00355A1C">
            <w:pPr>
              <w:pStyle w:val="P68B1DB1-TableParagraph17"/>
              <w:numPr>
                <w:ilvl w:val="0"/>
                <w:numId w:val="139"/>
              </w:numPr>
              <w:spacing w:before="108"/>
            </w:pPr>
            <w:r>
              <w:t>Fastighetsmäklare</w:t>
            </w:r>
          </w:p>
          <w:p w14:paraId="7FE1BFFC" w14:textId="77777777" w:rsidR="0057131B" w:rsidRDefault="00355A1C">
            <w:pPr>
              <w:pStyle w:val="P68B1DB1-TableParagraph17"/>
              <w:numPr>
                <w:ilvl w:val="0"/>
                <w:numId w:val="139"/>
              </w:numPr>
              <w:spacing w:before="108"/>
            </w:pPr>
            <w:r>
              <w:t xml:space="preserve">Räkenskaper </w:t>
            </w:r>
          </w:p>
          <w:p w14:paraId="7FE1BFFD" w14:textId="77777777" w:rsidR="0057131B" w:rsidRDefault="00355A1C">
            <w:pPr>
              <w:pStyle w:val="P68B1DB1-TableParagraph17"/>
              <w:numPr>
                <w:ilvl w:val="0"/>
                <w:numId w:val="139"/>
              </w:numPr>
              <w:spacing w:before="108"/>
            </w:pPr>
            <w:r>
              <w:t>Andra</w:t>
            </w:r>
          </w:p>
          <w:p w14:paraId="7FE1BFFE" w14:textId="77777777" w:rsidR="0057131B" w:rsidRDefault="0057131B">
            <w:pPr>
              <w:pStyle w:val="TableParagraph"/>
              <w:spacing w:before="108"/>
              <w:ind w:left="85"/>
              <w:rPr>
                <w:rFonts w:ascii="Times New Roman" w:eastAsia="Cambria" w:hAnsi="Times New Roman" w:cs="Times New Roman"/>
                <w:color w:val="000000" w:themeColor="text1"/>
                <w:sz w:val="20"/>
                <w:szCs w:val="20"/>
              </w:rPr>
            </w:pPr>
          </w:p>
        </w:tc>
      </w:tr>
      <w:tr w:rsidR="0057131B"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57131B" w:rsidRDefault="00355A1C">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57131B" w:rsidRDefault="00355A1C">
            <w:pPr>
              <w:pStyle w:val="P68B1DB1-TableParagraph14"/>
              <w:spacing w:before="108"/>
              <w:ind w:left="85"/>
              <w:jc w:val="both"/>
              <w:rPr>
                <w:bCs/>
              </w:rPr>
            </w:pPr>
            <w:r>
              <w:t>Affärsområde-ID</w:t>
            </w:r>
          </w:p>
          <w:p w14:paraId="7FE1C002" w14:textId="77777777" w:rsidR="0057131B" w:rsidRDefault="00355A1C">
            <w:pPr>
              <w:pStyle w:val="P68B1DB1-TableParagraph17"/>
              <w:spacing w:before="108"/>
              <w:ind w:left="85"/>
            </w:pPr>
            <w:r>
              <w:t>Affärsområdets unika ID som tillhandahålls av institutet.</w:t>
            </w:r>
          </w:p>
        </w:tc>
      </w:tr>
      <w:tr w:rsidR="0057131B"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57131B" w:rsidRDefault="00355A1C">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57131B" w:rsidRDefault="00355A1C">
            <w:pPr>
              <w:pStyle w:val="P68B1DB1-TableParagraph14"/>
              <w:spacing w:before="108"/>
              <w:ind w:left="85"/>
              <w:jc w:val="both"/>
              <w:rPr>
                <w:bCs/>
              </w:rPr>
            </w:pPr>
            <w:r>
              <w:t>Beskrivning</w:t>
            </w:r>
          </w:p>
          <w:p w14:paraId="7FE1C015" w14:textId="477A2340" w:rsidR="0057131B" w:rsidRDefault="00355A1C">
            <w:pPr>
              <w:pStyle w:val="P68B1DB1-TableParagraph17"/>
              <w:spacing w:before="108"/>
              <w:ind w:left="85"/>
            </w:pPr>
            <w:r>
              <w:t>Beskrivning av affärsområdet.</w:t>
            </w:r>
          </w:p>
        </w:tc>
      </w:tr>
      <w:tr w:rsidR="0057131B"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57131B" w:rsidRDefault="00355A1C">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57131B" w:rsidRDefault="00355A1C">
            <w:pPr>
              <w:pStyle w:val="P68B1DB1-TableParagraph14"/>
              <w:spacing w:before="108"/>
              <w:ind w:left="85"/>
              <w:jc w:val="both"/>
              <w:rPr>
                <w:bCs/>
              </w:rPr>
            </w:pPr>
            <w:r>
              <w:t>Enhetsnamn</w:t>
            </w:r>
          </w:p>
          <w:p w14:paraId="7FE1C02D" w14:textId="45109CE8" w:rsidR="0057131B" w:rsidRDefault="00355A1C">
            <w:pPr>
              <w:pStyle w:val="P68B1DB1-TableParagraph17"/>
              <w:spacing w:before="108"/>
              <w:ind w:left="85"/>
            </w:pPr>
            <w:r>
              <w:t>Namnet på den enhet som rapporteras i Z 01.01 (ORG 1) som tillhandahåller affärsområdet.</w:t>
            </w:r>
          </w:p>
        </w:tc>
      </w:tr>
      <w:tr w:rsidR="0057131B"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57131B" w:rsidRDefault="00355A1C">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57131B" w:rsidRDefault="00355A1C">
            <w:pPr>
              <w:pStyle w:val="P68B1DB1-TableParagraph14"/>
              <w:spacing w:before="108"/>
              <w:ind w:left="85"/>
              <w:jc w:val="both"/>
              <w:rPr>
                <w:bCs/>
              </w:rPr>
            </w:pPr>
            <w:r>
              <w:t xml:space="preserve">Kod </w:t>
            </w:r>
          </w:p>
          <w:p w14:paraId="7FE1C031" w14:textId="77777777" w:rsidR="0057131B" w:rsidRDefault="00355A1C">
            <w:pPr>
              <w:pStyle w:val="P68B1DB1-TableParagraph17"/>
              <w:spacing w:before="108"/>
              <w:ind w:left="85"/>
            </w:pPr>
            <w:r>
              <w:t>Unik identifieringskod för den juridiska personen i kolumn 0020 enligt vad som redovisas i mall Z 01.01 (ORG 1).</w:t>
            </w:r>
          </w:p>
          <w:p w14:paraId="7FE1C032" w14:textId="299C7D7B" w:rsidR="0057131B" w:rsidRDefault="00355A1C">
            <w:pPr>
              <w:pStyle w:val="P68B1DB1-TableParagraph17"/>
              <w:spacing w:before="108"/>
              <w:ind w:left="85"/>
            </w:pPr>
            <w:r>
              <w:t>Identifieringen av enheter ska göras på ett enhetligt sätt i mallarna.</w:t>
            </w:r>
          </w:p>
        </w:tc>
      </w:tr>
      <w:tr w:rsidR="0057131B"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57131B" w:rsidRDefault="00355A1C">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57131B" w:rsidRDefault="00355A1C">
            <w:pPr>
              <w:pStyle w:val="P68B1DB1-TableParagraph14"/>
              <w:spacing w:before="108"/>
              <w:ind w:left="85"/>
              <w:jc w:val="both"/>
              <w:rPr>
                <w:bCs/>
              </w:rPr>
            </w:pPr>
            <w:r>
              <w:t>Typ av kod</w:t>
            </w:r>
          </w:p>
          <w:p w14:paraId="4F36B5CB" w14:textId="0A20F8AD" w:rsidR="0057131B" w:rsidRDefault="00355A1C">
            <w:pPr>
              <w:pStyle w:val="P68B1DB1-TableParagraph13"/>
              <w:spacing w:before="108"/>
              <w:ind w:left="85"/>
              <w:jc w:val="both"/>
              <w:rPr>
                <w:bCs/>
              </w:rPr>
            </w:pPr>
            <w:r>
              <w:t>Välj en av följande alternativ: ”LEI-kod”, ”MFI-kod” eller ”Typ av identifierare, annan än LEI-kod eller MFI-kod”.</w:t>
            </w:r>
          </w:p>
          <w:p w14:paraId="7FE1C039" w14:textId="5BB46896" w:rsidR="0057131B" w:rsidRDefault="00355A1C">
            <w:pPr>
              <w:pStyle w:val="P68B1DB1-TableParagraph13"/>
              <w:spacing w:before="108"/>
              <w:ind w:left="85"/>
              <w:jc w:val="both"/>
              <w:rPr>
                <w:b/>
                <w:bCs/>
              </w:rPr>
            </w:pPr>
            <w:r>
              <w:t xml:space="preserve">Identifieringen av enheter ska göras på ett enhetligt sätt i mallarna. </w:t>
            </w:r>
          </w:p>
        </w:tc>
      </w:tr>
    </w:tbl>
    <w:p w14:paraId="7FE1C03B" w14:textId="7E256DE6" w:rsidR="0057131B" w:rsidRDefault="00355A1C">
      <w:pPr>
        <w:pStyle w:val="P68B1DB1-Instructionsberschrift25"/>
        <w:numPr>
          <w:ilvl w:val="1"/>
          <w:numId w:val="49"/>
        </w:numPr>
        <w:ind w:left="357" w:hanging="357"/>
      </w:pPr>
      <w:bookmarkStart w:id="124" w:name="_Toc210901300"/>
      <w:r>
        <w:t>Z 07.04 – Kartläggning av ekonomiska funktioner enligt kärnaffärsområden (FUNC 4)</w:t>
      </w:r>
      <w:bookmarkEnd w:id="124"/>
    </w:p>
    <w:p w14:paraId="7FE1C03C" w14:textId="77777777" w:rsidR="0057131B" w:rsidRDefault="00355A1C">
      <w:pPr>
        <w:pStyle w:val="P68B1DB1-Instructionsberschrift312"/>
        <w:rPr>
          <w:bCs/>
        </w:rPr>
      </w:pPr>
      <w:r>
        <w:t>Instruktioner för specifika positioner</w:t>
      </w:r>
    </w:p>
    <w:p w14:paraId="7FE1C03E" w14:textId="1250AC76" w:rsidR="0057131B" w:rsidRDefault="00355A1C">
      <w:pPr>
        <w:pStyle w:val="P68B1DB1-InstructionsText26"/>
        <w:numPr>
          <w:ilvl w:val="0"/>
          <w:numId w:val="0"/>
        </w:numPr>
        <w:spacing w:before="0"/>
        <w:ind w:left="1800"/>
      </w:pPr>
      <w:r>
        <w:t>Kombinationen av värden som redovisas i kolumnerna 0010, 0020 och 0040 i denna mall utgör en primärnyckel som måste vara unik för varje rad i mallen.</w:t>
      </w:r>
    </w:p>
    <w:p w14:paraId="67939923" w14:textId="1F5BB133" w:rsidR="0057131B" w:rsidRDefault="00355A1C">
      <w:pPr>
        <w:pStyle w:val="CommentText"/>
        <w:rPr>
          <w:rFonts w:ascii="Times New Roman" w:hAnsi="Times New Roman" w:cs="Times New Roman"/>
        </w:rPr>
      </w:pPr>
      <w:r>
        <w:rPr>
          <w:rFonts w:ascii="Times New Roman" w:hAnsi="Times New Roman" w:cs="Times New Roman"/>
        </w:rPr>
        <w:t>Endast kritiska funktioner, enligt vad som anges i</w:t>
      </w:r>
      <w:r>
        <w:rPr>
          <w:i/>
        </w:rPr>
        <w:t xml:space="preserve"> tillägg Z 07.01.1 FUNC 1 </w:t>
      </w:r>
      <w:r w:rsidR="005D5AB8" w:rsidRPr="005D5AB8">
        <w:rPr>
          <w:i/>
        </w:rPr>
        <w:t>Insättningar</w:t>
      </w:r>
      <w:r w:rsidR="005D5AB8" w:rsidRPr="005D5AB8" w:rsidDel="005D5AB8">
        <w:rPr>
          <w:i/>
        </w:rPr>
        <w:t xml:space="preserve"> </w:t>
      </w:r>
      <w:r>
        <w:rPr>
          <w:i/>
        </w:rPr>
        <w:t xml:space="preserve">. C0170; Z 07.01.2 FUNC 1 </w:t>
      </w:r>
      <w:r w:rsidR="005D5AB8">
        <w:rPr>
          <w:i/>
        </w:rPr>
        <w:t>Utlåning</w:t>
      </w:r>
      <w:r>
        <w:rPr>
          <w:i/>
        </w:rPr>
        <w:t xml:space="preserve">, c0180; Z 07.01.3 FUNC 1 PAY, c0250; Z 07.01.4 FUNC 1 </w:t>
      </w:r>
      <w:r w:rsidR="00E16021">
        <w:rPr>
          <w:i/>
        </w:rPr>
        <w:t>Kapitalmarknader</w:t>
      </w:r>
      <w:r>
        <w:rPr>
          <w:i/>
        </w:rPr>
        <w:t xml:space="preserve">, c0210; Z 07.01.5 FUNC 1 </w:t>
      </w:r>
      <w:r w:rsidR="000B3390" w:rsidRPr="000B3390">
        <w:rPr>
          <w:i/>
        </w:rPr>
        <w:t>Kapitalmarknadsfinansiering</w:t>
      </w:r>
      <w:r>
        <w:rPr>
          <w:i/>
        </w:rPr>
        <w:t xml:space="preserve">, </w:t>
      </w:r>
      <w:r>
        <w:rPr>
          <w:rFonts w:ascii="Times New Roman" w:hAnsi="Times New Roman" w:cs="Times New Roman"/>
        </w:rPr>
        <w:t>c0180 ska rapporteras i denna mall.</w:t>
      </w:r>
    </w:p>
    <w:p w14:paraId="7FE1C040" w14:textId="77777777" w:rsidR="0057131B" w:rsidRDefault="0057131B">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7131B"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57131B" w:rsidRDefault="00355A1C">
            <w:pPr>
              <w:pStyle w:val="P68B1DB1-TableParagraph17"/>
              <w:spacing w:before="108"/>
              <w:ind w:left="85"/>
              <w:jc w:val="both"/>
            </w:pPr>
            <w:r>
              <w:t>Kolumner</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57131B" w:rsidRDefault="00355A1C">
            <w:pPr>
              <w:pStyle w:val="P68B1DB1-TableParagraph17"/>
              <w:spacing w:before="108"/>
              <w:ind w:left="85" w:right="1"/>
              <w:jc w:val="both"/>
            </w:pPr>
            <w:r>
              <w:t>Anvisningar</w:t>
            </w:r>
          </w:p>
        </w:tc>
      </w:tr>
      <w:tr w:rsidR="0057131B"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57131B" w:rsidRDefault="00355A1C">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57131B" w:rsidRDefault="00355A1C">
            <w:pPr>
              <w:pStyle w:val="P68B1DB1-TableParagraph14"/>
              <w:spacing w:before="108"/>
              <w:ind w:left="85"/>
              <w:jc w:val="both"/>
              <w:rPr>
                <w:bCs/>
              </w:rPr>
            </w:pPr>
            <w:r>
              <w:t xml:space="preserve"> Kritisk funktion</w:t>
            </w:r>
          </w:p>
        </w:tc>
      </w:tr>
      <w:tr w:rsidR="0057131B"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57131B" w:rsidRDefault="00355A1C">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57131B" w:rsidRDefault="00355A1C">
            <w:pPr>
              <w:pStyle w:val="P68B1DB1-TableParagraph14"/>
              <w:spacing w:before="108"/>
              <w:ind w:left="85"/>
              <w:jc w:val="both"/>
              <w:rPr>
                <w:bCs/>
              </w:rPr>
            </w:pPr>
            <w:r>
              <w:t>Land</w:t>
            </w:r>
          </w:p>
          <w:p w14:paraId="7FE1C049" w14:textId="77777777" w:rsidR="0057131B" w:rsidRDefault="00355A1C">
            <w:pPr>
              <w:pStyle w:val="P68B1DB1-TableParagraph17"/>
              <w:spacing w:before="108"/>
              <w:ind w:left="85"/>
            </w:pPr>
            <w:r>
              <w:t>Landet för vilket funktionen är kritisk, enligt vad som redovisas i Z 07.01 (FUNC 1).</w:t>
            </w:r>
          </w:p>
        </w:tc>
      </w:tr>
      <w:tr w:rsidR="0057131B"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57131B" w:rsidRDefault="00355A1C">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57131B" w:rsidRDefault="00355A1C">
            <w:pPr>
              <w:pStyle w:val="P68B1DB1-TableParagraph14"/>
              <w:spacing w:before="108"/>
              <w:ind w:left="85"/>
              <w:jc w:val="both"/>
              <w:rPr>
                <w:bCs/>
              </w:rPr>
            </w:pPr>
            <w:r>
              <w:t>ID</w:t>
            </w:r>
          </w:p>
          <w:p w14:paraId="7FE1C04D" w14:textId="4D9D2A77" w:rsidR="0057131B" w:rsidRDefault="00355A1C">
            <w:pPr>
              <w:pStyle w:val="P68B1DB1-TableParagraph17"/>
              <w:spacing w:before="108"/>
              <w:ind w:left="85"/>
            </w:pPr>
            <w:r>
              <w:t>ID för de kritiska funktioner som avses i mall Z 07.01 (FUNC 1)</w:t>
            </w:r>
          </w:p>
        </w:tc>
      </w:tr>
      <w:tr w:rsidR="0057131B"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57131B" w:rsidRDefault="00355A1C">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57131B" w:rsidRDefault="00355A1C">
            <w:pPr>
              <w:pStyle w:val="P68B1DB1-TableParagraph14"/>
              <w:spacing w:before="108"/>
              <w:ind w:left="85"/>
              <w:jc w:val="both"/>
              <w:rPr>
                <w:bCs/>
              </w:rPr>
            </w:pPr>
            <w:r>
              <w:t>Centralt affärsområde</w:t>
            </w:r>
          </w:p>
        </w:tc>
      </w:tr>
      <w:tr w:rsidR="0057131B"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57131B" w:rsidRDefault="00355A1C">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57131B" w:rsidRDefault="00355A1C">
            <w:pPr>
              <w:pStyle w:val="P68B1DB1-TableParagraph14"/>
              <w:spacing w:before="108"/>
              <w:ind w:left="85"/>
              <w:jc w:val="both"/>
              <w:rPr>
                <w:bCs/>
              </w:rPr>
            </w:pPr>
            <w:r>
              <w:t>Centralt affärsområde</w:t>
            </w:r>
          </w:p>
          <w:p w14:paraId="7FE1C056" w14:textId="77777777" w:rsidR="0057131B" w:rsidRDefault="00355A1C">
            <w:pPr>
              <w:pStyle w:val="P68B1DB1-TableParagraph17"/>
              <w:spacing w:before="108"/>
              <w:ind w:left="85"/>
            </w:pPr>
            <w:r>
              <w:t>Kärnaffärsområden enligt artiklarna 2.1.36 och 2.2 i direktiv 2014/59/EU, enligt vad som redovisas i mall Z 07.03 (FUNC 3).</w:t>
            </w:r>
          </w:p>
        </w:tc>
      </w:tr>
      <w:tr w:rsidR="0057131B"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57131B" w:rsidRDefault="00355A1C">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57131B" w:rsidRDefault="00355A1C">
            <w:pPr>
              <w:pStyle w:val="P68B1DB1-TableParagraph14"/>
              <w:spacing w:before="108"/>
              <w:ind w:left="85"/>
              <w:jc w:val="both"/>
              <w:rPr>
                <w:bCs/>
              </w:rPr>
            </w:pPr>
            <w:r>
              <w:t>Affärsområde: Affärsområde-ID</w:t>
            </w:r>
          </w:p>
          <w:p w14:paraId="7FE1C05A" w14:textId="77777777" w:rsidR="0057131B" w:rsidRDefault="00355A1C">
            <w:pPr>
              <w:pStyle w:val="P68B1DB1-TableParagraph17"/>
              <w:spacing w:before="108"/>
              <w:ind w:left="85"/>
            </w:pPr>
            <w:r>
              <w:t>Affärsområdets unika ID som ska tillhandahållas av institutet, samma ID som redovisas i mall Z 07.03 (FUNC 3).</w:t>
            </w:r>
          </w:p>
        </w:tc>
      </w:tr>
    </w:tbl>
    <w:p w14:paraId="7FE1C222" w14:textId="77777777" w:rsidR="0057131B" w:rsidRDefault="0057131B">
      <w:pPr>
        <w:rPr>
          <w:rFonts w:ascii="Times New Roman" w:hAnsi="Times New Roman" w:cs="Times New Roman"/>
          <w:b/>
          <w:color w:val="000000" w:themeColor="text1"/>
          <w:sz w:val="20"/>
          <w:szCs w:val="20"/>
          <w:u w:val="single"/>
        </w:rPr>
      </w:pPr>
    </w:p>
    <w:p w14:paraId="7FE1C223" w14:textId="77777777" w:rsidR="0057131B" w:rsidRDefault="00355A1C">
      <w:pPr>
        <w:pStyle w:val="P68B1DB1-Instructionsberschrift244"/>
        <w:numPr>
          <w:ilvl w:val="1"/>
          <w:numId w:val="49"/>
        </w:numPr>
        <w:ind w:left="357" w:hanging="357"/>
      </w:pPr>
      <w:bookmarkStart w:id="125" w:name="_Toc210901301"/>
      <w:r>
        <w:lastRenderedPageBreak/>
        <w:t>Relevanta tjänster</w:t>
      </w:r>
      <w:bookmarkEnd w:id="125"/>
    </w:p>
    <w:p w14:paraId="7FE1C224" w14:textId="70045BAA" w:rsidR="0057131B" w:rsidRDefault="00355A1C">
      <w:pPr>
        <w:pStyle w:val="P68B1DB1-Instructionsberschrift25"/>
        <w:numPr>
          <w:ilvl w:val="1"/>
          <w:numId w:val="49"/>
        </w:numPr>
        <w:ind w:left="357" w:hanging="357"/>
        <w:rPr>
          <w:rFonts w:eastAsia="Calibri"/>
        </w:rPr>
      </w:pPr>
      <w:bookmarkStart w:id="126" w:name="_Toc210901302"/>
      <w:r>
        <w:t>Z 08.01 – Relevanta tjänster (SERV 1)</w:t>
      </w:r>
      <w:bookmarkEnd w:id="126"/>
      <w:r>
        <w:t xml:space="preserve"> </w:t>
      </w:r>
    </w:p>
    <w:p w14:paraId="7FE1C225" w14:textId="77777777" w:rsidR="0057131B" w:rsidRDefault="00355A1C">
      <w:pPr>
        <w:pStyle w:val="P68B1DB1-Normal45"/>
        <w:spacing w:line="276" w:lineRule="auto"/>
        <w:jc w:val="both"/>
      </w:pPr>
      <w:r>
        <w:t>II.8.1 Allmänna instruktioner</w:t>
      </w:r>
    </w:p>
    <w:p w14:paraId="7FE1C226" w14:textId="77777777" w:rsidR="0057131B" w:rsidRDefault="0057131B">
      <w:pPr>
        <w:spacing w:line="276" w:lineRule="auto"/>
        <w:jc w:val="both"/>
        <w:rPr>
          <w:rFonts w:ascii="Times New Roman" w:eastAsia="Calibri" w:hAnsi="Times New Roman" w:cs="Times New Roman"/>
          <w:sz w:val="20"/>
        </w:rPr>
      </w:pPr>
    </w:p>
    <w:p w14:paraId="7FE1C228" w14:textId="765604DB" w:rsidR="0057131B" w:rsidRDefault="00355A1C">
      <w:pPr>
        <w:pStyle w:val="P68B1DB1-Instructionsberschrift346"/>
        <w:numPr>
          <w:ilvl w:val="4"/>
          <w:numId w:val="49"/>
        </w:numPr>
        <w:ind w:left="928"/>
        <w:contextualSpacing/>
        <w:jc w:val="both"/>
        <w:rPr>
          <w:color w:val="auto"/>
        </w:rPr>
      </w:pPr>
      <w:r>
        <w:t xml:space="preserve">Informationen i denna mall ska redovisas en gång för hela koncernen, den ska innehålla en lista </w:t>
      </w:r>
      <w:r>
        <w:rPr>
          <w:color w:val="auto"/>
        </w:rPr>
        <w:t xml:space="preserve">över </w:t>
      </w:r>
      <w:r>
        <w:t>de kritiska tjänster som enheterna i koncernen har tagit emot och dessa ska kopplas till</w:t>
      </w:r>
      <w:r>
        <w:rPr>
          <w:color w:val="auto"/>
        </w:rPr>
        <w:t xml:space="preserve"> </w:t>
      </w:r>
      <w:r>
        <w:t xml:space="preserve">de kritiska funktioner som koncernen </w:t>
      </w:r>
      <w:r>
        <w:rPr>
          <w:color w:val="auto"/>
        </w:rPr>
        <w:t>tillhandahållit</w:t>
      </w:r>
      <w:r>
        <w:t>.</w:t>
      </w:r>
    </w:p>
    <w:p w14:paraId="7FE1C229" w14:textId="77777777" w:rsidR="0057131B" w:rsidRDefault="00355A1C">
      <w:pPr>
        <w:pStyle w:val="Instructionsberschrift3"/>
        <w:ind w:left="928"/>
        <w:contextualSpacing/>
        <w:jc w:val="both"/>
        <w:rPr>
          <w:rFonts w:eastAsia="MS Mincho"/>
          <w:color w:val="auto"/>
          <w:u w:val="none"/>
        </w:rPr>
      </w:pPr>
      <w:r>
        <w:rPr>
          <w:rFonts w:eastAsia="Calibri"/>
          <w:b/>
          <w:color w:val="auto"/>
          <w:u w:val="none"/>
        </w:rPr>
        <w:t>Relevanta tjänster</w:t>
      </w:r>
      <w:r>
        <w:rPr>
          <w:rStyle w:val="FootnoteReference"/>
          <w:rFonts w:ascii="Times New Roman" w:eastAsia="Calibri" w:hAnsi="Times New Roman"/>
          <w:color w:val="auto"/>
          <w:sz w:val="20"/>
          <w:szCs w:val="20"/>
          <w:u w:val="none"/>
        </w:rPr>
        <w:footnoteReference w:id="22"/>
      </w:r>
      <w:r>
        <w:rPr>
          <w:rFonts w:eastAsia="Calibri"/>
          <w:color w:val="auto"/>
          <w:u w:val="none"/>
        </w:rPr>
        <w:t>: kritiska och samhällsviktiga tjänster</w:t>
      </w:r>
    </w:p>
    <w:p w14:paraId="7FE1C22A" w14:textId="77777777" w:rsidR="0057131B" w:rsidRDefault="00355A1C">
      <w:pPr>
        <w:pStyle w:val="P68B1DB1-Instructionsberschrift347"/>
        <w:ind w:left="928"/>
        <w:contextualSpacing/>
        <w:jc w:val="both"/>
        <w:rPr>
          <w:rFonts w:eastAsia="MS Mincho"/>
        </w:rPr>
      </w:pPr>
      <w:r>
        <w:rPr>
          <w:rFonts w:eastAsia="Calibri"/>
          <w:b/>
        </w:rPr>
        <w:t>Kritiska tjänster</w:t>
      </w:r>
      <w:r>
        <w:footnoteReference w:id="23"/>
      </w:r>
      <w:r>
        <w:t>: tjänster som utförs för koncernaffärsenheter eller enheter i) vars avbrott allvarligt skulle hindra eller förhindra utförandet av en eller flera kritiska funktioner, och (ii) som inte kan tillhandahållas av en annan leverantör inom en rimlig tidsram i jämförbar utsträckning vad gäller syfte, kvalitet och pris.</w:t>
      </w:r>
    </w:p>
    <w:p w14:paraId="7FE1C22B" w14:textId="77777777" w:rsidR="0057131B" w:rsidRDefault="00355A1C">
      <w:pPr>
        <w:pStyle w:val="Instructionsberschrift3"/>
        <w:ind w:left="928"/>
        <w:contextualSpacing/>
        <w:jc w:val="both"/>
        <w:rPr>
          <w:rFonts w:eastAsia="MS Mincho"/>
          <w:color w:val="auto"/>
          <w:u w:val="none"/>
        </w:rPr>
      </w:pPr>
      <w:r>
        <w:rPr>
          <w:b/>
          <w:u w:val="none"/>
        </w:rPr>
        <w:t>Samhällsviktiga tjänster</w:t>
      </w:r>
      <w:r>
        <w:rPr>
          <w:u w:val="none"/>
        </w:rPr>
        <w:t>: Tjänster med anknytning till kärnaffärsområden</w:t>
      </w:r>
      <w:r>
        <w:rPr>
          <w:u w:val="none"/>
        </w:rPr>
        <w:footnoteReference w:id="24"/>
      </w:r>
      <w:r>
        <w:rPr>
          <w:u w:val="none"/>
        </w:rPr>
        <w:t>, vars kontinuitet är nödvändig för ett effektivt genomförande av resolutionsstrategin och varje efterföljande omstrukturering, i) vars avbrott allvarligt skulle hindra eller förhindra utförandet av dessa kärnaffärsområden, och (ii) som inte kan tillhandahållas av en annan leverantör inom en rimlig tidsram i jämförbar utsträckning vad gäller syfte, kvalitet och pris.</w:t>
      </w:r>
      <w:r>
        <w:rPr>
          <w:rStyle w:val="FootnoteReference"/>
          <w:rFonts w:ascii="Times New Roman" w:eastAsia="Calibri" w:hAnsi="Times New Roman"/>
          <w:color w:val="auto"/>
          <w:sz w:val="20"/>
          <w:szCs w:val="20"/>
          <w:u w:val="none"/>
        </w:rPr>
        <w:footnoteReference w:id="25"/>
      </w:r>
    </w:p>
    <w:p w14:paraId="7FE1C22C" w14:textId="5D0544C9" w:rsidR="0057131B" w:rsidRDefault="00355A1C">
      <w:pPr>
        <w:pStyle w:val="P68B1DB1-Instructionsberschrift348"/>
        <w:numPr>
          <w:ilvl w:val="4"/>
          <w:numId w:val="49"/>
        </w:numPr>
        <w:ind w:left="928"/>
        <w:contextualSpacing/>
        <w:jc w:val="both"/>
        <w:rPr>
          <w:color w:val="auto"/>
        </w:rPr>
      </w:pPr>
      <w:r>
        <w:rPr>
          <w:color w:val="auto"/>
        </w:rPr>
        <w:t xml:space="preserve">Enligt skäl 8 i kommissionens delegerade förordning (EU) 2016/778 som rör kritiska tjänster och som tillämpas analogt på samhällsviktiga tjänster enligt definitionen ovan, avses med relevanta tjänster </w:t>
      </w:r>
      <w:r>
        <w:t xml:space="preserve">de underliggande transaktioner, verksamheter och tjänster som utförs för en (särskilda) eller flera affärsenheter eller juridiska enheter (delade tjänster) inom koncernen och som behövs för att tillhandahålla en eller flera kritiska funktioner eller </w:t>
      </w:r>
      <w:r>
        <w:rPr>
          <w:color w:val="auto"/>
        </w:rPr>
        <w:t xml:space="preserve">centrala affärsområden. Relevanta </w:t>
      </w:r>
      <w:r>
        <w:t xml:space="preserve">tjänster kan utföras </w:t>
      </w:r>
      <w:r>
        <w:rPr>
          <w:color w:val="auto"/>
        </w:rPr>
        <w:t xml:space="preserve">av en affärsenhet till en annan affärsenhet inom samma juridiska person </w:t>
      </w:r>
      <w:r>
        <w:t>(</w:t>
      </w:r>
      <w:r>
        <w:rPr>
          <w:color w:val="auto"/>
        </w:rPr>
        <w:t>tjänster inom enheten),</w:t>
      </w:r>
      <w:r>
        <w:t xml:space="preserve"> av enheter inom gruppen (</w:t>
      </w:r>
      <w:r>
        <w:rPr>
          <w:color w:val="auto"/>
        </w:rPr>
        <w:t xml:space="preserve">koncerninterna </w:t>
      </w:r>
      <w:r>
        <w:t>tjänster)</w:t>
      </w:r>
      <w:r>
        <w:rPr>
          <w:color w:val="auto"/>
        </w:rPr>
        <w:t>eller</w:t>
      </w:r>
      <w:r>
        <w:t xml:space="preserve"> läggas ut på entreprenad till en extern leverantör (extern tjänst).</w:t>
      </w:r>
    </w:p>
    <w:p w14:paraId="7FE1C22D" w14:textId="2E2CBD58" w:rsidR="0057131B" w:rsidRDefault="00355A1C">
      <w:pPr>
        <w:pStyle w:val="P68B1DB1-Instructionsberschrift310"/>
        <w:numPr>
          <w:ilvl w:val="4"/>
          <w:numId w:val="49"/>
        </w:numPr>
        <w:ind w:left="928"/>
        <w:contextualSpacing/>
        <w:jc w:val="both"/>
        <w:rPr>
          <w:rFonts w:eastAsia="MS Mincho"/>
          <w:color w:val="auto"/>
        </w:rPr>
      </w:pPr>
      <w:r>
        <w:rPr>
          <w:rFonts w:eastAsia="MS Mincho"/>
        </w:rPr>
        <w:t>Alla fält gäller inte alla typer av tjänster (markeras i instruktionerna nedan). I så fall ska ”INTE TILLÄMPAS” anges i den relevanta cellen.</w:t>
      </w:r>
      <w:r>
        <w:t xml:space="preserve"> </w:t>
      </w:r>
    </w:p>
    <w:p w14:paraId="7FE1C22E" w14:textId="0568A925" w:rsidR="0057131B" w:rsidRDefault="00355A1C">
      <w:pPr>
        <w:pStyle w:val="P68B1DB1-Instructionsberschrift346"/>
        <w:numPr>
          <w:ilvl w:val="4"/>
          <w:numId w:val="49"/>
        </w:numPr>
        <w:ind w:left="928"/>
        <w:contextualSpacing/>
        <w:jc w:val="both"/>
        <w:rPr>
          <w:color w:val="auto"/>
        </w:rPr>
      </w:pPr>
      <w:r>
        <w:t>Kombinationen av värden som redovisas i kolumnerna 0010</w:t>
      </w:r>
      <w:r>
        <w:rPr>
          <w:color w:val="auto"/>
        </w:rPr>
        <w:t>, 0020, 0040, 0060 och 0130</w:t>
      </w:r>
      <w:r>
        <w:t xml:space="preserve"> i denna mall utgör en primärnyckel som måste vara unik för varje rad i mallen.</w:t>
      </w:r>
    </w:p>
    <w:p w14:paraId="7FE1C22F" w14:textId="77777777" w:rsidR="0057131B" w:rsidRDefault="0057131B">
      <w:pPr>
        <w:pStyle w:val="Instructionsberschrift3"/>
        <w:numPr>
          <w:ilvl w:val="0"/>
          <w:numId w:val="0"/>
        </w:numPr>
        <w:ind w:left="720"/>
      </w:pPr>
    </w:p>
    <w:p w14:paraId="7FE1C230" w14:textId="77777777" w:rsidR="0057131B" w:rsidRDefault="00355A1C">
      <w:pPr>
        <w:pStyle w:val="P68B1DB1-Instructionsberschrift312"/>
        <w:rPr>
          <w:bCs/>
        </w:rPr>
      </w:pPr>
      <w:r>
        <w:t>Instruktioner för specifika positioner</w:t>
      </w:r>
    </w:p>
    <w:p w14:paraId="7FE1C23F" w14:textId="77777777" w:rsidR="0057131B" w:rsidRDefault="0057131B">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57131B" w14:paraId="7FE1C242" w14:textId="77777777">
        <w:trPr>
          <w:trHeight w:val="808"/>
          <w:tblHeader/>
        </w:trPr>
        <w:tc>
          <w:tcPr>
            <w:tcW w:w="1129" w:type="dxa"/>
            <w:shd w:val="clear" w:color="auto" w:fill="E7E6E6"/>
          </w:tcPr>
          <w:p w14:paraId="7FE1C240" w14:textId="77777777" w:rsidR="0057131B" w:rsidRDefault="00355A1C">
            <w:pPr>
              <w:pStyle w:val="P68B1DB1-Normal49"/>
              <w:spacing w:before="120" w:after="120" w:line="276" w:lineRule="auto"/>
            </w:pPr>
            <w:r>
              <w:t>Kolumner</w:t>
            </w:r>
          </w:p>
        </w:tc>
        <w:tc>
          <w:tcPr>
            <w:tcW w:w="7938" w:type="dxa"/>
            <w:shd w:val="clear" w:color="auto" w:fill="E7E6E6"/>
          </w:tcPr>
          <w:p w14:paraId="7FE1C241" w14:textId="77777777" w:rsidR="0057131B" w:rsidRDefault="00355A1C">
            <w:pPr>
              <w:pStyle w:val="P68B1DB1-Normal49"/>
              <w:spacing w:before="120" w:after="120" w:line="276" w:lineRule="auto"/>
            </w:pPr>
            <w:r>
              <w:t>Anvisningar</w:t>
            </w:r>
          </w:p>
        </w:tc>
      </w:tr>
      <w:tr w:rsidR="0057131B" w14:paraId="7FE1C247" w14:textId="77777777">
        <w:trPr>
          <w:trHeight w:val="450"/>
        </w:trPr>
        <w:tc>
          <w:tcPr>
            <w:tcW w:w="1129" w:type="dxa"/>
            <w:shd w:val="clear" w:color="auto" w:fill="FFFFFF" w:themeFill="background1"/>
          </w:tcPr>
          <w:p w14:paraId="7FE1C243" w14:textId="77777777" w:rsidR="0057131B" w:rsidRDefault="00355A1C">
            <w:pPr>
              <w:pStyle w:val="P68B1DB1-Normal50"/>
              <w:spacing w:before="120" w:after="120" w:line="276" w:lineRule="auto"/>
            </w:pPr>
            <w:r>
              <w:t>0005</w:t>
            </w:r>
          </w:p>
        </w:tc>
        <w:tc>
          <w:tcPr>
            <w:tcW w:w="7938" w:type="dxa"/>
            <w:shd w:val="clear" w:color="auto" w:fill="FFFFFF" w:themeFill="background1"/>
          </w:tcPr>
          <w:p w14:paraId="7FE1C244" w14:textId="77777777" w:rsidR="0057131B" w:rsidRDefault="00355A1C">
            <w:pPr>
              <w:pStyle w:val="P68B1DB1-Normal49"/>
              <w:spacing w:before="120" w:after="120" w:line="276" w:lineRule="auto"/>
              <w:rPr>
                <w:bCs/>
              </w:rPr>
            </w:pPr>
            <w:r>
              <w:t>Service Identifier (tjänsteidentifierare)</w:t>
            </w:r>
          </w:p>
          <w:p w14:paraId="7FE1C245" w14:textId="77777777" w:rsidR="0057131B" w:rsidRDefault="00355A1C">
            <w:pPr>
              <w:pStyle w:val="P68B1DB1-Normal50"/>
              <w:spacing w:before="120" w:after="120" w:line="276" w:lineRule="auto"/>
              <w:rPr>
                <w:iCs/>
              </w:rPr>
            </w:pPr>
            <w:r>
              <w:lastRenderedPageBreak/>
              <w:t>Tjänstens identifieringskod avser den tjänst som rapporteras under c0020.</w:t>
            </w:r>
          </w:p>
          <w:p w14:paraId="7FE1C246" w14:textId="77777777" w:rsidR="0057131B" w:rsidRDefault="00355A1C">
            <w:pPr>
              <w:pStyle w:val="P68B1DB1-Normal51"/>
              <w:spacing w:before="120" w:after="120" w:line="276" w:lineRule="auto"/>
            </w:pPr>
            <w:r>
              <w:t>Figur eller fri text</w:t>
            </w:r>
          </w:p>
        </w:tc>
      </w:tr>
      <w:tr w:rsidR="0057131B" w14:paraId="7FE1C28C" w14:textId="77777777">
        <w:trPr>
          <w:trHeight w:val="463"/>
        </w:trPr>
        <w:tc>
          <w:tcPr>
            <w:tcW w:w="1129" w:type="dxa"/>
            <w:shd w:val="clear" w:color="auto" w:fill="FFFFFF" w:themeFill="background1"/>
          </w:tcPr>
          <w:p w14:paraId="7FE1C248" w14:textId="77777777" w:rsidR="0057131B" w:rsidRDefault="00355A1C">
            <w:pPr>
              <w:pStyle w:val="P68B1DB1-Normal50"/>
              <w:spacing w:before="120" w:after="120" w:line="276" w:lineRule="auto"/>
            </w:pPr>
            <w:r>
              <w:lastRenderedPageBreak/>
              <w:t>0010</w:t>
            </w:r>
          </w:p>
        </w:tc>
        <w:tc>
          <w:tcPr>
            <w:tcW w:w="7938" w:type="dxa"/>
            <w:shd w:val="clear" w:color="auto" w:fill="FFFFFF" w:themeFill="background1"/>
          </w:tcPr>
          <w:p w14:paraId="7FE1C249" w14:textId="77777777" w:rsidR="0057131B" w:rsidRDefault="00355A1C">
            <w:pPr>
              <w:pStyle w:val="P68B1DB1-Normal49"/>
              <w:autoSpaceDE w:val="0"/>
              <w:autoSpaceDN w:val="0"/>
              <w:adjustRightInd w:val="0"/>
              <w:rPr>
                <w:rFonts w:eastAsia="MS Mincho"/>
                <w:bCs/>
              </w:rPr>
            </w:pPr>
            <w:r>
              <w:t>Typ av tjänst</w:t>
            </w:r>
          </w:p>
          <w:p w14:paraId="7FE1C24A" w14:textId="77777777" w:rsidR="0057131B" w:rsidRDefault="00355A1C">
            <w:pPr>
              <w:pStyle w:val="P68B1DB1-Normal52"/>
              <w:autoSpaceDE w:val="0"/>
              <w:autoSpaceDN w:val="0"/>
              <w:adjustRightInd w:val="0"/>
            </w:pPr>
            <w:r>
              <w:t xml:space="preserve">Typen av tjänst ska vara en av de typer som listas nedan. </w:t>
            </w:r>
          </w:p>
          <w:p w14:paraId="7FE1C24B" w14:textId="77777777" w:rsidR="0057131B" w:rsidRDefault="00355A1C">
            <w:pPr>
              <w:pStyle w:val="P68B1DB1-Normal50"/>
              <w:spacing w:before="120" w:after="120" w:line="276" w:lineRule="auto"/>
            </w:pPr>
            <w:r>
              <w:t xml:space="preserve">När så är möjligt ska underkategorin redovisas (tvåsiffrig identifieringskod). Om det inte finns någon underkategori eller om ingen underkategori passar för den tjänst som institutet tillhandahåller ska huvudkategorin (ensiffrig identifieringskod) redovisas. </w:t>
            </w:r>
          </w:p>
          <w:p w14:paraId="5B37DFFD" w14:textId="2C2BBAE4" w:rsidR="0057131B" w:rsidRDefault="00355A1C">
            <w:pPr>
              <w:pStyle w:val="P68B1DB1-Normal52"/>
            </w:pPr>
            <w:r>
              <w:t xml:space="preserve">HR-support </w:t>
            </w:r>
          </w:p>
          <w:p w14:paraId="7DD533D5" w14:textId="73E47A6F" w:rsidR="0057131B" w:rsidRDefault="00355A1C">
            <w:pPr>
              <w:pStyle w:val="P68B1DB1-ListParagraph53"/>
              <w:numPr>
                <w:ilvl w:val="0"/>
                <w:numId w:val="288"/>
              </w:numPr>
              <w:autoSpaceDE w:val="0"/>
              <w:autoSpaceDN w:val="0"/>
              <w:adjustRightInd w:val="0"/>
              <w:ind w:left="1165"/>
            </w:pPr>
            <w:r>
              <w:t xml:space="preserve">Personaladministration, inklusive administrering av avtal och ersättning </w:t>
            </w:r>
          </w:p>
          <w:p w14:paraId="43AF548E" w14:textId="675245F6" w:rsidR="0057131B" w:rsidRDefault="00355A1C">
            <w:pPr>
              <w:pStyle w:val="P68B1DB1-ListParagraph53"/>
              <w:numPr>
                <w:ilvl w:val="0"/>
                <w:numId w:val="288"/>
              </w:numPr>
              <w:autoSpaceDE w:val="0"/>
              <w:autoSpaceDN w:val="0"/>
              <w:adjustRightInd w:val="0"/>
              <w:ind w:left="1165"/>
            </w:pPr>
            <w:r>
              <w:t>Intern kommunikation</w:t>
            </w:r>
          </w:p>
          <w:p w14:paraId="7FE1C250" w14:textId="1F903A05" w:rsidR="0057131B" w:rsidRDefault="00355A1C">
            <w:pPr>
              <w:pStyle w:val="P68B1DB1-ListParagraph53"/>
              <w:numPr>
                <w:ilvl w:val="0"/>
                <w:numId w:val="288"/>
              </w:numPr>
              <w:autoSpaceDE w:val="0"/>
              <w:autoSpaceDN w:val="0"/>
              <w:adjustRightInd w:val="0"/>
              <w:ind w:left="1165"/>
            </w:pPr>
            <w:r>
              <w:t>annan typ av personalstödtjänst</w:t>
            </w:r>
          </w:p>
          <w:p w14:paraId="7FE1C251" w14:textId="77777777" w:rsidR="0057131B" w:rsidRDefault="0057131B">
            <w:pPr>
              <w:autoSpaceDE w:val="0"/>
              <w:autoSpaceDN w:val="0"/>
              <w:adjustRightInd w:val="0"/>
              <w:ind w:left="708"/>
              <w:rPr>
                <w:rFonts w:ascii="Times New Roman" w:eastAsia="MS Mincho" w:hAnsi="Times New Roman" w:cs="Times New Roman"/>
                <w:sz w:val="20"/>
                <w:szCs w:val="20"/>
              </w:rPr>
            </w:pPr>
          </w:p>
          <w:p w14:paraId="7FE1C252" w14:textId="7A6979E5" w:rsidR="0057131B" w:rsidRDefault="00355A1C">
            <w:pPr>
              <w:pStyle w:val="P68B1DB1-Normal52"/>
              <w:autoSpaceDE w:val="0"/>
              <w:autoSpaceDN w:val="0"/>
              <w:adjustRightInd w:val="0"/>
            </w:pPr>
            <w:r>
              <w:t xml:space="preserve"> Informationsteknik </w:t>
            </w:r>
          </w:p>
          <w:p w14:paraId="7FE1C253" w14:textId="3B762F9E" w:rsidR="0057131B" w:rsidRDefault="00355A1C">
            <w:pPr>
              <w:pStyle w:val="P68B1DB1-ListParagraph53"/>
              <w:numPr>
                <w:ilvl w:val="1"/>
                <w:numId w:val="290"/>
              </w:numPr>
              <w:autoSpaceDE w:val="0"/>
              <w:autoSpaceDN w:val="0"/>
              <w:adjustRightInd w:val="0"/>
              <w:ind w:left="1449"/>
            </w:pPr>
            <w:r>
              <w:t xml:space="preserve">IT och kommunikationshårdvara </w:t>
            </w:r>
          </w:p>
          <w:p w14:paraId="7FE1C254" w14:textId="400D89C1" w:rsidR="0057131B" w:rsidRDefault="00355A1C">
            <w:pPr>
              <w:pStyle w:val="P68B1DB1-ListParagraph53"/>
              <w:numPr>
                <w:ilvl w:val="1"/>
                <w:numId w:val="290"/>
              </w:numPr>
              <w:autoSpaceDE w:val="0"/>
              <w:autoSpaceDN w:val="0"/>
              <w:adjustRightInd w:val="0"/>
              <w:ind w:left="1449"/>
            </w:pPr>
            <w:r>
              <w:t xml:space="preserve">Datalagring och databehandling </w:t>
            </w:r>
          </w:p>
          <w:p w14:paraId="7FE1C255" w14:textId="626A8448" w:rsidR="0057131B" w:rsidRDefault="00355A1C">
            <w:pPr>
              <w:pStyle w:val="P68B1DB1-ListParagraph53"/>
              <w:numPr>
                <w:ilvl w:val="1"/>
                <w:numId w:val="290"/>
              </w:numPr>
              <w:autoSpaceDE w:val="0"/>
              <w:autoSpaceDN w:val="0"/>
              <w:adjustRightInd w:val="0"/>
              <w:ind w:left="1449"/>
            </w:pPr>
            <w:r>
              <w:t xml:space="preserve">Övrig it-infrastruktur, arbetsstationer, telekommunikation, servrar, datacentraler och liknande tjänster </w:t>
            </w:r>
          </w:p>
          <w:p w14:paraId="7FE1C256" w14:textId="2B61AFD3" w:rsidR="0057131B" w:rsidRDefault="00355A1C">
            <w:pPr>
              <w:pStyle w:val="P68B1DB1-ListParagraph53"/>
              <w:numPr>
                <w:ilvl w:val="1"/>
                <w:numId w:val="290"/>
              </w:numPr>
              <w:autoSpaceDE w:val="0"/>
              <w:autoSpaceDN w:val="0"/>
              <w:adjustRightInd w:val="0"/>
              <w:ind w:left="1449"/>
            </w:pPr>
            <w:r>
              <w:t xml:space="preserve">Administration av mjukvarulicenser och applikationer </w:t>
            </w:r>
          </w:p>
          <w:p w14:paraId="7FE1C257" w14:textId="5DA2FA2E" w:rsidR="0057131B" w:rsidRDefault="00355A1C">
            <w:pPr>
              <w:pStyle w:val="P68B1DB1-ListParagraph53"/>
              <w:numPr>
                <w:ilvl w:val="1"/>
                <w:numId w:val="290"/>
              </w:numPr>
              <w:autoSpaceDE w:val="0"/>
              <w:autoSpaceDN w:val="0"/>
              <w:adjustRightInd w:val="0"/>
              <w:ind w:left="1449"/>
            </w:pPr>
            <w:r>
              <w:t xml:space="preserve">Tillgång till externa leverantörer, i synnerhet leverantörer av data och infrastruktur </w:t>
            </w:r>
          </w:p>
          <w:p w14:paraId="7FE1C258" w14:textId="5064B052" w:rsidR="0057131B" w:rsidRDefault="00355A1C">
            <w:pPr>
              <w:pStyle w:val="P68B1DB1-ListParagraph53"/>
              <w:numPr>
                <w:ilvl w:val="1"/>
                <w:numId w:val="290"/>
              </w:numPr>
              <w:autoSpaceDE w:val="0"/>
              <w:autoSpaceDN w:val="0"/>
              <w:adjustRightInd w:val="0"/>
              <w:ind w:left="1449"/>
            </w:pPr>
            <w:r>
              <w:t xml:space="preserve">Underhåll av applikationer, inklusive mjukvaruunderhåll och tillhörande dataflöden </w:t>
            </w:r>
          </w:p>
          <w:p w14:paraId="7FE1C259" w14:textId="41CD0C0F" w:rsidR="0057131B" w:rsidRDefault="00355A1C">
            <w:pPr>
              <w:pStyle w:val="P68B1DB1-ListParagraph53"/>
              <w:numPr>
                <w:ilvl w:val="1"/>
                <w:numId w:val="290"/>
              </w:numPr>
              <w:autoSpaceDE w:val="0"/>
              <w:autoSpaceDN w:val="0"/>
              <w:adjustRightInd w:val="0"/>
              <w:ind w:left="1449"/>
            </w:pPr>
            <w:r>
              <w:t xml:space="preserve">Rapportgenerering, interna informationsflöden och databaser </w:t>
            </w:r>
          </w:p>
          <w:p w14:paraId="7FE1C25A" w14:textId="72548638" w:rsidR="0057131B" w:rsidRDefault="00355A1C">
            <w:pPr>
              <w:pStyle w:val="P68B1DB1-ListParagraph53"/>
              <w:numPr>
                <w:ilvl w:val="1"/>
                <w:numId w:val="290"/>
              </w:numPr>
              <w:autoSpaceDE w:val="0"/>
              <w:autoSpaceDN w:val="0"/>
              <w:adjustRightInd w:val="0"/>
              <w:ind w:left="1449"/>
            </w:pPr>
            <w:r>
              <w:t xml:space="preserve">Användarstöd </w:t>
            </w:r>
          </w:p>
          <w:p w14:paraId="7FE1C25B" w14:textId="2FAE0C54" w:rsidR="0057131B" w:rsidRDefault="00355A1C">
            <w:pPr>
              <w:pStyle w:val="P68B1DB1-ListParagraph53"/>
              <w:numPr>
                <w:ilvl w:val="1"/>
                <w:numId w:val="290"/>
              </w:numPr>
              <w:autoSpaceDE w:val="0"/>
              <w:autoSpaceDN w:val="0"/>
              <w:adjustRightInd w:val="0"/>
              <w:ind w:left="1449"/>
            </w:pPr>
            <w:r>
              <w:t>Nöd- och katastrofåterställning</w:t>
            </w:r>
          </w:p>
          <w:p w14:paraId="7FE1C25C" w14:textId="431BC144" w:rsidR="0057131B" w:rsidRDefault="00355A1C">
            <w:pPr>
              <w:pStyle w:val="P68B1DB1-ListParagraph53"/>
              <w:numPr>
                <w:ilvl w:val="1"/>
                <w:numId w:val="290"/>
              </w:numPr>
              <w:autoSpaceDE w:val="0"/>
              <w:autoSpaceDN w:val="0"/>
              <w:adjustRightInd w:val="0"/>
              <w:ind w:left="1449"/>
            </w:pPr>
            <w:r>
              <w:t>annan typ av it-tjänst</w:t>
            </w:r>
          </w:p>
          <w:p w14:paraId="7FE1C25D" w14:textId="77777777" w:rsidR="0057131B" w:rsidRDefault="0057131B">
            <w:pPr>
              <w:autoSpaceDE w:val="0"/>
              <w:autoSpaceDN w:val="0"/>
              <w:adjustRightInd w:val="0"/>
              <w:rPr>
                <w:rFonts w:ascii="Times New Roman" w:eastAsia="MS Mincho" w:hAnsi="Times New Roman" w:cs="Times New Roman"/>
                <w:sz w:val="20"/>
                <w:szCs w:val="20"/>
              </w:rPr>
            </w:pPr>
          </w:p>
          <w:p w14:paraId="7FE1C25E" w14:textId="1AD223E0" w:rsidR="0057131B" w:rsidRDefault="00355A1C">
            <w:pPr>
              <w:pStyle w:val="P68B1DB1-Normal52"/>
              <w:autoSpaceDE w:val="0"/>
              <w:autoSpaceDN w:val="0"/>
              <w:adjustRightInd w:val="0"/>
            </w:pPr>
            <w:r>
              <w:t xml:space="preserve">Transaktionsbearbetning, inklusive rättsliga transaktionsärenden, i synnerhet penningtvätt. </w:t>
            </w:r>
          </w:p>
          <w:p w14:paraId="7FE1C25F" w14:textId="77777777" w:rsidR="0057131B" w:rsidRDefault="0057131B">
            <w:pPr>
              <w:autoSpaceDE w:val="0"/>
              <w:autoSpaceDN w:val="0"/>
              <w:adjustRightInd w:val="0"/>
              <w:rPr>
                <w:rFonts w:ascii="Times New Roman" w:eastAsia="MS Mincho" w:hAnsi="Times New Roman" w:cs="Times New Roman"/>
                <w:sz w:val="20"/>
                <w:szCs w:val="20"/>
              </w:rPr>
            </w:pPr>
          </w:p>
          <w:p w14:paraId="7FE1C260" w14:textId="0AB6F782" w:rsidR="0057131B" w:rsidRDefault="00355A1C">
            <w:pPr>
              <w:pStyle w:val="P68B1DB1-Normal52"/>
              <w:autoSpaceDE w:val="0"/>
              <w:autoSpaceDN w:val="0"/>
              <w:adjustRightInd w:val="0"/>
            </w:pPr>
            <w:bookmarkStart w:id="127" w:name="_Hlk191374143"/>
            <w:r>
              <w:t>Tillhandahållande av fastigheter och lokaler eller drift och tillhörande lokaler</w:t>
            </w:r>
            <w:bookmarkEnd w:id="127"/>
            <w:r>
              <w:t xml:space="preserve"> </w:t>
            </w:r>
          </w:p>
          <w:p w14:paraId="7FE1C261" w14:textId="62999FEF" w:rsidR="0057131B" w:rsidRDefault="00355A1C">
            <w:pPr>
              <w:pStyle w:val="P68B1DB1-ListParagraph53"/>
              <w:numPr>
                <w:ilvl w:val="0"/>
                <w:numId w:val="291"/>
              </w:numPr>
              <w:autoSpaceDE w:val="0"/>
              <w:autoSpaceDN w:val="0"/>
              <w:adjustRightInd w:val="0"/>
            </w:pPr>
            <w:r>
              <w:t xml:space="preserve">Kontorslokaler och förvaring </w:t>
            </w:r>
          </w:p>
          <w:p w14:paraId="7FE1C262" w14:textId="3A997023" w:rsidR="0057131B" w:rsidRDefault="00355A1C">
            <w:pPr>
              <w:pStyle w:val="P68B1DB1-ListParagraph53"/>
              <w:numPr>
                <w:ilvl w:val="0"/>
                <w:numId w:val="291"/>
              </w:numPr>
              <w:autoSpaceDE w:val="0"/>
              <w:autoSpaceDN w:val="0"/>
              <w:adjustRightInd w:val="0"/>
            </w:pPr>
            <w:r>
              <w:t xml:space="preserve">Intern lokaldrift </w:t>
            </w:r>
          </w:p>
          <w:p w14:paraId="7FE1C263" w14:textId="2B6FC02A" w:rsidR="0057131B" w:rsidRDefault="00355A1C">
            <w:pPr>
              <w:pStyle w:val="P68B1DB1-ListParagraph53"/>
              <w:numPr>
                <w:ilvl w:val="0"/>
                <w:numId w:val="291"/>
              </w:numPr>
              <w:autoSpaceDE w:val="0"/>
              <w:autoSpaceDN w:val="0"/>
              <w:adjustRightInd w:val="0"/>
            </w:pPr>
            <w:r>
              <w:t xml:space="preserve">Säkerhet och åtkomsträttigheter </w:t>
            </w:r>
          </w:p>
          <w:p w14:paraId="7FE1C264" w14:textId="792BCFBD" w:rsidR="0057131B" w:rsidRDefault="00355A1C">
            <w:pPr>
              <w:pStyle w:val="P68B1DB1-ListParagraph53"/>
              <w:numPr>
                <w:ilvl w:val="0"/>
                <w:numId w:val="291"/>
              </w:numPr>
              <w:autoSpaceDE w:val="0"/>
              <w:autoSpaceDN w:val="0"/>
              <w:adjustRightInd w:val="0"/>
            </w:pPr>
            <w:r>
              <w:t xml:space="preserve">Fastighetsportföljsförvaltning </w:t>
            </w:r>
          </w:p>
          <w:p w14:paraId="7FE1C265" w14:textId="52ACD32B" w:rsidR="0057131B" w:rsidRDefault="00355A1C">
            <w:pPr>
              <w:pStyle w:val="P68B1DB1-ListParagraph53"/>
              <w:numPr>
                <w:ilvl w:val="0"/>
                <w:numId w:val="291"/>
              </w:numPr>
              <w:autoSpaceDE w:val="0"/>
              <w:autoSpaceDN w:val="0"/>
              <w:adjustRightInd w:val="0"/>
            </w:pPr>
            <w:r>
              <w:t>annan typ av tillhandahållande eller förvaltning av fastigheter och anläggningar och tillhörande faciliteter</w:t>
            </w:r>
          </w:p>
          <w:p w14:paraId="7FE1C266" w14:textId="77777777" w:rsidR="0057131B" w:rsidRDefault="0057131B">
            <w:pPr>
              <w:autoSpaceDE w:val="0"/>
              <w:autoSpaceDN w:val="0"/>
              <w:adjustRightInd w:val="0"/>
              <w:rPr>
                <w:rFonts w:ascii="Times New Roman" w:eastAsia="MS Mincho" w:hAnsi="Times New Roman" w:cs="Times New Roman"/>
                <w:sz w:val="20"/>
                <w:szCs w:val="20"/>
              </w:rPr>
            </w:pPr>
          </w:p>
          <w:p w14:paraId="7FE1C267" w14:textId="4B2E0CD6" w:rsidR="0057131B" w:rsidRDefault="00355A1C">
            <w:pPr>
              <w:pStyle w:val="P68B1DB1-Normal52"/>
              <w:autoSpaceDE w:val="0"/>
              <w:autoSpaceDN w:val="0"/>
              <w:adjustRightInd w:val="0"/>
            </w:pPr>
            <w:r>
              <w:t xml:space="preserve">Rättstjänster och efterlevnadsfunktioner: </w:t>
            </w:r>
          </w:p>
          <w:p w14:paraId="7FE1C268" w14:textId="40AF3D04" w:rsidR="0057131B" w:rsidRDefault="00355A1C">
            <w:pPr>
              <w:pStyle w:val="P68B1DB1-ListParagraph53"/>
              <w:numPr>
                <w:ilvl w:val="0"/>
                <w:numId w:val="292"/>
              </w:numPr>
              <w:autoSpaceDE w:val="0"/>
              <w:autoSpaceDN w:val="0"/>
              <w:adjustRightInd w:val="0"/>
            </w:pPr>
            <w:r>
              <w:t xml:space="preserve">Rättsligt företagssupport </w:t>
            </w:r>
          </w:p>
          <w:p w14:paraId="7FE1C269" w14:textId="1DC4A30A" w:rsidR="0057131B" w:rsidRDefault="00355A1C">
            <w:pPr>
              <w:pStyle w:val="P68B1DB1-ListParagraph53"/>
              <w:numPr>
                <w:ilvl w:val="0"/>
                <w:numId w:val="292"/>
              </w:numPr>
              <w:autoSpaceDE w:val="0"/>
              <w:autoSpaceDN w:val="0"/>
              <w:adjustRightInd w:val="0"/>
            </w:pPr>
            <w:r>
              <w:t xml:space="preserve">Affärs- och transaktionsbaserade rättsliga tjänster </w:t>
            </w:r>
          </w:p>
          <w:p w14:paraId="7FE1C26A" w14:textId="1BAF6F48" w:rsidR="0057131B" w:rsidRDefault="00355A1C">
            <w:pPr>
              <w:pStyle w:val="P68B1DB1-ListParagraph53"/>
              <w:numPr>
                <w:ilvl w:val="0"/>
                <w:numId w:val="292"/>
              </w:numPr>
              <w:autoSpaceDE w:val="0"/>
              <w:autoSpaceDN w:val="0"/>
              <w:adjustRightInd w:val="0"/>
            </w:pPr>
            <w:r>
              <w:t xml:space="preserve">Efterlevnadssupport </w:t>
            </w:r>
          </w:p>
          <w:p w14:paraId="7FE1C26B" w14:textId="344CDCEC" w:rsidR="0057131B" w:rsidRDefault="00355A1C">
            <w:pPr>
              <w:pStyle w:val="P68B1DB1-ListParagraph53"/>
              <w:numPr>
                <w:ilvl w:val="0"/>
                <w:numId w:val="292"/>
              </w:numPr>
              <w:autoSpaceDE w:val="0"/>
              <w:autoSpaceDN w:val="0"/>
              <w:adjustRightInd w:val="0"/>
            </w:pPr>
            <w:r>
              <w:t>andra juridiska tjänster och typ av regelefterlevnadsfunktion</w:t>
            </w:r>
          </w:p>
          <w:p w14:paraId="7FE1C26C" w14:textId="77777777" w:rsidR="0057131B" w:rsidRDefault="0057131B">
            <w:pPr>
              <w:autoSpaceDE w:val="0"/>
              <w:autoSpaceDN w:val="0"/>
              <w:adjustRightInd w:val="0"/>
              <w:ind w:left="708"/>
              <w:rPr>
                <w:rFonts w:ascii="Times New Roman" w:eastAsia="MS Mincho" w:hAnsi="Times New Roman" w:cs="Times New Roman"/>
                <w:sz w:val="20"/>
                <w:szCs w:val="20"/>
              </w:rPr>
            </w:pPr>
          </w:p>
          <w:p w14:paraId="7FE1C26D" w14:textId="03C41351" w:rsidR="0057131B" w:rsidRDefault="00355A1C">
            <w:pPr>
              <w:pStyle w:val="P68B1DB1-Normal52"/>
              <w:autoSpaceDE w:val="0"/>
              <w:autoSpaceDN w:val="0"/>
              <w:adjustRightInd w:val="0"/>
            </w:pPr>
            <w:r>
              <w:t xml:space="preserve">Kassarelaterade tjänster </w:t>
            </w:r>
          </w:p>
          <w:p w14:paraId="7FE1C26E" w14:textId="1425CC24" w:rsidR="0057131B" w:rsidRDefault="00355A1C">
            <w:pPr>
              <w:pStyle w:val="P68B1DB1-ListParagraph53"/>
              <w:numPr>
                <w:ilvl w:val="0"/>
                <w:numId w:val="293"/>
              </w:numPr>
              <w:autoSpaceDE w:val="0"/>
              <w:autoSpaceDN w:val="0"/>
              <w:adjustRightInd w:val="0"/>
            </w:pPr>
            <w:r>
              <w:t xml:space="preserve">Samordning, administrering och förvaltning av kassan </w:t>
            </w:r>
          </w:p>
          <w:p w14:paraId="7FE1C26F" w14:textId="09154006" w:rsidR="0057131B" w:rsidRDefault="00355A1C">
            <w:pPr>
              <w:pStyle w:val="P68B1DB1-ListParagraph53"/>
              <w:numPr>
                <w:ilvl w:val="0"/>
                <w:numId w:val="293"/>
              </w:numPr>
              <w:autoSpaceDE w:val="0"/>
              <w:autoSpaceDN w:val="0"/>
              <w:adjustRightInd w:val="0"/>
            </w:pPr>
            <w:r>
              <w:t xml:space="preserve">Samordning, administrering och förvaltning av enhetens refinansiering, inklusive säkerhetsförvaltning </w:t>
            </w:r>
          </w:p>
          <w:p w14:paraId="7FE1C270" w14:textId="0F45C979" w:rsidR="0057131B" w:rsidRDefault="00355A1C">
            <w:pPr>
              <w:pStyle w:val="P68B1DB1-ListParagraph53"/>
              <w:numPr>
                <w:ilvl w:val="0"/>
                <w:numId w:val="293"/>
              </w:numPr>
              <w:autoSpaceDE w:val="0"/>
              <w:autoSpaceDN w:val="0"/>
              <w:adjustRightInd w:val="0"/>
            </w:pPr>
            <w:r>
              <w:t xml:space="preserve">Redovisningsfunktion, i synnerhet när det gäller likviditetskvoter för tillsynsändamål </w:t>
            </w:r>
          </w:p>
          <w:p w14:paraId="7FE1C271" w14:textId="034EEFA4" w:rsidR="0057131B" w:rsidRDefault="00355A1C">
            <w:pPr>
              <w:pStyle w:val="P68B1DB1-ListParagraph53"/>
              <w:numPr>
                <w:ilvl w:val="0"/>
                <w:numId w:val="293"/>
              </w:numPr>
              <w:autoSpaceDE w:val="0"/>
              <w:autoSpaceDN w:val="0"/>
              <w:adjustRightInd w:val="0"/>
            </w:pPr>
            <w:r>
              <w:t xml:space="preserve">Samordning, administrering och förvaltning av medel- och långfristiga finansieringsprogram, samt refinansiering av koncernenheter </w:t>
            </w:r>
          </w:p>
          <w:p w14:paraId="7FE1C272" w14:textId="064C2167" w:rsidR="0057131B" w:rsidRDefault="00355A1C">
            <w:pPr>
              <w:pStyle w:val="P68B1DB1-ListParagraph53"/>
              <w:numPr>
                <w:ilvl w:val="0"/>
                <w:numId w:val="293"/>
              </w:numPr>
              <w:autoSpaceDE w:val="0"/>
              <w:autoSpaceDN w:val="0"/>
              <w:adjustRightInd w:val="0"/>
            </w:pPr>
            <w:r>
              <w:lastRenderedPageBreak/>
              <w:t>Samordning, administrering och förvaltning av refinansiering, i synnerhet kortfristig</w:t>
            </w:r>
          </w:p>
          <w:p w14:paraId="7FE1C273" w14:textId="31AA1016" w:rsidR="0057131B" w:rsidRDefault="00355A1C">
            <w:pPr>
              <w:pStyle w:val="P68B1DB1-ListParagraph53"/>
              <w:numPr>
                <w:ilvl w:val="0"/>
                <w:numId w:val="293"/>
              </w:numPr>
              <w:autoSpaceDE w:val="0"/>
              <w:autoSpaceDN w:val="0"/>
              <w:adjustRightInd w:val="0"/>
            </w:pPr>
            <w:r>
              <w:t>annan typ av skatterelaterad tjänst</w:t>
            </w:r>
          </w:p>
          <w:p w14:paraId="7FE1C274" w14:textId="77777777" w:rsidR="0057131B" w:rsidRDefault="0057131B">
            <w:pPr>
              <w:autoSpaceDE w:val="0"/>
              <w:autoSpaceDN w:val="0"/>
              <w:adjustRightInd w:val="0"/>
              <w:rPr>
                <w:rFonts w:ascii="Times New Roman" w:eastAsia="MS Mincho" w:hAnsi="Times New Roman" w:cs="Times New Roman"/>
                <w:sz w:val="20"/>
                <w:szCs w:val="20"/>
              </w:rPr>
            </w:pPr>
          </w:p>
          <w:p w14:paraId="7FE1C275" w14:textId="6437F825" w:rsidR="0057131B" w:rsidRDefault="00355A1C">
            <w:pPr>
              <w:pStyle w:val="P68B1DB1-Normal52"/>
              <w:autoSpaceDE w:val="0"/>
              <w:autoSpaceDN w:val="0"/>
              <w:adjustRightInd w:val="0"/>
            </w:pPr>
            <w:r>
              <w:t xml:space="preserve">Handel/förvaltning av tillgångar </w:t>
            </w:r>
          </w:p>
          <w:p w14:paraId="7FE1C276" w14:textId="52377E11" w:rsidR="0057131B" w:rsidRDefault="00355A1C">
            <w:pPr>
              <w:pStyle w:val="P68B1DB1-ListParagraph53"/>
              <w:numPr>
                <w:ilvl w:val="0"/>
                <w:numId w:val="294"/>
              </w:numPr>
              <w:autoSpaceDE w:val="0"/>
              <w:autoSpaceDN w:val="0"/>
              <w:adjustRightInd w:val="0"/>
            </w:pPr>
            <w:r>
              <w:t xml:space="preserve">Beredning: upprättande och utförande av handel samt design och underhåll av handelsprodukter </w:t>
            </w:r>
          </w:p>
          <w:p w14:paraId="7FE1C277" w14:textId="35EC336F" w:rsidR="0057131B" w:rsidRDefault="00355A1C">
            <w:pPr>
              <w:pStyle w:val="P68B1DB1-ListParagraph53"/>
              <w:numPr>
                <w:ilvl w:val="0"/>
                <w:numId w:val="294"/>
              </w:numPr>
              <w:autoSpaceDE w:val="0"/>
              <w:autoSpaceDN w:val="0"/>
              <w:adjustRightInd w:val="0"/>
            </w:pPr>
            <w:r>
              <w:t xml:space="preserve">Bekräftelse, värdepappersavveckling och betalning </w:t>
            </w:r>
          </w:p>
          <w:p w14:paraId="7FE1C278" w14:textId="417DFA52" w:rsidR="0057131B" w:rsidRDefault="00355A1C">
            <w:pPr>
              <w:pStyle w:val="P68B1DB1-ListParagraph53"/>
              <w:numPr>
                <w:ilvl w:val="0"/>
                <w:numId w:val="294"/>
              </w:numPr>
              <w:autoSpaceDE w:val="0"/>
              <w:autoSpaceDN w:val="0"/>
              <w:adjustRightInd w:val="0"/>
            </w:pPr>
            <w:r>
              <w:t xml:space="preserve">Hantering av positioner och motparter, när det gäller dataredovisning och motpartsrelationer </w:t>
            </w:r>
          </w:p>
          <w:p w14:paraId="7FE1C279" w14:textId="18F90331" w:rsidR="0057131B" w:rsidRDefault="00355A1C">
            <w:pPr>
              <w:pStyle w:val="P68B1DB1-ListParagraph53"/>
              <w:numPr>
                <w:ilvl w:val="0"/>
                <w:numId w:val="294"/>
              </w:numPr>
              <w:autoSpaceDE w:val="0"/>
              <w:autoSpaceDN w:val="0"/>
              <w:adjustRightInd w:val="0"/>
            </w:pPr>
            <w:r>
              <w:t xml:space="preserve">Positionshantering (risk och avstämning) </w:t>
            </w:r>
          </w:p>
          <w:p w14:paraId="7FE1C27A" w14:textId="23FC3BC1" w:rsidR="0057131B" w:rsidRDefault="00355A1C">
            <w:pPr>
              <w:pStyle w:val="P68B1DB1-ListParagraph53"/>
              <w:numPr>
                <w:ilvl w:val="0"/>
                <w:numId w:val="294"/>
              </w:numPr>
              <w:autoSpaceDE w:val="0"/>
              <w:autoSpaceDN w:val="0"/>
              <w:adjustRightInd w:val="0"/>
            </w:pPr>
            <w:r>
              <w:t>annan typ av handelstjänst/tillgångsförvaltningstjänst</w:t>
            </w:r>
          </w:p>
          <w:p w14:paraId="7FE1C27B" w14:textId="77777777" w:rsidR="0057131B" w:rsidRDefault="0057131B">
            <w:pPr>
              <w:autoSpaceDE w:val="0"/>
              <w:autoSpaceDN w:val="0"/>
              <w:adjustRightInd w:val="0"/>
              <w:ind w:left="708"/>
              <w:rPr>
                <w:rFonts w:ascii="Times New Roman" w:eastAsia="MS Mincho" w:hAnsi="Times New Roman" w:cs="Times New Roman"/>
                <w:sz w:val="20"/>
                <w:szCs w:val="20"/>
              </w:rPr>
            </w:pPr>
          </w:p>
          <w:p w14:paraId="7FE1C27C" w14:textId="1E8D237F" w:rsidR="0057131B" w:rsidRDefault="00355A1C">
            <w:pPr>
              <w:pStyle w:val="P68B1DB1-Normal52"/>
              <w:autoSpaceDE w:val="0"/>
              <w:autoSpaceDN w:val="0"/>
              <w:adjustRightInd w:val="0"/>
            </w:pPr>
            <w:r>
              <w:t xml:space="preserve">Riskhantering och riskvärdering </w:t>
            </w:r>
          </w:p>
          <w:p w14:paraId="7FE1C27D" w14:textId="27978472" w:rsidR="0057131B" w:rsidRDefault="00355A1C">
            <w:pPr>
              <w:pStyle w:val="P68B1DB1-ListParagraph53"/>
              <w:numPr>
                <w:ilvl w:val="0"/>
                <w:numId w:val="295"/>
              </w:numPr>
              <w:autoSpaceDE w:val="0"/>
              <w:autoSpaceDN w:val="0"/>
              <w:adjustRightInd w:val="0"/>
            </w:pPr>
            <w:r>
              <w:t>Riskhantering, central, affärsområdesrelaterad eller risktyprelaterad</w:t>
            </w:r>
          </w:p>
          <w:p w14:paraId="7FE1C27E" w14:textId="7AC0E3ED" w:rsidR="0057131B" w:rsidRDefault="00355A1C">
            <w:pPr>
              <w:pStyle w:val="P68B1DB1-ListParagraph53"/>
              <w:numPr>
                <w:ilvl w:val="0"/>
                <w:numId w:val="295"/>
              </w:numPr>
              <w:autoSpaceDE w:val="0"/>
              <w:autoSpaceDN w:val="0"/>
              <w:adjustRightInd w:val="0"/>
            </w:pPr>
            <w:r>
              <w:t xml:space="preserve">Riskredovisningsgenerering </w:t>
            </w:r>
          </w:p>
          <w:p w14:paraId="7FE1C27F" w14:textId="54F4E51F" w:rsidR="0057131B" w:rsidRDefault="00355A1C">
            <w:pPr>
              <w:pStyle w:val="P68B1DB1-ListParagraph53"/>
              <w:numPr>
                <w:ilvl w:val="0"/>
                <w:numId w:val="295"/>
              </w:numPr>
              <w:autoSpaceDE w:val="0"/>
              <w:autoSpaceDN w:val="0"/>
              <w:adjustRightInd w:val="0"/>
            </w:pPr>
            <w:r>
              <w:t>annan typ av riskhanterings- och värderingstjänst</w:t>
            </w:r>
          </w:p>
          <w:p w14:paraId="7FE1C280" w14:textId="77777777" w:rsidR="0057131B" w:rsidRDefault="0057131B">
            <w:pPr>
              <w:autoSpaceDE w:val="0"/>
              <w:autoSpaceDN w:val="0"/>
              <w:adjustRightInd w:val="0"/>
              <w:rPr>
                <w:rFonts w:ascii="Times New Roman" w:eastAsia="MS Mincho" w:hAnsi="Times New Roman" w:cs="Times New Roman"/>
                <w:sz w:val="20"/>
                <w:szCs w:val="20"/>
              </w:rPr>
            </w:pPr>
          </w:p>
          <w:p w14:paraId="7FE1C281" w14:textId="5206B100" w:rsidR="0057131B" w:rsidRDefault="00355A1C">
            <w:pPr>
              <w:pStyle w:val="P68B1DB1-Normal52"/>
              <w:autoSpaceDE w:val="0"/>
              <w:autoSpaceDN w:val="0"/>
              <w:adjustRightInd w:val="0"/>
            </w:pPr>
            <w:r>
              <w:t xml:space="preserve">Räkenskaper </w:t>
            </w:r>
          </w:p>
          <w:p w14:paraId="7FE1C282" w14:textId="65C12590" w:rsidR="0057131B" w:rsidRDefault="00355A1C">
            <w:pPr>
              <w:pStyle w:val="P68B1DB1-ListParagraph53"/>
              <w:numPr>
                <w:ilvl w:val="0"/>
                <w:numId w:val="296"/>
              </w:numPr>
              <w:autoSpaceDE w:val="0"/>
              <w:autoSpaceDN w:val="0"/>
              <w:adjustRightInd w:val="0"/>
            </w:pPr>
            <w:r>
              <w:t xml:space="preserve">Lagstadgad redovisning och tillsynsredovisning </w:t>
            </w:r>
          </w:p>
          <w:p w14:paraId="7FE1C283" w14:textId="3DCAF9FA" w:rsidR="0057131B" w:rsidRDefault="00355A1C">
            <w:pPr>
              <w:pStyle w:val="P68B1DB1-ListParagraph53"/>
              <w:numPr>
                <w:ilvl w:val="0"/>
                <w:numId w:val="296"/>
              </w:numPr>
              <w:autoSpaceDE w:val="0"/>
              <w:autoSpaceDN w:val="0"/>
              <w:adjustRightInd w:val="0"/>
            </w:pPr>
            <w:r>
              <w:t xml:space="preserve">Värdering, i synnerhet av marknadspositioner </w:t>
            </w:r>
          </w:p>
          <w:p w14:paraId="7FE1C284" w14:textId="2EE4BE8B" w:rsidR="0057131B" w:rsidRDefault="00355A1C">
            <w:pPr>
              <w:pStyle w:val="P68B1DB1-ListParagraph53"/>
              <w:numPr>
                <w:ilvl w:val="0"/>
                <w:numId w:val="296"/>
              </w:numPr>
              <w:autoSpaceDE w:val="0"/>
              <w:autoSpaceDN w:val="0"/>
              <w:adjustRightInd w:val="0"/>
            </w:pPr>
            <w:r>
              <w:t xml:space="preserve">Förvaltningsrapporter </w:t>
            </w:r>
          </w:p>
          <w:p w14:paraId="7FE1C285" w14:textId="186EA25B" w:rsidR="0057131B" w:rsidRDefault="00355A1C">
            <w:pPr>
              <w:pStyle w:val="P68B1DB1-ListParagraph53"/>
              <w:numPr>
                <w:ilvl w:val="0"/>
                <w:numId w:val="296"/>
              </w:numPr>
              <w:autoSpaceDE w:val="0"/>
              <w:autoSpaceDN w:val="0"/>
              <w:adjustRightInd w:val="0"/>
            </w:pPr>
            <w:r>
              <w:t>annan typ av redovisningstjänster</w:t>
            </w:r>
          </w:p>
          <w:p w14:paraId="7FE1C286" w14:textId="77777777" w:rsidR="0057131B" w:rsidRDefault="0057131B">
            <w:pPr>
              <w:autoSpaceDE w:val="0"/>
              <w:autoSpaceDN w:val="0"/>
              <w:adjustRightInd w:val="0"/>
              <w:ind w:left="708"/>
              <w:rPr>
                <w:rFonts w:ascii="Times New Roman" w:eastAsia="MS Mincho" w:hAnsi="Times New Roman" w:cs="Times New Roman"/>
                <w:sz w:val="20"/>
                <w:szCs w:val="20"/>
              </w:rPr>
            </w:pPr>
          </w:p>
          <w:p w14:paraId="7FE1C287" w14:textId="675737F3" w:rsidR="0057131B" w:rsidRDefault="00355A1C">
            <w:pPr>
              <w:pStyle w:val="P68B1DB1-Normal54"/>
              <w:autoSpaceDE w:val="0"/>
              <w:autoSpaceDN w:val="0"/>
              <w:adjustRightInd w:val="0"/>
              <w:rPr>
                <w:sz w:val="24"/>
              </w:rPr>
            </w:pPr>
            <w:r>
              <w:rPr>
                <w:sz w:val="20"/>
              </w:rPr>
              <w:t>Kontanthantering</w:t>
            </w:r>
            <w:r>
              <w:rPr>
                <w:sz w:val="24"/>
              </w:rPr>
              <w:t xml:space="preserve"> </w:t>
            </w:r>
          </w:p>
          <w:p w14:paraId="7FE1C288" w14:textId="77777777" w:rsidR="0057131B" w:rsidRDefault="0057131B">
            <w:pPr>
              <w:autoSpaceDE w:val="0"/>
              <w:autoSpaceDN w:val="0"/>
              <w:adjustRightInd w:val="0"/>
              <w:rPr>
                <w:rFonts w:ascii="Times New Roman" w:eastAsia="MS Mincho" w:hAnsi="Times New Roman" w:cs="Times New Roman"/>
                <w:sz w:val="24"/>
                <w:szCs w:val="20"/>
              </w:rPr>
            </w:pPr>
          </w:p>
          <w:p w14:paraId="7FE1C289" w14:textId="180A5CA4" w:rsidR="0057131B" w:rsidRDefault="00355A1C">
            <w:pPr>
              <w:pStyle w:val="P68B1DB1-Normal52"/>
              <w:autoSpaceDE w:val="0"/>
              <w:autoSpaceDN w:val="0"/>
              <w:adjustRightInd w:val="0"/>
            </w:pPr>
            <w:r>
              <w:t>Annan typ av tjänst</w:t>
            </w:r>
          </w:p>
          <w:p w14:paraId="7FE1C28B" w14:textId="56625F93" w:rsidR="0057131B" w:rsidRDefault="0057131B">
            <w:pPr>
              <w:spacing w:line="276" w:lineRule="auto"/>
              <w:jc w:val="both"/>
              <w:rPr>
                <w:rFonts w:ascii="Times New Roman" w:eastAsia="Calibri" w:hAnsi="Times New Roman" w:cs="Times New Roman"/>
                <w:b/>
                <w:i/>
                <w:sz w:val="20"/>
                <w:szCs w:val="20"/>
              </w:rPr>
            </w:pPr>
          </w:p>
        </w:tc>
      </w:tr>
      <w:tr w:rsidR="0057131B" w14:paraId="7FE1C292" w14:textId="77777777">
        <w:trPr>
          <w:trHeight w:val="463"/>
        </w:trPr>
        <w:tc>
          <w:tcPr>
            <w:tcW w:w="1129" w:type="dxa"/>
            <w:shd w:val="clear" w:color="auto" w:fill="FFFFFF" w:themeFill="background1"/>
          </w:tcPr>
          <w:p w14:paraId="7FE1C28D" w14:textId="77777777" w:rsidR="0057131B" w:rsidRDefault="00355A1C">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57131B" w:rsidRDefault="00355A1C">
            <w:pPr>
              <w:pStyle w:val="P68B1DB1-Normal49"/>
              <w:spacing w:line="276" w:lineRule="auto"/>
              <w:jc w:val="both"/>
              <w:rPr>
                <w:bCs/>
              </w:rPr>
            </w:pPr>
            <w:r>
              <w:t>Unik tjänstetitel enligt banktaxonomin</w:t>
            </w:r>
          </w:p>
          <w:p w14:paraId="1C0060B3" w14:textId="77777777" w:rsidR="0057131B" w:rsidRDefault="00355A1C">
            <w:pPr>
              <w:rPr>
                <w:rFonts w:ascii="Times New Roman" w:eastAsiaTheme="minorHAnsi" w:hAnsi="Times New Roman" w:cs="Times New Roman"/>
                <w:sz w:val="24"/>
              </w:rPr>
            </w:pPr>
            <w:r>
              <w:rPr>
                <w:rFonts w:ascii="Times New Roman" w:eastAsia="Calibri" w:hAnsi="Times New Roman" w:cs="Times New Roman"/>
                <w:sz w:val="20"/>
              </w:rPr>
              <w:t>Namn/kort beskrivning av tjänsten enligt bankens egen stegvisa taxonomi (nivå 3), som kategoriserar tjänsterna och undergrupperna av dessa tjänster på hierarkiska nivåer. Till exempel en tjänstetaxonomi som kategoriserar tjänsterna på tre hierarkiska nivåer, där det på den högsta nivån finns tjänstegruppen (L1: Finansiella tjänster) där tjänsterna är representerade på nivå två (L2: finansförvaltning, finansiell analys, skatter, investerarrelationer osv.) och undertjänster på nivå tre (L3 – inom finansförvaltningen: likviditetsförvaltning, förvaltning av tillgångar och skulder, förvaltning av säkerheter osv.). Banken förväntas rapportera tjänsterna på en mer detaljerad nivå än den rapportering som föreskrivs för nivå 2 (c0010), så att varje enskild tjänst definieras på ett exakt och målinriktat sätt.</w:t>
            </w:r>
            <w:r>
              <w:rPr>
                <w:rFonts w:ascii="Times New Roman" w:eastAsiaTheme="minorHAnsi" w:hAnsi="Times New Roman" w:cs="Times New Roman"/>
                <w:sz w:val="24"/>
              </w:rPr>
              <w:t xml:space="preserve"> </w:t>
            </w:r>
          </w:p>
          <w:p w14:paraId="7FE1C290" w14:textId="77777777" w:rsidR="0057131B" w:rsidRDefault="0057131B">
            <w:pPr>
              <w:spacing w:line="276" w:lineRule="auto"/>
              <w:jc w:val="both"/>
              <w:rPr>
                <w:rFonts w:ascii="Times New Roman" w:eastAsia="Calibri" w:hAnsi="Times New Roman" w:cs="Times New Roman"/>
                <w:sz w:val="20"/>
              </w:rPr>
            </w:pPr>
          </w:p>
          <w:p w14:paraId="7FE1C291" w14:textId="77777777" w:rsidR="0057131B" w:rsidRDefault="0057131B">
            <w:pPr>
              <w:spacing w:line="276" w:lineRule="auto"/>
              <w:jc w:val="both"/>
              <w:rPr>
                <w:rFonts w:ascii="Times New Roman" w:eastAsia="Calibri" w:hAnsi="Times New Roman" w:cs="Times New Roman"/>
                <w:i/>
                <w:sz w:val="20"/>
              </w:rPr>
            </w:pPr>
          </w:p>
        </w:tc>
      </w:tr>
      <w:tr w:rsidR="0057131B" w14:paraId="7FE1C298" w14:textId="77777777">
        <w:trPr>
          <w:trHeight w:val="463"/>
        </w:trPr>
        <w:tc>
          <w:tcPr>
            <w:tcW w:w="1129" w:type="dxa"/>
            <w:shd w:val="clear" w:color="auto" w:fill="FFFFFF" w:themeFill="background1"/>
          </w:tcPr>
          <w:p w14:paraId="7FE1C293" w14:textId="77777777" w:rsidR="0057131B" w:rsidRDefault="00355A1C">
            <w:pPr>
              <w:pStyle w:val="P68B1DB1-Normal50"/>
              <w:spacing w:before="120" w:after="120" w:line="276" w:lineRule="auto"/>
            </w:pPr>
            <w:r>
              <w:t>0030–0040</w:t>
            </w:r>
          </w:p>
          <w:p w14:paraId="7FE1C294" w14:textId="77777777" w:rsidR="0057131B" w:rsidRDefault="0057131B">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57131B" w:rsidRDefault="00355A1C">
            <w:pPr>
              <w:pStyle w:val="P68B1DB1-Normal49"/>
              <w:spacing w:line="276" w:lineRule="auto"/>
              <w:jc w:val="both"/>
              <w:rPr>
                <w:bCs/>
              </w:rPr>
            </w:pPr>
            <w:r>
              <w:t>Tjänstemottagare</w:t>
            </w:r>
          </w:p>
          <w:p w14:paraId="7FE1C296" w14:textId="6BB16960" w:rsidR="0057131B" w:rsidRDefault="00355A1C">
            <w:pPr>
              <w:pStyle w:val="P68B1DB1-Normal45"/>
              <w:spacing w:line="276" w:lineRule="auto"/>
              <w:jc w:val="both"/>
            </w:pPr>
            <w:r>
              <w:t>Den koncernenhet som erhåller tjänsten som redovisas i kolumn 0010 från en annan enhet inom koncernen eller från den externa leverantör som redovisas i kolumn 0050–0110.</w:t>
            </w:r>
          </w:p>
          <w:p w14:paraId="7FE1C297" w14:textId="77777777" w:rsidR="0057131B" w:rsidRDefault="0057131B">
            <w:pPr>
              <w:spacing w:line="276" w:lineRule="auto"/>
              <w:jc w:val="both"/>
              <w:rPr>
                <w:rFonts w:ascii="Times New Roman" w:eastAsia="Calibri" w:hAnsi="Times New Roman" w:cs="Times New Roman"/>
                <w:sz w:val="20"/>
              </w:rPr>
            </w:pPr>
          </w:p>
        </w:tc>
      </w:tr>
      <w:tr w:rsidR="0057131B" w14:paraId="7FE1C29F" w14:textId="77777777">
        <w:trPr>
          <w:trHeight w:val="463"/>
        </w:trPr>
        <w:tc>
          <w:tcPr>
            <w:tcW w:w="1129" w:type="dxa"/>
            <w:shd w:val="clear" w:color="auto" w:fill="FFFFFF" w:themeFill="background1"/>
          </w:tcPr>
          <w:p w14:paraId="7FE1C299" w14:textId="77777777" w:rsidR="0057131B" w:rsidRDefault="00355A1C">
            <w:pPr>
              <w:pStyle w:val="P68B1DB1-Normal50"/>
              <w:spacing w:before="120" w:after="120" w:line="276" w:lineRule="auto"/>
            </w:pPr>
            <w:r>
              <w:t>0030</w:t>
            </w:r>
          </w:p>
          <w:p w14:paraId="7FE1C29A" w14:textId="77777777" w:rsidR="0057131B" w:rsidRDefault="0057131B">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57131B" w:rsidRDefault="00355A1C">
            <w:pPr>
              <w:pStyle w:val="P68B1DB1-Normal49"/>
              <w:spacing w:before="120" w:after="120" w:line="276" w:lineRule="auto"/>
              <w:rPr>
                <w:bCs/>
              </w:rPr>
            </w:pPr>
            <w:r>
              <w:t>Namn</w:t>
            </w:r>
          </w:p>
          <w:p w14:paraId="7FE1C29C" w14:textId="5429A4DF" w:rsidR="0057131B" w:rsidRDefault="00355A1C">
            <w:pPr>
              <w:pStyle w:val="P68B1DB1-Normal45"/>
              <w:spacing w:line="276" w:lineRule="auto"/>
              <w:jc w:val="both"/>
            </w:pPr>
            <w:r>
              <w:t>Det måste vara ett annat än det namn som anges i kolumn 0050, såvida inte tjänsten är en enhet. I detta fall förväntas den mottagande enhetens namn och namnet på tjänsteleverantören stämma överens.</w:t>
            </w:r>
          </w:p>
          <w:p w14:paraId="7FE1C29D" w14:textId="77777777" w:rsidR="0057131B" w:rsidRDefault="0057131B">
            <w:pPr>
              <w:spacing w:line="276" w:lineRule="auto"/>
              <w:jc w:val="both"/>
              <w:rPr>
                <w:rFonts w:ascii="Times New Roman" w:eastAsia="Calibri" w:hAnsi="Times New Roman" w:cs="Times New Roman"/>
                <w:sz w:val="20"/>
              </w:rPr>
            </w:pPr>
          </w:p>
          <w:p w14:paraId="7FE1C29E" w14:textId="77777777" w:rsidR="0057131B" w:rsidRDefault="0057131B">
            <w:pPr>
              <w:spacing w:line="276" w:lineRule="auto"/>
              <w:jc w:val="both"/>
              <w:rPr>
                <w:rFonts w:ascii="Times New Roman" w:eastAsia="Calibri" w:hAnsi="Times New Roman" w:cs="Times New Roman"/>
                <w:b/>
                <w:sz w:val="20"/>
              </w:rPr>
            </w:pPr>
          </w:p>
        </w:tc>
      </w:tr>
      <w:tr w:rsidR="0057131B" w14:paraId="7FE1C2A6" w14:textId="77777777">
        <w:trPr>
          <w:trHeight w:val="463"/>
        </w:trPr>
        <w:tc>
          <w:tcPr>
            <w:tcW w:w="1129" w:type="dxa"/>
            <w:shd w:val="clear" w:color="auto" w:fill="FFFFFF" w:themeFill="background1"/>
          </w:tcPr>
          <w:p w14:paraId="7FE1C2A0" w14:textId="77777777" w:rsidR="0057131B" w:rsidRDefault="00355A1C">
            <w:pPr>
              <w:pStyle w:val="P68B1DB1-Normal50"/>
              <w:spacing w:before="120" w:after="120" w:line="276" w:lineRule="auto"/>
            </w:pPr>
            <w:r>
              <w:lastRenderedPageBreak/>
              <w:t>0040</w:t>
            </w:r>
          </w:p>
          <w:p w14:paraId="7FE1C2A1" w14:textId="77777777" w:rsidR="0057131B" w:rsidRDefault="0057131B">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57131B" w:rsidRDefault="00355A1C">
            <w:pPr>
              <w:pStyle w:val="P68B1DB1-Normal49"/>
              <w:spacing w:before="120" w:after="120" w:line="276" w:lineRule="auto"/>
              <w:rPr>
                <w:bCs/>
              </w:rPr>
            </w:pPr>
            <w:r>
              <w:t>Kod</w:t>
            </w:r>
          </w:p>
          <w:p w14:paraId="7FE1C2A3" w14:textId="77777777" w:rsidR="0057131B" w:rsidRDefault="00355A1C">
            <w:pPr>
              <w:pStyle w:val="P68B1DB1-Normal45"/>
              <w:spacing w:line="276" w:lineRule="auto"/>
              <w:jc w:val="both"/>
            </w:pPr>
            <w:r>
              <w:t>Unik identifieringskod för den juridiska personen i kolumn 0030 enligt vad som redovisas i mall Z 01.01 (ORG).</w:t>
            </w:r>
          </w:p>
          <w:p w14:paraId="7FE1C2A4" w14:textId="77777777" w:rsidR="0057131B" w:rsidRDefault="00355A1C">
            <w:pPr>
              <w:pStyle w:val="P68B1DB1-Normal45"/>
              <w:spacing w:line="276" w:lineRule="auto"/>
              <w:jc w:val="both"/>
            </w:pPr>
            <w:r>
              <w:t>Den måste skilja sig från den identifieringskod som rapporteras i kolumn 0060, såvida inte tjänsten är en enhet. I detta fall förväntas koden för tjänstemottagare och tjänsteleverantörens kod överensstämma.</w:t>
            </w:r>
          </w:p>
          <w:p w14:paraId="7FE1C2A5" w14:textId="77777777" w:rsidR="0057131B" w:rsidRDefault="0057131B">
            <w:pPr>
              <w:spacing w:line="276" w:lineRule="auto"/>
              <w:jc w:val="both"/>
              <w:rPr>
                <w:rFonts w:ascii="Times New Roman" w:eastAsia="Calibri" w:hAnsi="Times New Roman" w:cs="Times New Roman"/>
                <w:b/>
                <w:i/>
                <w:sz w:val="20"/>
              </w:rPr>
            </w:pPr>
          </w:p>
        </w:tc>
      </w:tr>
      <w:tr w:rsidR="0057131B" w14:paraId="7FE1C2AC" w14:textId="77777777">
        <w:trPr>
          <w:trHeight w:val="463"/>
        </w:trPr>
        <w:tc>
          <w:tcPr>
            <w:tcW w:w="1129" w:type="dxa"/>
            <w:shd w:val="clear" w:color="auto" w:fill="FFFFFF" w:themeFill="background1"/>
          </w:tcPr>
          <w:p w14:paraId="7FE1C2A7" w14:textId="77777777" w:rsidR="0057131B" w:rsidRDefault="00355A1C">
            <w:pPr>
              <w:pStyle w:val="P68B1DB1-Normal50"/>
              <w:spacing w:before="120" w:after="120" w:line="276" w:lineRule="auto"/>
            </w:pPr>
            <w:r>
              <w:t>0050–0110</w:t>
            </w:r>
          </w:p>
          <w:p w14:paraId="7FE1C2A8" w14:textId="77777777" w:rsidR="0057131B" w:rsidRDefault="0057131B">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57131B" w:rsidRDefault="00355A1C">
            <w:pPr>
              <w:pStyle w:val="P68B1DB1-Normal55"/>
              <w:spacing w:line="276" w:lineRule="auto"/>
              <w:jc w:val="both"/>
              <w:rPr>
                <w:bCs/>
              </w:rPr>
            </w:pPr>
            <w:r>
              <w:rPr>
                <w:szCs w:val="20"/>
              </w:rPr>
              <w:t>Tjänsteleverantör</w:t>
            </w:r>
            <w:r>
              <w:t xml:space="preserve"> </w:t>
            </w:r>
          </w:p>
          <w:p w14:paraId="7FE1C2AA" w14:textId="77777777" w:rsidR="0057131B" w:rsidRDefault="00355A1C">
            <w:pPr>
              <w:pStyle w:val="P68B1DB1-Normal45"/>
              <w:spacing w:line="276" w:lineRule="auto"/>
              <w:jc w:val="both"/>
            </w:pPr>
            <w:r>
              <w:t>Den juridiska person (för interna eller koncerninterna tjänster) eller den externa leverantör (för externa tjänster) som tillhandahåller den tjänst som rapporteras i kolumn 0020 till den koncernenhet som rapporteras i kolumn 0030.</w:t>
            </w:r>
          </w:p>
          <w:p w14:paraId="7FE1C2AB" w14:textId="77777777" w:rsidR="0057131B" w:rsidRDefault="0057131B">
            <w:pPr>
              <w:spacing w:line="276" w:lineRule="auto"/>
              <w:jc w:val="both"/>
              <w:rPr>
                <w:rFonts w:ascii="Times New Roman" w:eastAsia="Calibri" w:hAnsi="Times New Roman" w:cs="Times New Roman"/>
                <w:sz w:val="20"/>
              </w:rPr>
            </w:pPr>
          </w:p>
        </w:tc>
      </w:tr>
      <w:tr w:rsidR="0057131B" w14:paraId="244B34A5" w14:textId="77777777">
        <w:trPr>
          <w:trHeight w:val="463"/>
        </w:trPr>
        <w:tc>
          <w:tcPr>
            <w:tcW w:w="1129" w:type="dxa"/>
            <w:shd w:val="clear" w:color="auto" w:fill="FFFFFF" w:themeFill="background1"/>
          </w:tcPr>
          <w:p w14:paraId="26770022" w14:textId="77E4D0B7" w:rsidR="0057131B" w:rsidRDefault="00355A1C">
            <w:pPr>
              <w:pStyle w:val="P68B1DB1-Normal50"/>
              <w:spacing w:before="120" w:after="120" w:line="276" w:lineRule="auto"/>
            </w:pPr>
            <w:r>
              <w:t>0050–0070</w:t>
            </w:r>
          </w:p>
        </w:tc>
        <w:tc>
          <w:tcPr>
            <w:tcW w:w="7938" w:type="dxa"/>
            <w:shd w:val="clear" w:color="auto" w:fill="FFFFFF" w:themeFill="background1"/>
          </w:tcPr>
          <w:p w14:paraId="3E4CD319" w14:textId="6DCA5709" w:rsidR="0057131B" w:rsidRDefault="00355A1C">
            <w:pPr>
              <w:pStyle w:val="P68B1DB1-Normal49"/>
              <w:spacing w:line="276" w:lineRule="auto"/>
              <w:jc w:val="both"/>
              <w:rPr>
                <w:bCs/>
              </w:rPr>
            </w:pPr>
            <w:r>
              <w:t>Enhet</w:t>
            </w:r>
          </w:p>
        </w:tc>
      </w:tr>
      <w:tr w:rsidR="0057131B" w14:paraId="7FE1C2B2" w14:textId="77777777">
        <w:trPr>
          <w:trHeight w:val="463"/>
        </w:trPr>
        <w:tc>
          <w:tcPr>
            <w:tcW w:w="1129" w:type="dxa"/>
            <w:shd w:val="clear" w:color="auto" w:fill="FFFFFF" w:themeFill="background1"/>
          </w:tcPr>
          <w:p w14:paraId="7FE1C2AD" w14:textId="77777777" w:rsidR="0057131B" w:rsidRDefault="00355A1C">
            <w:pPr>
              <w:pStyle w:val="P68B1DB1-Normal50"/>
              <w:spacing w:before="120" w:after="120" w:line="276" w:lineRule="auto"/>
            </w:pPr>
            <w:r>
              <w:t>0050</w:t>
            </w:r>
          </w:p>
          <w:p w14:paraId="7FE1C2AE" w14:textId="77777777" w:rsidR="0057131B" w:rsidRDefault="0057131B">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57131B" w:rsidRDefault="00355A1C">
            <w:pPr>
              <w:pStyle w:val="P68B1DB1-Normal49"/>
              <w:spacing w:before="120" w:after="120" w:line="276" w:lineRule="auto"/>
              <w:rPr>
                <w:bCs/>
              </w:rPr>
            </w:pPr>
            <w:r>
              <w:t>Namn</w:t>
            </w:r>
          </w:p>
          <w:p w14:paraId="7FE1C2B0" w14:textId="77777777" w:rsidR="0057131B" w:rsidRDefault="00355A1C">
            <w:pPr>
              <w:pStyle w:val="P68B1DB1-Normal45"/>
              <w:spacing w:line="276" w:lineRule="auto"/>
              <w:jc w:val="both"/>
            </w:pPr>
            <w:r>
              <w:t>Det måste vara ett annat än det namn som anges i kolumn 0030, såvida inte tjänsten är en enhet. I detta fall förväntas den mottagande enhetens namn och namnet på tjänsteleverantören stämma överens.</w:t>
            </w:r>
          </w:p>
          <w:p w14:paraId="7FE1C2B1" w14:textId="77777777" w:rsidR="0057131B" w:rsidRDefault="0057131B">
            <w:pPr>
              <w:spacing w:line="276" w:lineRule="auto"/>
              <w:jc w:val="both"/>
              <w:rPr>
                <w:rFonts w:ascii="Times New Roman" w:eastAsia="Calibri" w:hAnsi="Times New Roman" w:cs="Times New Roman"/>
                <w:b/>
                <w:sz w:val="20"/>
              </w:rPr>
            </w:pPr>
          </w:p>
        </w:tc>
      </w:tr>
      <w:tr w:rsidR="0057131B" w14:paraId="7FE1C2BE" w14:textId="77777777">
        <w:trPr>
          <w:trHeight w:val="463"/>
        </w:trPr>
        <w:tc>
          <w:tcPr>
            <w:tcW w:w="1129" w:type="dxa"/>
            <w:shd w:val="clear" w:color="auto" w:fill="FFFFFF" w:themeFill="background1"/>
          </w:tcPr>
          <w:p w14:paraId="7FE1C2B3" w14:textId="77777777" w:rsidR="0057131B" w:rsidRDefault="00355A1C">
            <w:pPr>
              <w:pStyle w:val="P68B1DB1-Normal45"/>
              <w:spacing w:line="276" w:lineRule="auto"/>
              <w:jc w:val="both"/>
            </w:pPr>
            <w:r>
              <w:t>0060</w:t>
            </w:r>
          </w:p>
          <w:p w14:paraId="7FE1C2B4" w14:textId="77777777" w:rsidR="0057131B" w:rsidRDefault="0057131B">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57131B" w:rsidRDefault="00355A1C">
            <w:pPr>
              <w:pStyle w:val="P68B1DB1-Normal55"/>
              <w:spacing w:line="276" w:lineRule="auto"/>
              <w:jc w:val="both"/>
              <w:rPr>
                <w:bCs/>
              </w:rPr>
            </w:pPr>
            <w:r>
              <w:t>Kod</w:t>
            </w:r>
          </w:p>
          <w:p w14:paraId="7FE1C2B6" w14:textId="77777777" w:rsidR="0057131B" w:rsidRDefault="00355A1C">
            <w:pPr>
              <w:pStyle w:val="P68B1DB1-Normal45"/>
              <w:spacing w:line="276" w:lineRule="auto"/>
              <w:jc w:val="both"/>
              <w:rPr>
                <w:strike/>
              </w:rPr>
            </w:pPr>
            <w:r>
              <w:t>Unik identifieringskod för den juridiska personen i kolumn 0050. Den måste vara en annan än den identifieringskod som anges i kolumn 0040, såvida inte tjänsten är en enhet. I detta fall förväntas koden för tjänstemottagare och tjänsteleverantörens kod överensstämma.</w:t>
            </w:r>
          </w:p>
          <w:p w14:paraId="7FE1C2B7" w14:textId="77777777" w:rsidR="0057131B" w:rsidRDefault="00355A1C">
            <w:pPr>
              <w:pStyle w:val="P68B1DB1-Normal45"/>
              <w:spacing w:line="276" w:lineRule="auto"/>
              <w:jc w:val="both"/>
            </w:pPr>
            <w:r>
              <w:t>Om tjänsteleverantören är en enhet inom koncernen ska koden vara densamma som den som redovisas i mall Z 01.01 (ORG).</w:t>
            </w:r>
          </w:p>
          <w:p w14:paraId="7FE1C2B8" w14:textId="77777777" w:rsidR="0057131B" w:rsidRDefault="00355A1C">
            <w:pPr>
              <w:pStyle w:val="P68B1DB1-Normal45"/>
              <w:spacing w:line="276" w:lineRule="auto"/>
              <w:jc w:val="both"/>
            </w:pPr>
            <w:r>
              <w:t>Om tjänsteleverantören inte är en enhet inom koncernen ska enhetskoden vara följande:</w:t>
            </w:r>
          </w:p>
          <w:p w14:paraId="7FE1C2B9" w14:textId="77777777" w:rsidR="0057131B" w:rsidRDefault="00355A1C">
            <w:pPr>
              <w:pStyle w:val="P68B1DB1-Normal45"/>
              <w:spacing w:line="276" w:lineRule="auto"/>
              <w:jc w:val="both"/>
            </w:pPr>
            <w:r>
              <w:t>— för enheter med en identifieringskod för juridiska personer (LEI-kod), den 20-siffriga alfanumeriska LEI-koden.</w:t>
            </w:r>
          </w:p>
          <w:p w14:paraId="7FE1C2BA" w14:textId="77777777" w:rsidR="0057131B" w:rsidRDefault="00355A1C">
            <w:pPr>
              <w:pStyle w:val="P68B1DB1-Normal45"/>
              <w:spacing w:line="276" w:lineRule="auto"/>
              <w:jc w:val="both"/>
            </w:pPr>
            <w:r>
              <w:t>— för enheter utan LEI-kod, företagsregistreringsnummer enligt nationell lagstiftning</w:t>
            </w:r>
            <w:r>
              <w:rPr>
                <w:strike/>
              </w:rPr>
              <w:t>.</w:t>
            </w:r>
          </w:p>
          <w:p w14:paraId="7FE1C2BB" w14:textId="77777777" w:rsidR="0057131B" w:rsidRDefault="0057131B">
            <w:pPr>
              <w:spacing w:line="276" w:lineRule="auto"/>
              <w:jc w:val="both"/>
              <w:rPr>
                <w:rFonts w:ascii="Times New Roman" w:eastAsia="Calibri" w:hAnsi="Times New Roman" w:cs="Times New Roman"/>
                <w:sz w:val="20"/>
              </w:rPr>
            </w:pPr>
          </w:p>
          <w:p w14:paraId="7FE1C2BC" w14:textId="77777777" w:rsidR="0057131B" w:rsidRDefault="00355A1C">
            <w:pPr>
              <w:pStyle w:val="P68B1DB1-Normal45"/>
              <w:spacing w:line="276" w:lineRule="auto"/>
              <w:jc w:val="both"/>
            </w:pPr>
            <w:r>
              <w:t>För båda fallen ska koden vara unik och användas konsekvent i mallarna.</w:t>
            </w:r>
          </w:p>
          <w:p w14:paraId="7FE1C2BD" w14:textId="77777777" w:rsidR="0057131B" w:rsidRDefault="00355A1C">
            <w:pPr>
              <w:pStyle w:val="P68B1DB1-Normal56"/>
              <w:spacing w:line="276" w:lineRule="auto"/>
              <w:jc w:val="both"/>
            </w:pPr>
            <w:r>
              <w:t xml:space="preserve"> </w:t>
            </w:r>
          </w:p>
        </w:tc>
      </w:tr>
      <w:tr w:rsidR="0057131B" w14:paraId="7FE1C2C7" w14:textId="77777777">
        <w:trPr>
          <w:trHeight w:val="463"/>
        </w:trPr>
        <w:tc>
          <w:tcPr>
            <w:tcW w:w="1129" w:type="dxa"/>
            <w:shd w:val="clear" w:color="auto" w:fill="FFFFFF" w:themeFill="background1"/>
          </w:tcPr>
          <w:p w14:paraId="7FE1C2BF" w14:textId="77777777" w:rsidR="0057131B" w:rsidRDefault="00355A1C">
            <w:pPr>
              <w:pStyle w:val="P68B1DB1-Normal45"/>
              <w:spacing w:line="276" w:lineRule="auto"/>
              <w:jc w:val="both"/>
            </w:pPr>
            <w:r>
              <w:t>0070</w:t>
            </w:r>
          </w:p>
        </w:tc>
        <w:tc>
          <w:tcPr>
            <w:tcW w:w="7938" w:type="dxa"/>
            <w:shd w:val="clear" w:color="auto" w:fill="FFFFFF" w:themeFill="background1"/>
          </w:tcPr>
          <w:p w14:paraId="7FE1C2C0" w14:textId="77777777" w:rsidR="0057131B" w:rsidRDefault="00355A1C">
            <w:pPr>
              <w:pStyle w:val="P68B1DB1-Normal55"/>
              <w:spacing w:line="276" w:lineRule="auto"/>
              <w:jc w:val="both"/>
              <w:rPr>
                <w:bCs/>
              </w:rPr>
            </w:pPr>
            <w:r>
              <w:t xml:space="preserve">Typ av kod </w:t>
            </w:r>
          </w:p>
          <w:p w14:paraId="7FE1C2C3" w14:textId="5EDF8AF2" w:rsidR="0057131B" w:rsidRDefault="00355A1C">
            <w:pPr>
              <w:pStyle w:val="P68B1DB1-Normal57"/>
              <w:spacing w:line="276" w:lineRule="auto"/>
              <w:contextualSpacing/>
              <w:jc w:val="both"/>
              <w:rPr>
                <w:bCs/>
              </w:rPr>
            </w:pPr>
            <w:r>
              <w:t>Redovisa ett av följande värden:</w:t>
            </w:r>
          </w:p>
          <w:p w14:paraId="7FE1C2C4" w14:textId="77777777" w:rsidR="0057131B" w:rsidRDefault="00355A1C">
            <w:pPr>
              <w:pStyle w:val="P68B1DB1-ListParagraph58"/>
              <w:numPr>
                <w:ilvl w:val="0"/>
                <w:numId w:val="64"/>
              </w:numPr>
              <w:spacing w:line="276" w:lineRule="auto"/>
              <w:contextualSpacing/>
              <w:jc w:val="both"/>
            </w:pPr>
            <w:r>
              <w:t>LEI-KOD</w:t>
            </w:r>
          </w:p>
          <w:p w14:paraId="7FE1C2C5" w14:textId="77777777" w:rsidR="0057131B" w:rsidRDefault="00355A1C">
            <w:pPr>
              <w:pStyle w:val="P68B1DB1-ListParagraph58"/>
              <w:numPr>
                <w:ilvl w:val="0"/>
                <w:numId w:val="64"/>
              </w:numPr>
              <w:spacing w:line="276" w:lineRule="auto"/>
              <w:contextualSpacing/>
              <w:jc w:val="both"/>
            </w:pPr>
            <w:r>
              <w:t>Person/organisationsnr</w:t>
            </w:r>
          </w:p>
          <w:p w14:paraId="7FE1C2C6" w14:textId="77777777" w:rsidR="0057131B" w:rsidRDefault="0057131B">
            <w:pPr>
              <w:spacing w:line="276" w:lineRule="auto"/>
              <w:jc w:val="both"/>
              <w:rPr>
                <w:rFonts w:ascii="Times New Roman" w:eastAsia="Calibri" w:hAnsi="Times New Roman" w:cs="Times New Roman"/>
                <w:sz w:val="20"/>
              </w:rPr>
            </w:pPr>
          </w:p>
        </w:tc>
      </w:tr>
      <w:tr w:rsidR="0057131B" w14:paraId="5AC7028E" w14:textId="77777777">
        <w:trPr>
          <w:trHeight w:val="463"/>
        </w:trPr>
        <w:tc>
          <w:tcPr>
            <w:tcW w:w="1129" w:type="dxa"/>
            <w:shd w:val="clear" w:color="auto" w:fill="FFFFFF" w:themeFill="background1"/>
          </w:tcPr>
          <w:p w14:paraId="3ECEFB75" w14:textId="74BF0EC5" w:rsidR="0057131B" w:rsidRDefault="00355A1C">
            <w:pPr>
              <w:pStyle w:val="P68B1DB1-Normal45"/>
              <w:spacing w:line="276" w:lineRule="auto"/>
              <w:jc w:val="both"/>
            </w:pPr>
            <w:r>
              <w:t>0080–0100</w:t>
            </w:r>
          </w:p>
        </w:tc>
        <w:tc>
          <w:tcPr>
            <w:tcW w:w="7938" w:type="dxa"/>
            <w:shd w:val="clear" w:color="auto" w:fill="FFFFFF" w:themeFill="background1"/>
          </w:tcPr>
          <w:p w14:paraId="259185CE" w14:textId="65A5A83F" w:rsidR="0057131B" w:rsidRDefault="00355A1C">
            <w:pPr>
              <w:pStyle w:val="P68B1DB1-Normal55"/>
              <w:spacing w:line="276" w:lineRule="auto"/>
              <w:jc w:val="both"/>
              <w:rPr>
                <w:bCs/>
              </w:rPr>
            </w:pPr>
            <w:r>
              <w:t>Moderföretag</w:t>
            </w:r>
          </w:p>
        </w:tc>
      </w:tr>
      <w:tr w:rsidR="0057131B" w14:paraId="7FE1C2CC" w14:textId="77777777">
        <w:trPr>
          <w:trHeight w:val="463"/>
        </w:trPr>
        <w:tc>
          <w:tcPr>
            <w:tcW w:w="1129" w:type="dxa"/>
          </w:tcPr>
          <w:p w14:paraId="7FE1C2C8" w14:textId="77777777" w:rsidR="0057131B" w:rsidRDefault="00355A1C">
            <w:pPr>
              <w:pStyle w:val="P68B1DB1-Normal45"/>
              <w:spacing w:line="276" w:lineRule="auto"/>
              <w:jc w:val="both"/>
            </w:pPr>
            <w:r>
              <w:t>0080</w:t>
            </w:r>
          </w:p>
        </w:tc>
        <w:tc>
          <w:tcPr>
            <w:tcW w:w="7938" w:type="dxa"/>
            <w:shd w:val="clear" w:color="auto" w:fill="FFFFFF" w:themeFill="background1"/>
          </w:tcPr>
          <w:p w14:paraId="0DC1DDCB" w14:textId="24E6B1FE" w:rsidR="0057131B" w:rsidRDefault="00355A1C">
            <w:pPr>
              <w:pStyle w:val="P68B1DB1-Normal55"/>
              <w:spacing w:line="276" w:lineRule="auto"/>
              <w:jc w:val="both"/>
            </w:pPr>
            <w:r>
              <w:t>Namn</w:t>
            </w:r>
          </w:p>
          <w:p w14:paraId="7FE1C2CA" w14:textId="07E2401A" w:rsidR="0057131B" w:rsidRDefault="00355A1C">
            <w:pPr>
              <w:pStyle w:val="P68B1DB1-Normal45"/>
              <w:spacing w:line="276" w:lineRule="auto"/>
              <w:jc w:val="both"/>
            </w:pPr>
            <w:r>
              <w:t>Namn på (det yttersta) moderbolaget till tjänsteleverantören som rapporteras i kolumn 0050, om detta inte är en koncernenhet. I övriga fall, ej tillämpligt</w:t>
            </w:r>
          </w:p>
          <w:p w14:paraId="7FE1C2CB" w14:textId="77777777" w:rsidR="0057131B" w:rsidRDefault="0057131B">
            <w:pPr>
              <w:spacing w:line="276" w:lineRule="auto"/>
              <w:jc w:val="both"/>
              <w:rPr>
                <w:rFonts w:ascii="Times New Roman" w:hAnsi="Times New Roman" w:cs="Times New Roman"/>
              </w:rPr>
            </w:pPr>
          </w:p>
        </w:tc>
      </w:tr>
      <w:tr w:rsidR="0057131B" w14:paraId="7FE1C2D3" w14:textId="77777777">
        <w:trPr>
          <w:trHeight w:val="463"/>
        </w:trPr>
        <w:tc>
          <w:tcPr>
            <w:tcW w:w="1129" w:type="dxa"/>
          </w:tcPr>
          <w:p w14:paraId="7FE1C2CD" w14:textId="77777777" w:rsidR="0057131B" w:rsidRDefault="00355A1C">
            <w:pPr>
              <w:pStyle w:val="P68B1DB1-Normal45"/>
              <w:spacing w:line="276" w:lineRule="auto"/>
              <w:jc w:val="both"/>
            </w:pPr>
            <w:r>
              <w:t>0090</w:t>
            </w:r>
          </w:p>
        </w:tc>
        <w:tc>
          <w:tcPr>
            <w:tcW w:w="7938" w:type="dxa"/>
            <w:shd w:val="clear" w:color="auto" w:fill="FFFFFF" w:themeFill="background1"/>
          </w:tcPr>
          <w:p w14:paraId="7FE1C2CE" w14:textId="414718EB" w:rsidR="0057131B" w:rsidRDefault="00355A1C">
            <w:pPr>
              <w:pStyle w:val="P68B1DB1-Normal55"/>
              <w:spacing w:line="276" w:lineRule="auto"/>
              <w:jc w:val="both"/>
              <w:rPr>
                <w:bCs/>
              </w:rPr>
            </w:pPr>
            <w:r>
              <w:t>Kod</w:t>
            </w:r>
          </w:p>
          <w:p w14:paraId="7FE1C2CF" w14:textId="77777777" w:rsidR="0057131B" w:rsidRDefault="00355A1C">
            <w:pPr>
              <w:pStyle w:val="P68B1DB1-Normal45"/>
              <w:spacing w:line="276" w:lineRule="auto"/>
              <w:jc w:val="both"/>
            </w:pPr>
            <w:r>
              <w:t>Den kod för moderbolaget som rapporteras i kolumn 0080 ska vara</w:t>
            </w:r>
          </w:p>
          <w:p w14:paraId="7FE1C2D0" w14:textId="77777777" w:rsidR="0057131B" w:rsidRDefault="00355A1C">
            <w:pPr>
              <w:pStyle w:val="P68B1DB1-Normal45"/>
              <w:spacing w:line="276" w:lineRule="auto"/>
              <w:jc w:val="both"/>
            </w:pPr>
            <w:r>
              <w:lastRenderedPageBreak/>
              <w:t>— för enheter med en identifieringskod för juridiska personer (LEI-kod), den 20-siffriga alfanumeriska LEI-koden.</w:t>
            </w:r>
          </w:p>
          <w:p w14:paraId="7FE1C2D1" w14:textId="77777777" w:rsidR="0057131B" w:rsidRDefault="00355A1C">
            <w:pPr>
              <w:pStyle w:val="P68B1DB1-Normal45"/>
              <w:spacing w:line="276" w:lineRule="auto"/>
              <w:jc w:val="both"/>
            </w:pPr>
            <w:r>
              <w:t xml:space="preserve">— för enheter utan LEI-kod, företagsregistreringsnummer enligt nationell lagstiftning. </w:t>
            </w:r>
          </w:p>
          <w:p w14:paraId="7FE1C2D2" w14:textId="77777777" w:rsidR="0057131B" w:rsidRDefault="0057131B">
            <w:pPr>
              <w:spacing w:line="276" w:lineRule="auto"/>
              <w:jc w:val="both"/>
              <w:rPr>
                <w:rFonts w:ascii="Times New Roman" w:eastAsia="Calibri" w:hAnsi="Times New Roman" w:cs="Times New Roman"/>
                <w:sz w:val="20"/>
              </w:rPr>
            </w:pPr>
          </w:p>
        </w:tc>
      </w:tr>
      <w:tr w:rsidR="0057131B" w14:paraId="7FE1C2DC" w14:textId="77777777">
        <w:trPr>
          <w:trHeight w:val="463"/>
        </w:trPr>
        <w:tc>
          <w:tcPr>
            <w:tcW w:w="1129" w:type="dxa"/>
          </w:tcPr>
          <w:p w14:paraId="7FE1C2D4" w14:textId="77777777" w:rsidR="0057131B" w:rsidRDefault="00355A1C">
            <w:pPr>
              <w:pStyle w:val="P68B1DB1-Normal45"/>
              <w:spacing w:line="276" w:lineRule="auto"/>
              <w:jc w:val="both"/>
            </w:pPr>
            <w:r>
              <w:lastRenderedPageBreak/>
              <w:t>0100</w:t>
            </w:r>
          </w:p>
        </w:tc>
        <w:tc>
          <w:tcPr>
            <w:tcW w:w="7938" w:type="dxa"/>
            <w:shd w:val="clear" w:color="auto" w:fill="FFFFFF" w:themeFill="background1"/>
          </w:tcPr>
          <w:p w14:paraId="7FE1C2D5" w14:textId="77777777" w:rsidR="0057131B" w:rsidRDefault="00355A1C">
            <w:pPr>
              <w:pStyle w:val="P68B1DB1-Normal55"/>
              <w:spacing w:line="276" w:lineRule="auto"/>
              <w:jc w:val="both"/>
              <w:rPr>
                <w:bCs/>
              </w:rPr>
            </w:pPr>
            <w:r>
              <w:t xml:space="preserve">Typ av kod </w:t>
            </w:r>
          </w:p>
          <w:p w14:paraId="7FE1C2D6" w14:textId="77777777" w:rsidR="0057131B" w:rsidRDefault="00355A1C">
            <w:pPr>
              <w:pStyle w:val="P68B1DB1-Normal57"/>
              <w:spacing w:line="276" w:lineRule="auto"/>
              <w:contextualSpacing/>
              <w:jc w:val="both"/>
              <w:rPr>
                <w:bCs/>
              </w:rPr>
            </w:pPr>
            <w:r>
              <w:t>Redovisa ett av följande värden:</w:t>
            </w:r>
          </w:p>
          <w:p w14:paraId="7FE1C2D7" w14:textId="77777777" w:rsidR="0057131B" w:rsidRDefault="00355A1C">
            <w:pPr>
              <w:pStyle w:val="P68B1DB1-ListParagraph58"/>
              <w:numPr>
                <w:ilvl w:val="0"/>
                <w:numId w:val="64"/>
              </w:numPr>
              <w:spacing w:line="276" w:lineRule="auto"/>
              <w:contextualSpacing/>
              <w:jc w:val="both"/>
            </w:pPr>
            <w:r>
              <w:t>LEI-KOD</w:t>
            </w:r>
          </w:p>
          <w:p w14:paraId="7FE1C2D8" w14:textId="77777777" w:rsidR="0057131B" w:rsidRDefault="00355A1C">
            <w:pPr>
              <w:pStyle w:val="P68B1DB1-ListParagraph58"/>
              <w:numPr>
                <w:ilvl w:val="0"/>
                <w:numId w:val="64"/>
              </w:numPr>
              <w:spacing w:line="276" w:lineRule="auto"/>
              <w:contextualSpacing/>
              <w:jc w:val="both"/>
            </w:pPr>
            <w:r>
              <w:t>Person/organisationsnr</w:t>
            </w:r>
          </w:p>
          <w:p w14:paraId="7FE1C2DB" w14:textId="010B0D6D" w:rsidR="0057131B" w:rsidRDefault="0057131B">
            <w:pPr>
              <w:spacing w:line="276" w:lineRule="auto"/>
              <w:jc w:val="both"/>
              <w:rPr>
                <w:rFonts w:ascii="Times New Roman" w:eastAsia="Calibri" w:hAnsi="Times New Roman" w:cs="Times New Roman"/>
                <w:sz w:val="20"/>
              </w:rPr>
            </w:pPr>
          </w:p>
        </w:tc>
      </w:tr>
      <w:tr w:rsidR="0057131B" w14:paraId="7FE1C2E4" w14:textId="77777777">
        <w:trPr>
          <w:trHeight w:val="463"/>
        </w:trPr>
        <w:tc>
          <w:tcPr>
            <w:tcW w:w="1129" w:type="dxa"/>
            <w:shd w:val="clear" w:color="auto" w:fill="FFFFFF" w:themeFill="background1"/>
          </w:tcPr>
          <w:p w14:paraId="7FE1C2DD" w14:textId="77777777" w:rsidR="0057131B" w:rsidRDefault="00355A1C">
            <w:pPr>
              <w:pStyle w:val="P68B1DB1-Normal45"/>
              <w:spacing w:line="276" w:lineRule="auto"/>
              <w:jc w:val="both"/>
            </w:pPr>
            <w:r>
              <w:t>0110</w:t>
            </w:r>
          </w:p>
        </w:tc>
        <w:tc>
          <w:tcPr>
            <w:tcW w:w="7938" w:type="dxa"/>
            <w:shd w:val="clear" w:color="auto" w:fill="FFFFFF" w:themeFill="background1"/>
          </w:tcPr>
          <w:p w14:paraId="7FE1C2DE" w14:textId="77777777" w:rsidR="0057131B" w:rsidRDefault="00355A1C">
            <w:pPr>
              <w:pStyle w:val="P68B1DB1-Normal45"/>
              <w:spacing w:line="276" w:lineRule="auto"/>
              <w:jc w:val="both"/>
            </w:pPr>
            <w:r>
              <w:rPr>
                <w:b/>
              </w:rPr>
              <w:t>Tillhandahållande av tjänster</w:t>
            </w:r>
            <w:r>
              <w:t xml:space="preserve"> </w:t>
            </w:r>
          </w:p>
          <w:p w14:paraId="7FE1C2DF" w14:textId="77777777" w:rsidR="0057131B" w:rsidRDefault="00355A1C">
            <w:pPr>
              <w:pStyle w:val="P68B1DB1-Normal45"/>
              <w:spacing w:line="276" w:lineRule="auto"/>
              <w:jc w:val="both"/>
            </w:pPr>
            <w:r>
              <w:t>”Inom enheten” om tjänsten tillhandahålls av en affärsenhet till en annan affärsenhet inom samma juridiska enhet.</w:t>
            </w:r>
          </w:p>
          <w:p w14:paraId="7FE1C2E0" w14:textId="200EB8B6" w:rsidR="0057131B" w:rsidRDefault="00355A1C">
            <w:pPr>
              <w:spacing w:line="276" w:lineRule="auto"/>
              <w:jc w:val="both"/>
              <w:rPr>
                <w:rFonts w:ascii="Times New Roman" w:eastAsia="Calibri" w:hAnsi="Times New Roman" w:cs="Times New Roman"/>
                <w:sz w:val="20"/>
              </w:rPr>
            </w:pPr>
            <w:r>
              <w:rPr>
                <w:rFonts w:ascii="Times New Roman" w:eastAsia="Calibri" w:hAnsi="Times New Roman" w:cs="Times New Roman"/>
                <w:sz w:val="20"/>
              </w:rPr>
              <w:t>Koncernintern – reglerad enhet: om</w:t>
            </w:r>
            <w:r>
              <w:rPr>
                <w:rFonts w:ascii="Times New Roman" w:hAnsi="Times New Roman" w:cs="Times New Roman"/>
              </w:rPr>
              <w:t xml:space="preserve"> </w:t>
            </w:r>
            <w:r>
              <w:rPr>
                <w:rFonts w:ascii="Times New Roman" w:eastAsia="Calibri" w:hAnsi="Times New Roman" w:cs="Times New Roman"/>
                <w:sz w:val="20"/>
              </w:rPr>
              <w:t>tjänsten tillhandahålls</w:t>
            </w:r>
            <w:r>
              <w:rPr>
                <w:rFonts w:ascii="Times New Roman" w:hAnsi="Times New Roman" w:cs="Times New Roman"/>
              </w:rPr>
              <w:t xml:space="preserve"> </w:t>
            </w:r>
            <w:r>
              <w:rPr>
                <w:rFonts w:ascii="Times New Roman" w:eastAsia="Calibri" w:hAnsi="Times New Roman" w:cs="Times New Roman"/>
                <w:sz w:val="20"/>
              </w:rPr>
              <w:t>av en enhet i gruppen som omfattas av tillsynsregler för kapital/likviditet på individuell nivå, inbegripet när tillsynskraven är undantagna.</w:t>
            </w:r>
          </w:p>
          <w:p w14:paraId="7FE1C2E1" w14:textId="6FD0E03D" w:rsidR="0057131B" w:rsidRDefault="00355A1C">
            <w:pPr>
              <w:pStyle w:val="P68B1DB1-Normal45"/>
              <w:spacing w:line="276" w:lineRule="auto"/>
              <w:jc w:val="both"/>
            </w:pPr>
            <w:r>
              <w:t>Koncernintern – oreglerad enhet: om tjänsten tillhandahålls av en enhet i gruppen som är en operativ enhet som inte omfattas av tillsynsregler för kapital/likviditet på individuell nivå, inbegripet när tillsynskraven är undantagna.</w:t>
            </w:r>
          </w:p>
          <w:p w14:paraId="7FE1C2E2" w14:textId="7B6AA381" w:rsidR="0057131B" w:rsidRDefault="00355A1C">
            <w:pPr>
              <w:pStyle w:val="P68B1DB1-Normal45"/>
              <w:spacing w:line="276" w:lineRule="auto"/>
              <w:jc w:val="both"/>
            </w:pPr>
            <w:r>
              <w:t>”Extern enhet” om tjänsten tillhandahålls av en extern leverantör som inte ingår i koncernen.</w:t>
            </w:r>
          </w:p>
          <w:p w14:paraId="7FE1C2E3" w14:textId="77777777" w:rsidR="0057131B" w:rsidRDefault="0057131B">
            <w:pPr>
              <w:spacing w:line="276" w:lineRule="auto"/>
              <w:jc w:val="both"/>
              <w:rPr>
                <w:rFonts w:ascii="Times New Roman" w:eastAsia="Calibri" w:hAnsi="Times New Roman" w:cs="Times New Roman"/>
                <w:i/>
                <w:sz w:val="20"/>
              </w:rPr>
            </w:pPr>
          </w:p>
        </w:tc>
      </w:tr>
      <w:tr w:rsidR="0057131B" w14:paraId="7FE1C2EB" w14:textId="77777777">
        <w:trPr>
          <w:trHeight w:val="463"/>
        </w:trPr>
        <w:tc>
          <w:tcPr>
            <w:tcW w:w="1129" w:type="dxa"/>
            <w:shd w:val="clear" w:color="auto" w:fill="FFFFFF" w:themeFill="background1"/>
          </w:tcPr>
          <w:p w14:paraId="7FE1C2E5" w14:textId="77777777" w:rsidR="0057131B" w:rsidRDefault="00355A1C">
            <w:pPr>
              <w:pStyle w:val="P68B1DB1-Normal50"/>
              <w:spacing w:line="276" w:lineRule="auto"/>
              <w:jc w:val="both"/>
            </w:pPr>
            <w:r>
              <w:t>0120</w:t>
            </w:r>
          </w:p>
          <w:p w14:paraId="7FE1C2E6" w14:textId="77777777" w:rsidR="0057131B" w:rsidRDefault="0057131B">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57131B" w:rsidRDefault="00355A1C">
            <w:pPr>
              <w:pStyle w:val="P68B1DB1-Normal49"/>
              <w:spacing w:line="276" w:lineRule="auto"/>
              <w:jc w:val="both"/>
              <w:rPr>
                <w:bCs/>
                <w:strike/>
              </w:rPr>
            </w:pPr>
            <w:r>
              <w:t>Kritikalitet</w:t>
            </w:r>
            <w:r>
              <w:rPr>
                <w:strike/>
              </w:rPr>
              <w:t xml:space="preserve"> </w:t>
            </w:r>
          </w:p>
          <w:p w14:paraId="7FE1C2E8" w14:textId="77777777" w:rsidR="0057131B" w:rsidRDefault="00355A1C">
            <w:pPr>
              <w:pStyle w:val="P68B1DB1-ListParagraph58"/>
              <w:numPr>
                <w:ilvl w:val="0"/>
                <w:numId w:val="239"/>
              </w:numPr>
              <w:spacing w:line="276" w:lineRule="auto"/>
              <w:contextualSpacing/>
              <w:jc w:val="both"/>
            </w:pPr>
            <w:r>
              <w:t>Kritisk betydelse: om tjänsten är nödvändig för att utföra en eller flera kritiska funktioner, vars avbrott allvarligt skulle hindra eller förhindra utförandet av dessa kritiska funktioner.</w:t>
            </w:r>
          </w:p>
          <w:p w14:paraId="7FE1C2E9" w14:textId="77777777" w:rsidR="0057131B" w:rsidRDefault="00355A1C">
            <w:pPr>
              <w:pStyle w:val="P68B1DB1-ListParagraph9"/>
              <w:numPr>
                <w:ilvl w:val="0"/>
                <w:numId w:val="239"/>
              </w:numPr>
              <w:spacing w:line="276" w:lineRule="auto"/>
              <w:contextualSpacing/>
              <w:jc w:val="both"/>
              <w:rPr>
                <w:sz w:val="20"/>
              </w:rPr>
            </w:pPr>
            <w:r>
              <w:rPr>
                <w:sz w:val="20"/>
              </w:rPr>
              <w:t>Grundläggande kriterier: om</w:t>
            </w:r>
            <w:r>
              <w:t xml:space="preserve"> enheten</w:t>
            </w:r>
            <w:r>
              <w:rPr>
                <w:sz w:val="20"/>
              </w:rPr>
              <w:t>är förknippad med kärnaffärsområden, vars kontinuitet är nödvändig för ett effektivt genomförande av resolutionsstrategin och eventuella efterföljande omstruktureringar.</w:t>
            </w:r>
          </w:p>
          <w:p w14:paraId="7FE1C2EA" w14:textId="3B37659B" w:rsidR="0057131B" w:rsidRDefault="00355A1C">
            <w:pPr>
              <w:pStyle w:val="P68B1DB1-ListParagraph58"/>
              <w:numPr>
                <w:ilvl w:val="0"/>
                <w:numId w:val="239"/>
              </w:numPr>
              <w:spacing w:line="276" w:lineRule="auto"/>
              <w:contextualSpacing/>
              <w:jc w:val="both"/>
            </w:pPr>
            <w:r>
              <w:t>Kritisk och väsentlig</w:t>
            </w:r>
          </w:p>
        </w:tc>
      </w:tr>
      <w:tr w:rsidR="0057131B" w14:paraId="7FE1C2F0" w14:textId="77777777">
        <w:trPr>
          <w:trHeight w:val="463"/>
        </w:trPr>
        <w:tc>
          <w:tcPr>
            <w:tcW w:w="1129" w:type="dxa"/>
            <w:shd w:val="clear" w:color="auto" w:fill="FFFFFF" w:themeFill="background1"/>
          </w:tcPr>
          <w:p w14:paraId="7FE1C2EC" w14:textId="77777777" w:rsidR="0057131B" w:rsidRDefault="00355A1C">
            <w:pPr>
              <w:pStyle w:val="P68B1DB1-Normal45"/>
              <w:spacing w:line="276" w:lineRule="auto"/>
              <w:jc w:val="both"/>
            </w:pPr>
            <w:r>
              <w:t>0130</w:t>
            </w:r>
          </w:p>
        </w:tc>
        <w:tc>
          <w:tcPr>
            <w:tcW w:w="7938" w:type="dxa"/>
            <w:shd w:val="clear" w:color="auto" w:fill="FFFFFF" w:themeFill="background1"/>
          </w:tcPr>
          <w:p w14:paraId="7FE1C2ED" w14:textId="77777777" w:rsidR="0057131B" w:rsidRDefault="00355A1C">
            <w:pPr>
              <w:pStyle w:val="P68B1DB1-Normal49"/>
              <w:spacing w:line="276" w:lineRule="auto"/>
              <w:jc w:val="both"/>
              <w:rPr>
                <w:bCs/>
              </w:rPr>
            </w:pPr>
            <w:r>
              <w:t>Avtals-ID</w:t>
            </w:r>
          </w:p>
          <w:p w14:paraId="7FE1C2EE" w14:textId="77777777" w:rsidR="0057131B" w:rsidRDefault="00355A1C">
            <w:pPr>
              <w:pStyle w:val="P68B1DB1-Normal45"/>
              <w:spacing w:line="276" w:lineRule="auto"/>
              <w:jc w:val="both"/>
            </w:pPr>
            <w:r>
              <w:t>Unik avtalsidentifierare för det kontrakt som ligger till grund för tjänsten enligt gruppens tjänsteklassificering.</w:t>
            </w:r>
          </w:p>
          <w:p w14:paraId="7FE1C2EF" w14:textId="77777777" w:rsidR="0057131B" w:rsidRDefault="0057131B">
            <w:pPr>
              <w:spacing w:line="276" w:lineRule="auto"/>
              <w:jc w:val="both"/>
              <w:rPr>
                <w:rFonts w:ascii="Times New Roman" w:eastAsia="Calibri" w:hAnsi="Times New Roman" w:cs="Times New Roman"/>
                <w:sz w:val="20"/>
              </w:rPr>
            </w:pPr>
          </w:p>
        </w:tc>
      </w:tr>
      <w:tr w:rsidR="0057131B" w14:paraId="7FE1C2F6" w14:textId="77777777">
        <w:trPr>
          <w:trHeight w:val="628"/>
        </w:trPr>
        <w:tc>
          <w:tcPr>
            <w:tcW w:w="1129" w:type="dxa"/>
          </w:tcPr>
          <w:p w14:paraId="7FE1C2F1" w14:textId="77777777" w:rsidR="0057131B" w:rsidRDefault="00355A1C">
            <w:pPr>
              <w:pStyle w:val="P68B1DB1-Normal45"/>
              <w:spacing w:line="276" w:lineRule="auto"/>
              <w:jc w:val="both"/>
            </w:pPr>
            <w:r>
              <w:t>0140</w:t>
            </w:r>
          </w:p>
          <w:p w14:paraId="7FE1C2F2" w14:textId="77777777" w:rsidR="0057131B" w:rsidRDefault="0057131B">
            <w:pPr>
              <w:spacing w:line="276" w:lineRule="auto"/>
              <w:jc w:val="both"/>
              <w:rPr>
                <w:rFonts w:ascii="Times New Roman" w:eastAsia="Calibri" w:hAnsi="Times New Roman" w:cs="Times New Roman"/>
                <w:strike/>
                <w:sz w:val="20"/>
              </w:rPr>
            </w:pPr>
          </w:p>
        </w:tc>
        <w:tc>
          <w:tcPr>
            <w:tcW w:w="7938" w:type="dxa"/>
          </w:tcPr>
          <w:p w14:paraId="7FE1C2F3" w14:textId="77777777" w:rsidR="0057131B" w:rsidRDefault="00355A1C">
            <w:pPr>
              <w:pStyle w:val="P68B1DB1-Normal55"/>
              <w:spacing w:line="276" w:lineRule="auto"/>
              <w:jc w:val="both"/>
            </w:pPr>
            <w:r>
              <w:rPr>
                <w:szCs w:val="20"/>
              </w:rPr>
              <w:t>Styrande lagstiftning</w:t>
            </w:r>
            <w:r>
              <w:t xml:space="preserve"> </w:t>
            </w:r>
          </w:p>
          <w:p w14:paraId="7FE1C2F4" w14:textId="77777777" w:rsidR="0057131B" w:rsidRDefault="00355A1C">
            <w:pPr>
              <w:pStyle w:val="P68B1DB1-Normal45"/>
              <w:spacing w:line="276" w:lineRule="auto"/>
              <w:jc w:val="both"/>
            </w:pPr>
            <w:r>
              <w:t>Landets ISO-kod och koden för den lag som reglerar avtalet.</w:t>
            </w:r>
          </w:p>
          <w:p w14:paraId="7FE1C2F5" w14:textId="77777777" w:rsidR="0057131B" w:rsidRDefault="0057131B">
            <w:pPr>
              <w:spacing w:line="276" w:lineRule="auto"/>
              <w:jc w:val="both"/>
              <w:rPr>
                <w:rFonts w:ascii="Times New Roman" w:eastAsia="Calibri" w:hAnsi="Times New Roman" w:cs="Times New Roman"/>
                <w:sz w:val="20"/>
              </w:rPr>
            </w:pPr>
          </w:p>
        </w:tc>
      </w:tr>
      <w:tr w:rsidR="0057131B" w14:paraId="7FE1C2FC" w14:textId="77777777">
        <w:trPr>
          <w:trHeight w:val="628"/>
        </w:trPr>
        <w:tc>
          <w:tcPr>
            <w:tcW w:w="1129" w:type="dxa"/>
          </w:tcPr>
          <w:p w14:paraId="7FE1C2F7" w14:textId="77777777" w:rsidR="0057131B" w:rsidRDefault="00355A1C">
            <w:pPr>
              <w:pStyle w:val="P68B1DB1-Normal45"/>
              <w:spacing w:line="276" w:lineRule="auto"/>
              <w:jc w:val="both"/>
            </w:pPr>
            <w:r>
              <w:t>0150–0170</w:t>
            </w:r>
          </w:p>
          <w:p w14:paraId="7FE1C2F8" w14:textId="77777777" w:rsidR="0057131B" w:rsidRDefault="0057131B">
            <w:pPr>
              <w:spacing w:line="276" w:lineRule="auto"/>
              <w:jc w:val="both"/>
              <w:rPr>
                <w:rFonts w:ascii="Times New Roman" w:eastAsia="Calibri" w:hAnsi="Times New Roman" w:cs="Times New Roman"/>
                <w:strike/>
                <w:sz w:val="20"/>
              </w:rPr>
            </w:pPr>
          </w:p>
        </w:tc>
        <w:tc>
          <w:tcPr>
            <w:tcW w:w="7938" w:type="dxa"/>
          </w:tcPr>
          <w:p w14:paraId="7FE1C2F9" w14:textId="77777777" w:rsidR="0057131B" w:rsidRDefault="00355A1C">
            <w:pPr>
              <w:pStyle w:val="P68B1DB1-Normal49"/>
              <w:spacing w:before="120" w:after="120" w:line="276" w:lineRule="auto"/>
              <w:rPr>
                <w:bCs/>
                <w:iCs/>
              </w:rPr>
            </w:pPr>
            <w:r>
              <w:t xml:space="preserve">Motståndskraft mot resolution </w:t>
            </w:r>
          </w:p>
          <w:p w14:paraId="7FE1C2FA" w14:textId="77777777" w:rsidR="0057131B" w:rsidRDefault="00355A1C">
            <w:pPr>
              <w:pStyle w:val="P68B1DB1-NormalWeb59"/>
              <w:spacing w:before="0" w:beforeAutospacing="0" w:after="0" w:afterAutospacing="0"/>
              <w:rPr>
                <w:iCs/>
                <w:szCs w:val="20"/>
              </w:rPr>
            </w:pPr>
            <w:r>
              <w:rPr>
                <w:szCs w:val="20"/>
              </w:rPr>
              <w:t xml:space="preserve">Bedömningen av huruvida det avtal som stöder den tjänst som rapporteras i kolumn 0020 kan fortsätta och överföras under genomförandet av resolutionsstrategin, inbegripet omstruktureringsplanen för verksamheten, </w:t>
            </w:r>
            <w:r>
              <w:t>i enlighet med EBA/GL/2022/01 och relevant nationell lagstiftning.</w:t>
            </w:r>
          </w:p>
          <w:p w14:paraId="7FE1C2FB" w14:textId="77777777" w:rsidR="0057131B" w:rsidRDefault="0057131B">
            <w:pPr>
              <w:spacing w:line="276" w:lineRule="auto"/>
              <w:jc w:val="both"/>
              <w:rPr>
                <w:rFonts w:ascii="Times New Roman" w:eastAsia="Calibri" w:hAnsi="Times New Roman" w:cs="Times New Roman"/>
                <w:iCs/>
                <w:sz w:val="20"/>
                <w:szCs w:val="20"/>
              </w:rPr>
            </w:pPr>
          </w:p>
        </w:tc>
      </w:tr>
      <w:tr w:rsidR="0057131B" w14:paraId="7FE1C30C" w14:textId="77777777">
        <w:trPr>
          <w:trHeight w:val="2120"/>
        </w:trPr>
        <w:tc>
          <w:tcPr>
            <w:tcW w:w="1129" w:type="dxa"/>
          </w:tcPr>
          <w:p w14:paraId="7FE1C2FD" w14:textId="77777777" w:rsidR="0057131B" w:rsidRDefault="00355A1C">
            <w:pPr>
              <w:pStyle w:val="P68B1DB1-Normal45"/>
              <w:spacing w:line="276" w:lineRule="auto"/>
              <w:jc w:val="both"/>
            </w:pPr>
            <w:r>
              <w:lastRenderedPageBreak/>
              <w:t>0150</w:t>
            </w:r>
          </w:p>
        </w:tc>
        <w:tc>
          <w:tcPr>
            <w:tcW w:w="7938" w:type="dxa"/>
          </w:tcPr>
          <w:p w14:paraId="7FE1C2FE" w14:textId="77777777" w:rsidR="0057131B" w:rsidRDefault="00355A1C">
            <w:pPr>
              <w:pStyle w:val="P68B1DB1-Normal55"/>
              <w:spacing w:line="276" w:lineRule="auto"/>
              <w:jc w:val="both"/>
              <w:rPr>
                <w:bCs/>
              </w:rPr>
            </w:pPr>
            <w:r>
              <w:rPr>
                <w:szCs w:val="20"/>
              </w:rPr>
              <w:t>Egenskaper för resolutionsresiliens</w:t>
            </w:r>
            <w:r>
              <w:t xml:space="preserve"> </w:t>
            </w:r>
          </w:p>
          <w:p w14:paraId="7FE1C2FF" w14:textId="77777777" w:rsidR="0057131B" w:rsidRDefault="00355A1C">
            <w:pPr>
              <w:pStyle w:val="P68B1DB1-Normal50"/>
              <w:spacing w:line="276" w:lineRule="auto"/>
              <w:jc w:val="both"/>
              <w:rPr>
                <w:iCs/>
              </w:rPr>
            </w:pPr>
            <w:r>
              <w:t>Resolutionståliga egenskaper är fastigheter som ett relevant tjänstekontrakt förväntas ha för att anses vara resolutionsmotståndskraftigt. De omfattar följande, förutsatt att de väsentliga skyldigheterna enligt avtalet fortsätter att uppfyllas:</w:t>
            </w:r>
          </w:p>
          <w:p w14:paraId="7FE1C300" w14:textId="77777777" w:rsidR="0057131B" w:rsidRDefault="00355A1C">
            <w:pPr>
              <w:pStyle w:val="P68B1DB1-ListParagraph60"/>
              <w:numPr>
                <w:ilvl w:val="0"/>
                <w:numId w:val="240"/>
              </w:numPr>
              <w:spacing w:line="276" w:lineRule="auto"/>
              <w:ind w:left="500"/>
              <w:contextualSpacing/>
              <w:jc w:val="both"/>
              <w:rPr>
                <w:iCs/>
              </w:rPr>
            </w:pPr>
            <w:r>
              <w:t xml:space="preserve">Avtalen får inte sägas upp, upphävas eller ändras på grund av resolution (inbegripet omstrukturering enligt artikel 51 i direktiv 2014/59/EU). </w:t>
            </w:r>
          </w:p>
          <w:p w14:paraId="7FE1C301" w14:textId="77777777" w:rsidR="0057131B" w:rsidRDefault="00355A1C">
            <w:pPr>
              <w:pStyle w:val="P68B1DB1-ListParagraph60"/>
              <w:numPr>
                <w:ilvl w:val="0"/>
                <w:numId w:val="240"/>
              </w:numPr>
              <w:spacing w:line="276" w:lineRule="auto"/>
              <w:ind w:left="500"/>
              <w:contextualSpacing/>
              <w:jc w:val="both"/>
              <w:rPr>
                <w:iCs/>
              </w:rPr>
            </w:pPr>
            <w:r>
              <w:t xml:space="preserve">Möjligheten för tjänstemottagaren eller resolutionsmyndigheten att överföra tillhandahållandet av tjänsten till en ny mottagare på grund av resolution (inbegripet omorganisation enligt artikel 51 i direktiv 2014/59/EU). </w:t>
            </w:r>
          </w:p>
          <w:p w14:paraId="7FE1C302" w14:textId="77777777" w:rsidR="0057131B" w:rsidRDefault="00355A1C">
            <w:pPr>
              <w:pStyle w:val="P68B1DB1-ListParagraph60"/>
              <w:numPr>
                <w:ilvl w:val="0"/>
                <w:numId w:val="240"/>
              </w:numPr>
              <w:spacing w:line="276" w:lineRule="auto"/>
              <w:ind w:left="500"/>
              <w:contextualSpacing/>
              <w:jc w:val="both"/>
              <w:rPr>
                <w:iCs/>
              </w:rPr>
            </w:pPr>
            <w:r>
              <w:t>stöd vid överföring eller avslutande som sker under resolution (inbegripet omorganisation enligt artikel 51 i direktiv 2014/59/EU) under en rimlig period (t.ex. 24 månader) av den nuvarande tjänsteleverantören och på samma villkor. och</w:t>
            </w:r>
          </w:p>
          <w:p w14:paraId="7FE1C303" w14:textId="77777777" w:rsidR="0057131B" w:rsidRDefault="00355A1C">
            <w:pPr>
              <w:pStyle w:val="P68B1DB1-ListParagraph60"/>
              <w:numPr>
                <w:ilvl w:val="0"/>
                <w:numId w:val="240"/>
              </w:numPr>
              <w:spacing w:line="276" w:lineRule="auto"/>
              <w:ind w:left="500"/>
              <w:contextualSpacing/>
              <w:jc w:val="both"/>
              <w:rPr>
                <w:iCs/>
              </w:rPr>
            </w:pPr>
            <w:r>
              <w:t>Fortsatt tillhandahållande av tjänster till en avyttrad enhet vid resolution (inbegripet rekonstruktion enligt artikel 51 i direktiv 2014/59/EU), under en rimlig tidsperiod efter avyttringen – t.ex. 24 månader.</w:t>
            </w:r>
          </w:p>
          <w:p w14:paraId="7FE1C304" w14:textId="77777777" w:rsidR="0057131B" w:rsidRDefault="00355A1C">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Detta gäller avtal för vilka den tillämpliga lagen och behörigheten för avtalet är lagen i en EU-medlemsstat</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(EU-avtal) och avtal på vilka tredjelandets lagstiftning är tillämplig.</w:t>
            </w:r>
          </w:p>
          <w:p w14:paraId="7FE1C305" w14:textId="77777777" w:rsidR="0057131B" w:rsidRDefault="0057131B">
            <w:pPr>
              <w:spacing w:line="276" w:lineRule="auto"/>
              <w:jc w:val="both"/>
              <w:rPr>
                <w:rFonts w:ascii="Times New Roman" w:eastAsia="Calibri" w:hAnsi="Times New Roman" w:cs="Times New Roman"/>
                <w:sz w:val="20"/>
              </w:rPr>
            </w:pPr>
          </w:p>
          <w:p w14:paraId="7FE1C306" w14:textId="77777777" w:rsidR="0057131B" w:rsidRDefault="00355A1C">
            <w:pPr>
              <w:pStyle w:val="P68B1DB1-Normal45"/>
              <w:spacing w:line="276" w:lineRule="auto"/>
              <w:jc w:val="both"/>
            </w:pPr>
            <w:r>
              <w:t>Redovisa ett av följande värden:</w:t>
            </w:r>
          </w:p>
          <w:p w14:paraId="7FE1C307" w14:textId="77777777" w:rsidR="0057131B" w:rsidRDefault="00355A1C">
            <w:pPr>
              <w:pStyle w:val="P68B1DB1-Normal50"/>
              <w:spacing w:line="276" w:lineRule="auto"/>
              <w:jc w:val="both"/>
            </w:pPr>
            <w:r>
              <w:t>”Ja” – om avtalet bedöms vara</w:t>
            </w:r>
            <w:r>
              <w:rPr>
                <w:strike/>
              </w:rPr>
              <w:t>resolutionssäkert</w:t>
            </w:r>
            <w:r>
              <w:t>.</w:t>
            </w:r>
          </w:p>
          <w:p w14:paraId="7FE1C308" w14:textId="77777777" w:rsidR="0057131B" w:rsidRDefault="00355A1C">
            <w:pPr>
              <w:pStyle w:val="P68B1DB1-Normal50"/>
              <w:spacing w:line="276" w:lineRule="auto"/>
              <w:jc w:val="both"/>
            </w:pPr>
            <w:r>
              <w:t>”Nej” – om avtalet inte bedöms vara</w:t>
            </w:r>
            <w:r>
              <w:rPr>
                <w:strike/>
              </w:rPr>
              <w:t xml:space="preserve"> resolutionssäkert</w:t>
            </w:r>
            <w:r>
              <w:t>.</w:t>
            </w:r>
          </w:p>
          <w:p w14:paraId="7FE1C309" w14:textId="77777777" w:rsidR="0057131B" w:rsidRDefault="00355A1C">
            <w:pPr>
              <w:pStyle w:val="P68B1DB1-Normal50"/>
              <w:spacing w:line="276" w:lineRule="auto"/>
              <w:jc w:val="both"/>
            </w:pPr>
            <w:r>
              <w:t>”Ej bedömt” – om ingen bedömning gjorts.</w:t>
            </w:r>
          </w:p>
          <w:p w14:paraId="7FE1C30A" w14:textId="5741BAA8" w:rsidR="0057131B" w:rsidRDefault="00355A1C">
            <w:pPr>
              <w:pStyle w:val="P68B1DB1-Normal50"/>
              <w:spacing w:line="276" w:lineRule="auto"/>
              <w:jc w:val="both"/>
            </w:pPr>
            <w:r>
              <w:t>”Ej TILLÄMPLIGT” – för tjänster inom enheten</w:t>
            </w:r>
          </w:p>
          <w:p w14:paraId="7FE1C30B" w14:textId="77777777" w:rsidR="0057131B" w:rsidRDefault="0057131B">
            <w:pPr>
              <w:spacing w:line="276" w:lineRule="auto"/>
              <w:jc w:val="both"/>
              <w:rPr>
                <w:rFonts w:ascii="Times New Roman" w:eastAsia="Calibri" w:hAnsi="Times New Roman" w:cs="Times New Roman"/>
                <w:sz w:val="20"/>
              </w:rPr>
            </w:pPr>
          </w:p>
        </w:tc>
      </w:tr>
      <w:tr w:rsidR="0057131B" w14:paraId="7FE1C316" w14:textId="77777777">
        <w:trPr>
          <w:trHeight w:val="2120"/>
        </w:trPr>
        <w:tc>
          <w:tcPr>
            <w:tcW w:w="1129" w:type="dxa"/>
          </w:tcPr>
          <w:p w14:paraId="7FE1C30D" w14:textId="77777777" w:rsidR="0057131B" w:rsidRDefault="00355A1C">
            <w:pPr>
              <w:pStyle w:val="P68B1DB1-Normal45"/>
              <w:spacing w:line="276" w:lineRule="auto"/>
              <w:jc w:val="both"/>
            </w:pPr>
            <w:r>
              <w:t>0160</w:t>
            </w:r>
          </w:p>
        </w:tc>
        <w:tc>
          <w:tcPr>
            <w:tcW w:w="7938" w:type="dxa"/>
          </w:tcPr>
          <w:p w14:paraId="7FE1C30E" w14:textId="77777777" w:rsidR="0057131B" w:rsidRDefault="00355A1C">
            <w:pPr>
              <w:pStyle w:val="P68B1DB1-Normal55"/>
              <w:spacing w:line="276" w:lineRule="auto"/>
              <w:jc w:val="both"/>
              <w:rPr>
                <w:bCs/>
                <w:iCs/>
              </w:rPr>
            </w:pPr>
            <w:r>
              <w:t>Omstruktureringsplan för företag (BRP)</w:t>
            </w:r>
          </w:p>
          <w:p w14:paraId="7FE1C30F" w14:textId="77777777" w:rsidR="0057131B" w:rsidRDefault="00355A1C">
            <w:pPr>
              <w:pStyle w:val="P68B1DB1-Normal45"/>
              <w:spacing w:line="276" w:lineRule="auto"/>
              <w:jc w:val="both"/>
              <w:rPr>
                <w:iCs/>
              </w:rPr>
            </w:pPr>
            <w:r>
              <w:t xml:space="preserve">Om resolutionsstrategin (antingen rekommenderad eller alternativ) kräver en omorganiseringsplan för verksamheten (BRP) förväntas EU-avtalen innehålla uttryckliga klausuler för att säkerställa deras resolutionsresiliens i genomförandet av BRP. </w:t>
            </w:r>
          </w:p>
          <w:p w14:paraId="7FE1C310" w14:textId="77777777" w:rsidR="0057131B" w:rsidRDefault="0057131B">
            <w:pPr>
              <w:spacing w:line="276" w:lineRule="auto"/>
              <w:jc w:val="both"/>
              <w:rPr>
                <w:rFonts w:ascii="Times New Roman" w:eastAsia="Calibri" w:hAnsi="Times New Roman" w:cs="Times New Roman"/>
                <w:iCs/>
                <w:sz w:val="20"/>
              </w:rPr>
            </w:pPr>
          </w:p>
          <w:p w14:paraId="7FE1C311" w14:textId="77777777" w:rsidR="0057131B" w:rsidRDefault="00355A1C">
            <w:pPr>
              <w:pStyle w:val="P68B1DB1-Normal45"/>
              <w:spacing w:line="276" w:lineRule="auto"/>
              <w:jc w:val="both"/>
              <w:rPr>
                <w:iCs/>
              </w:rPr>
            </w:pPr>
            <w:r>
              <w:t>Redovisa ett av följande värden:</w:t>
            </w:r>
          </w:p>
          <w:p w14:paraId="7FE1C312" w14:textId="77777777"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om avtalet innehåller uttryckliga klausuler för att säkerställa deras resolutionsresiliens vid genomförandet av BRP</w:t>
            </w:r>
          </w:p>
          <w:p w14:paraId="7FE1C313" w14:textId="77777777"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Nej” – om avtalet inte innehåller uttryckliga klausuler för att säkerställa deras resolutionsresiliens i genomförandet av BRP</w:t>
            </w:r>
          </w:p>
          <w:p w14:paraId="7FE1C314" w14:textId="77777777"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Ej bedömt” – om ingen bedömning gjorts.</w:t>
            </w:r>
          </w:p>
          <w:p w14:paraId="7FE1C315" w14:textId="0FA2A696"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”Ej</w:t>
            </w:r>
            <w:r>
              <w:rPr>
                <w:rFonts w:ascii="Times New Roman" w:eastAsia="Calibri" w:hAnsi="Times New Roman" w:cs="Times New Roman"/>
                <w:sz w:val="20"/>
              </w:rPr>
              <w:t>TILLÄMPLIGT” – för tjänster inom enheten eller för koncerninterna och externa tjänster, om resolutionsstrategin (rekommenderad och variant) inte kräver en omstruktureringsplan för verksamheten</w:t>
            </w:r>
            <w:r>
              <w:rPr>
                <w:rFonts w:ascii="Times New Roman" w:hAnsi="Times New Roman" w:cs="Times New Roman"/>
              </w:rPr>
              <w:t>.</w:t>
            </w:r>
          </w:p>
        </w:tc>
      </w:tr>
      <w:tr w:rsidR="0057131B" w14:paraId="7FE1C320" w14:textId="77777777">
        <w:trPr>
          <w:trHeight w:val="416"/>
        </w:trPr>
        <w:tc>
          <w:tcPr>
            <w:tcW w:w="1129" w:type="dxa"/>
          </w:tcPr>
          <w:p w14:paraId="7FE1C317" w14:textId="77777777" w:rsidR="0057131B" w:rsidRDefault="00355A1C">
            <w:pPr>
              <w:pStyle w:val="P68B1DB1-Normal45"/>
              <w:spacing w:line="276" w:lineRule="auto"/>
              <w:jc w:val="both"/>
            </w:pPr>
            <w:r>
              <w:t>0170</w:t>
            </w:r>
          </w:p>
        </w:tc>
        <w:tc>
          <w:tcPr>
            <w:tcW w:w="7938" w:type="dxa"/>
          </w:tcPr>
          <w:p w14:paraId="7FE1C318" w14:textId="77777777" w:rsidR="0057131B" w:rsidRDefault="00355A1C">
            <w:pPr>
              <w:pStyle w:val="P68B1DB1-Normal55"/>
              <w:spacing w:line="276" w:lineRule="auto"/>
              <w:jc w:val="both"/>
              <w:rPr>
                <w:bCs/>
              </w:rPr>
            </w:pPr>
            <w:r>
              <w:t xml:space="preserve">Alternativa riskreducerande åtgärder </w:t>
            </w:r>
          </w:p>
          <w:p w14:paraId="7FE1C319" w14:textId="77777777" w:rsidR="0057131B" w:rsidRDefault="00355A1C">
            <w:pPr>
              <w:pStyle w:val="P68B1DB1-Normal45"/>
              <w:spacing w:line="276" w:lineRule="auto"/>
              <w:jc w:val="both"/>
            </w:pPr>
            <w:r>
              <w:t xml:space="preserve">Om motståndskraften mot resolution förväntas uppnås, men bankerna inte har kunnat göra det, förväntas bankerna undersöka alternativa riskreducerande åtgärder. </w:t>
            </w:r>
          </w:p>
          <w:p w14:paraId="7FE1C31A" w14:textId="77777777" w:rsidR="0057131B" w:rsidRDefault="0057131B">
            <w:pPr>
              <w:spacing w:line="276" w:lineRule="auto"/>
              <w:jc w:val="both"/>
              <w:rPr>
                <w:rFonts w:ascii="Times New Roman" w:eastAsia="Calibri" w:hAnsi="Times New Roman" w:cs="Times New Roman"/>
                <w:sz w:val="20"/>
              </w:rPr>
            </w:pPr>
          </w:p>
          <w:p w14:paraId="7FE1C31B" w14:textId="77777777" w:rsidR="0057131B" w:rsidRDefault="00355A1C">
            <w:pPr>
              <w:pStyle w:val="P68B1DB1-Normal45"/>
              <w:spacing w:line="276" w:lineRule="auto"/>
              <w:jc w:val="both"/>
              <w:rPr>
                <w:iCs/>
              </w:rPr>
            </w:pPr>
            <w:r>
              <w:t>Redovisa ett av följande värden:</w:t>
            </w:r>
          </w:p>
          <w:p w14:paraId="7FE1C31C" w14:textId="77777777"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om banken har vidtagit alternativa riskreducerande åtgärder</w:t>
            </w:r>
          </w:p>
          <w:p w14:paraId="7FE1C31D" w14:textId="77777777"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Nej” – om banken inte har vidtagit alternativa riskreducerande åtgärder</w:t>
            </w:r>
          </w:p>
          <w:p w14:paraId="7FE1C31E" w14:textId="7B22C50F" w:rsidR="0057131B" w:rsidRDefault="00355A1C">
            <w:pPr>
              <w:spacing w:line="276" w:lineRule="auto"/>
              <w:jc w:val="both"/>
              <w:rPr>
                <w:rFonts w:ascii="Times New Roman" w:eastAsia="Calibri" w:hAnsi="Times New Roman" w:cs="Times New Roman"/>
                <w:iCs/>
                <w:sz w:val="20"/>
              </w:rPr>
            </w:pPr>
            <w:r>
              <w:rPr>
                <w:rFonts w:ascii="Times New Roman" w:hAnsi="Times New Roman" w:cs="Times New Roman"/>
              </w:rPr>
              <w:t xml:space="preserve"> ”Ej</w:t>
            </w:r>
            <w:r>
              <w:rPr>
                <w:rFonts w:ascii="Times New Roman" w:eastAsia="Calibri" w:hAnsi="Times New Roman" w:cs="Times New Roman"/>
                <w:sz w:val="20"/>
              </w:rPr>
              <w:t>TILLÄMPLIGT” – om någon av kolumnerna 0150, 0160 är markerad med ”Ja” eller ”INTE APPLICABLE”</w:t>
            </w:r>
          </w:p>
          <w:p w14:paraId="7FE1C31F" w14:textId="77777777" w:rsidR="0057131B" w:rsidRDefault="0057131B">
            <w:pPr>
              <w:spacing w:line="276" w:lineRule="auto"/>
              <w:jc w:val="both"/>
              <w:rPr>
                <w:rFonts w:ascii="Times New Roman" w:eastAsia="Calibri" w:hAnsi="Times New Roman" w:cs="Times New Roman"/>
                <w:sz w:val="20"/>
              </w:rPr>
            </w:pPr>
          </w:p>
        </w:tc>
      </w:tr>
      <w:tr w:rsidR="0057131B" w14:paraId="7FE1C327" w14:textId="77777777">
        <w:trPr>
          <w:trHeight w:val="1257"/>
        </w:trPr>
        <w:tc>
          <w:tcPr>
            <w:tcW w:w="1129" w:type="dxa"/>
          </w:tcPr>
          <w:p w14:paraId="7FE1C321" w14:textId="77777777" w:rsidR="0057131B" w:rsidRDefault="00355A1C">
            <w:pPr>
              <w:pStyle w:val="P68B1DB1-Normal45"/>
              <w:spacing w:line="276" w:lineRule="auto"/>
              <w:jc w:val="both"/>
            </w:pPr>
            <w:r>
              <w:lastRenderedPageBreak/>
              <w:t>0180</w:t>
            </w:r>
          </w:p>
        </w:tc>
        <w:tc>
          <w:tcPr>
            <w:tcW w:w="7938" w:type="dxa"/>
          </w:tcPr>
          <w:p w14:paraId="7FE1C322" w14:textId="77777777" w:rsidR="0057131B" w:rsidRDefault="00355A1C">
            <w:pPr>
              <w:pStyle w:val="P68B1DB1-Normal55"/>
              <w:spacing w:line="276" w:lineRule="auto"/>
              <w:jc w:val="both"/>
              <w:rPr>
                <w:iCs/>
              </w:rPr>
            </w:pPr>
            <w:r>
              <w:rPr>
                <w:szCs w:val="20"/>
              </w:rPr>
              <w:t>Kritisk tredjepartsleverantör av IKT-tjänster enligt DORA</w:t>
            </w:r>
            <w:r>
              <w:t xml:space="preserve"> </w:t>
            </w:r>
          </w:p>
          <w:p w14:paraId="7FE1C323" w14:textId="77777777" w:rsidR="0057131B" w:rsidRDefault="00355A1C">
            <w:pPr>
              <w:pStyle w:val="P68B1DB1-Normal45"/>
              <w:spacing w:line="276" w:lineRule="auto"/>
              <w:jc w:val="both"/>
              <w:rPr>
                <w:iCs/>
              </w:rPr>
            </w:pPr>
            <w:r>
              <w:t>Redovisa ett av följande värden:</w:t>
            </w:r>
          </w:p>
          <w:p w14:paraId="7FE1C324" w14:textId="77777777" w:rsidR="0057131B" w:rsidRDefault="00355A1C">
            <w:pPr>
              <w:pStyle w:val="P68B1DB1-Normal50"/>
              <w:spacing w:line="276" w:lineRule="auto"/>
              <w:jc w:val="both"/>
            </w:pPr>
            <w:r>
              <w:t>”Ja” – om detta är en kritisk tredjepartsleverantör av IKT-tjänster enligt artikel 3.23 i förordning 2022/2554 (DORA)</w:t>
            </w:r>
          </w:p>
          <w:p w14:paraId="7FE1C325" w14:textId="77777777" w:rsidR="0057131B" w:rsidRDefault="00355A1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Nej” – om detta inte är en kritisk tredjepartsleverantör av IKT-tjänster enligt artikel 3.23 i förordning 2022/2554 (DORA</w:t>
            </w:r>
            <w:r>
              <w:rPr>
                <w:rFonts w:ascii="Times New Roman" w:hAnsi="Times New Roman" w:cs="Times New Roman"/>
              </w:rPr>
              <w:t>)</w:t>
            </w:r>
          </w:p>
          <w:p w14:paraId="7FE1C326" w14:textId="77777777" w:rsidR="0057131B" w:rsidRDefault="0057131B">
            <w:pPr>
              <w:spacing w:line="276" w:lineRule="auto"/>
              <w:jc w:val="both"/>
              <w:rPr>
                <w:rFonts w:ascii="Times New Roman" w:eastAsia="Calibri" w:hAnsi="Times New Roman" w:cs="Times New Roman"/>
                <w:sz w:val="20"/>
              </w:rPr>
            </w:pPr>
          </w:p>
        </w:tc>
      </w:tr>
      <w:tr w:rsidR="0057131B" w14:paraId="7FE1C32E" w14:textId="77777777">
        <w:trPr>
          <w:trHeight w:val="1257"/>
        </w:trPr>
        <w:tc>
          <w:tcPr>
            <w:tcW w:w="1129" w:type="dxa"/>
          </w:tcPr>
          <w:p w14:paraId="7FE1C328" w14:textId="77777777" w:rsidR="0057131B" w:rsidRDefault="00355A1C">
            <w:pPr>
              <w:pStyle w:val="P68B1DB1-Normal45"/>
              <w:spacing w:line="276" w:lineRule="auto"/>
              <w:jc w:val="both"/>
            </w:pPr>
            <w:r>
              <w:t>0190</w:t>
            </w:r>
          </w:p>
        </w:tc>
        <w:tc>
          <w:tcPr>
            <w:tcW w:w="7938" w:type="dxa"/>
          </w:tcPr>
          <w:p w14:paraId="7FE1C329" w14:textId="77777777" w:rsidR="0057131B" w:rsidRDefault="00355A1C">
            <w:pPr>
              <w:pStyle w:val="P68B1DB1-Normal55"/>
              <w:spacing w:line="276" w:lineRule="auto"/>
              <w:jc w:val="both"/>
              <w:rPr>
                <w:iCs/>
              </w:rPr>
            </w:pPr>
            <w:r>
              <w:rPr>
                <w:szCs w:val="20"/>
              </w:rPr>
              <w:t>IKT-tjänst inom ramen för DORA</w:t>
            </w:r>
            <w:r>
              <w:t xml:space="preserve"> </w:t>
            </w:r>
          </w:p>
          <w:p w14:paraId="7FE1C32A" w14:textId="77777777" w:rsidR="0057131B" w:rsidRDefault="00355A1C">
            <w:pPr>
              <w:pStyle w:val="P68B1DB1-Normal45"/>
              <w:spacing w:line="276" w:lineRule="auto"/>
              <w:jc w:val="both"/>
              <w:rPr>
                <w:iCs/>
              </w:rPr>
            </w:pPr>
            <w:r>
              <w:t>Redovisa ett av följande värden:</w:t>
            </w:r>
          </w:p>
          <w:p w14:paraId="7FE1C32B" w14:textId="3A99D278" w:rsidR="0057131B" w:rsidRDefault="00355A1C">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 – om detta är en IKT-tjänst enligt artikel 3.21 i förordning</w:t>
            </w:r>
            <w:r>
              <w:rPr>
                <w:rStyle w:val="FootnoteReference"/>
                <w:rFonts w:eastAsia="Calibri" w:cs="Times New Roman"/>
              </w:rPr>
              <w:footnoteReference w:id="27"/>
            </w:r>
            <w:r>
              <w:rPr>
                <w:rFonts w:ascii="Times New Roman" w:eastAsia="Calibri" w:hAnsi="Times New Roman" w:cs="Times New Roman"/>
                <w:sz w:val="20"/>
                <w:szCs w:val="20"/>
              </w:rPr>
              <w:t xml:space="preserve"> 2022/2554 (DORA)</w:t>
            </w:r>
          </w:p>
          <w:p w14:paraId="7FE1C32C" w14:textId="77777777" w:rsidR="0057131B" w:rsidRDefault="00355A1C">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Nej” – om detta inte är en IKT-tjänst enligt artikel 3.21 i förordning 2022/2554 (DORA</w:t>
            </w:r>
            <w:r>
              <w:rPr>
                <w:rFonts w:ascii="Times New Roman" w:hAnsi="Times New Roman" w:cs="Times New Roman"/>
              </w:rPr>
              <w:t>)</w:t>
            </w:r>
          </w:p>
          <w:p w14:paraId="7FE1C32D" w14:textId="77777777" w:rsidR="0057131B" w:rsidRDefault="0057131B">
            <w:pPr>
              <w:spacing w:line="276" w:lineRule="auto"/>
              <w:jc w:val="both"/>
              <w:rPr>
                <w:rFonts w:ascii="Times New Roman" w:eastAsia="Calibri" w:hAnsi="Times New Roman" w:cs="Times New Roman"/>
                <w:iCs/>
                <w:sz w:val="20"/>
              </w:rPr>
            </w:pPr>
          </w:p>
        </w:tc>
      </w:tr>
    </w:tbl>
    <w:p w14:paraId="7FE1C32F" w14:textId="77777777" w:rsidR="0057131B" w:rsidRDefault="0057131B">
      <w:pPr>
        <w:spacing w:line="276" w:lineRule="auto"/>
        <w:jc w:val="both"/>
        <w:rPr>
          <w:rFonts w:ascii="Times New Roman" w:eastAsia="Calibri" w:hAnsi="Times New Roman" w:cs="Times New Roman"/>
          <w:color w:val="0070C0"/>
          <w:sz w:val="20"/>
        </w:rPr>
      </w:pPr>
    </w:p>
    <w:p w14:paraId="7FE1C478" w14:textId="77777777" w:rsidR="0057131B" w:rsidRDefault="0057131B">
      <w:pPr>
        <w:rPr>
          <w:rFonts w:ascii="Times New Roman" w:eastAsia="Times New Roman" w:hAnsi="Times New Roman" w:cs="Times New Roman"/>
          <w:sz w:val="20"/>
          <w:szCs w:val="20"/>
          <w:u w:val="single"/>
        </w:rPr>
      </w:pPr>
    </w:p>
    <w:p w14:paraId="7FE1C479" w14:textId="77777777" w:rsidR="0057131B" w:rsidRDefault="0057131B">
      <w:pPr>
        <w:rPr>
          <w:rFonts w:ascii="Times New Roman" w:eastAsia="Times New Roman" w:hAnsi="Times New Roman" w:cs="Times New Roman"/>
          <w:sz w:val="20"/>
          <w:szCs w:val="20"/>
          <w:u w:val="single"/>
        </w:rPr>
      </w:pPr>
    </w:p>
    <w:p w14:paraId="7FE1C47A" w14:textId="77777777" w:rsidR="0057131B" w:rsidRDefault="00355A1C">
      <w:pPr>
        <w:pStyle w:val="P68B1DB1-Instructionsberschrift25"/>
        <w:numPr>
          <w:ilvl w:val="1"/>
          <w:numId w:val="49"/>
        </w:numPr>
        <w:ind w:left="357" w:hanging="357"/>
        <w:rPr>
          <w:szCs w:val="20"/>
        </w:rPr>
      </w:pPr>
      <w:bookmarkStart w:id="128" w:name="_Toc210901303"/>
      <w:r>
        <w:t>Z 08.02 – Relevanta tjänster – kartläggning av operativa tillgångar (SERV 2)</w:t>
      </w:r>
      <w:bookmarkEnd w:id="128"/>
    </w:p>
    <w:p w14:paraId="7FE1C47B" w14:textId="77777777" w:rsidR="0057131B" w:rsidRDefault="00355A1C">
      <w:pPr>
        <w:pStyle w:val="P68B1DB1-Normal50"/>
        <w:spacing w:line="276" w:lineRule="auto"/>
        <w:jc w:val="both"/>
      </w:pPr>
      <w:r>
        <w:t>Allmänna instruktioner</w:t>
      </w:r>
    </w:p>
    <w:p w14:paraId="7FE1C47C" w14:textId="77777777" w:rsidR="0057131B" w:rsidRDefault="00355A1C">
      <w:pPr>
        <w:pStyle w:val="P68B1DB1-Instructionsberschrift346"/>
        <w:numPr>
          <w:ilvl w:val="4"/>
          <w:numId w:val="259"/>
        </w:numPr>
        <w:contextualSpacing/>
        <w:jc w:val="both"/>
        <w:rPr>
          <w:color w:val="auto"/>
        </w:rPr>
      </w:pPr>
      <w:bookmarkStart w:id="129" w:name="_Hlk161330001"/>
      <w:r>
        <w:rPr>
          <w:color w:val="auto"/>
          <w:szCs w:val="24"/>
        </w:rPr>
        <w:t>Information i denna mall ska redovisas en gång för hela koncernen, den ska innehålla en lista över de relevanta tjänster som enheterna i koncernen har tagit emot och dessa ska kopplas till de relevanta operativa tillgångar</w:t>
      </w:r>
      <w:r>
        <w:t>.</w:t>
      </w:r>
    </w:p>
    <w:p w14:paraId="7FE1C47D" w14:textId="790BE864" w:rsidR="0057131B" w:rsidRDefault="00355A1C">
      <w:pPr>
        <w:pStyle w:val="P68B1DB1-Instructionsberschrift348"/>
        <w:numPr>
          <w:ilvl w:val="4"/>
          <w:numId w:val="49"/>
        </w:numPr>
        <w:contextualSpacing/>
        <w:jc w:val="both"/>
        <w:rPr>
          <w:color w:val="auto"/>
        </w:rPr>
      </w:pPr>
      <w:r>
        <w:t>Värdena som redovisas i kolumnerna 0010, 0020, 0030 och 0080 i denna mall utgör en primärnyckel som måste vara unik för varje rad i mallen.</w:t>
      </w:r>
    </w:p>
    <w:bookmarkEnd w:id="129"/>
    <w:p w14:paraId="7FE1C482" w14:textId="77777777" w:rsidR="0057131B" w:rsidRDefault="0057131B">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57131B" w14:paraId="7FE1C54A" w14:textId="77777777">
        <w:trPr>
          <w:trHeight w:val="495"/>
          <w:tblHeader/>
        </w:trPr>
        <w:tc>
          <w:tcPr>
            <w:tcW w:w="1418" w:type="dxa"/>
            <w:shd w:val="clear" w:color="auto" w:fill="E7E6E6"/>
          </w:tcPr>
          <w:p w14:paraId="7FE1C548" w14:textId="77777777" w:rsidR="0057131B" w:rsidRDefault="00355A1C">
            <w:pPr>
              <w:pStyle w:val="P68B1DB1-Normal61"/>
              <w:spacing w:before="120" w:after="120" w:line="276" w:lineRule="auto"/>
            </w:pPr>
            <w:r>
              <w:t>Kolumner</w:t>
            </w:r>
          </w:p>
        </w:tc>
        <w:tc>
          <w:tcPr>
            <w:tcW w:w="7791" w:type="dxa"/>
            <w:shd w:val="clear" w:color="auto" w:fill="E7E6E6"/>
          </w:tcPr>
          <w:p w14:paraId="7FE1C549" w14:textId="77777777" w:rsidR="0057131B" w:rsidRDefault="00355A1C">
            <w:pPr>
              <w:pStyle w:val="P68B1DB1-Normal61"/>
              <w:spacing w:before="120" w:after="120" w:line="276" w:lineRule="auto"/>
            </w:pPr>
            <w:r>
              <w:t>Anvisningar</w:t>
            </w:r>
          </w:p>
        </w:tc>
      </w:tr>
      <w:tr w:rsidR="0057131B" w14:paraId="7FE1C550" w14:textId="77777777">
        <w:trPr>
          <w:trHeight w:val="450"/>
        </w:trPr>
        <w:tc>
          <w:tcPr>
            <w:tcW w:w="1418" w:type="dxa"/>
            <w:shd w:val="clear" w:color="auto" w:fill="FFFFFF" w:themeFill="background1"/>
          </w:tcPr>
          <w:p w14:paraId="7FE1C54B" w14:textId="77777777" w:rsidR="0057131B" w:rsidRDefault="00355A1C">
            <w:pPr>
              <w:pStyle w:val="P68B1DB1-Normal62"/>
              <w:spacing w:before="120" w:after="120" w:line="276" w:lineRule="auto"/>
            </w:pPr>
            <w:r>
              <w:t>0005</w:t>
            </w:r>
          </w:p>
        </w:tc>
        <w:tc>
          <w:tcPr>
            <w:tcW w:w="7791" w:type="dxa"/>
            <w:shd w:val="clear" w:color="auto" w:fill="FFFFFF" w:themeFill="background1"/>
          </w:tcPr>
          <w:p w14:paraId="7FE1C54C" w14:textId="77777777" w:rsidR="0057131B" w:rsidRDefault="00355A1C">
            <w:pPr>
              <w:pStyle w:val="P68B1DB1-Normal61"/>
              <w:spacing w:before="120" w:after="120" w:line="276" w:lineRule="auto"/>
            </w:pPr>
            <w:r>
              <w:t xml:space="preserve">Service Identifier (tjänsteidentifierare) </w:t>
            </w:r>
          </w:p>
          <w:p w14:paraId="7FE1C54D" w14:textId="77777777" w:rsidR="0057131B" w:rsidRDefault="00355A1C">
            <w:pPr>
              <w:pStyle w:val="P68B1DB1-Normal62"/>
              <w:spacing w:before="120" w:after="120" w:line="276" w:lineRule="auto"/>
            </w:pPr>
            <w:r>
              <w:t>Använd tjänstens identifieringskod enligt vad som rapporteras i Z 08.01 (SERV 1).</w:t>
            </w:r>
          </w:p>
          <w:p w14:paraId="7FE1C54E" w14:textId="77777777" w:rsidR="0057131B" w:rsidRDefault="00355A1C">
            <w:pPr>
              <w:pStyle w:val="P68B1DB1-Normal62"/>
              <w:spacing w:before="120" w:after="120" w:line="276" w:lineRule="auto"/>
            </w:pPr>
            <w:r>
              <w:t>Tjänstens identifieringskod avser den tjänst som rapporteras under c0020.</w:t>
            </w:r>
          </w:p>
          <w:p w14:paraId="7FE1C54F" w14:textId="77777777" w:rsidR="0057131B" w:rsidRDefault="0057131B">
            <w:pPr>
              <w:spacing w:before="120" w:after="120" w:line="276" w:lineRule="auto"/>
              <w:rPr>
                <w:rFonts w:ascii="Times New Roman" w:hAnsi="Times New Roman"/>
                <w:i/>
                <w:sz w:val="20"/>
                <w:szCs w:val="20"/>
              </w:rPr>
            </w:pPr>
          </w:p>
        </w:tc>
      </w:tr>
      <w:tr w:rsidR="0057131B" w14:paraId="7FE1C594" w14:textId="77777777">
        <w:trPr>
          <w:trHeight w:val="450"/>
        </w:trPr>
        <w:tc>
          <w:tcPr>
            <w:tcW w:w="1418" w:type="dxa"/>
            <w:shd w:val="clear" w:color="auto" w:fill="FFFFFF" w:themeFill="background1"/>
          </w:tcPr>
          <w:p w14:paraId="7FE1C551" w14:textId="77777777" w:rsidR="0057131B" w:rsidRDefault="00355A1C">
            <w:pPr>
              <w:pStyle w:val="P68B1DB1-Normal62"/>
              <w:spacing w:before="120" w:after="120" w:line="276" w:lineRule="auto"/>
            </w:pPr>
            <w:r>
              <w:t>0010</w:t>
            </w:r>
          </w:p>
        </w:tc>
        <w:tc>
          <w:tcPr>
            <w:tcW w:w="7791" w:type="dxa"/>
            <w:shd w:val="clear" w:color="auto" w:fill="FFFFFF" w:themeFill="background1"/>
          </w:tcPr>
          <w:p w14:paraId="7FE1C552" w14:textId="77777777" w:rsidR="0057131B" w:rsidRDefault="00355A1C">
            <w:pPr>
              <w:pStyle w:val="P68B1DB1-Normal61"/>
              <w:autoSpaceDE w:val="0"/>
              <w:autoSpaceDN w:val="0"/>
              <w:adjustRightInd w:val="0"/>
              <w:rPr>
                <w:rFonts w:eastAsia="MS Mincho"/>
              </w:rPr>
            </w:pPr>
            <w:r>
              <w:t xml:space="preserve">Typ av tjänst </w:t>
            </w:r>
          </w:p>
          <w:p w14:paraId="7FE1C57A" w14:textId="35040E48" w:rsidR="0057131B" w:rsidRDefault="00355A1C">
            <w:pPr>
              <w:pStyle w:val="P68B1DB1-Normal63"/>
              <w:autoSpaceDE w:val="0"/>
              <w:autoSpaceDN w:val="0"/>
              <w:adjustRightInd w:val="0"/>
            </w:pPr>
            <w:r>
              <w:t>Tjänstetypen ska vara en av de tjänstetyper som anges i Z 08.01 0010 ovan.</w:t>
            </w:r>
          </w:p>
          <w:p w14:paraId="7FE1C593" w14:textId="77777777" w:rsidR="0057131B" w:rsidRDefault="0057131B">
            <w:pPr>
              <w:autoSpaceDE w:val="0"/>
              <w:autoSpaceDN w:val="0"/>
              <w:adjustRightInd w:val="0"/>
              <w:rPr>
                <w:rFonts w:ascii="Times New Roman" w:hAnsi="Times New Roman"/>
                <w:sz w:val="20"/>
                <w:szCs w:val="20"/>
              </w:rPr>
            </w:pPr>
          </w:p>
        </w:tc>
      </w:tr>
      <w:tr w:rsidR="0057131B" w14:paraId="7FE1C599" w14:textId="77777777">
        <w:trPr>
          <w:trHeight w:val="450"/>
        </w:trPr>
        <w:tc>
          <w:tcPr>
            <w:tcW w:w="1418" w:type="dxa"/>
            <w:shd w:val="clear" w:color="auto" w:fill="FFFFFF" w:themeFill="background1"/>
          </w:tcPr>
          <w:p w14:paraId="7FE1C595" w14:textId="77777777" w:rsidR="0057131B" w:rsidRDefault="00355A1C">
            <w:pPr>
              <w:pStyle w:val="P68B1DB1-Normal62"/>
              <w:spacing w:before="120" w:after="120" w:line="276" w:lineRule="auto"/>
            </w:pPr>
            <w:r>
              <w:t>0020</w:t>
            </w:r>
          </w:p>
        </w:tc>
        <w:tc>
          <w:tcPr>
            <w:tcW w:w="7791" w:type="dxa"/>
            <w:shd w:val="clear" w:color="auto" w:fill="FFFFFF" w:themeFill="background1"/>
          </w:tcPr>
          <w:p w14:paraId="7FE1C596" w14:textId="77777777" w:rsidR="0057131B" w:rsidRDefault="00355A1C">
            <w:pPr>
              <w:pStyle w:val="P68B1DB1-Normal61"/>
              <w:spacing w:line="276" w:lineRule="auto"/>
              <w:jc w:val="both"/>
              <w:rPr>
                <w:bCs/>
              </w:rPr>
            </w:pPr>
            <w:r>
              <w:t xml:space="preserve">Unik tjänstetitel enligt banktaxonomin </w:t>
            </w:r>
          </w:p>
          <w:p w14:paraId="7FE1C597" w14:textId="31873D66" w:rsidR="0057131B" w:rsidRDefault="00355A1C">
            <w:pPr>
              <w:pStyle w:val="P68B1DB1-Normal64"/>
              <w:rPr>
                <w:rFonts w:eastAsiaTheme="minorHAnsi"/>
                <w:sz w:val="24"/>
              </w:rPr>
            </w:pPr>
            <w:r>
              <w:lastRenderedPageBreak/>
              <w:t>Namn/kort beskrivning av tjänsten enligt bankens egen stegvisa taxonomi (nivå 3) som rapporteras i Z 08.01 (SERV 1) kolumn 0020. Banken förväntas rapportera tjänsterna på en mer detaljerad nivå än den rapportering som föreskrivs för nivå 2 (c0010), så att varje enskild tjänst definieras på ett exakt och målinriktat sätt.</w:t>
            </w:r>
          </w:p>
          <w:p w14:paraId="7FE1C598" w14:textId="77777777" w:rsidR="0057131B" w:rsidRDefault="0057131B">
            <w:pPr>
              <w:spacing w:before="120" w:after="120" w:line="276" w:lineRule="auto"/>
              <w:rPr>
                <w:rFonts w:ascii="Times New Roman" w:hAnsi="Times New Roman"/>
                <w:sz w:val="20"/>
                <w:szCs w:val="20"/>
              </w:rPr>
            </w:pPr>
          </w:p>
        </w:tc>
      </w:tr>
      <w:tr w:rsidR="0057131B" w14:paraId="7FE1C59E" w14:textId="77777777">
        <w:trPr>
          <w:trHeight w:val="450"/>
        </w:trPr>
        <w:tc>
          <w:tcPr>
            <w:tcW w:w="1418" w:type="dxa"/>
            <w:shd w:val="clear" w:color="auto" w:fill="FFFFFF" w:themeFill="background1"/>
          </w:tcPr>
          <w:p w14:paraId="7FE1C59A" w14:textId="77777777" w:rsidR="0057131B" w:rsidRDefault="00355A1C">
            <w:pPr>
              <w:pStyle w:val="P68B1DB1-Normal62"/>
              <w:spacing w:before="120" w:after="120" w:line="276" w:lineRule="auto"/>
            </w:pPr>
            <w:r>
              <w:lastRenderedPageBreak/>
              <w:t>0030</w:t>
            </w:r>
          </w:p>
        </w:tc>
        <w:tc>
          <w:tcPr>
            <w:tcW w:w="7791" w:type="dxa"/>
            <w:shd w:val="clear" w:color="auto" w:fill="FFFFFF" w:themeFill="background1"/>
          </w:tcPr>
          <w:p w14:paraId="7FE1C59B" w14:textId="77777777" w:rsidR="0057131B" w:rsidRDefault="00355A1C">
            <w:pPr>
              <w:pStyle w:val="P68B1DB1-Normal61"/>
              <w:spacing w:before="120" w:after="120" w:line="276" w:lineRule="auto"/>
              <w:rPr>
                <w:bCs/>
              </w:rPr>
            </w:pPr>
            <w:r>
              <w:t>Tillgångsidentifierare</w:t>
            </w:r>
          </w:p>
          <w:p w14:paraId="7FE1C59C" w14:textId="77777777" w:rsidR="0057131B" w:rsidRDefault="00355A1C">
            <w:pPr>
              <w:pStyle w:val="P68B1DB1-Normal64"/>
              <w:spacing w:line="276" w:lineRule="auto"/>
              <w:jc w:val="both"/>
            </w:pPr>
            <w:r>
              <w:t>Tillgångens identifieringskod avser den tillgång som rapporteras under c0050.</w:t>
            </w:r>
          </w:p>
          <w:p w14:paraId="7FE1C59D" w14:textId="77777777" w:rsidR="0057131B" w:rsidRDefault="0057131B">
            <w:pPr>
              <w:spacing w:before="120" w:after="120" w:line="276" w:lineRule="auto"/>
              <w:rPr>
                <w:rFonts w:ascii="Times New Roman" w:hAnsi="Times New Roman"/>
                <w:sz w:val="20"/>
                <w:szCs w:val="20"/>
              </w:rPr>
            </w:pPr>
          </w:p>
        </w:tc>
      </w:tr>
      <w:tr w:rsidR="0057131B" w14:paraId="7FE1C5AD" w14:textId="77777777">
        <w:trPr>
          <w:trHeight w:val="450"/>
        </w:trPr>
        <w:tc>
          <w:tcPr>
            <w:tcW w:w="1418" w:type="dxa"/>
            <w:shd w:val="clear" w:color="auto" w:fill="FFFFFF" w:themeFill="background1"/>
          </w:tcPr>
          <w:p w14:paraId="7FE1C59F" w14:textId="77777777" w:rsidR="0057131B" w:rsidRDefault="00355A1C">
            <w:pPr>
              <w:pStyle w:val="P68B1DB1-Normal62"/>
              <w:spacing w:before="120" w:after="120" w:line="276" w:lineRule="auto"/>
            </w:pPr>
            <w:r>
              <w:t>0040</w:t>
            </w:r>
          </w:p>
        </w:tc>
        <w:tc>
          <w:tcPr>
            <w:tcW w:w="7791" w:type="dxa"/>
            <w:shd w:val="clear" w:color="auto" w:fill="FFFFFF" w:themeFill="background1"/>
          </w:tcPr>
          <w:p w14:paraId="7FE1C5A0" w14:textId="77777777" w:rsidR="0057131B" w:rsidRDefault="00355A1C">
            <w:pPr>
              <w:pStyle w:val="P68B1DB1-Normal64"/>
              <w:spacing w:line="276" w:lineRule="auto"/>
              <w:jc w:val="both"/>
            </w:pPr>
            <w:r>
              <w:rPr>
                <w:b/>
                <w:szCs w:val="20"/>
              </w:rPr>
              <w:t>Typ av tillgång</w:t>
            </w:r>
            <w:r>
              <w:t xml:space="preserve"> </w:t>
            </w:r>
          </w:p>
          <w:p w14:paraId="7FE1C5A1" w14:textId="77777777" w:rsidR="0057131B" w:rsidRDefault="00355A1C">
            <w:pPr>
              <w:pStyle w:val="P68B1DB1-Normal64"/>
              <w:spacing w:line="276" w:lineRule="auto"/>
              <w:jc w:val="both"/>
            </w:pPr>
            <w:r>
              <w:t xml:space="preserve">— IT och kommunikationshårdvara </w:t>
            </w:r>
          </w:p>
          <w:p w14:paraId="7FE1C5A2" w14:textId="77777777" w:rsidR="0057131B" w:rsidRDefault="0057131B">
            <w:pPr>
              <w:spacing w:line="276" w:lineRule="auto"/>
              <w:rPr>
                <w:rFonts w:ascii="Times New Roman" w:hAnsi="Times New Roman"/>
                <w:sz w:val="20"/>
              </w:rPr>
            </w:pPr>
          </w:p>
          <w:p w14:paraId="7FE1C5A3" w14:textId="77777777" w:rsidR="0057131B" w:rsidRDefault="00355A1C">
            <w:pPr>
              <w:pStyle w:val="P68B1DB1-Normal64"/>
              <w:spacing w:line="276" w:lineRule="auto"/>
            </w:pPr>
            <w:r>
              <w:t>— Annan it-infrastruktur (t.ex. arbetsstationer, telekommunikation, servrar, datacentraler och tillhörande tillgångar)</w:t>
            </w:r>
          </w:p>
          <w:p w14:paraId="7FE1C5A4" w14:textId="77777777" w:rsidR="0057131B" w:rsidRDefault="0057131B">
            <w:pPr>
              <w:spacing w:line="276" w:lineRule="auto"/>
              <w:rPr>
                <w:rFonts w:ascii="Times New Roman" w:hAnsi="Times New Roman"/>
                <w:sz w:val="20"/>
              </w:rPr>
            </w:pPr>
          </w:p>
          <w:p w14:paraId="7FE1C5A5" w14:textId="77777777" w:rsidR="0057131B" w:rsidRDefault="00355A1C">
            <w:pPr>
              <w:pStyle w:val="P68B1DB1-Normal64"/>
              <w:spacing w:line="276" w:lineRule="auto"/>
            </w:pPr>
            <w:r>
              <w:t xml:space="preserve">— Lokaler och lagring </w:t>
            </w:r>
          </w:p>
          <w:p w14:paraId="7FE1C5A6" w14:textId="77777777" w:rsidR="0057131B" w:rsidRDefault="0057131B">
            <w:pPr>
              <w:spacing w:line="276" w:lineRule="auto"/>
              <w:rPr>
                <w:rFonts w:ascii="Times New Roman" w:hAnsi="Times New Roman"/>
                <w:sz w:val="20"/>
              </w:rPr>
            </w:pPr>
          </w:p>
          <w:p w14:paraId="7FE1C5A7" w14:textId="77777777" w:rsidR="0057131B" w:rsidRDefault="00355A1C">
            <w:pPr>
              <w:pStyle w:val="P68B1DB1-Normal64"/>
              <w:spacing w:line="276" w:lineRule="auto"/>
            </w:pPr>
            <w:r>
              <w:t>— Immateriella rättigheter (t.ex. patent, varumärken)</w:t>
            </w:r>
          </w:p>
          <w:p w14:paraId="7FE1C5A8" w14:textId="77777777" w:rsidR="0057131B" w:rsidRDefault="0057131B">
            <w:pPr>
              <w:spacing w:line="276" w:lineRule="auto"/>
              <w:rPr>
                <w:rFonts w:ascii="Times New Roman" w:hAnsi="Times New Roman"/>
                <w:sz w:val="20"/>
              </w:rPr>
            </w:pPr>
          </w:p>
          <w:p w14:paraId="7FE1C5A9" w14:textId="77777777" w:rsidR="0057131B" w:rsidRDefault="00355A1C">
            <w:pPr>
              <w:pStyle w:val="P68B1DB1-Normal64"/>
              <w:spacing w:line="276" w:lineRule="auto"/>
            </w:pPr>
            <w:r>
              <w:t xml:space="preserve"> — Självbetjäningsutrustning i filialer – uttagsautomater</w:t>
            </w:r>
          </w:p>
          <w:p w14:paraId="7FE1C5AA" w14:textId="77777777" w:rsidR="0057131B" w:rsidRDefault="0057131B">
            <w:pPr>
              <w:spacing w:line="276" w:lineRule="auto"/>
              <w:rPr>
                <w:rFonts w:ascii="Times New Roman" w:hAnsi="Times New Roman"/>
                <w:sz w:val="20"/>
              </w:rPr>
            </w:pPr>
          </w:p>
          <w:p w14:paraId="7FE1C5AB" w14:textId="07413E54" w:rsidR="0057131B" w:rsidRDefault="00355A1C">
            <w:pPr>
              <w:pStyle w:val="P68B1DB1-Normal62"/>
              <w:spacing w:line="276" w:lineRule="auto"/>
              <w:jc w:val="both"/>
              <w:rPr>
                <w:b/>
              </w:rPr>
            </w:pPr>
            <w:r>
              <w:t>— Annan typ av tillgång</w:t>
            </w:r>
          </w:p>
          <w:p w14:paraId="7FE1C5AC" w14:textId="77777777" w:rsidR="0057131B" w:rsidRDefault="0057131B">
            <w:pPr>
              <w:spacing w:line="276" w:lineRule="auto"/>
              <w:jc w:val="both"/>
              <w:rPr>
                <w:rFonts w:ascii="Times New Roman" w:hAnsi="Times New Roman"/>
                <w:sz w:val="20"/>
              </w:rPr>
            </w:pPr>
          </w:p>
        </w:tc>
      </w:tr>
      <w:tr w:rsidR="0057131B" w14:paraId="7FE1C5B2" w14:textId="77777777">
        <w:trPr>
          <w:trHeight w:val="450"/>
        </w:trPr>
        <w:tc>
          <w:tcPr>
            <w:tcW w:w="1418" w:type="dxa"/>
            <w:shd w:val="clear" w:color="auto" w:fill="FFFFFF" w:themeFill="background1"/>
          </w:tcPr>
          <w:p w14:paraId="7FE1C5AE" w14:textId="77777777" w:rsidR="0057131B" w:rsidRDefault="00355A1C">
            <w:pPr>
              <w:pStyle w:val="P68B1DB1-Normal62"/>
              <w:spacing w:before="120" w:after="120" w:line="276" w:lineRule="auto"/>
            </w:pPr>
            <w:r>
              <w:t>0050</w:t>
            </w:r>
          </w:p>
        </w:tc>
        <w:tc>
          <w:tcPr>
            <w:tcW w:w="7791" w:type="dxa"/>
            <w:shd w:val="clear" w:color="auto" w:fill="FFFFFF" w:themeFill="background1"/>
          </w:tcPr>
          <w:p w14:paraId="7FE1C5AF" w14:textId="77777777" w:rsidR="0057131B" w:rsidRDefault="00355A1C">
            <w:pPr>
              <w:pStyle w:val="P68B1DB1-Normal61"/>
              <w:spacing w:line="276" w:lineRule="auto"/>
              <w:jc w:val="both"/>
            </w:pPr>
            <w:r>
              <w:t xml:space="preserve">Tillgångens namn </w:t>
            </w:r>
          </w:p>
          <w:p w14:paraId="7FE1C5B0" w14:textId="77777777" w:rsidR="0057131B" w:rsidRDefault="00355A1C">
            <w:pPr>
              <w:pStyle w:val="P68B1DB1-Normal64"/>
              <w:spacing w:line="276" w:lineRule="auto"/>
              <w:jc w:val="both"/>
            </w:pPr>
            <w:r>
              <w:t>Aktieets handelsnamn eller interna namn.</w:t>
            </w:r>
          </w:p>
          <w:p w14:paraId="7FE1C5B1" w14:textId="77777777" w:rsidR="0057131B" w:rsidRDefault="0057131B">
            <w:pPr>
              <w:spacing w:line="276" w:lineRule="auto"/>
              <w:jc w:val="both"/>
              <w:rPr>
                <w:rFonts w:ascii="Times New Roman" w:hAnsi="Times New Roman"/>
                <w:sz w:val="20"/>
              </w:rPr>
            </w:pPr>
          </w:p>
        </w:tc>
      </w:tr>
      <w:tr w:rsidR="0057131B" w14:paraId="7FE1C5BA" w14:textId="77777777">
        <w:trPr>
          <w:trHeight w:val="450"/>
        </w:trPr>
        <w:tc>
          <w:tcPr>
            <w:tcW w:w="1418" w:type="dxa"/>
            <w:shd w:val="clear" w:color="auto" w:fill="FFFFFF" w:themeFill="background1"/>
          </w:tcPr>
          <w:p w14:paraId="7FE1C5B3" w14:textId="77777777" w:rsidR="0057131B" w:rsidRDefault="00355A1C">
            <w:pPr>
              <w:pStyle w:val="P68B1DB1-Normal62"/>
              <w:spacing w:before="120" w:after="120" w:line="276" w:lineRule="auto"/>
            </w:pPr>
            <w:r>
              <w:t>0060</w:t>
            </w:r>
          </w:p>
        </w:tc>
        <w:tc>
          <w:tcPr>
            <w:tcW w:w="7791" w:type="dxa"/>
            <w:shd w:val="clear" w:color="auto" w:fill="FFFFFF" w:themeFill="background1"/>
          </w:tcPr>
          <w:p w14:paraId="7FE1C5B4" w14:textId="77777777" w:rsidR="0057131B" w:rsidRDefault="00355A1C">
            <w:pPr>
              <w:pStyle w:val="P68B1DB1-Normal65"/>
              <w:spacing w:line="276" w:lineRule="auto"/>
              <w:jc w:val="both"/>
              <w:rPr>
                <w:iCs/>
              </w:rPr>
            </w:pPr>
            <w:r>
              <w:rPr>
                <w:szCs w:val="20"/>
              </w:rPr>
              <w:t>Kritikalitet</w:t>
            </w:r>
            <w:r>
              <w:t xml:space="preserve"> </w:t>
            </w:r>
          </w:p>
          <w:p w14:paraId="7FE1C5B5" w14:textId="77777777" w:rsidR="0057131B" w:rsidRDefault="00355A1C">
            <w:pPr>
              <w:pStyle w:val="P68B1DB1-Normal64"/>
              <w:spacing w:line="276" w:lineRule="auto"/>
              <w:jc w:val="both"/>
              <w:rPr>
                <w:iCs/>
              </w:rPr>
            </w:pPr>
            <w:r>
              <w:t>Redovisa ett av följande värden:</w:t>
            </w:r>
          </w:p>
          <w:p w14:paraId="7FE1C5B6" w14:textId="77777777" w:rsidR="0057131B" w:rsidRDefault="00355A1C">
            <w:pPr>
              <w:pStyle w:val="P68B1DB1-ListParagraph58"/>
              <w:numPr>
                <w:ilvl w:val="0"/>
                <w:numId w:val="236"/>
              </w:numPr>
              <w:spacing w:line="276" w:lineRule="auto"/>
              <w:contextualSpacing/>
              <w:jc w:val="both"/>
              <w:rPr>
                <w:iCs/>
              </w:rPr>
            </w:pPr>
            <w:r>
              <w:t>Kritisk betydelse: om tjänsten är nödvändig för att utföra en eller flera kritiska funktioner, vars avbrott allvarligt skulle hindra eller förhindra utförandet av dessa kritiska funktioner.</w:t>
            </w:r>
          </w:p>
          <w:p w14:paraId="7FE1C5B7" w14:textId="77777777" w:rsidR="0057131B" w:rsidRDefault="00355A1C">
            <w:pPr>
              <w:pStyle w:val="P68B1DB1-ListParagraph58"/>
              <w:numPr>
                <w:ilvl w:val="0"/>
                <w:numId w:val="236"/>
              </w:numPr>
              <w:spacing w:line="276" w:lineRule="auto"/>
              <w:contextualSpacing/>
              <w:jc w:val="both"/>
              <w:rPr>
                <w:iCs/>
              </w:rPr>
            </w:pPr>
            <w:r>
              <w:t>Grundläggande kriterier: om tjänsten är förknippad med kärnaffärsområden, vars kontinuitet är nödvändig för ett effektivt genomförande av resolutionsstrategin och eventuella efterföljande omstruktureringar.</w:t>
            </w:r>
          </w:p>
          <w:p w14:paraId="7FE1C5B8" w14:textId="475A76CC" w:rsidR="0057131B" w:rsidRDefault="00355A1C">
            <w:pPr>
              <w:pStyle w:val="P68B1DB1-ListParagraph58"/>
              <w:numPr>
                <w:ilvl w:val="0"/>
                <w:numId w:val="236"/>
              </w:numPr>
              <w:spacing w:line="276" w:lineRule="auto"/>
              <w:contextualSpacing/>
              <w:jc w:val="both"/>
              <w:rPr>
                <w:iCs/>
              </w:rPr>
            </w:pPr>
            <w:r>
              <w:t>Kritisk och väsentlig</w:t>
            </w:r>
          </w:p>
          <w:p w14:paraId="7FE1C5B9" w14:textId="77777777" w:rsidR="0057131B" w:rsidRDefault="0057131B">
            <w:pPr>
              <w:spacing w:line="276" w:lineRule="auto"/>
              <w:jc w:val="both"/>
              <w:rPr>
                <w:rFonts w:ascii="Times New Roman" w:hAnsi="Times New Roman"/>
                <w:sz w:val="20"/>
              </w:rPr>
            </w:pPr>
          </w:p>
        </w:tc>
      </w:tr>
      <w:tr w:rsidR="0057131B" w14:paraId="7FE1C5C3" w14:textId="77777777">
        <w:trPr>
          <w:trHeight w:val="450"/>
        </w:trPr>
        <w:tc>
          <w:tcPr>
            <w:tcW w:w="1418" w:type="dxa"/>
            <w:shd w:val="clear" w:color="auto" w:fill="FFFFFF" w:themeFill="background1"/>
          </w:tcPr>
          <w:p w14:paraId="7FE1C5BB" w14:textId="77777777" w:rsidR="0057131B" w:rsidRDefault="00355A1C">
            <w:pPr>
              <w:pStyle w:val="P68B1DB1-Normal62"/>
              <w:spacing w:before="120" w:after="120" w:line="276" w:lineRule="auto"/>
            </w:pPr>
            <w:r>
              <w:t>0070</w:t>
            </w:r>
          </w:p>
        </w:tc>
        <w:tc>
          <w:tcPr>
            <w:tcW w:w="7791" w:type="dxa"/>
            <w:shd w:val="clear" w:color="auto" w:fill="FFFFFF" w:themeFill="background1"/>
          </w:tcPr>
          <w:p w14:paraId="7FE1C5BC" w14:textId="77777777" w:rsidR="0057131B" w:rsidRDefault="00355A1C">
            <w:pPr>
              <w:pStyle w:val="P68B1DB1-Normal64"/>
              <w:spacing w:line="276" w:lineRule="auto"/>
              <w:jc w:val="both"/>
              <w:rPr>
                <w:iCs/>
              </w:rPr>
            </w:pPr>
            <w:r>
              <w:rPr>
                <w:b/>
                <w:szCs w:val="20"/>
              </w:rPr>
              <w:t>Rättslig typ/avtalstyp</w:t>
            </w:r>
            <w:r>
              <w:t xml:space="preserve"> </w:t>
            </w:r>
          </w:p>
          <w:p w14:paraId="7FE1C5BD" w14:textId="77777777" w:rsidR="0057131B" w:rsidRDefault="00355A1C">
            <w:pPr>
              <w:pStyle w:val="P68B1DB1-Normal64"/>
              <w:spacing w:line="276" w:lineRule="auto"/>
              <w:jc w:val="both"/>
              <w:rPr>
                <w:iCs/>
              </w:rPr>
            </w:pPr>
            <w:r>
              <w:t>Redovisa ett av följande värden:</w:t>
            </w:r>
          </w:p>
          <w:p w14:paraId="7FE1C5BE" w14:textId="77777777" w:rsidR="0057131B" w:rsidRDefault="00355A1C">
            <w:pPr>
              <w:pStyle w:val="P68B1DB1-Normal66"/>
              <w:numPr>
                <w:ilvl w:val="0"/>
                <w:numId w:val="236"/>
              </w:numPr>
              <w:contextualSpacing/>
              <w:jc w:val="both"/>
            </w:pPr>
            <w:r>
              <w:t>Ägd bostad</w:t>
            </w:r>
          </w:p>
          <w:p w14:paraId="7FE1C5BF" w14:textId="77777777" w:rsidR="0057131B" w:rsidRDefault="00355A1C">
            <w:pPr>
              <w:pStyle w:val="P68B1DB1-Normal66"/>
              <w:numPr>
                <w:ilvl w:val="0"/>
                <w:numId w:val="236"/>
              </w:numPr>
              <w:contextualSpacing/>
              <w:jc w:val="both"/>
            </w:pPr>
            <w:r>
              <w:t>Leasade</w:t>
            </w:r>
          </w:p>
          <w:p w14:paraId="7FE1C5C0" w14:textId="77777777" w:rsidR="0057131B" w:rsidRDefault="00355A1C">
            <w:pPr>
              <w:pStyle w:val="P68B1DB1-Normal66"/>
              <w:numPr>
                <w:ilvl w:val="0"/>
                <w:numId w:val="236"/>
              </w:numPr>
              <w:contextualSpacing/>
              <w:jc w:val="both"/>
            </w:pPr>
            <w:r>
              <w:t>Licensierad</w:t>
            </w:r>
          </w:p>
          <w:p w14:paraId="7FE1C5C1" w14:textId="3AFF0D43" w:rsidR="0057131B" w:rsidRDefault="00355A1C">
            <w:pPr>
              <w:pStyle w:val="P68B1DB1-Normal66"/>
              <w:numPr>
                <w:ilvl w:val="0"/>
                <w:numId w:val="236"/>
              </w:numPr>
              <w:contextualSpacing/>
              <w:jc w:val="both"/>
            </w:pPr>
            <w:r>
              <w:t>Annan juridisk typ/avtalstyp</w:t>
            </w:r>
          </w:p>
          <w:p w14:paraId="7FE1C5C2" w14:textId="77777777" w:rsidR="0057131B" w:rsidRDefault="0057131B">
            <w:pPr>
              <w:spacing w:line="276" w:lineRule="auto"/>
              <w:jc w:val="both"/>
              <w:rPr>
                <w:rFonts w:ascii="Times New Roman" w:hAnsi="Times New Roman"/>
                <w:sz w:val="20"/>
              </w:rPr>
            </w:pPr>
          </w:p>
        </w:tc>
      </w:tr>
      <w:tr w:rsidR="0057131B" w14:paraId="7FE1C5C9" w14:textId="77777777">
        <w:trPr>
          <w:trHeight w:val="450"/>
        </w:trPr>
        <w:tc>
          <w:tcPr>
            <w:tcW w:w="1418" w:type="dxa"/>
            <w:shd w:val="clear" w:color="auto" w:fill="FFFFFF" w:themeFill="background1"/>
          </w:tcPr>
          <w:p w14:paraId="7FE1C5C4" w14:textId="77777777" w:rsidR="0057131B" w:rsidRDefault="00355A1C">
            <w:pPr>
              <w:pStyle w:val="P68B1DB1-Normal62"/>
              <w:spacing w:before="120" w:after="120" w:line="276" w:lineRule="auto"/>
            </w:pPr>
            <w:r>
              <w:t>0080</w:t>
            </w:r>
          </w:p>
        </w:tc>
        <w:tc>
          <w:tcPr>
            <w:tcW w:w="7791" w:type="dxa"/>
            <w:shd w:val="clear" w:color="auto" w:fill="FFFFFF" w:themeFill="background1"/>
          </w:tcPr>
          <w:p w14:paraId="7FE1C5C5" w14:textId="77777777" w:rsidR="0057131B" w:rsidRDefault="00355A1C">
            <w:pPr>
              <w:pStyle w:val="P68B1DB1-Normal61"/>
              <w:spacing w:before="120" w:after="120" w:line="276" w:lineRule="auto"/>
              <w:rPr>
                <w:bCs/>
              </w:rPr>
            </w:pPr>
            <w:r>
              <w:t>Avtals-ID</w:t>
            </w:r>
          </w:p>
          <w:p w14:paraId="7FE1C5C6" w14:textId="77777777" w:rsidR="0057131B" w:rsidRDefault="00355A1C">
            <w:pPr>
              <w:pStyle w:val="P68B1DB1-Normal64"/>
              <w:spacing w:line="276" w:lineRule="auto"/>
              <w:jc w:val="both"/>
              <w:rPr>
                <w:i/>
              </w:rPr>
            </w:pPr>
            <w:r>
              <w:t>Unik avtalsidentifierare för det kontrakt som ligger till grund för tillgången enligt gruppens tjänsteslass.</w:t>
            </w:r>
          </w:p>
          <w:p w14:paraId="7FE1C5C7" w14:textId="77777777" w:rsidR="0057131B" w:rsidRDefault="0057131B">
            <w:pPr>
              <w:spacing w:line="276" w:lineRule="auto"/>
              <w:jc w:val="both"/>
              <w:rPr>
                <w:rFonts w:ascii="Times New Roman" w:hAnsi="Times New Roman"/>
                <w:i/>
                <w:sz w:val="20"/>
              </w:rPr>
            </w:pPr>
          </w:p>
          <w:p w14:paraId="7FE1C5C8" w14:textId="77777777" w:rsidR="0057131B" w:rsidRDefault="0057131B">
            <w:pPr>
              <w:spacing w:line="276" w:lineRule="auto"/>
              <w:jc w:val="both"/>
              <w:rPr>
                <w:rFonts w:ascii="Times New Roman" w:hAnsi="Times New Roman"/>
                <w:iCs/>
                <w:sz w:val="20"/>
              </w:rPr>
            </w:pPr>
          </w:p>
        </w:tc>
      </w:tr>
      <w:tr w:rsidR="0057131B" w14:paraId="7FE1C5CE" w14:textId="77777777">
        <w:trPr>
          <w:trHeight w:val="450"/>
        </w:trPr>
        <w:tc>
          <w:tcPr>
            <w:tcW w:w="1418" w:type="dxa"/>
            <w:shd w:val="clear" w:color="auto" w:fill="FFFFFF" w:themeFill="background1"/>
          </w:tcPr>
          <w:p w14:paraId="7FE1C5CA" w14:textId="77777777" w:rsidR="0057131B" w:rsidRDefault="00355A1C">
            <w:pPr>
              <w:pStyle w:val="P68B1DB1-Normal62"/>
              <w:spacing w:before="120" w:after="120" w:line="276" w:lineRule="auto"/>
            </w:pPr>
            <w:r>
              <w:lastRenderedPageBreak/>
              <w:t>0090</w:t>
            </w:r>
          </w:p>
        </w:tc>
        <w:tc>
          <w:tcPr>
            <w:tcW w:w="7791" w:type="dxa"/>
            <w:shd w:val="clear" w:color="auto" w:fill="FFFFFF" w:themeFill="background1"/>
          </w:tcPr>
          <w:p w14:paraId="7FE1C5CB" w14:textId="77777777" w:rsidR="0057131B" w:rsidRDefault="00355A1C">
            <w:pPr>
              <w:pStyle w:val="P68B1DB1-Normal65"/>
              <w:spacing w:line="276" w:lineRule="auto"/>
              <w:jc w:val="both"/>
            </w:pPr>
            <w:r>
              <w:rPr>
                <w:szCs w:val="20"/>
              </w:rPr>
              <w:t>Styrande lagstiftning</w:t>
            </w:r>
            <w:r>
              <w:t xml:space="preserve"> </w:t>
            </w:r>
          </w:p>
          <w:p w14:paraId="7FE1C5CC" w14:textId="77777777" w:rsidR="0057131B" w:rsidRDefault="00355A1C">
            <w:pPr>
              <w:pStyle w:val="P68B1DB1-Normal64"/>
              <w:spacing w:line="276" w:lineRule="auto"/>
              <w:jc w:val="both"/>
            </w:pPr>
            <w:r>
              <w:t>Landets ISO-kod och koden för den lag som reglerar avtalet.</w:t>
            </w:r>
          </w:p>
          <w:p w14:paraId="7FE1C5CD" w14:textId="77777777" w:rsidR="0057131B" w:rsidRDefault="0057131B">
            <w:pPr>
              <w:spacing w:line="276" w:lineRule="auto"/>
              <w:jc w:val="both"/>
              <w:rPr>
                <w:rFonts w:ascii="Times New Roman" w:hAnsi="Times New Roman"/>
                <w:iCs/>
                <w:sz w:val="20"/>
              </w:rPr>
            </w:pPr>
          </w:p>
        </w:tc>
      </w:tr>
      <w:tr w:rsidR="0057131B" w14:paraId="7FE1C5D4" w14:textId="77777777">
        <w:trPr>
          <w:trHeight w:val="463"/>
        </w:trPr>
        <w:tc>
          <w:tcPr>
            <w:tcW w:w="1418" w:type="dxa"/>
            <w:shd w:val="clear" w:color="auto" w:fill="FFFFFF" w:themeFill="background1"/>
          </w:tcPr>
          <w:p w14:paraId="7FE1C5CF" w14:textId="77777777" w:rsidR="0057131B" w:rsidRDefault="00355A1C">
            <w:pPr>
              <w:pStyle w:val="P68B1DB1-Normal64"/>
              <w:spacing w:line="276" w:lineRule="auto"/>
              <w:jc w:val="both"/>
            </w:pPr>
            <w:r>
              <w:t>0100–0120</w:t>
            </w:r>
          </w:p>
          <w:p w14:paraId="7FE1C5D0" w14:textId="77777777" w:rsidR="0057131B" w:rsidRDefault="0057131B">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57131B" w:rsidRDefault="00355A1C">
            <w:pPr>
              <w:pStyle w:val="P68B1DB1-Normal61"/>
              <w:spacing w:before="120" w:after="120" w:line="276" w:lineRule="auto"/>
              <w:rPr>
                <w:bCs/>
                <w:iCs/>
              </w:rPr>
            </w:pPr>
            <w:r>
              <w:t xml:space="preserve">Motståndskraft mot resolution </w:t>
            </w:r>
          </w:p>
          <w:p w14:paraId="7FE1C5D2" w14:textId="77777777" w:rsidR="0057131B" w:rsidRDefault="00355A1C">
            <w:pPr>
              <w:pStyle w:val="P68B1DB1-NormalWeb59"/>
              <w:spacing w:before="0" w:beforeAutospacing="0" w:after="0" w:afterAutospacing="0"/>
              <w:rPr>
                <w:iCs/>
                <w:szCs w:val="20"/>
              </w:rPr>
            </w:pPr>
            <w:r>
              <w:rPr>
                <w:szCs w:val="20"/>
              </w:rPr>
              <w:t xml:space="preserve">Bedömningen av huruvida det avtal som stöder den tillgång som rapporteras i kolumn 0030 kan fortsätta och överföras under genomförandet av resolutionsstrategin, inbegripet omstruktureringsplanen för verksamheten, </w:t>
            </w:r>
            <w:r>
              <w:t>i enlighet med riktlinjerna EBA/GL/2022/01 och relevant nationell lagstiftning.</w:t>
            </w:r>
          </w:p>
          <w:p w14:paraId="7FE1C5D3" w14:textId="77777777" w:rsidR="0057131B" w:rsidRDefault="0057131B">
            <w:pPr>
              <w:pStyle w:val="NormalWeb"/>
              <w:spacing w:before="0" w:beforeAutospacing="0" w:after="0" w:afterAutospacing="0"/>
              <w:rPr>
                <w:sz w:val="20"/>
              </w:rPr>
            </w:pPr>
          </w:p>
        </w:tc>
      </w:tr>
      <w:tr w:rsidR="0057131B" w14:paraId="7FE1C5E4" w14:textId="77777777">
        <w:trPr>
          <w:trHeight w:val="463"/>
        </w:trPr>
        <w:tc>
          <w:tcPr>
            <w:tcW w:w="1418" w:type="dxa"/>
            <w:shd w:val="clear" w:color="auto" w:fill="FFFFFF" w:themeFill="background1"/>
          </w:tcPr>
          <w:p w14:paraId="7FE1C5D5" w14:textId="77777777" w:rsidR="0057131B" w:rsidRDefault="00355A1C">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57131B" w:rsidRDefault="00355A1C">
            <w:pPr>
              <w:pStyle w:val="P68B1DB1-Normal65"/>
              <w:spacing w:line="276" w:lineRule="auto"/>
              <w:jc w:val="both"/>
              <w:rPr>
                <w:bCs/>
              </w:rPr>
            </w:pPr>
            <w:r>
              <w:rPr>
                <w:szCs w:val="20"/>
              </w:rPr>
              <w:t>Egenskaper för resolutionsresiliens</w:t>
            </w:r>
            <w:r>
              <w:t xml:space="preserve"> </w:t>
            </w:r>
          </w:p>
          <w:p w14:paraId="7FE1C5D7" w14:textId="77777777" w:rsidR="0057131B" w:rsidRDefault="00355A1C">
            <w:pPr>
              <w:pStyle w:val="P68B1DB1-Normal62"/>
              <w:spacing w:line="276" w:lineRule="auto"/>
              <w:jc w:val="both"/>
              <w:rPr>
                <w:iCs/>
              </w:rPr>
            </w:pPr>
            <w:r>
              <w:t>Resolutionståliga egenskaper är fastigheter som ett relevant kontrakt förväntas ha för att anses vara resolutionståliga. De omfattar följande, förutsatt att de väsentliga skyldigheterna enligt avtalet fortsätter att uppfyllas:</w:t>
            </w:r>
          </w:p>
          <w:p w14:paraId="7FE1C5D8" w14:textId="77777777" w:rsidR="0057131B" w:rsidRDefault="00355A1C">
            <w:pPr>
              <w:pStyle w:val="P68B1DB1-ListParagraph60"/>
              <w:numPr>
                <w:ilvl w:val="0"/>
                <w:numId w:val="263"/>
              </w:numPr>
              <w:spacing w:line="276" w:lineRule="auto"/>
              <w:contextualSpacing/>
              <w:jc w:val="both"/>
              <w:rPr>
                <w:iCs/>
              </w:rPr>
            </w:pPr>
            <w:r>
              <w:t xml:space="preserve">Avtalen får inte sägas upp, upphävas eller ändras på grund av resolution (inbegripet omstrukturering enligt artikel 51 i direktiv 2014/59/EU). </w:t>
            </w:r>
          </w:p>
          <w:p w14:paraId="7FE1C5D9" w14:textId="77777777" w:rsidR="0057131B" w:rsidRDefault="00355A1C">
            <w:pPr>
              <w:pStyle w:val="P68B1DB1-ListParagraph60"/>
              <w:numPr>
                <w:ilvl w:val="0"/>
                <w:numId w:val="263"/>
              </w:numPr>
              <w:spacing w:line="276" w:lineRule="auto"/>
              <w:contextualSpacing/>
              <w:jc w:val="both"/>
              <w:rPr>
                <w:iCs/>
              </w:rPr>
            </w:pPr>
            <w:r>
              <w:t xml:space="preserve">Möjligheten för tjänstemottagaren eller resolutionsmyndigheten att överföra tillhandahållandet av tjänsten till en ny mottagare på grund av resolution (inbegripet omorganisation enligt artikel 51 i direktiv 2014/59/EU). </w:t>
            </w:r>
          </w:p>
          <w:p w14:paraId="7FE1C5DA" w14:textId="77777777" w:rsidR="0057131B" w:rsidRDefault="00355A1C">
            <w:pPr>
              <w:pStyle w:val="P68B1DB1-ListParagraph60"/>
              <w:numPr>
                <w:ilvl w:val="0"/>
                <w:numId w:val="263"/>
              </w:numPr>
              <w:spacing w:line="276" w:lineRule="auto"/>
              <w:contextualSpacing/>
              <w:jc w:val="both"/>
              <w:rPr>
                <w:iCs/>
              </w:rPr>
            </w:pPr>
            <w:r>
              <w:t>stöd vid överföring eller avslutande som sker under resolution (inbegripet omorganisation enligt artikel 51 i direktiv 2014/59/EU) under en rimlig period (t.ex. 24 månader) av den nuvarande tjänsteleverantören och på samma villkor. och</w:t>
            </w:r>
          </w:p>
          <w:p w14:paraId="7FE1C5DB" w14:textId="77777777" w:rsidR="0057131B" w:rsidRDefault="00355A1C">
            <w:pPr>
              <w:pStyle w:val="P68B1DB1-ListParagraph60"/>
              <w:numPr>
                <w:ilvl w:val="0"/>
                <w:numId w:val="263"/>
              </w:numPr>
              <w:spacing w:line="276" w:lineRule="auto"/>
              <w:contextualSpacing/>
              <w:jc w:val="both"/>
              <w:rPr>
                <w:iCs/>
              </w:rPr>
            </w:pPr>
            <w:r>
              <w:t>Fortsatt tillhandahållande av tjänster till en avyttrad enhet vid resolution (inbegripet rekonstruktion enligt artikel 51 i direktiv 2014/59/EU), under en rimlig tidsperiod efter avyttringen – t.ex. 24 månader.</w:t>
            </w:r>
          </w:p>
          <w:p w14:paraId="7FE1C5DC" w14:textId="77777777" w:rsidR="0057131B" w:rsidRDefault="00355A1C">
            <w:pPr>
              <w:spacing w:line="276" w:lineRule="auto"/>
              <w:jc w:val="both"/>
              <w:rPr>
                <w:rFonts w:ascii="Times New Roman" w:hAnsi="Times New Roman"/>
                <w:iCs/>
                <w:sz w:val="20"/>
                <w:szCs w:val="20"/>
              </w:rPr>
            </w:pPr>
            <w:r>
              <w:rPr>
                <w:rFonts w:ascii="Times New Roman" w:hAnsi="Times New Roman"/>
                <w:sz w:val="20"/>
                <w:szCs w:val="20"/>
              </w:rPr>
              <w:t>Detta gäller avtal för vilka den tillämpliga lagen och behörigheten för avtalet är lagen i en EU-medlemsstat</w:t>
            </w:r>
            <w:r>
              <w:rPr>
                <w:rStyle w:val="FootnoteReference"/>
                <w:rFonts w:ascii="Times New Roman" w:hAnsi="Times New Roman"/>
                <w:sz w:val="20"/>
                <w:szCs w:val="20"/>
              </w:rPr>
              <w:footnoteReference w:id="28"/>
            </w:r>
            <w:r>
              <w:rPr>
                <w:rFonts w:ascii="Times New Roman" w:hAnsi="Times New Roman"/>
                <w:sz w:val="20"/>
                <w:szCs w:val="20"/>
              </w:rPr>
              <w:t xml:space="preserve"> (EU-avtal) och avtal på vilka tredjelandets lagstiftning är tillämplig.</w:t>
            </w:r>
          </w:p>
          <w:p w14:paraId="7FE1C5DD" w14:textId="77777777" w:rsidR="0057131B" w:rsidRDefault="0057131B">
            <w:pPr>
              <w:spacing w:line="276" w:lineRule="auto"/>
              <w:jc w:val="both"/>
              <w:rPr>
                <w:rFonts w:ascii="Times New Roman" w:hAnsi="Times New Roman"/>
                <w:sz w:val="20"/>
              </w:rPr>
            </w:pPr>
          </w:p>
          <w:p w14:paraId="7FE1C5DE" w14:textId="77777777" w:rsidR="0057131B" w:rsidRDefault="00355A1C">
            <w:pPr>
              <w:pStyle w:val="P68B1DB1-Normal64"/>
              <w:spacing w:line="276" w:lineRule="auto"/>
              <w:jc w:val="both"/>
            </w:pPr>
            <w:r>
              <w:t>Redovisa ett av följande värden:</w:t>
            </w:r>
          </w:p>
          <w:p w14:paraId="7FE1C5DF" w14:textId="77777777" w:rsidR="0057131B" w:rsidRDefault="00355A1C">
            <w:pPr>
              <w:pStyle w:val="P68B1DB1-Normal62"/>
              <w:spacing w:line="276" w:lineRule="auto"/>
              <w:jc w:val="both"/>
            </w:pPr>
            <w:r>
              <w:t>”Ja” – om avtalet bedöms vara resolutionsresistent.</w:t>
            </w:r>
          </w:p>
          <w:p w14:paraId="7FE1C5E0" w14:textId="77777777" w:rsidR="0057131B" w:rsidRDefault="00355A1C">
            <w:pPr>
              <w:pStyle w:val="P68B1DB1-Normal62"/>
              <w:spacing w:line="276" w:lineRule="auto"/>
              <w:jc w:val="both"/>
            </w:pPr>
            <w:r>
              <w:t>”Nej” – om avtalet inte bedöms vara resolutionsresistent.</w:t>
            </w:r>
          </w:p>
          <w:p w14:paraId="7FE1C5E1" w14:textId="77777777" w:rsidR="0057131B" w:rsidRDefault="00355A1C">
            <w:pPr>
              <w:pStyle w:val="P68B1DB1-Normal62"/>
              <w:spacing w:line="276" w:lineRule="auto"/>
              <w:jc w:val="both"/>
            </w:pPr>
            <w:r>
              <w:t>”Ej bedömt” – om ingen bedömning gjorts.</w:t>
            </w:r>
          </w:p>
          <w:p w14:paraId="7FE1C5E2" w14:textId="748C3D0F" w:rsidR="0057131B" w:rsidRDefault="00355A1C">
            <w:pPr>
              <w:pStyle w:val="P68B1DB1-Normal62"/>
              <w:spacing w:line="276" w:lineRule="auto"/>
              <w:jc w:val="both"/>
            </w:pPr>
            <w:r>
              <w:t>”Ej TILLÄMPLIGT” – för tjänster inom enheten</w:t>
            </w:r>
          </w:p>
          <w:p w14:paraId="7FE1C5E3" w14:textId="77777777" w:rsidR="0057131B" w:rsidRDefault="0057131B">
            <w:pPr>
              <w:spacing w:line="276" w:lineRule="auto"/>
              <w:jc w:val="both"/>
              <w:rPr>
                <w:rFonts w:ascii="Times New Roman" w:hAnsi="Times New Roman"/>
                <w:sz w:val="20"/>
              </w:rPr>
            </w:pPr>
          </w:p>
        </w:tc>
      </w:tr>
      <w:tr w:rsidR="0057131B" w14:paraId="7FE1C5EF" w14:textId="77777777">
        <w:trPr>
          <w:trHeight w:val="463"/>
        </w:trPr>
        <w:tc>
          <w:tcPr>
            <w:tcW w:w="1418" w:type="dxa"/>
            <w:shd w:val="clear" w:color="auto" w:fill="FFFFFF" w:themeFill="background1"/>
          </w:tcPr>
          <w:p w14:paraId="7FE1C5E5" w14:textId="77777777" w:rsidR="0057131B" w:rsidRDefault="00355A1C">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57131B" w:rsidRDefault="00355A1C">
            <w:pPr>
              <w:pStyle w:val="P68B1DB1-Normal65"/>
              <w:spacing w:line="276" w:lineRule="auto"/>
              <w:jc w:val="both"/>
              <w:rPr>
                <w:bCs/>
                <w:iCs/>
              </w:rPr>
            </w:pPr>
            <w:r>
              <w:t>Omstruktureringsplan för företag (BRP)</w:t>
            </w:r>
          </w:p>
          <w:p w14:paraId="7FE1C5E7" w14:textId="77777777" w:rsidR="0057131B" w:rsidRDefault="00355A1C">
            <w:pPr>
              <w:pStyle w:val="P68B1DB1-Normal64"/>
              <w:spacing w:line="276" w:lineRule="auto"/>
              <w:jc w:val="both"/>
              <w:rPr>
                <w:iCs/>
              </w:rPr>
            </w:pPr>
            <w:r>
              <w:t>Om resolutionsstrategin (antingen rekommenderad eller alternativ) kräver en omstruktureringsplan för verksamheten förväntas EU-avtalen innehålla uttryckliga klausuler för att säkerställa deras resolutionsresiliens i genomförandet av omstruktureringsplaner för verksamheten.</w:t>
            </w:r>
          </w:p>
          <w:p w14:paraId="7FE1C5E8" w14:textId="77777777" w:rsidR="0057131B" w:rsidRDefault="0057131B">
            <w:pPr>
              <w:spacing w:line="276" w:lineRule="auto"/>
              <w:jc w:val="both"/>
              <w:rPr>
                <w:rFonts w:ascii="Times New Roman" w:hAnsi="Times New Roman"/>
                <w:iCs/>
                <w:sz w:val="20"/>
              </w:rPr>
            </w:pPr>
          </w:p>
          <w:p w14:paraId="7FE1C5E9" w14:textId="77777777" w:rsidR="0057131B" w:rsidRDefault="00355A1C">
            <w:pPr>
              <w:pStyle w:val="P68B1DB1-Normal64"/>
              <w:spacing w:line="276" w:lineRule="auto"/>
              <w:jc w:val="both"/>
              <w:rPr>
                <w:iCs/>
              </w:rPr>
            </w:pPr>
            <w:r>
              <w:t>Redovisa ett av följande värden:</w:t>
            </w:r>
          </w:p>
          <w:p w14:paraId="7FE1C5EA" w14:textId="77777777" w:rsidR="0057131B" w:rsidRDefault="00355A1C">
            <w:pPr>
              <w:pStyle w:val="P68B1DB1-Normal67"/>
              <w:spacing w:line="276" w:lineRule="auto"/>
              <w:jc w:val="both"/>
              <w:rPr>
                <w:iCs/>
                <w:sz w:val="20"/>
              </w:rPr>
            </w:pPr>
            <w:r>
              <w:t>”</w:t>
            </w:r>
            <w:r>
              <w:rPr>
                <w:sz w:val="20"/>
              </w:rPr>
              <w:t>Ja” – om avtalet innehåller uttryckliga klausuler för att säkerställa deras resolutionsresiliens vid genomförandet av BRP</w:t>
            </w:r>
          </w:p>
          <w:p w14:paraId="7FE1C5EB" w14:textId="77777777" w:rsidR="0057131B" w:rsidRDefault="00355A1C">
            <w:pPr>
              <w:pStyle w:val="P68B1DB1-Normal67"/>
              <w:spacing w:line="276" w:lineRule="auto"/>
              <w:jc w:val="both"/>
              <w:rPr>
                <w:iCs/>
                <w:sz w:val="20"/>
              </w:rPr>
            </w:pPr>
            <w:r>
              <w:t>”</w:t>
            </w:r>
            <w:r>
              <w:rPr>
                <w:sz w:val="20"/>
              </w:rPr>
              <w:t>Nej” – om avtalet inte innehåller uttryckliga klausuler för att säkerställa deras resolutionsresiliens i genomförandet av BRP</w:t>
            </w:r>
          </w:p>
          <w:p w14:paraId="7FE1C5EC" w14:textId="77777777" w:rsidR="0057131B" w:rsidRDefault="00355A1C">
            <w:pPr>
              <w:pStyle w:val="P68B1DB1-Normal67"/>
              <w:spacing w:line="276" w:lineRule="auto"/>
              <w:jc w:val="both"/>
              <w:rPr>
                <w:iCs/>
                <w:sz w:val="20"/>
              </w:rPr>
            </w:pPr>
            <w:r>
              <w:t>”</w:t>
            </w:r>
            <w:r>
              <w:rPr>
                <w:sz w:val="20"/>
              </w:rPr>
              <w:t>Ej bedömt” – om ingen bedömning gjorts.</w:t>
            </w:r>
          </w:p>
          <w:p w14:paraId="7FE1C5ED" w14:textId="430F5732" w:rsidR="0057131B" w:rsidRDefault="00355A1C">
            <w:pPr>
              <w:pStyle w:val="P68B1DB1-Normal67"/>
              <w:spacing w:line="276" w:lineRule="auto"/>
              <w:jc w:val="both"/>
              <w:rPr>
                <w:iCs/>
                <w:sz w:val="20"/>
              </w:rPr>
            </w:pPr>
            <w:r>
              <w:lastRenderedPageBreak/>
              <w:t>”Ej</w:t>
            </w:r>
            <w:r>
              <w:rPr>
                <w:sz w:val="20"/>
              </w:rPr>
              <w:t>TILLÄMPLIGT” – för tjänster inom enheten eller för koncerninterna och externa tjänster, om resolutionsstrategin (rekommenderad och variant) inte kräver en omstruktureringsplan för verksamheten</w:t>
            </w:r>
            <w:r>
              <w:t>.</w:t>
            </w:r>
          </w:p>
          <w:p w14:paraId="7FE1C5EE" w14:textId="77777777" w:rsidR="0057131B" w:rsidRDefault="0057131B">
            <w:pPr>
              <w:spacing w:line="276" w:lineRule="auto"/>
              <w:jc w:val="both"/>
              <w:rPr>
                <w:rFonts w:ascii="Times New Roman" w:hAnsi="Times New Roman"/>
                <w:i/>
                <w:sz w:val="20"/>
              </w:rPr>
            </w:pPr>
          </w:p>
        </w:tc>
      </w:tr>
      <w:tr w:rsidR="0057131B" w14:paraId="7FE1C5F9" w14:textId="77777777">
        <w:trPr>
          <w:trHeight w:val="463"/>
        </w:trPr>
        <w:tc>
          <w:tcPr>
            <w:tcW w:w="1418" w:type="dxa"/>
            <w:shd w:val="clear" w:color="auto" w:fill="FFFFFF" w:themeFill="background1"/>
          </w:tcPr>
          <w:p w14:paraId="7FE1C5F0" w14:textId="77777777" w:rsidR="0057131B" w:rsidRDefault="00355A1C">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57131B" w:rsidRDefault="00355A1C">
            <w:pPr>
              <w:pStyle w:val="P68B1DB1-Normal64"/>
              <w:spacing w:line="276" w:lineRule="auto"/>
              <w:jc w:val="both"/>
            </w:pPr>
            <w:r>
              <w:rPr>
                <w:b/>
              </w:rPr>
              <w:t>Alternativa riskreducerande åtgärder</w:t>
            </w:r>
            <w:r>
              <w:t xml:space="preserve"> </w:t>
            </w:r>
          </w:p>
          <w:p w14:paraId="7FE1C5F2" w14:textId="77777777" w:rsidR="0057131B" w:rsidRDefault="00355A1C">
            <w:pPr>
              <w:pStyle w:val="P68B1DB1-Normal64"/>
              <w:spacing w:line="276" w:lineRule="auto"/>
              <w:jc w:val="both"/>
            </w:pPr>
            <w:r>
              <w:t xml:space="preserve">Om motståndskraften mot resolution förväntas uppnås, men bankerna inte har kunnat göra det, förväntas bankerna undersöka alternativa riskreducerande åtgärder. </w:t>
            </w:r>
          </w:p>
          <w:p w14:paraId="7FE1C5F3" w14:textId="77777777" w:rsidR="0057131B" w:rsidRDefault="0057131B">
            <w:pPr>
              <w:spacing w:line="276" w:lineRule="auto"/>
              <w:jc w:val="both"/>
              <w:rPr>
                <w:rFonts w:ascii="Times New Roman" w:hAnsi="Times New Roman"/>
                <w:sz w:val="20"/>
              </w:rPr>
            </w:pPr>
          </w:p>
          <w:p w14:paraId="7FE1C5F4" w14:textId="77777777" w:rsidR="0057131B" w:rsidRDefault="00355A1C">
            <w:pPr>
              <w:pStyle w:val="P68B1DB1-Normal64"/>
              <w:spacing w:line="276" w:lineRule="auto"/>
              <w:jc w:val="both"/>
              <w:rPr>
                <w:iCs/>
              </w:rPr>
            </w:pPr>
            <w:r>
              <w:t>Redovisa ett av följande värden:</w:t>
            </w:r>
          </w:p>
          <w:p w14:paraId="7FE1C5F5" w14:textId="77777777" w:rsidR="0057131B" w:rsidRDefault="00355A1C">
            <w:pPr>
              <w:pStyle w:val="P68B1DB1-Normal67"/>
              <w:spacing w:line="276" w:lineRule="auto"/>
              <w:jc w:val="both"/>
              <w:rPr>
                <w:iCs/>
                <w:sz w:val="20"/>
              </w:rPr>
            </w:pPr>
            <w:r>
              <w:t>”</w:t>
            </w:r>
            <w:r>
              <w:rPr>
                <w:sz w:val="20"/>
              </w:rPr>
              <w:t>Ja” – om banken har vidtagit alternativa riskreducerande åtgärder</w:t>
            </w:r>
          </w:p>
          <w:p w14:paraId="7FE1C5F6" w14:textId="77777777" w:rsidR="0057131B" w:rsidRDefault="00355A1C">
            <w:pPr>
              <w:pStyle w:val="P68B1DB1-Normal67"/>
              <w:spacing w:line="276" w:lineRule="auto"/>
              <w:jc w:val="both"/>
              <w:rPr>
                <w:iCs/>
                <w:sz w:val="20"/>
              </w:rPr>
            </w:pPr>
            <w:r>
              <w:t>”</w:t>
            </w:r>
            <w:r>
              <w:rPr>
                <w:sz w:val="20"/>
              </w:rPr>
              <w:t>Nej” – om banken inte har vidtagit alternativa riskreducerande åtgärder</w:t>
            </w:r>
          </w:p>
          <w:p w14:paraId="7FE1C5F7" w14:textId="20F99367" w:rsidR="0057131B" w:rsidRDefault="00355A1C">
            <w:pPr>
              <w:pStyle w:val="P68B1DB1-Normal67"/>
              <w:spacing w:line="276" w:lineRule="auto"/>
              <w:jc w:val="both"/>
              <w:rPr>
                <w:iCs/>
                <w:sz w:val="20"/>
              </w:rPr>
            </w:pPr>
            <w:r>
              <w:t>”Ej</w:t>
            </w:r>
            <w:r>
              <w:rPr>
                <w:sz w:val="20"/>
              </w:rPr>
              <w:t>TILLÄMPLIGT” – om någon av kolumnerna 0150, 0160 är markerad med ”Ja” eller ”INTE APPLICABLE”</w:t>
            </w:r>
          </w:p>
          <w:p w14:paraId="7FE1C5F8" w14:textId="77777777" w:rsidR="0057131B" w:rsidRDefault="0057131B">
            <w:pPr>
              <w:spacing w:line="276" w:lineRule="auto"/>
              <w:jc w:val="both"/>
              <w:rPr>
                <w:rFonts w:ascii="Times New Roman" w:hAnsi="Times New Roman"/>
                <w:sz w:val="20"/>
              </w:rPr>
            </w:pPr>
          </w:p>
        </w:tc>
      </w:tr>
    </w:tbl>
    <w:p w14:paraId="7FE1C5FA" w14:textId="77777777" w:rsidR="0057131B" w:rsidRDefault="0057131B">
      <w:pPr>
        <w:rPr>
          <w:rFonts w:ascii="Times New Roman" w:eastAsia="Times New Roman" w:hAnsi="Times New Roman" w:cs="Times New Roman"/>
          <w:sz w:val="20"/>
          <w:szCs w:val="20"/>
          <w:u w:val="single"/>
        </w:rPr>
      </w:pPr>
    </w:p>
    <w:p w14:paraId="7FE1C5FB" w14:textId="77777777" w:rsidR="0057131B" w:rsidRDefault="0057131B">
      <w:pPr>
        <w:rPr>
          <w:rFonts w:ascii="Times New Roman" w:hAnsi="Times New Roman" w:cs="Times New Roman"/>
        </w:rPr>
      </w:pPr>
    </w:p>
    <w:p w14:paraId="7FE1C5FC" w14:textId="77777777" w:rsidR="0057131B" w:rsidRDefault="00355A1C">
      <w:pPr>
        <w:pStyle w:val="P68B1DB1-Instructionsberschrift25"/>
        <w:numPr>
          <w:ilvl w:val="1"/>
          <w:numId w:val="49"/>
        </w:numPr>
        <w:ind w:left="357" w:hanging="357"/>
        <w:rPr>
          <w:rFonts w:eastAsia="Calibri"/>
          <w:szCs w:val="20"/>
        </w:rPr>
      </w:pPr>
      <w:bookmarkStart w:id="130" w:name="_Toc210901304"/>
      <w:r>
        <w:t>Z 08.03 – Relevanta tjänster – kartläggning av roller (SERV 3)</w:t>
      </w:r>
      <w:bookmarkEnd w:id="130"/>
    </w:p>
    <w:p w14:paraId="7FE1C5FD" w14:textId="77777777" w:rsidR="0057131B" w:rsidRDefault="00355A1C">
      <w:pPr>
        <w:pStyle w:val="P68B1DB1-Normal50"/>
        <w:spacing w:line="276" w:lineRule="auto"/>
        <w:jc w:val="both"/>
      </w:pPr>
      <w:r>
        <w:t>Allmänna instruktioner</w:t>
      </w:r>
    </w:p>
    <w:p w14:paraId="7FE1C5FE" w14:textId="77777777" w:rsidR="0057131B" w:rsidRDefault="00355A1C">
      <w:pPr>
        <w:pStyle w:val="P68B1DB1-Instructionsberschrift346"/>
        <w:numPr>
          <w:ilvl w:val="2"/>
          <w:numId w:val="211"/>
        </w:numPr>
        <w:ind w:left="993"/>
        <w:contextualSpacing/>
        <w:jc w:val="both"/>
      </w:pPr>
      <w:r>
        <w:rPr>
          <w:color w:val="auto"/>
          <w:szCs w:val="24"/>
        </w:rPr>
        <w:t>Information i denna mall ska redovisas en gång för hela koncernen, den ska innehålla en lista över de relevanta tjänster som enheterna i koncernen har tagit emot och dessa ska kopplas till de relevanta roller</w:t>
      </w:r>
      <w:r>
        <w:t>.</w:t>
      </w:r>
    </w:p>
    <w:p w14:paraId="7FE1C5FF" w14:textId="77777777" w:rsidR="0057131B" w:rsidRDefault="00355A1C">
      <w:pPr>
        <w:pStyle w:val="P68B1DB1-Instructionsberschrift368"/>
        <w:numPr>
          <w:ilvl w:val="2"/>
          <w:numId w:val="211"/>
        </w:numPr>
        <w:ind w:left="993"/>
        <w:contextualSpacing/>
        <w:jc w:val="both"/>
      </w:pPr>
      <w:r>
        <w:t>Värdena som redovisas i kolumnerna 0010, 0020 och 0030 i denna mall utgör en primärnyckel som måste vara unik för varje rad i mallen.</w:t>
      </w:r>
    </w:p>
    <w:p w14:paraId="7FE1C604" w14:textId="77777777" w:rsidR="0057131B" w:rsidRDefault="0057131B">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57131B" w14:paraId="7FE1C607" w14:textId="77777777">
        <w:trPr>
          <w:trHeight w:val="519"/>
          <w:tblHeader/>
        </w:trPr>
        <w:tc>
          <w:tcPr>
            <w:tcW w:w="1418" w:type="dxa"/>
            <w:shd w:val="clear" w:color="auto" w:fill="D9D9D9" w:themeFill="background1" w:themeFillShade="D9"/>
          </w:tcPr>
          <w:p w14:paraId="7FE1C605" w14:textId="77777777" w:rsidR="0057131B" w:rsidRDefault="00355A1C">
            <w:pPr>
              <w:pStyle w:val="P68B1DB1-Normal61"/>
              <w:spacing w:before="120" w:after="120" w:line="276" w:lineRule="auto"/>
            </w:pPr>
            <w:r>
              <w:t>Kolumner</w:t>
            </w:r>
          </w:p>
        </w:tc>
        <w:tc>
          <w:tcPr>
            <w:tcW w:w="7649" w:type="dxa"/>
            <w:shd w:val="clear" w:color="auto" w:fill="D9D9D9" w:themeFill="background1" w:themeFillShade="D9"/>
          </w:tcPr>
          <w:p w14:paraId="7FE1C606" w14:textId="77777777" w:rsidR="0057131B" w:rsidRDefault="00355A1C">
            <w:pPr>
              <w:pStyle w:val="P68B1DB1-Normal61"/>
              <w:spacing w:before="120" w:after="120" w:line="276" w:lineRule="auto"/>
            </w:pPr>
            <w:r>
              <w:t>Anvisningar</w:t>
            </w:r>
          </w:p>
        </w:tc>
      </w:tr>
      <w:tr w:rsidR="0057131B" w14:paraId="7FE1C60C" w14:textId="77777777">
        <w:trPr>
          <w:trHeight w:val="450"/>
        </w:trPr>
        <w:tc>
          <w:tcPr>
            <w:tcW w:w="1418" w:type="dxa"/>
          </w:tcPr>
          <w:p w14:paraId="7FE1C608" w14:textId="77777777" w:rsidR="0057131B" w:rsidRDefault="00355A1C">
            <w:pPr>
              <w:pStyle w:val="P68B1DB1-Normal62"/>
              <w:spacing w:before="120" w:after="120" w:line="276" w:lineRule="auto"/>
            </w:pPr>
            <w:r>
              <w:t>0005</w:t>
            </w:r>
          </w:p>
        </w:tc>
        <w:tc>
          <w:tcPr>
            <w:tcW w:w="7649" w:type="dxa"/>
          </w:tcPr>
          <w:p w14:paraId="7FE1C609" w14:textId="77777777" w:rsidR="0057131B" w:rsidRDefault="00355A1C">
            <w:pPr>
              <w:pStyle w:val="P68B1DB1-Normal61"/>
              <w:spacing w:before="120" w:after="120" w:line="276" w:lineRule="auto"/>
              <w:rPr>
                <w:bCs/>
              </w:rPr>
            </w:pPr>
            <w:r>
              <w:t xml:space="preserve">Service Identifier (tjänsteidentifierare) </w:t>
            </w:r>
          </w:p>
          <w:p w14:paraId="7FE1C60A" w14:textId="77777777" w:rsidR="0057131B" w:rsidRDefault="00355A1C">
            <w:pPr>
              <w:pStyle w:val="P68B1DB1-Normal62"/>
              <w:spacing w:before="120" w:after="120" w:line="276" w:lineRule="auto"/>
            </w:pPr>
            <w:r>
              <w:t>Använd tjänstens identifieringskod enligt vad som rapporteras i Z 08.01 (SERV 1).</w:t>
            </w:r>
          </w:p>
          <w:p w14:paraId="7FE1C60B" w14:textId="77777777" w:rsidR="0057131B" w:rsidRDefault="00355A1C">
            <w:pPr>
              <w:pStyle w:val="P68B1DB1-Normal62"/>
              <w:spacing w:before="120" w:after="120" w:line="276" w:lineRule="auto"/>
              <w:rPr>
                <w:iCs/>
              </w:rPr>
            </w:pPr>
            <w:r>
              <w:t>Tjänstens identifieringskod avser den tjänst som rapporteras under c0020.</w:t>
            </w:r>
          </w:p>
        </w:tc>
      </w:tr>
      <w:tr w:rsidR="0057131B" w14:paraId="7FE1C650" w14:textId="77777777">
        <w:trPr>
          <w:trHeight w:val="450"/>
        </w:trPr>
        <w:tc>
          <w:tcPr>
            <w:tcW w:w="1418" w:type="dxa"/>
          </w:tcPr>
          <w:p w14:paraId="7FE1C60D" w14:textId="77777777" w:rsidR="0057131B" w:rsidRDefault="00355A1C">
            <w:pPr>
              <w:pStyle w:val="P68B1DB1-Normal62"/>
              <w:spacing w:before="120" w:after="120" w:line="276" w:lineRule="auto"/>
            </w:pPr>
            <w:r>
              <w:t>0010</w:t>
            </w:r>
          </w:p>
        </w:tc>
        <w:tc>
          <w:tcPr>
            <w:tcW w:w="7649" w:type="dxa"/>
          </w:tcPr>
          <w:p w14:paraId="7FE1C60E" w14:textId="77777777" w:rsidR="0057131B" w:rsidRDefault="00355A1C">
            <w:pPr>
              <w:pStyle w:val="P68B1DB1-Normal61"/>
              <w:autoSpaceDE w:val="0"/>
              <w:autoSpaceDN w:val="0"/>
              <w:adjustRightInd w:val="0"/>
              <w:rPr>
                <w:rFonts w:eastAsia="MS Mincho"/>
                <w:bCs/>
              </w:rPr>
            </w:pPr>
            <w:r>
              <w:t xml:space="preserve">Typ av tjänst </w:t>
            </w:r>
          </w:p>
          <w:p w14:paraId="7FE1C645" w14:textId="21F3184E" w:rsidR="0057131B" w:rsidRDefault="00355A1C">
            <w:pPr>
              <w:pStyle w:val="P68B1DB1-Normal63"/>
              <w:autoSpaceDE w:val="0"/>
              <w:autoSpaceDN w:val="0"/>
              <w:adjustRightInd w:val="0"/>
            </w:pPr>
            <w:r>
              <w:t xml:space="preserve">Tjänstetypen ska vara en av de tjänstetyper som anges i Z 08.01 0010 ovan. </w:t>
            </w:r>
          </w:p>
          <w:p w14:paraId="7FE1C64F" w14:textId="2C039B1C" w:rsidR="0057131B" w:rsidRDefault="0057131B">
            <w:pPr>
              <w:spacing w:before="120" w:after="120" w:line="276" w:lineRule="auto"/>
              <w:rPr>
                <w:rFonts w:ascii="Times New Roman" w:hAnsi="Times New Roman"/>
                <w:sz w:val="20"/>
                <w:szCs w:val="20"/>
              </w:rPr>
            </w:pPr>
          </w:p>
        </w:tc>
      </w:tr>
      <w:tr w:rsidR="0057131B" w14:paraId="7FE1C655" w14:textId="77777777">
        <w:trPr>
          <w:trHeight w:val="450"/>
        </w:trPr>
        <w:tc>
          <w:tcPr>
            <w:tcW w:w="1418" w:type="dxa"/>
          </w:tcPr>
          <w:p w14:paraId="7FE1C651" w14:textId="77777777" w:rsidR="0057131B" w:rsidRDefault="00355A1C">
            <w:pPr>
              <w:pStyle w:val="P68B1DB1-Normal62"/>
              <w:spacing w:before="120" w:after="120" w:line="276" w:lineRule="auto"/>
            </w:pPr>
            <w:r>
              <w:t>0020</w:t>
            </w:r>
          </w:p>
        </w:tc>
        <w:tc>
          <w:tcPr>
            <w:tcW w:w="7649" w:type="dxa"/>
          </w:tcPr>
          <w:p w14:paraId="7FE1C652" w14:textId="77777777" w:rsidR="0057131B" w:rsidRDefault="00355A1C">
            <w:pPr>
              <w:pStyle w:val="P68B1DB1-Normal65"/>
              <w:spacing w:line="276" w:lineRule="auto"/>
              <w:jc w:val="both"/>
            </w:pPr>
            <w:r>
              <w:rPr>
                <w:szCs w:val="20"/>
              </w:rPr>
              <w:t>Unik tjänstetitel enligt banktaxonomin</w:t>
            </w:r>
            <w:r>
              <w:t xml:space="preserve"> </w:t>
            </w:r>
          </w:p>
          <w:p w14:paraId="7FE1C653" w14:textId="61186926" w:rsidR="0057131B" w:rsidRDefault="00355A1C">
            <w:pPr>
              <w:pStyle w:val="P68B1DB1-Normal64"/>
              <w:rPr>
                <w:rFonts w:eastAsiaTheme="minorHAnsi"/>
                <w:sz w:val="24"/>
              </w:rPr>
            </w:pPr>
            <w:r>
              <w:t>Namn/kort beskrivning av tjänsten enligt bankens egen stegvisa taxonomi (nivå 3) som rapporteras i Z 08.01 (SERV 1) kolumn 0020. Banken förväntas rapportera tjänsterna på en mer detaljerad nivå än den rapportering som föreskrivs för nivå 2 (c0010), så att varje enskild tjänst definieras på ett exakt och målinriktat sätt.</w:t>
            </w:r>
          </w:p>
          <w:p w14:paraId="7FE1C654" w14:textId="77777777" w:rsidR="0057131B" w:rsidRDefault="0057131B">
            <w:pPr>
              <w:spacing w:before="120" w:after="120" w:line="276" w:lineRule="auto"/>
              <w:rPr>
                <w:rFonts w:ascii="Times New Roman" w:hAnsi="Times New Roman"/>
                <w:sz w:val="20"/>
                <w:szCs w:val="20"/>
              </w:rPr>
            </w:pPr>
          </w:p>
        </w:tc>
      </w:tr>
      <w:tr w:rsidR="0057131B" w14:paraId="7FE1C65A" w14:textId="77777777">
        <w:trPr>
          <w:trHeight w:val="450"/>
        </w:trPr>
        <w:tc>
          <w:tcPr>
            <w:tcW w:w="1418" w:type="dxa"/>
          </w:tcPr>
          <w:p w14:paraId="7FE1C656" w14:textId="77777777" w:rsidR="0057131B" w:rsidRDefault="00355A1C">
            <w:pPr>
              <w:pStyle w:val="P68B1DB1-Normal62"/>
              <w:spacing w:before="120" w:after="120" w:line="276" w:lineRule="auto"/>
              <w:rPr>
                <w:b/>
              </w:rPr>
            </w:pPr>
            <w:r>
              <w:t>0030</w:t>
            </w:r>
          </w:p>
        </w:tc>
        <w:tc>
          <w:tcPr>
            <w:tcW w:w="7649" w:type="dxa"/>
          </w:tcPr>
          <w:p w14:paraId="7FE1C657" w14:textId="77777777" w:rsidR="0057131B" w:rsidRDefault="00355A1C">
            <w:pPr>
              <w:pStyle w:val="P68B1DB1-Normal65"/>
              <w:spacing w:before="120" w:after="120" w:line="276" w:lineRule="auto"/>
              <w:rPr>
                <w:bCs/>
              </w:rPr>
            </w:pPr>
            <w:r>
              <w:rPr>
                <w:szCs w:val="20"/>
              </w:rPr>
              <w:t>Roll-id</w:t>
            </w:r>
            <w:r>
              <w:t xml:space="preserve"> </w:t>
            </w:r>
          </w:p>
          <w:p w14:paraId="7FE1C658" w14:textId="77777777" w:rsidR="0057131B" w:rsidRDefault="00355A1C">
            <w:pPr>
              <w:pStyle w:val="P68B1DB1-Normal64"/>
              <w:spacing w:before="120" w:after="120" w:line="276" w:lineRule="auto"/>
            </w:pPr>
            <w:r>
              <w:t>Rollidentifieraren avser den roll som rapporteras under c0040.</w:t>
            </w:r>
          </w:p>
          <w:p w14:paraId="7FE1C659" w14:textId="77777777" w:rsidR="0057131B" w:rsidRDefault="0057131B">
            <w:pPr>
              <w:spacing w:before="120" w:after="120" w:line="276" w:lineRule="auto"/>
              <w:rPr>
                <w:rFonts w:ascii="Times New Roman" w:hAnsi="Times New Roman"/>
                <w:sz w:val="20"/>
                <w:szCs w:val="20"/>
              </w:rPr>
            </w:pPr>
          </w:p>
        </w:tc>
      </w:tr>
      <w:tr w:rsidR="0057131B" w14:paraId="7FE1C65F" w14:textId="77777777">
        <w:trPr>
          <w:trHeight w:val="450"/>
        </w:trPr>
        <w:tc>
          <w:tcPr>
            <w:tcW w:w="1418" w:type="dxa"/>
          </w:tcPr>
          <w:p w14:paraId="7FE1C65B" w14:textId="77777777" w:rsidR="0057131B" w:rsidRDefault="00355A1C">
            <w:pPr>
              <w:pStyle w:val="P68B1DB1-Normal62"/>
              <w:spacing w:before="120" w:after="120" w:line="276" w:lineRule="auto"/>
            </w:pPr>
            <w:r>
              <w:lastRenderedPageBreak/>
              <w:t>0040</w:t>
            </w:r>
          </w:p>
        </w:tc>
        <w:tc>
          <w:tcPr>
            <w:tcW w:w="7649" w:type="dxa"/>
          </w:tcPr>
          <w:p w14:paraId="7FE1C65C" w14:textId="77777777" w:rsidR="0057131B" w:rsidRDefault="00355A1C">
            <w:pPr>
              <w:pStyle w:val="P68B1DB1-Normal61"/>
              <w:spacing w:before="120" w:after="120" w:line="276" w:lineRule="auto"/>
              <w:rPr>
                <w:bCs/>
              </w:rPr>
            </w:pPr>
            <w:r>
              <w:t>Rollnamn</w:t>
            </w:r>
          </w:p>
          <w:p w14:paraId="7FE1C65D" w14:textId="77777777" w:rsidR="0057131B" w:rsidRDefault="00355A1C">
            <w:pPr>
              <w:pStyle w:val="P68B1DB1-Normal64"/>
              <w:spacing w:line="276" w:lineRule="auto"/>
              <w:jc w:val="both"/>
            </w:pPr>
            <w:r>
              <w:t>Det interna namn som används för den specifika rollen.</w:t>
            </w:r>
          </w:p>
          <w:p w14:paraId="7FE1C65E" w14:textId="77777777" w:rsidR="0057131B" w:rsidRDefault="0057131B">
            <w:pPr>
              <w:spacing w:before="120" w:after="120" w:line="276" w:lineRule="auto"/>
              <w:rPr>
                <w:rFonts w:ascii="Times New Roman" w:hAnsi="Times New Roman"/>
                <w:sz w:val="20"/>
                <w:szCs w:val="20"/>
              </w:rPr>
            </w:pPr>
          </w:p>
        </w:tc>
      </w:tr>
      <w:tr w:rsidR="0057131B" w14:paraId="7FE1C664" w14:textId="77777777">
        <w:trPr>
          <w:trHeight w:val="450"/>
        </w:trPr>
        <w:tc>
          <w:tcPr>
            <w:tcW w:w="1418" w:type="dxa"/>
          </w:tcPr>
          <w:p w14:paraId="7FE1C660" w14:textId="77777777" w:rsidR="0057131B" w:rsidRDefault="00355A1C">
            <w:pPr>
              <w:pStyle w:val="P68B1DB1-Normal62"/>
              <w:spacing w:before="120" w:after="120" w:line="276" w:lineRule="auto"/>
            </w:pPr>
            <w:r>
              <w:t>0050</w:t>
            </w:r>
          </w:p>
        </w:tc>
        <w:tc>
          <w:tcPr>
            <w:tcW w:w="7649" w:type="dxa"/>
          </w:tcPr>
          <w:p w14:paraId="7FE1C661" w14:textId="77777777" w:rsidR="0057131B" w:rsidRDefault="00355A1C">
            <w:pPr>
              <w:pStyle w:val="P68B1DB1-Normal61"/>
              <w:spacing w:before="120" w:after="120" w:line="276" w:lineRule="auto"/>
              <w:rPr>
                <w:bCs/>
              </w:rPr>
            </w:pPr>
            <w:r>
              <w:t>Avdelning</w:t>
            </w:r>
          </w:p>
          <w:p w14:paraId="7FE1C662" w14:textId="77777777" w:rsidR="0057131B" w:rsidRDefault="00355A1C">
            <w:pPr>
              <w:pStyle w:val="P68B1DB1-Normal64"/>
              <w:spacing w:line="276" w:lineRule="auto"/>
              <w:jc w:val="both"/>
            </w:pPr>
            <w:r>
              <w:t>Det interna namn som används för den specifika avdelning där rollnamnet under c0040 tillhör.</w:t>
            </w:r>
          </w:p>
          <w:p w14:paraId="7FE1C663" w14:textId="77777777" w:rsidR="0057131B" w:rsidRDefault="0057131B">
            <w:pPr>
              <w:spacing w:line="276" w:lineRule="auto"/>
              <w:jc w:val="both"/>
              <w:rPr>
                <w:rFonts w:ascii="Times New Roman" w:hAnsi="Times New Roman"/>
                <w:iCs/>
                <w:sz w:val="20"/>
              </w:rPr>
            </w:pPr>
          </w:p>
        </w:tc>
      </w:tr>
      <w:tr w:rsidR="0057131B" w14:paraId="7FE1C66C" w14:textId="77777777">
        <w:trPr>
          <w:trHeight w:val="450"/>
        </w:trPr>
        <w:tc>
          <w:tcPr>
            <w:tcW w:w="1418" w:type="dxa"/>
          </w:tcPr>
          <w:p w14:paraId="7FE1C665" w14:textId="77777777" w:rsidR="0057131B" w:rsidRDefault="00355A1C">
            <w:pPr>
              <w:pStyle w:val="P68B1DB1-Normal62"/>
              <w:spacing w:before="120" w:after="120" w:line="276" w:lineRule="auto"/>
            </w:pPr>
            <w:r>
              <w:t>0060</w:t>
            </w:r>
          </w:p>
        </w:tc>
        <w:tc>
          <w:tcPr>
            <w:tcW w:w="7649" w:type="dxa"/>
          </w:tcPr>
          <w:p w14:paraId="7FE1C666" w14:textId="77777777" w:rsidR="0057131B" w:rsidRDefault="00355A1C">
            <w:pPr>
              <w:pStyle w:val="P68B1DB1-Normal61"/>
              <w:spacing w:before="120" w:after="120" w:line="276" w:lineRule="auto"/>
              <w:rPr>
                <w:bCs/>
              </w:rPr>
            </w:pPr>
            <w:r>
              <w:t>Kriticitet</w:t>
            </w:r>
          </w:p>
          <w:p w14:paraId="7FE1C667" w14:textId="77777777" w:rsidR="0057131B" w:rsidRDefault="00355A1C">
            <w:pPr>
              <w:pStyle w:val="P68B1DB1-Normal64"/>
              <w:spacing w:line="276" w:lineRule="auto"/>
              <w:jc w:val="both"/>
              <w:rPr>
                <w:iCs/>
              </w:rPr>
            </w:pPr>
            <w:r>
              <w:t>Redovisa ett av följande värden:</w:t>
            </w:r>
          </w:p>
          <w:p w14:paraId="7FE1C668" w14:textId="77777777" w:rsidR="0057131B" w:rsidRDefault="00355A1C">
            <w:pPr>
              <w:pStyle w:val="P68B1DB1-ListParagraph58"/>
              <w:numPr>
                <w:ilvl w:val="0"/>
                <w:numId w:val="236"/>
              </w:numPr>
              <w:spacing w:line="276" w:lineRule="auto"/>
              <w:contextualSpacing/>
              <w:jc w:val="both"/>
              <w:rPr>
                <w:iCs/>
              </w:rPr>
            </w:pPr>
            <w:r>
              <w:t>Kritisk betydelse: om tjänsten är nödvändig för att utföra en eller flera kritiska funktioner, vars avbrott allvarligt skulle hindra eller förhindra utförandet av dessa kritiska funktioner.</w:t>
            </w:r>
          </w:p>
          <w:p w14:paraId="7FE1C669" w14:textId="77777777" w:rsidR="0057131B" w:rsidRDefault="00355A1C">
            <w:pPr>
              <w:pStyle w:val="P68B1DB1-ListParagraph58"/>
              <w:numPr>
                <w:ilvl w:val="0"/>
                <w:numId w:val="236"/>
              </w:numPr>
              <w:spacing w:line="276" w:lineRule="auto"/>
              <w:contextualSpacing/>
              <w:jc w:val="both"/>
              <w:rPr>
                <w:iCs/>
              </w:rPr>
            </w:pPr>
            <w:r>
              <w:t>Grundläggande kriterier: om tjänsten är förknippad med kärnaffärsområden, vars kontinuitet är nödvändig för ett effektivt genomförande av resolutionsstrategin och eventuella efterföljande omstruktureringar.</w:t>
            </w:r>
          </w:p>
          <w:p w14:paraId="7FE1C66A" w14:textId="21623EFD" w:rsidR="0057131B" w:rsidRDefault="00355A1C">
            <w:pPr>
              <w:pStyle w:val="P68B1DB1-ListParagraph58"/>
              <w:numPr>
                <w:ilvl w:val="0"/>
                <w:numId w:val="236"/>
              </w:numPr>
              <w:spacing w:line="276" w:lineRule="auto"/>
              <w:contextualSpacing/>
              <w:jc w:val="both"/>
              <w:rPr>
                <w:iCs/>
              </w:rPr>
            </w:pPr>
            <w:r>
              <w:t>Kritisk och väsentlig</w:t>
            </w:r>
          </w:p>
          <w:p w14:paraId="7FE1C66B" w14:textId="77777777" w:rsidR="0057131B" w:rsidRDefault="0057131B">
            <w:pPr>
              <w:spacing w:before="120" w:after="120" w:line="276" w:lineRule="auto"/>
              <w:rPr>
                <w:rFonts w:ascii="Times New Roman" w:hAnsi="Times New Roman"/>
                <w:sz w:val="20"/>
                <w:szCs w:val="20"/>
              </w:rPr>
            </w:pPr>
          </w:p>
        </w:tc>
      </w:tr>
    </w:tbl>
    <w:p w14:paraId="7FE1C6D5" w14:textId="77777777" w:rsidR="0057131B" w:rsidRDefault="0057131B">
      <w:pPr>
        <w:rPr>
          <w:rFonts w:ascii="Times New Roman" w:hAnsi="Times New Roman" w:cs="Times New Roman"/>
        </w:rPr>
      </w:pPr>
    </w:p>
    <w:p w14:paraId="7FE1C6D6" w14:textId="77777777" w:rsidR="0057131B" w:rsidRDefault="00355A1C">
      <w:pPr>
        <w:pStyle w:val="P68B1DB1-Instructionsberschrift25"/>
        <w:numPr>
          <w:ilvl w:val="1"/>
          <w:numId w:val="49"/>
        </w:numPr>
        <w:ind w:left="357" w:hanging="357"/>
        <w:rPr>
          <w:rFonts w:eastAsia="Calibri"/>
          <w:szCs w:val="20"/>
        </w:rPr>
      </w:pPr>
      <w:bookmarkStart w:id="131" w:name="_Toc210901305"/>
      <w:r>
        <w:t>Z 08.04 – Kritiska tjänster – kartläggning av kritiska funktioner (SERV 4)</w:t>
      </w:r>
      <w:bookmarkEnd w:id="131"/>
    </w:p>
    <w:p w14:paraId="7FE1C6D7" w14:textId="77777777" w:rsidR="0057131B" w:rsidRDefault="00355A1C">
      <w:pPr>
        <w:pStyle w:val="P68B1DB1-Instructionsberschrift269"/>
        <w:ind w:left="357"/>
      </w:pPr>
      <w:bookmarkStart w:id="132" w:name="_Toc164263859"/>
      <w:bookmarkStart w:id="133" w:name="_Toc210901306"/>
      <w:r>
        <w:t>Allmänna instruktioner</w:t>
      </w:r>
      <w:bookmarkEnd w:id="132"/>
      <w:bookmarkEnd w:id="133"/>
    </w:p>
    <w:p w14:paraId="7FE1C6D8" w14:textId="77777777" w:rsidR="0057131B" w:rsidRDefault="0057131B">
      <w:pPr>
        <w:spacing w:line="276" w:lineRule="auto"/>
        <w:jc w:val="both"/>
        <w:rPr>
          <w:rFonts w:ascii="Times New Roman" w:eastAsia="Calibri" w:hAnsi="Times New Roman" w:cs="Times New Roman"/>
          <w:sz w:val="20"/>
          <w:szCs w:val="20"/>
        </w:rPr>
      </w:pPr>
    </w:p>
    <w:p w14:paraId="7FE1C6D9" w14:textId="77777777" w:rsidR="0057131B" w:rsidRDefault="00355A1C">
      <w:pPr>
        <w:pStyle w:val="P68B1DB1-ListParagraph53"/>
        <w:numPr>
          <w:ilvl w:val="0"/>
          <w:numId w:val="267"/>
        </w:numPr>
        <w:ind w:left="1418"/>
        <w:contextualSpacing/>
        <w:jc w:val="both"/>
      </w:pPr>
      <w:r>
        <w:t>Informationen i denna mall ska redovisas en gång för hela koncernen, den ska innehålla en lista över de kritiska tjänster som enheterna i koncernen har tagit emot och dessa ska kopplas till de kritiska funktioner som koncernen tillhandahållit.</w:t>
      </w:r>
    </w:p>
    <w:p w14:paraId="7FE1C6DA" w14:textId="77777777" w:rsidR="0057131B" w:rsidRDefault="00355A1C">
      <w:pPr>
        <w:pStyle w:val="P68B1DB1-ListParagraph53"/>
        <w:numPr>
          <w:ilvl w:val="0"/>
          <w:numId w:val="267"/>
        </w:numPr>
        <w:ind w:left="1418"/>
        <w:contextualSpacing/>
        <w:jc w:val="both"/>
      </w:pPr>
      <w:r>
        <w:t>Värdena som redovisas i kolumnerna 0010, 0020, 0030 och 0040 i denna mall utgör en primärnyckel som måste vara unik för varje rad i mallen.</w:t>
      </w:r>
    </w:p>
    <w:p w14:paraId="7FE1C6DB" w14:textId="77777777" w:rsidR="0057131B" w:rsidRDefault="0057131B">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57131B" w14:paraId="7FE1C6DE" w14:textId="77777777">
        <w:trPr>
          <w:trHeight w:val="445"/>
          <w:tblHeader/>
        </w:trPr>
        <w:tc>
          <w:tcPr>
            <w:tcW w:w="1418" w:type="dxa"/>
            <w:shd w:val="clear" w:color="auto" w:fill="E7E6E6"/>
          </w:tcPr>
          <w:p w14:paraId="7FE1C6DC" w14:textId="77777777" w:rsidR="0057131B" w:rsidRDefault="00355A1C">
            <w:pPr>
              <w:pStyle w:val="P68B1DB1-Normal61"/>
              <w:spacing w:before="120" w:after="120" w:line="276" w:lineRule="auto"/>
            </w:pPr>
            <w:r>
              <w:t>Kolumner</w:t>
            </w:r>
          </w:p>
        </w:tc>
        <w:tc>
          <w:tcPr>
            <w:tcW w:w="7508" w:type="dxa"/>
            <w:shd w:val="clear" w:color="auto" w:fill="E7E6E6"/>
          </w:tcPr>
          <w:p w14:paraId="7FE1C6DD" w14:textId="77777777" w:rsidR="0057131B" w:rsidRDefault="00355A1C">
            <w:pPr>
              <w:pStyle w:val="P68B1DB1-Normal61"/>
              <w:spacing w:before="120" w:after="120" w:line="276" w:lineRule="auto"/>
            </w:pPr>
            <w:r>
              <w:t>Anvisningar</w:t>
            </w:r>
          </w:p>
        </w:tc>
      </w:tr>
      <w:tr w:rsidR="0057131B" w14:paraId="7FE1C6E3" w14:textId="77777777">
        <w:trPr>
          <w:trHeight w:val="450"/>
        </w:trPr>
        <w:tc>
          <w:tcPr>
            <w:tcW w:w="1418" w:type="dxa"/>
            <w:shd w:val="clear" w:color="auto" w:fill="FFFFFF"/>
          </w:tcPr>
          <w:p w14:paraId="7FE1C6DF" w14:textId="77777777" w:rsidR="0057131B" w:rsidRDefault="00355A1C">
            <w:pPr>
              <w:pStyle w:val="P68B1DB1-Normal62"/>
              <w:spacing w:before="120" w:after="120" w:line="276" w:lineRule="auto"/>
            </w:pPr>
            <w:r>
              <w:t>0005</w:t>
            </w:r>
          </w:p>
        </w:tc>
        <w:tc>
          <w:tcPr>
            <w:tcW w:w="7508" w:type="dxa"/>
            <w:shd w:val="clear" w:color="auto" w:fill="FFFFFF"/>
          </w:tcPr>
          <w:p w14:paraId="7FE1C6E0" w14:textId="77777777" w:rsidR="0057131B" w:rsidRDefault="00355A1C">
            <w:pPr>
              <w:pStyle w:val="P68B1DB1-Normal61"/>
              <w:spacing w:before="120" w:after="120" w:line="276" w:lineRule="auto"/>
            </w:pPr>
            <w:r>
              <w:t xml:space="preserve">Service Identifier (tjänsteidentifierare) </w:t>
            </w:r>
          </w:p>
          <w:p w14:paraId="7FE1C6E1" w14:textId="77777777" w:rsidR="0057131B" w:rsidRDefault="00355A1C">
            <w:pPr>
              <w:pStyle w:val="P68B1DB1-Normal62"/>
              <w:spacing w:before="120" w:after="120" w:line="276" w:lineRule="auto"/>
            </w:pPr>
            <w:r>
              <w:t>Använd tjänstens identifieringskod enligt vad som rapporteras i Z 08.01 (SERV 1).</w:t>
            </w:r>
          </w:p>
          <w:p w14:paraId="7FE1C6E2" w14:textId="77777777" w:rsidR="0057131B" w:rsidRDefault="00355A1C">
            <w:pPr>
              <w:pStyle w:val="P68B1DB1-Normal62"/>
              <w:spacing w:before="120" w:after="120" w:line="276" w:lineRule="auto"/>
              <w:rPr>
                <w:i/>
              </w:rPr>
            </w:pPr>
            <w:r>
              <w:t>Tjänstens identifieringskod avser den tjänst som rapporteras under c0020.</w:t>
            </w:r>
          </w:p>
        </w:tc>
      </w:tr>
      <w:tr w:rsidR="0057131B" w14:paraId="7FE1C727" w14:textId="77777777">
        <w:trPr>
          <w:trHeight w:val="450"/>
        </w:trPr>
        <w:tc>
          <w:tcPr>
            <w:tcW w:w="1418" w:type="dxa"/>
            <w:shd w:val="clear" w:color="auto" w:fill="FFFFFF"/>
          </w:tcPr>
          <w:p w14:paraId="7FE1C6E4" w14:textId="77777777" w:rsidR="0057131B" w:rsidRDefault="00355A1C">
            <w:pPr>
              <w:pStyle w:val="P68B1DB1-Normal62"/>
              <w:spacing w:before="120" w:after="120" w:line="276" w:lineRule="auto"/>
            </w:pPr>
            <w:r>
              <w:t>0010</w:t>
            </w:r>
          </w:p>
        </w:tc>
        <w:tc>
          <w:tcPr>
            <w:tcW w:w="7508" w:type="dxa"/>
            <w:shd w:val="clear" w:color="auto" w:fill="FFFFFF"/>
          </w:tcPr>
          <w:p w14:paraId="7FE1C6E5" w14:textId="77777777" w:rsidR="0057131B" w:rsidRDefault="00355A1C">
            <w:pPr>
              <w:pStyle w:val="P68B1DB1-Normal61"/>
              <w:autoSpaceDE w:val="0"/>
              <w:autoSpaceDN w:val="0"/>
              <w:adjustRightInd w:val="0"/>
              <w:rPr>
                <w:rFonts w:eastAsia="MS Mincho"/>
                <w:bCs/>
              </w:rPr>
            </w:pPr>
            <w:r>
              <w:t xml:space="preserve">Typ av tjänst </w:t>
            </w:r>
          </w:p>
          <w:p w14:paraId="7FE1C6E6" w14:textId="328A5068" w:rsidR="0057131B" w:rsidRDefault="00355A1C">
            <w:pPr>
              <w:pStyle w:val="P68B1DB1-Normal63"/>
              <w:autoSpaceDE w:val="0"/>
              <w:autoSpaceDN w:val="0"/>
              <w:adjustRightInd w:val="0"/>
            </w:pPr>
            <w:r>
              <w:t xml:space="preserve">Tjänstetypen ska vara en av de tjänstetyper som anges i Z 08.01 0010 ovan. </w:t>
            </w:r>
          </w:p>
          <w:p w14:paraId="7FE1C726" w14:textId="7C7FFCB5" w:rsidR="0057131B" w:rsidRDefault="0057131B">
            <w:pPr>
              <w:spacing w:before="120" w:after="120" w:line="276" w:lineRule="auto"/>
              <w:rPr>
                <w:rFonts w:ascii="Times New Roman" w:hAnsi="Times New Roman"/>
                <w:sz w:val="20"/>
                <w:szCs w:val="20"/>
              </w:rPr>
            </w:pPr>
          </w:p>
        </w:tc>
      </w:tr>
      <w:tr w:rsidR="0057131B" w14:paraId="7FE1C72C" w14:textId="77777777">
        <w:trPr>
          <w:trHeight w:val="450"/>
        </w:trPr>
        <w:tc>
          <w:tcPr>
            <w:tcW w:w="1418" w:type="dxa"/>
            <w:shd w:val="clear" w:color="auto" w:fill="FFFFFF"/>
          </w:tcPr>
          <w:p w14:paraId="7FE1C728" w14:textId="77777777" w:rsidR="0057131B" w:rsidRDefault="00355A1C">
            <w:pPr>
              <w:pStyle w:val="P68B1DB1-Normal62"/>
              <w:spacing w:before="120" w:after="120" w:line="276" w:lineRule="auto"/>
            </w:pPr>
            <w:r>
              <w:t>0020</w:t>
            </w:r>
          </w:p>
        </w:tc>
        <w:tc>
          <w:tcPr>
            <w:tcW w:w="7508" w:type="dxa"/>
            <w:shd w:val="clear" w:color="auto" w:fill="FFFFFF"/>
          </w:tcPr>
          <w:p w14:paraId="7FE1C729" w14:textId="77777777" w:rsidR="0057131B" w:rsidRDefault="00355A1C">
            <w:pPr>
              <w:pStyle w:val="P68B1DB1-Normal65"/>
              <w:spacing w:line="276" w:lineRule="auto"/>
              <w:jc w:val="both"/>
            </w:pPr>
            <w:r>
              <w:rPr>
                <w:szCs w:val="20"/>
              </w:rPr>
              <w:t>Unik tjänstetitel enligt banktaxonomin</w:t>
            </w:r>
            <w:r>
              <w:t xml:space="preserve"> </w:t>
            </w:r>
          </w:p>
          <w:p w14:paraId="7FE1C72A" w14:textId="14809522" w:rsidR="0057131B" w:rsidRDefault="00355A1C">
            <w:pPr>
              <w:pStyle w:val="P68B1DB1-Normal64"/>
            </w:pPr>
            <w:r>
              <w:t>Namn/kort beskrivning av tjänsten enligt bankens egen stegvisa taxonomi (nivå 3) som rapporteras i Z 08.01 (SERV 1) kolumn 0020. Banken förväntas rapportera tjänsterna på en mer detaljerad nivå än den rapportering som föreskrivs för nivå 2 (c0010), så att varje enskild tjänst definieras på ett exakt och målinriktat sätt.</w:t>
            </w:r>
          </w:p>
          <w:p w14:paraId="7FE1C72B" w14:textId="77777777" w:rsidR="0057131B" w:rsidRDefault="0057131B">
            <w:pPr>
              <w:spacing w:before="120" w:after="120" w:line="276" w:lineRule="auto"/>
              <w:rPr>
                <w:rFonts w:ascii="Times New Roman" w:hAnsi="Times New Roman"/>
                <w:sz w:val="20"/>
                <w:szCs w:val="20"/>
              </w:rPr>
            </w:pPr>
          </w:p>
        </w:tc>
      </w:tr>
      <w:tr w:rsidR="0057131B" w14:paraId="7FE1C731" w14:textId="77777777">
        <w:trPr>
          <w:trHeight w:val="450"/>
        </w:trPr>
        <w:tc>
          <w:tcPr>
            <w:tcW w:w="1418" w:type="dxa"/>
            <w:shd w:val="clear" w:color="auto" w:fill="FFFFFF"/>
          </w:tcPr>
          <w:p w14:paraId="7FE1C72D" w14:textId="77777777" w:rsidR="0057131B" w:rsidRDefault="00355A1C">
            <w:pPr>
              <w:pStyle w:val="P68B1DB1-Normal62"/>
              <w:spacing w:before="120" w:after="120" w:line="276" w:lineRule="auto"/>
            </w:pPr>
            <w:r>
              <w:lastRenderedPageBreak/>
              <w:t>0030–0040</w:t>
            </w:r>
          </w:p>
        </w:tc>
        <w:tc>
          <w:tcPr>
            <w:tcW w:w="7508" w:type="dxa"/>
            <w:shd w:val="clear" w:color="auto" w:fill="FFFFFF"/>
          </w:tcPr>
          <w:p w14:paraId="7FE1C72E" w14:textId="77777777" w:rsidR="0057131B" w:rsidRDefault="00355A1C">
            <w:pPr>
              <w:pStyle w:val="P68B1DB1-Normal65"/>
              <w:spacing w:line="276" w:lineRule="auto"/>
              <w:jc w:val="both"/>
              <w:rPr>
                <w:bCs/>
              </w:rPr>
            </w:pPr>
            <w:r>
              <w:rPr>
                <w:szCs w:val="20"/>
              </w:rPr>
              <w:t>Kritisk funktion</w:t>
            </w:r>
            <w:r>
              <w:t xml:space="preserve"> </w:t>
            </w:r>
          </w:p>
          <w:p w14:paraId="7FE1C72F" w14:textId="77777777" w:rsidR="0057131B" w:rsidRDefault="00355A1C">
            <w:pPr>
              <w:pStyle w:val="P68B1DB1-Normal64"/>
              <w:spacing w:line="276" w:lineRule="auto"/>
              <w:jc w:val="both"/>
            </w:pPr>
            <w:r>
              <w:t>Den kritiska funktion som skulle hindras allvarligt eller helt upphöra om den kritiska tjänsten avbryts. Det är en av de funktioner som har bedömts som kritiska i mall Z 07.01 (FUNC 1).</w:t>
            </w:r>
          </w:p>
          <w:p w14:paraId="7FE1C730" w14:textId="77777777" w:rsidR="0057131B" w:rsidRDefault="0057131B">
            <w:pPr>
              <w:spacing w:line="276" w:lineRule="auto"/>
              <w:jc w:val="both"/>
              <w:rPr>
                <w:rFonts w:ascii="Times New Roman" w:hAnsi="Times New Roman"/>
                <w:sz w:val="20"/>
              </w:rPr>
            </w:pPr>
          </w:p>
        </w:tc>
      </w:tr>
      <w:tr w:rsidR="0057131B" w14:paraId="7FE1C736" w14:textId="77777777">
        <w:trPr>
          <w:trHeight w:val="450"/>
        </w:trPr>
        <w:tc>
          <w:tcPr>
            <w:tcW w:w="1418" w:type="dxa"/>
            <w:shd w:val="clear" w:color="auto" w:fill="FFFFFF"/>
          </w:tcPr>
          <w:p w14:paraId="7FE1C732" w14:textId="77777777" w:rsidR="0057131B" w:rsidRDefault="00355A1C">
            <w:pPr>
              <w:pStyle w:val="P68B1DB1-Normal64"/>
              <w:spacing w:before="120" w:after="120" w:line="276" w:lineRule="auto"/>
              <w:rPr>
                <w:szCs w:val="20"/>
              </w:rPr>
            </w:pPr>
            <w:r>
              <w:t>0030</w:t>
            </w:r>
          </w:p>
        </w:tc>
        <w:tc>
          <w:tcPr>
            <w:tcW w:w="7508" w:type="dxa"/>
            <w:shd w:val="clear" w:color="auto" w:fill="FFFFFF"/>
          </w:tcPr>
          <w:p w14:paraId="7FE1C733" w14:textId="77777777" w:rsidR="0057131B" w:rsidRDefault="00355A1C">
            <w:pPr>
              <w:pStyle w:val="P68B1DB1-Normal65"/>
              <w:spacing w:line="276" w:lineRule="auto"/>
              <w:jc w:val="both"/>
              <w:rPr>
                <w:bCs/>
              </w:rPr>
            </w:pPr>
            <w:r>
              <w:t>Land</w:t>
            </w:r>
          </w:p>
          <w:p w14:paraId="7FE1C734" w14:textId="77777777" w:rsidR="0057131B" w:rsidRDefault="00355A1C">
            <w:pPr>
              <w:pStyle w:val="P68B1DB1-Normal64"/>
              <w:spacing w:line="276" w:lineRule="auto"/>
              <w:jc w:val="both"/>
            </w:pPr>
            <w:r>
              <w:t>Medlemsstaten för vilken funktionen är kritisk, enligt vad som redovisas i Z 07.01 (FUNC 1)</w:t>
            </w:r>
          </w:p>
          <w:p w14:paraId="7FE1C735" w14:textId="77777777" w:rsidR="0057131B" w:rsidRDefault="0057131B">
            <w:pPr>
              <w:spacing w:line="276" w:lineRule="auto"/>
              <w:jc w:val="both"/>
              <w:rPr>
                <w:rFonts w:ascii="Times New Roman" w:hAnsi="Times New Roman"/>
                <w:sz w:val="20"/>
              </w:rPr>
            </w:pPr>
          </w:p>
        </w:tc>
      </w:tr>
      <w:tr w:rsidR="0057131B" w14:paraId="7FE1C73B" w14:textId="77777777">
        <w:trPr>
          <w:trHeight w:val="450"/>
        </w:trPr>
        <w:tc>
          <w:tcPr>
            <w:tcW w:w="1418" w:type="dxa"/>
            <w:shd w:val="clear" w:color="auto" w:fill="FFFFFF"/>
          </w:tcPr>
          <w:p w14:paraId="7FE1C737" w14:textId="77777777" w:rsidR="0057131B" w:rsidRDefault="00355A1C">
            <w:pPr>
              <w:pStyle w:val="P68B1DB1-Normal64"/>
              <w:spacing w:before="120" w:after="120" w:line="276" w:lineRule="auto"/>
              <w:rPr>
                <w:szCs w:val="20"/>
              </w:rPr>
            </w:pPr>
            <w:r>
              <w:t>0040</w:t>
            </w:r>
          </w:p>
        </w:tc>
        <w:tc>
          <w:tcPr>
            <w:tcW w:w="7508" w:type="dxa"/>
            <w:shd w:val="clear" w:color="auto" w:fill="FFFFFF"/>
          </w:tcPr>
          <w:p w14:paraId="7FE1C738" w14:textId="77777777" w:rsidR="0057131B" w:rsidRDefault="00355A1C">
            <w:pPr>
              <w:pStyle w:val="P68B1DB1-Normal65"/>
              <w:spacing w:line="276" w:lineRule="auto"/>
              <w:jc w:val="both"/>
              <w:rPr>
                <w:bCs/>
              </w:rPr>
            </w:pPr>
            <w:r>
              <w:t>ID</w:t>
            </w:r>
          </w:p>
          <w:p w14:paraId="7FE1C739" w14:textId="77777777" w:rsidR="0057131B" w:rsidRDefault="00355A1C">
            <w:pPr>
              <w:pStyle w:val="P68B1DB1-Normal64"/>
              <w:spacing w:line="276" w:lineRule="auto"/>
              <w:jc w:val="both"/>
            </w:pPr>
            <w:r>
              <w:t>ID för den kritiska funktionen enligt definitionen i kapitel 2.7.1.4 ovan och som avses i mall Z 07.01 (FUNC 1).</w:t>
            </w:r>
          </w:p>
          <w:p w14:paraId="7FE1C73A" w14:textId="77777777" w:rsidR="0057131B" w:rsidRDefault="0057131B">
            <w:pPr>
              <w:spacing w:line="276" w:lineRule="auto"/>
              <w:jc w:val="both"/>
              <w:rPr>
                <w:rFonts w:ascii="Times New Roman" w:hAnsi="Times New Roman"/>
                <w:sz w:val="20"/>
              </w:rPr>
            </w:pPr>
          </w:p>
        </w:tc>
      </w:tr>
    </w:tbl>
    <w:p w14:paraId="7FE1C746" w14:textId="77777777" w:rsidR="0057131B" w:rsidRDefault="0057131B">
      <w:pPr>
        <w:rPr>
          <w:rFonts w:ascii="Times New Roman" w:hAnsi="Times New Roman" w:cs="Times New Roman"/>
        </w:rPr>
      </w:pPr>
    </w:p>
    <w:p w14:paraId="7FE1C747" w14:textId="77777777" w:rsidR="0057131B" w:rsidRDefault="0057131B">
      <w:pPr>
        <w:pStyle w:val="Instructionsberschrift2"/>
        <w:rPr>
          <w:rFonts w:ascii="Times New Roman" w:eastAsia="Calibri" w:hAnsi="Times New Roman" w:cs="Times New Roman"/>
          <w:szCs w:val="20"/>
        </w:rPr>
      </w:pPr>
    </w:p>
    <w:p w14:paraId="7FE1C748" w14:textId="77777777" w:rsidR="0057131B" w:rsidRDefault="00355A1C">
      <w:pPr>
        <w:pStyle w:val="P68B1DB1-Instructionsberschrift25"/>
        <w:numPr>
          <w:ilvl w:val="1"/>
          <w:numId w:val="49"/>
        </w:numPr>
        <w:ind w:left="357" w:hanging="357"/>
        <w:rPr>
          <w:rFonts w:eastAsia="Calibri"/>
          <w:szCs w:val="20"/>
        </w:rPr>
      </w:pPr>
      <w:bookmarkStart w:id="134" w:name="_Toc210901307"/>
      <w:r>
        <w:t>Z 08.05 – Grundläggande tjänster – kartläggning av centrala affärsområden (SERV 5)</w:t>
      </w:r>
      <w:bookmarkEnd w:id="134"/>
    </w:p>
    <w:p w14:paraId="7FE1C749" w14:textId="77777777" w:rsidR="0057131B" w:rsidRDefault="00355A1C">
      <w:pPr>
        <w:pStyle w:val="P68B1DB1-Normal70"/>
        <w:spacing w:line="276" w:lineRule="auto"/>
        <w:jc w:val="both"/>
        <w:rPr>
          <w:sz w:val="20"/>
          <w:szCs w:val="20"/>
        </w:rPr>
      </w:pPr>
      <w:r>
        <w:t>Instruktioner för specifika positioner</w:t>
      </w:r>
    </w:p>
    <w:p w14:paraId="7FE1C74A" w14:textId="77777777" w:rsidR="0057131B" w:rsidRDefault="00355A1C">
      <w:pPr>
        <w:pStyle w:val="P68B1DB1-Instructionsberschrift368"/>
        <w:numPr>
          <w:ilvl w:val="2"/>
          <w:numId w:val="210"/>
        </w:numPr>
        <w:ind w:left="1418"/>
        <w:contextualSpacing/>
        <w:jc w:val="both"/>
      </w:pPr>
      <w:r>
        <w:t>Information i denna mall ska redovisas en gång för hela koncernen, den ska innehålla en lista över de kritiska tjänster som enheterna i koncernen har tagit emot och dessa ska kopplas till de kritiska funktioner som koncernen tillhandahållit.</w:t>
      </w:r>
    </w:p>
    <w:p w14:paraId="7FE1C74B" w14:textId="77777777" w:rsidR="0057131B" w:rsidRDefault="00355A1C">
      <w:pPr>
        <w:pStyle w:val="P68B1DB1-Instructionsberschrift368"/>
        <w:numPr>
          <w:ilvl w:val="2"/>
          <w:numId w:val="210"/>
        </w:numPr>
        <w:ind w:left="1418"/>
        <w:contextualSpacing/>
        <w:jc w:val="both"/>
      </w:pPr>
      <w:r>
        <w:t>Värdena som redovisas i kolumnerna 0010, 0020 och 0040 i denna mall utgör en primärnyckel som måste vara unik för varje rad i mallen.</w:t>
      </w:r>
    </w:p>
    <w:p w14:paraId="7FE1C74C" w14:textId="77777777" w:rsidR="0057131B" w:rsidRDefault="0057131B">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57131B" w14:paraId="7FE1C74F" w14:textId="77777777">
        <w:trPr>
          <w:trHeight w:val="644"/>
          <w:tblHeader/>
        </w:trPr>
        <w:tc>
          <w:tcPr>
            <w:tcW w:w="1418" w:type="dxa"/>
            <w:shd w:val="clear" w:color="auto" w:fill="E7E6E6"/>
          </w:tcPr>
          <w:p w14:paraId="7FE1C74D" w14:textId="77777777" w:rsidR="0057131B" w:rsidRDefault="00355A1C">
            <w:pPr>
              <w:pStyle w:val="P68B1DB1-Normal61"/>
              <w:spacing w:before="120" w:after="120" w:line="276" w:lineRule="auto"/>
            </w:pPr>
            <w:r>
              <w:t>Kolumner</w:t>
            </w:r>
          </w:p>
        </w:tc>
        <w:tc>
          <w:tcPr>
            <w:tcW w:w="7649" w:type="dxa"/>
            <w:shd w:val="clear" w:color="auto" w:fill="E7E6E6"/>
          </w:tcPr>
          <w:p w14:paraId="7FE1C74E" w14:textId="77777777" w:rsidR="0057131B" w:rsidRDefault="00355A1C">
            <w:pPr>
              <w:pStyle w:val="P68B1DB1-Normal61"/>
              <w:spacing w:before="120" w:after="120" w:line="276" w:lineRule="auto"/>
            </w:pPr>
            <w:r>
              <w:t>Anvisningar</w:t>
            </w:r>
          </w:p>
        </w:tc>
      </w:tr>
      <w:tr w:rsidR="0057131B" w14:paraId="7FE1C754" w14:textId="77777777">
        <w:trPr>
          <w:trHeight w:val="450"/>
        </w:trPr>
        <w:tc>
          <w:tcPr>
            <w:tcW w:w="1418" w:type="dxa"/>
            <w:shd w:val="clear" w:color="auto" w:fill="FFFFFF"/>
          </w:tcPr>
          <w:p w14:paraId="7FE1C750" w14:textId="77777777" w:rsidR="0057131B" w:rsidRDefault="00355A1C">
            <w:pPr>
              <w:pStyle w:val="P68B1DB1-Normal62"/>
              <w:spacing w:before="120" w:after="120" w:line="276" w:lineRule="auto"/>
            </w:pPr>
            <w:r>
              <w:t>0005</w:t>
            </w:r>
          </w:p>
        </w:tc>
        <w:tc>
          <w:tcPr>
            <w:tcW w:w="7649" w:type="dxa"/>
            <w:shd w:val="clear" w:color="auto" w:fill="FFFFFF"/>
          </w:tcPr>
          <w:p w14:paraId="7FE1C751" w14:textId="77777777" w:rsidR="0057131B" w:rsidRDefault="00355A1C">
            <w:pPr>
              <w:pStyle w:val="P68B1DB1-Normal61"/>
              <w:spacing w:before="120" w:after="120" w:line="276" w:lineRule="auto"/>
            </w:pPr>
            <w:r>
              <w:t xml:space="preserve">Service Identifier (tjänsteidentifierare) </w:t>
            </w:r>
          </w:p>
          <w:p w14:paraId="7FE1C752" w14:textId="77777777" w:rsidR="0057131B" w:rsidRDefault="00355A1C">
            <w:pPr>
              <w:pStyle w:val="P68B1DB1-Normal62"/>
              <w:spacing w:before="120" w:after="120" w:line="276" w:lineRule="auto"/>
            </w:pPr>
            <w:r>
              <w:t>Använd tjänstens identifieringskod enligt vad som rapporteras i Z 08.01 (SERV 1).</w:t>
            </w:r>
          </w:p>
          <w:p w14:paraId="7FE1C753" w14:textId="77777777" w:rsidR="0057131B" w:rsidRDefault="00355A1C">
            <w:pPr>
              <w:pStyle w:val="P68B1DB1-Normal62"/>
              <w:spacing w:before="120" w:after="120" w:line="276" w:lineRule="auto"/>
              <w:rPr>
                <w:i/>
              </w:rPr>
            </w:pPr>
            <w:r>
              <w:t>Tjänstens identifieringskod avser den tjänst som rapporteras under c0020.</w:t>
            </w:r>
          </w:p>
        </w:tc>
      </w:tr>
      <w:tr w:rsidR="0057131B" w14:paraId="7FE1C798" w14:textId="77777777">
        <w:trPr>
          <w:trHeight w:val="450"/>
        </w:trPr>
        <w:tc>
          <w:tcPr>
            <w:tcW w:w="1418" w:type="dxa"/>
            <w:shd w:val="clear" w:color="auto" w:fill="FFFFFF"/>
          </w:tcPr>
          <w:p w14:paraId="7FE1C755" w14:textId="77777777" w:rsidR="0057131B" w:rsidRDefault="00355A1C">
            <w:pPr>
              <w:pStyle w:val="P68B1DB1-Normal62"/>
              <w:spacing w:before="120" w:after="120" w:line="276" w:lineRule="auto"/>
            </w:pPr>
            <w:r>
              <w:t>0010</w:t>
            </w:r>
          </w:p>
        </w:tc>
        <w:tc>
          <w:tcPr>
            <w:tcW w:w="7649" w:type="dxa"/>
            <w:shd w:val="clear" w:color="auto" w:fill="FFFFFF"/>
          </w:tcPr>
          <w:p w14:paraId="7FE1C756" w14:textId="77777777" w:rsidR="0057131B" w:rsidRDefault="00355A1C">
            <w:pPr>
              <w:pStyle w:val="P68B1DB1-Normal61"/>
              <w:autoSpaceDE w:val="0"/>
              <w:autoSpaceDN w:val="0"/>
              <w:adjustRightInd w:val="0"/>
              <w:rPr>
                <w:rFonts w:eastAsia="MS Mincho"/>
                <w:bCs/>
              </w:rPr>
            </w:pPr>
            <w:r>
              <w:t xml:space="preserve">Typ av tjänst </w:t>
            </w:r>
          </w:p>
          <w:p w14:paraId="7FE1C757" w14:textId="15BF69BF" w:rsidR="0057131B" w:rsidRDefault="00355A1C">
            <w:pPr>
              <w:pStyle w:val="P68B1DB1-Normal63"/>
              <w:autoSpaceDE w:val="0"/>
              <w:autoSpaceDN w:val="0"/>
              <w:adjustRightInd w:val="0"/>
            </w:pPr>
            <w:r>
              <w:t xml:space="preserve">Tjänstetypen ska vara en av de tjänstetyper som anges i Z 08.01 0010 ovan. </w:t>
            </w:r>
          </w:p>
          <w:p w14:paraId="7FE1C797" w14:textId="77777777" w:rsidR="0057131B" w:rsidRDefault="0057131B">
            <w:pPr>
              <w:autoSpaceDE w:val="0"/>
              <w:autoSpaceDN w:val="0"/>
              <w:adjustRightInd w:val="0"/>
              <w:rPr>
                <w:rFonts w:ascii="Times New Roman" w:hAnsi="Times New Roman"/>
                <w:sz w:val="20"/>
                <w:szCs w:val="20"/>
              </w:rPr>
            </w:pPr>
          </w:p>
        </w:tc>
      </w:tr>
      <w:tr w:rsidR="0057131B" w14:paraId="7FE1C79D" w14:textId="77777777">
        <w:trPr>
          <w:trHeight w:val="450"/>
        </w:trPr>
        <w:tc>
          <w:tcPr>
            <w:tcW w:w="1418" w:type="dxa"/>
            <w:shd w:val="clear" w:color="auto" w:fill="FFFFFF"/>
          </w:tcPr>
          <w:p w14:paraId="7FE1C799" w14:textId="77777777" w:rsidR="0057131B" w:rsidRDefault="00355A1C">
            <w:pPr>
              <w:pStyle w:val="P68B1DB1-Normal62"/>
              <w:spacing w:before="120" w:after="120" w:line="276" w:lineRule="auto"/>
            </w:pPr>
            <w:r>
              <w:t>0020</w:t>
            </w:r>
          </w:p>
        </w:tc>
        <w:tc>
          <w:tcPr>
            <w:tcW w:w="7649" w:type="dxa"/>
            <w:shd w:val="clear" w:color="auto" w:fill="FFFFFF"/>
          </w:tcPr>
          <w:p w14:paraId="7FE1C79A" w14:textId="77777777" w:rsidR="0057131B" w:rsidRDefault="00355A1C">
            <w:pPr>
              <w:pStyle w:val="P68B1DB1-Normal65"/>
              <w:spacing w:line="276" w:lineRule="auto"/>
              <w:jc w:val="both"/>
            </w:pPr>
            <w:r>
              <w:rPr>
                <w:szCs w:val="20"/>
              </w:rPr>
              <w:t>Unik tjänstetitel enligt banktaxonomin</w:t>
            </w:r>
            <w:r>
              <w:t xml:space="preserve"> </w:t>
            </w:r>
          </w:p>
          <w:p w14:paraId="7FE1C79B" w14:textId="18F1A227" w:rsidR="0057131B" w:rsidRDefault="00355A1C">
            <w:pPr>
              <w:pStyle w:val="P68B1DB1-Normal64"/>
            </w:pPr>
            <w:r>
              <w:t>Namn/kort beskrivning av tjänsten enligt bankens egen stegvisa taxonomi (nivå 3) som rapporteras i Z 08.01 (SERV 1) kolumn 0020. Banken förväntas rapportera tjänsterna på en mer detaljerad nivå än den rapportering som föreskrivs för nivå 2 (c0010), så att varje enskild tjänst definieras på ett exakt och målinriktat sätt.</w:t>
            </w:r>
          </w:p>
          <w:p w14:paraId="7FE1C79C" w14:textId="77777777" w:rsidR="0057131B" w:rsidRDefault="0057131B">
            <w:pPr>
              <w:spacing w:before="120" w:after="120" w:line="276" w:lineRule="auto"/>
              <w:rPr>
                <w:rFonts w:ascii="Times New Roman" w:hAnsi="Times New Roman"/>
                <w:sz w:val="20"/>
                <w:szCs w:val="20"/>
              </w:rPr>
            </w:pPr>
          </w:p>
        </w:tc>
      </w:tr>
      <w:tr w:rsidR="0057131B" w14:paraId="7FE1C7A2" w14:textId="77777777">
        <w:trPr>
          <w:trHeight w:val="450"/>
        </w:trPr>
        <w:tc>
          <w:tcPr>
            <w:tcW w:w="1418" w:type="dxa"/>
            <w:shd w:val="clear" w:color="auto" w:fill="FFFFFF"/>
          </w:tcPr>
          <w:p w14:paraId="7FE1C79E" w14:textId="77777777" w:rsidR="0057131B" w:rsidRDefault="00355A1C">
            <w:pPr>
              <w:pStyle w:val="P68B1DB1-Normal64"/>
              <w:spacing w:before="120" w:after="120" w:line="276" w:lineRule="auto"/>
              <w:rPr>
                <w:szCs w:val="20"/>
              </w:rPr>
            </w:pPr>
            <w:r>
              <w:t>0030–0040</w:t>
            </w:r>
          </w:p>
        </w:tc>
        <w:tc>
          <w:tcPr>
            <w:tcW w:w="7649" w:type="dxa"/>
            <w:shd w:val="clear" w:color="auto" w:fill="FFFFFF"/>
          </w:tcPr>
          <w:p w14:paraId="7FE1C79F" w14:textId="77777777" w:rsidR="0057131B" w:rsidRDefault="00355A1C">
            <w:pPr>
              <w:pStyle w:val="P68B1DB1-Normal65"/>
              <w:spacing w:line="276" w:lineRule="auto"/>
              <w:jc w:val="both"/>
            </w:pPr>
            <w:r>
              <w:rPr>
                <w:szCs w:val="20"/>
              </w:rPr>
              <w:t>Centralt affärsområde</w:t>
            </w:r>
            <w:r>
              <w:t xml:space="preserve"> </w:t>
            </w:r>
          </w:p>
          <w:p w14:paraId="7FE1C7A0" w14:textId="69CF44DD" w:rsidR="0057131B" w:rsidRDefault="00355A1C">
            <w:pPr>
              <w:pStyle w:val="P68B1DB1-Normal67"/>
              <w:spacing w:line="276" w:lineRule="auto"/>
              <w:jc w:val="both"/>
              <w:rPr>
                <w:sz w:val="20"/>
              </w:rPr>
            </w:pPr>
            <w:r>
              <w:rPr>
                <w:sz w:val="20"/>
              </w:rPr>
              <w:t>Kärnaffärsområden enligt artiklarna 2.1.36 och 2.2 i direktiv 2014/59/EU.</w:t>
            </w:r>
            <w:r>
              <w:t xml:space="preserve"> </w:t>
            </w:r>
          </w:p>
          <w:p w14:paraId="7FE1C7A1" w14:textId="77777777" w:rsidR="0057131B" w:rsidRDefault="0057131B">
            <w:pPr>
              <w:spacing w:line="276" w:lineRule="auto"/>
              <w:jc w:val="both"/>
              <w:rPr>
                <w:rFonts w:ascii="Times New Roman" w:hAnsi="Times New Roman"/>
                <w:sz w:val="20"/>
              </w:rPr>
            </w:pPr>
          </w:p>
        </w:tc>
      </w:tr>
      <w:tr w:rsidR="0057131B" w14:paraId="7FE1C7A7" w14:textId="77777777">
        <w:trPr>
          <w:trHeight w:val="450"/>
        </w:trPr>
        <w:tc>
          <w:tcPr>
            <w:tcW w:w="1418" w:type="dxa"/>
            <w:shd w:val="clear" w:color="auto" w:fill="FFFFFF"/>
          </w:tcPr>
          <w:p w14:paraId="7FE1C7A3" w14:textId="77777777" w:rsidR="0057131B" w:rsidRDefault="00355A1C">
            <w:pPr>
              <w:pStyle w:val="P68B1DB1-Normal64"/>
              <w:spacing w:before="120" w:after="120" w:line="276" w:lineRule="auto"/>
              <w:rPr>
                <w:szCs w:val="20"/>
              </w:rPr>
            </w:pPr>
            <w:r>
              <w:t>0030</w:t>
            </w:r>
          </w:p>
        </w:tc>
        <w:tc>
          <w:tcPr>
            <w:tcW w:w="7649" w:type="dxa"/>
            <w:shd w:val="clear" w:color="auto" w:fill="FFFFFF"/>
          </w:tcPr>
          <w:p w14:paraId="7FE1C7A4" w14:textId="77777777" w:rsidR="0057131B" w:rsidRDefault="00355A1C">
            <w:pPr>
              <w:pStyle w:val="P68B1DB1-Normal65"/>
              <w:spacing w:line="276" w:lineRule="auto"/>
              <w:jc w:val="both"/>
              <w:rPr>
                <w:bCs/>
              </w:rPr>
            </w:pPr>
            <w:r>
              <w:t>Namn</w:t>
            </w:r>
          </w:p>
          <w:p w14:paraId="7FE1C7A5" w14:textId="77777777" w:rsidR="0057131B" w:rsidRDefault="00355A1C">
            <w:pPr>
              <w:pStyle w:val="P68B1DB1-Normal64"/>
              <w:jc w:val="both"/>
            </w:pPr>
            <w:r>
              <w:t>Det är ett av de centrala affärsområden som rapporteras i mall Z 07.03 0010.</w:t>
            </w:r>
          </w:p>
          <w:p w14:paraId="7FE1C7A6" w14:textId="77777777" w:rsidR="0057131B" w:rsidRDefault="0057131B">
            <w:pPr>
              <w:spacing w:line="276" w:lineRule="auto"/>
              <w:jc w:val="both"/>
              <w:rPr>
                <w:rFonts w:ascii="Times New Roman" w:hAnsi="Times New Roman"/>
                <w:sz w:val="20"/>
              </w:rPr>
            </w:pPr>
          </w:p>
        </w:tc>
      </w:tr>
      <w:tr w:rsidR="0057131B" w14:paraId="7FE1C7AD" w14:textId="77777777">
        <w:trPr>
          <w:trHeight w:val="450"/>
        </w:trPr>
        <w:tc>
          <w:tcPr>
            <w:tcW w:w="1418" w:type="dxa"/>
            <w:shd w:val="clear" w:color="auto" w:fill="FFFFFF"/>
          </w:tcPr>
          <w:p w14:paraId="7FE1C7A8" w14:textId="77777777" w:rsidR="0057131B" w:rsidRDefault="00355A1C">
            <w:pPr>
              <w:pStyle w:val="P68B1DB1-Normal64"/>
              <w:spacing w:before="120" w:after="120" w:line="276" w:lineRule="auto"/>
              <w:rPr>
                <w:szCs w:val="20"/>
              </w:rPr>
            </w:pPr>
            <w:r>
              <w:lastRenderedPageBreak/>
              <w:t>0040</w:t>
            </w:r>
          </w:p>
        </w:tc>
        <w:tc>
          <w:tcPr>
            <w:tcW w:w="7649" w:type="dxa"/>
            <w:shd w:val="clear" w:color="auto" w:fill="FFFFFF"/>
          </w:tcPr>
          <w:p w14:paraId="7FE1C7A9" w14:textId="77777777" w:rsidR="0057131B" w:rsidRDefault="00355A1C">
            <w:pPr>
              <w:pStyle w:val="P68B1DB1-Normal65"/>
              <w:spacing w:line="276" w:lineRule="auto"/>
              <w:jc w:val="both"/>
              <w:rPr>
                <w:bCs/>
              </w:rPr>
            </w:pPr>
            <w:r>
              <w:t>ID</w:t>
            </w:r>
          </w:p>
          <w:p w14:paraId="7FE1C7AA" w14:textId="77777777" w:rsidR="0057131B" w:rsidRDefault="00355A1C">
            <w:pPr>
              <w:pStyle w:val="P68B1DB1-Normal64"/>
              <w:spacing w:line="276" w:lineRule="auto"/>
              <w:jc w:val="both"/>
            </w:pPr>
            <w:r>
              <w:t xml:space="preserve">ID för de kärnaffärsområden vars kontinuitet är nödvändig för ett effektivt genomförande av resolutionsstrategin och eventuella efterföljande omstruktureringar. Det är ett av de ID som rapporteras i mall Z 07.03 0020. </w:t>
            </w:r>
          </w:p>
          <w:p w14:paraId="7FE1C7AB" w14:textId="77777777" w:rsidR="0057131B" w:rsidRDefault="0057131B">
            <w:pPr>
              <w:spacing w:line="276" w:lineRule="auto"/>
              <w:jc w:val="both"/>
              <w:rPr>
                <w:rFonts w:ascii="Times New Roman" w:hAnsi="Times New Roman"/>
                <w:sz w:val="20"/>
              </w:rPr>
            </w:pPr>
          </w:p>
          <w:p w14:paraId="7FE1C7AC" w14:textId="77777777" w:rsidR="0057131B" w:rsidRDefault="0057131B">
            <w:pPr>
              <w:spacing w:line="276" w:lineRule="auto"/>
              <w:jc w:val="both"/>
              <w:rPr>
                <w:rFonts w:ascii="Times New Roman" w:hAnsi="Times New Roman"/>
                <w:sz w:val="20"/>
              </w:rPr>
            </w:pPr>
          </w:p>
        </w:tc>
      </w:tr>
    </w:tbl>
    <w:p w14:paraId="7FE1C7B8" w14:textId="77777777" w:rsidR="0057131B" w:rsidRDefault="0057131B">
      <w:pPr>
        <w:rPr>
          <w:rFonts w:ascii="Times New Roman" w:hAnsi="Times New Roman" w:cs="Times New Roman"/>
        </w:rPr>
      </w:pPr>
    </w:p>
    <w:p w14:paraId="7FE1C7B9" w14:textId="77777777" w:rsidR="0057131B" w:rsidRDefault="0057131B">
      <w:pPr>
        <w:pStyle w:val="Instructionsberschrift2"/>
        <w:rPr>
          <w:rFonts w:ascii="Times New Roman" w:eastAsia="Calibri" w:hAnsi="Times New Roman" w:cs="Times New Roman"/>
          <w:szCs w:val="20"/>
        </w:rPr>
      </w:pPr>
    </w:p>
    <w:p w14:paraId="7FE1C7BA" w14:textId="77777777" w:rsidR="0057131B" w:rsidRDefault="00355A1C">
      <w:pPr>
        <w:pStyle w:val="P68B1DB1-Instructionsberschrift271"/>
        <w:numPr>
          <w:ilvl w:val="1"/>
          <w:numId w:val="49"/>
        </w:numPr>
        <w:ind w:left="357" w:hanging="357"/>
      </w:pPr>
      <w:bookmarkStart w:id="135" w:name="_Toc210901308"/>
      <w:r>
        <w:t>FMI-tjänster</w:t>
      </w:r>
      <w:bookmarkEnd w:id="135"/>
    </w:p>
    <w:p w14:paraId="7FE1C7BC" w14:textId="227D5127" w:rsidR="0057131B" w:rsidRDefault="00355A1C">
      <w:pPr>
        <w:pStyle w:val="P68B1DB1-Numberedtitlelevel372"/>
      </w:pPr>
      <w:r>
        <w:t>Allmänna kommentarer</w:t>
      </w:r>
    </w:p>
    <w:p w14:paraId="7FE1C7BD" w14:textId="77777777" w:rsidR="0057131B" w:rsidRDefault="00355A1C">
      <w:pPr>
        <w:pStyle w:val="P68B1DB1-InstructionsText26"/>
        <w:numPr>
          <w:ilvl w:val="2"/>
          <w:numId w:val="209"/>
        </w:numPr>
        <w:spacing w:before="0"/>
        <w:ind w:left="1276"/>
      </w:pPr>
      <w:r>
        <w:t>Rapportera all direkt och indirekt åtkomst till finansmarknadsinfrastrukturer och system som avses i kolumn 0040 nedan. Denna mall ska redovisas en gång för hela institutet eller hela koncernen.</w:t>
      </w:r>
    </w:p>
    <w:p w14:paraId="7FE1C7BE" w14:textId="77777777" w:rsidR="0057131B" w:rsidRDefault="00355A1C">
      <w:pPr>
        <w:pStyle w:val="P68B1DB1-InstructionsText26"/>
        <w:numPr>
          <w:ilvl w:val="2"/>
          <w:numId w:val="209"/>
        </w:numPr>
        <w:spacing w:before="0"/>
        <w:ind w:left="1276"/>
      </w:pPr>
      <w:r>
        <w:t>En mall som ska redovisas en gång för hela institutet eller hela koncernen. Varje relevant juridisk person som direkt eller indirekt har tillgång till ett finansmarknadsinfrastrukturer ska rapporteras separat som användare. Rapportera både koncerninterna och tredjepartskontakter.</w:t>
      </w:r>
    </w:p>
    <w:p w14:paraId="7FE1C7BF" w14:textId="5CCDA51A" w:rsidR="0057131B" w:rsidRDefault="00355A1C">
      <w:pPr>
        <w:pStyle w:val="P68B1DB1-ListParagraph32"/>
        <w:numPr>
          <w:ilvl w:val="2"/>
          <w:numId w:val="209"/>
        </w:numPr>
        <w:ind w:left="1276"/>
      </w:pPr>
      <w:r>
        <w:t>Kombinationen av värden som redovisas i kolumnerna 0030, 0040, 0070 och 0110 i denna mall utgör en primärnyckel som måste vara unik för varje rad i mallen och redovisas som första kolumn i varje mall.</w:t>
      </w:r>
    </w:p>
    <w:p w14:paraId="7FE1C7C0" w14:textId="77777777" w:rsidR="0057131B" w:rsidRDefault="0057131B">
      <w:pPr>
        <w:pStyle w:val="ListParagraph"/>
        <w:ind w:left="1276"/>
        <w:rPr>
          <w:rFonts w:ascii="Times New Roman" w:eastAsia="Times New Roman" w:hAnsi="Times New Roman"/>
          <w:sz w:val="20"/>
          <w:szCs w:val="20"/>
        </w:rPr>
      </w:pPr>
    </w:p>
    <w:p w14:paraId="7FE1C7C1" w14:textId="77777777" w:rsidR="0057131B" w:rsidRDefault="00355A1C">
      <w:pPr>
        <w:pStyle w:val="P68B1DB1-InstructionsText26"/>
        <w:numPr>
          <w:ilvl w:val="2"/>
          <w:numId w:val="209"/>
        </w:numPr>
        <w:spacing w:before="0"/>
        <w:ind w:left="1276"/>
      </w:pPr>
      <w:r>
        <w:t>Om mer än en post måste rapporteras i fält i fri form, separerar varje post med ett semikolon (;).</w:t>
      </w:r>
    </w:p>
    <w:p w14:paraId="7FE1C7C2" w14:textId="77777777" w:rsidR="0057131B" w:rsidRDefault="0057131B">
      <w:pPr>
        <w:pStyle w:val="Instructionsberschrift2"/>
        <w:ind w:left="357"/>
        <w:rPr>
          <w:rFonts w:ascii="Times New Roman" w:eastAsia="Calibri" w:hAnsi="Times New Roman" w:cs="Times New Roman"/>
          <w:szCs w:val="20"/>
        </w:rPr>
      </w:pPr>
    </w:p>
    <w:p w14:paraId="7FE1C7C3" w14:textId="77777777" w:rsidR="0057131B" w:rsidRDefault="00355A1C">
      <w:pPr>
        <w:pStyle w:val="P68B1DB1-Instructionsberschrift271"/>
        <w:numPr>
          <w:ilvl w:val="1"/>
          <w:numId w:val="49"/>
        </w:numPr>
        <w:ind w:left="357" w:hanging="357"/>
      </w:pPr>
      <w:bookmarkStart w:id="136" w:name="_Toc210901309"/>
      <w:r>
        <w:t>Z 09.01 – FMI-tjänster – leverantörer och användare (FMI 1)</w:t>
      </w:r>
      <w:bookmarkEnd w:id="136"/>
    </w:p>
    <w:p w14:paraId="7FE1C7C5" w14:textId="6BE08ACD" w:rsidR="0057131B" w:rsidRDefault="0057131B">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57131B"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57131B" w:rsidRDefault="00355A1C">
            <w:pPr>
              <w:pStyle w:val="P68B1DB1-TableParagraph17"/>
              <w:spacing w:before="108"/>
              <w:ind w:left="85"/>
            </w:pPr>
            <w:r>
              <w:t xml:space="preserve">Kolumner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57131B" w:rsidRDefault="00355A1C">
            <w:pPr>
              <w:pStyle w:val="P68B1DB1-TableParagraph17"/>
              <w:spacing w:before="108"/>
              <w:ind w:left="85"/>
            </w:pPr>
            <w:r>
              <w:t xml:space="preserve">Anvisningar </w:t>
            </w:r>
          </w:p>
        </w:tc>
      </w:tr>
      <w:tr w:rsidR="0057131B"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57131B" w:rsidRDefault="00355A1C">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57131B" w:rsidRDefault="00355A1C">
            <w:pPr>
              <w:pStyle w:val="P68B1DB1-TableParagraph73"/>
              <w:spacing w:before="108"/>
              <w:jc w:val="both"/>
            </w:pPr>
            <w:r>
              <w:t>ID som representerar en kombination av användare, FMI, systemtyp och intermediär</w:t>
            </w:r>
          </w:p>
          <w:p w14:paraId="7FE1C7CB" w14:textId="2039C9E5" w:rsidR="0057131B" w:rsidRDefault="00355A1C">
            <w:pPr>
              <w:pStyle w:val="P68B1DB1-Normal31"/>
            </w:pPr>
            <w:r>
              <w:t xml:space="preserve">Använd en enda identifierare per rad som motsvarar en unik kombination av användare, FMI, systemtyp och intermediär. Samma ID, motsvarande samma kombination, måste användas i mallarna Z 09.01 – Z 09.04 i tillämpliga fall. </w:t>
            </w:r>
          </w:p>
          <w:p w14:paraId="7FE1C7CC" w14:textId="77777777" w:rsidR="0057131B" w:rsidRDefault="0057131B">
            <w:pPr>
              <w:rPr>
                <w:rFonts w:ascii="Times New Roman" w:eastAsia="Times New Roman" w:hAnsi="Times New Roman" w:cs="Times New Roman"/>
                <w:sz w:val="20"/>
                <w:szCs w:val="20"/>
              </w:rPr>
            </w:pPr>
          </w:p>
        </w:tc>
      </w:tr>
      <w:tr w:rsidR="0057131B"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57131B" w:rsidRDefault="00355A1C">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57131B" w:rsidRDefault="00355A1C">
            <w:pPr>
              <w:pStyle w:val="P68B1DB1-TableParagraph75"/>
              <w:spacing w:before="108"/>
              <w:ind w:left="85"/>
              <w:jc w:val="both"/>
              <w:rPr>
                <w:color w:val="D13438"/>
                <w:u w:val="single"/>
              </w:rPr>
            </w:pPr>
            <w:r>
              <w:t>Användare</w:t>
            </w:r>
          </w:p>
        </w:tc>
      </w:tr>
      <w:tr w:rsidR="0057131B"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57131B" w:rsidRDefault="00355A1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57131B" w:rsidRDefault="00355A1C">
            <w:pPr>
              <w:pStyle w:val="P68B1DB1-TableParagraph73"/>
              <w:spacing w:before="108" w:after="120"/>
              <w:jc w:val="both"/>
            </w:pPr>
            <w:r>
              <w:t>Enhetsnamn</w:t>
            </w:r>
          </w:p>
          <w:p w14:paraId="7FE1C7D3" w14:textId="1C1A6E42" w:rsidR="0057131B" w:rsidRDefault="00355A1C">
            <w:pPr>
              <w:pStyle w:val="P68B1DB1-TableParagraph40"/>
              <w:spacing w:before="108"/>
              <w:ind w:left="85"/>
              <w:jc w:val="both"/>
              <w:rPr>
                <w:b/>
                <w:bCs/>
                <w:i/>
                <w:iCs/>
                <w:color w:val="D13438"/>
                <w:u w:val="single"/>
              </w:rPr>
            </w:pPr>
            <w:r>
              <w:t xml:space="preserve">Namnet på den juridiska enheten som använder tjänster för betalningar, depåer, värdepappersavveckling, clearing eller transaktionsregister, enligt vad som redovisas i mall Z 01.01 – Juridiska enheter (ORG 1): Officiellt namn så som detta anges i bolagshandlingar, med angivelse av dess juridiska form. </w:t>
            </w:r>
          </w:p>
        </w:tc>
      </w:tr>
      <w:tr w:rsidR="0057131B"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57131B" w:rsidRDefault="00355A1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57131B" w:rsidRDefault="00355A1C">
            <w:pPr>
              <w:pStyle w:val="P68B1DB1-TableParagraph73"/>
              <w:spacing w:before="108"/>
              <w:jc w:val="both"/>
            </w:pPr>
            <w:r>
              <w:t>Enhetskod</w:t>
            </w:r>
          </w:p>
          <w:p w14:paraId="7FE1C7D7" w14:textId="6DA7FBC1" w:rsidR="0057131B" w:rsidRDefault="00355A1C">
            <w:pPr>
              <w:pStyle w:val="P68B1DB1-TableParagraph40"/>
              <w:spacing w:before="108"/>
              <w:jc w:val="both"/>
            </w:pPr>
            <w:r>
              <w:t xml:space="preserve">20-siffrig, alfanumerisk LEI-kod för den juridiska person som använder betalnings-, depå-, avvecklings-, clearing- eller transaktionsregistertjänster, enligt vad som rapporteras i mall Z 01.01 – Juridiska enheter (ORG 1). </w:t>
            </w:r>
          </w:p>
          <w:p w14:paraId="7FE1C7D8" w14:textId="77777777" w:rsidR="0057131B" w:rsidRDefault="00355A1C">
            <w:pPr>
              <w:pStyle w:val="P68B1DB1-Normal31"/>
            </w:pPr>
            <w:r>
              <w:lastRenderedPageBreak/>
              <w:t xml:space="preserve">I avsaknad av LEI-kod måste enhetens unika identifieringskod för monetära finansinstitut (MFI) för användning i RIAD användas. </w:t>
            </w:r>
          </w:p>
        </w:tc>
      </w:tr>
      <w:tr w:rsidR="0057131B"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57131B" w:rsidRDefault="00355A1C">
            <w:pPr>
              <w:pStyle w:val="P68B1DB1-Normal74"/>
            </w:pPr>
            <w:r>
              <w:lastRenderedPageBreak/>
              <w:t>0040–0270</w:t>
            </w:r>
          </w:p>
        </w:tc>
        <w:tc>
          <w:tcPr>
            <w:tcW w:w="7832" w:type="dxa"/>
            <w:tcBorders>
              <w:top w:val="single" w:sz="8" w:space="0" w:color="auto"/>
              <w:left w:val="single" w:sz="8" w:space="0" w:color="auto"/>
              <w:bottom w:val="single" w:sz="8" w:space="0" w:color="auto"/>
            </w:tcBorders>
            <w:vAlign w:val="bottom"/>
          </w:tcPr>
          <w:p w14:paraId="7FE1C7DB" w14:textId="77777777" w:rsidR="0057131B" w:rsidRDefault="00355A1C">
            <w:pPr>
              <w:pStyle w:val="P68B1DB1-TableParagraph75"/>
              <w:spacing w:before="108"/>
              <w:ind w:left="85"/>
              <w:jc w:val="both"/>
            </w:pPr>
            <w:r>
              <w:t>Tillhandahållare</w:t>
            </w:r>
          </w:p>
        </w:tc>
      </w:tr>
      <w:tr w:rsidR="0057131B"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57131B" w:rsidRDefault="00355A1C">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57131B" w:rsidRDefault="00355A1C">
            <w:pPr>
              <w:pStyle w:val="P68B1DB1-TableParagraph75"/>
              <w:spacing w:before="108"/>
              <w:ind w:left="85"/>
              <w:jc w:val="both"/>
            </w:pPr>
            <w:r>
              <w:t>FMI</w:t>
            </w:r>
          </w:p>
        </w:tc>
      </w:tr>
      <w:tr w:rsidR="0057131B"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57131B" w:rsidRDefault="00355A1C">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57131B" w:rsidRDefault="00355A1C">
            <w:pPr>
              <w:pStyle w:val="P68B1DB1-TableParagraph73"/>
              <w:spacing w:before="108"/>
              <w:ind w:left="85"/>
              <w:jc w:val="both"/>
            </w:pPr>
            <w:r>
              <w:t>Systemtyp</w:t>
            </w:r>
          </w:p>
          <w:p w14:paraId="7FE1C7E2" w14:textId="77777777" w:rsidR="0057131B" w:rsidRDefault="00355A1C">
            <w:pPr>
              <w:pStyle w:val="P68B1DB1-TableParagraph40"/>
              <w:spacing w:before="108"/>
              <w:ind w:left="85"/>
              <w:jc w:val="both"/>
            </w:pPr>
            <w:r>
              <w:t>Typ av system som tillhandahåller tjänster till användaren. Välj bland följande typer:</w:t>
            </w:r>
          </w:p>
          <w:p w14:paraId="7FE1C7E3" w14:textId="64030D90" w:rsidR="0057131B" w:rsidRDefault="00355A1C">
            <w:pPr>
              <w:pStyle w:val="P68B1DB1-TableParagraph40"/>
              <w:spacing w:before="108"/>
              <w:ind w:left="85"/>
              <w:jc w:val="both"/>
            </w:pPr>
            <w:r>
              <w:t xml:space="preserve">Betalningssystem </w:t>
            </w:r>
          </w:p>
          <w:p w14:paraId="7FE1C7E4" w14:textId="642C3011" w:rsidR="0057131B" w:rsidRDefault="00355A1C">
            <w:pPr>
              <w:pStyle w:val="P68B1DB1-TableParagraph40"/>
              <w:spacing w:before="108"/>
              <w:ind w:left="85"/>
              <w:jc w:val="both"/>
            </w:pPr>
            <w:r>
              <w:t>Värdepapperscentraler och internationella värdepapperscentraler:</w:t>
            </w:r>
          </w:p>
          <w:p w14:paraId="7FE1C7E5" w14:textId="513B4E7C" w:rsidR="0057131B" w:rsidRDefault="00355A1C">
            <w:pPr>
              <w:pStyle w:val="P68B1DB1-TableParagraph40"/>
              <w:spacing w:before="108"/>
              <w:ind w:left="85"/>
              <w:jc w:val="both"/>
            </w:pPr>
            <w:r>
              <w:t>Säkerhetsavvecklingssystem:</w:t>
            </w:r>
          </w:p>
          <w:p w14:paraId="7FE1C7E6" w14:textId="61451372" w:rsidR="0057131B" w:rsidRDefault="00355A1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Centrala motparter för clearing av värdepapper:</w:t>
            </w:r>
            <w:r>
              <w:rPr>
                <w:rStyle w:val="FootnoteReference"/>
                <w:rFonts w:ascii="Times New Roman" w:eastAsia="Times New Roman" w:hAnsi="Times New Roman" w:cs="Times New Roman"/>
              </w:rPr>
              <w:footnoteReference w:id="29"/>
            </w:r>
          </w:p>
          <w:p w14:paraId="7FE1C7E7" w14:textId="75E09D2C" w:rsidR="0057131B" w:rsidRDefault="00355A1C">
            <w:pPr>
              <w:pStyle w:val="P68B1DB1-TableParagraph40"/>
              <w:spacing w:before="108"/>
              <w:ind w:left="85"/>
              <w:jc w:val="both"/>
            </w:pPr>
            <w:r>
              <w:t>Centrala motparter för clearing av derivat:</w:t>
            </w:r>
          </w:p>
          <w:p w14:paraId="7FE1C7E8" w14:textId="44FAA23C" w:rsidR="0057131B" w:rsidRDefault="00355A1C">
            <w:pPr>
              <w:pStyle w:val="P68B1DB1-TableParagraph40"/>
              <w:spacing w:before="108"/>
              <w:ind w:left="85"/>
              <w:jc w:val="both"/>
            </w:pPr>
            <w:r>
              <w:t>”Registrerade transaktionsregister.”</w:t>
            </w:r>
          </w:p>
          <w:p w14:paraId="7FE1C7E9" w14:textId="424A35E7" w:rsidR="0057131B" w:rsidRDefault="00355A1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Multilaterala handelssystem:</w:t>
            </w:r>
            <w:r>
              <w:rPr>
                <w:rStyle w:val="FootnoteReference"/>
                <w:rFonts w:ascii="Times New Roman" w:eastAsia="Times New Roman" w:hAnsi="Times New Roman" w:cs="Times New Roman"/>
                <w:sz w:val="20"/>
                <w:szCs w:val="20"/>
              </w:rPr>
              <w:footnoteReference w:id="30"/>
            </w:r>
          </w:p>
          <w:p w14:paraId="7FE1C7EB" w14:textId="51093740" w:rsidR="0057131B" w:rsidRDefault="00355A1C">
            <w:pPr>
              <w:pStyle w:val="P68B1DB1-TableParagraph40"/>
              <w:spacing w:before="108"/>
              <w:ind w:left="85"/>
              <w:jc w:val="both"/>
            </w:pPr>
            <w:r>
              <w:t>”Kortsystem som används för massbetalningar”</w:t>
            </w:r>
          </w:p>
          <w:p w14:paraId="7FE1C7EC" w14:textId="69997621" w:rsidR="0057131B" w:rsidRDefault="00355A1C">
            <w:pPr>
              <w:pStyle w:val="P68B1DB1-TableParagraph40"/>
              <w:spacing w:before="108"/>
              <w:ind w:left="85"/>
              <w:jc w:val="both"/>
            </w:pPr>
            <w:r>
              <w:t>”Ej tillämpligt” – För andra betalnings-, clearing-, avvecklings- eller förvaringstjänster som tillhandahålls av en enhet som inte tillhör någon av kategorierna ovan, t.ex. korrespondentbanker och/eller depåbanker för vilka institutet inte kan identifiera de slutliga finansmarknadsinfrastrukturerna. I kolumn 0110 ska den tjänst som tillhandahålls rapporteras.</w:t>
            </w:r>
          </w:p>
        </w:tc>
      </w:tr>
      <w:tr w:rsidR="0057131B"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57131B" w:rsidRDefault="00355A1C">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57131B" w:rsidRDefault="00355A1C">
            <w:pPr>
              <w:pStyle w:val="P68B1DB1-TableParagraph73"/>
              <w:spacing w:before="108"/>
              <w:ind w:left="85"/>
              <w:jc w:val="both"/>
            </w:pPr>
            <w:r>
              <w:t>FMI-namn</w:t>
            </w:r>
          </w:p>
          <w:p w14:paraId="7FE1C7F0" w14:textId="77777777" w:rsidR="0057131B" w:rsidRDefault="00355A1C">
            <w:pPr>
              <w:pStyle w:val="P68B1DB1-TableParagraph40"/>
              <w:spacing w:before="108"/>
              <w:ind w:left="85"/>
              <w:jc w:val="both"/>
            </w:pPr>
            <w:r>
              <w:t xml:space="preserve">Finansmarknadsinfrastrukturens handelsnamn </w:t>
            </w:r>
          </w:p>
          <w:p w14:paraId="7FE1C7F1" w14:textId="6A71A5BE" w:rsidR="0057131B" w:rsidRDefault="00355A1C">
            <w:pPr>
              <w:pStyle w:val="P68B1DB1-TableParagraph40"/>
              <w:numPr>
                <w:ilvl w:val="0"/>
                <w:numId w:val="246"/>
              </w:numPr>
              <w:spacing w:before="108"/>
              <w:jc w:val="both"/>
            </w:pPr>
            <w:r>
              <w:t>Om det finns i kolumn 0050, fördefinierat FMI-namn som förtecknas i bilaga I till dessa instruktioner.</w:t>
            </w:r>
          </w:p>
          <w:p w14:paraId="7FE1C7F2" w14:textId="77777777" w:rsidR="0057131B" w:rsidRDefault="00355A1C">
            <w:pPr>
              <w:pStyle w:val="P68B1DB1-TableParagraph40"/>
              <w:numPr>
                <w:ilvl w:val="0"/>
                <w:numId w:val="246"/>
              </w:numPr>
              <w:spacing w:before="108" w:after="120"/>
              <w:ind w:left="442" w:hanging="357"/>
              <w:jc w:val="both"/>
            </w:pPr>
            <w:r>
              <w:t xml:space="preserve">Om detta inte finns i kolumn 0050, ange namnet i kolumn 0060 i fritext. </w:t>
            </w:r>
          </w:p>
          <w:p w14:paraId="7FE1C7F3" w14:textId="77777777" w:rsidR="0057131B" w:rsidRDefault="00355A1C">
            <w:pPr>
              <w:pStyle w:val="P68B1DB1-Normal31"/>
            </w:pPr>
            <w:r>
              <w:t xml:space="preserve">Om ”ej tillämpligt” har redovisats i kolumn 0040 ska dessa kolumner lämnas tom. </w:t>
            </w:r>
          </w:p>
        </w:tc>
      </w:tr>
      <w:tr w:rsidR="0057131B"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57131B" w:rsidRDefault="00355A1C">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57131B" w:rsidRDefault="00355A1C">
            <w:pPr>
              <w:pStyle w:val="P68B1DB1-TableParagraph73"/>
              <w:spacing w:before="108"/>
              <w:ind w:left="85"/>
              <w:jc w:val="both"/>
            </w:pPr>
            <w:r>
              <w:t>FMI-kod</w:t>
            </w:r>
          </w:p>
          <w:p w14:paraId="7FE1C7F7" w14:textId="77777777" w:rsidR="0057131B" w:rsidRDefault="00355A1C">
            <w:pPr>
              <w:pStyle w:val="P68B1DB1-TableParagraph40"/>
              <w:spacing w:before="108"/>
              <w:ind w:left="85"/>
              <w:jc w:val="both"/>
            </w:pPr>
            <w:r>
              <w:t xml:space="preserve">FMI:s 20-siffriga alfanumeriska LEI-kod. </w:t>
            </w:r>
          </w:p>
          <w:p w14:paraId="7FE1C7F8" w14:textId="77777777" w:rsidR="0057131B" w:rsidRDefault="00355A1C">
            <w:pPr>
              <w:pStyle w:val="P68B1DB1-TableParagraph40"/>
              <w:spacing w:before="108"/>
              <w:ind w:left="85"/>
              <w:jc w:val="both"/>
            </w:pPr>
            <w:r>
              <w:t xml:space="preserve">Om FMI inte har någon LEI-kod, använd operatörens LEI-kod. </w:t>
            </w:r>
          </w:p>
          <w:p w14:paraId="7FE1C7F9" w14:textId="77777777" w:rsidR="0057131B" w:rsidRDefault="00355A1C">
            <w:pPr>
              <w:pStyle w:val="P68B1DB1-TableParagraph40"/>
              <w:spacing w:before="108"/>
              <w:ind w:left="85"/>
              <w:jc w:val="both"/>
            </w:pPr>
            <w:r>
              <w:t>Om ”Ej tillämpligt (typ av FMI-system)” rapporteras i kolumn 0040, eller om FMI inte har någon kod, ska denna kolumn innehålla ”NA”.</w:t>
            </w:r>
          </w:p>
          <w:p w14:paraId="7FE1C7FA" w14:textId="77777777" w:rsidR="0057131B" w:rsidRDefault="0057131B">
            <w:pPr>
              <w:rPr>
                <w:rFonts w:ascii="Times New Roman" w:eastAsia="Times New Roman" w:hAnsi="Times New Roman" w:cs="Times New Roman"/>
                <w:color w:val="D13438"/>
                <w:sz w:val="20"/>
                <w:szCs w:val="20"/>
                <w:u w:val="single"/>
              </w:rPr>
            </w:pPr>
          </w:p>
        </w:tc>
      </w:tr>
      <w:tr w:rsidR="0057131B"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57131B" w:rsidRDefault="00355A1C">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57131B" w:rsidRDefault="00355A1C">
            <w:pPr>
              <w:pStyle w:val="P68B1DB1-Normal76"/>
              <w:spacing w:after="120"/>
            </w:pPr>
            <w:r>
              <w:t>Operatör av FMI</w:t>
            </w:r>
          </w:p>
          <w:p w14:paraId="7FE1C7FE" w14:textId="77777777" w:rsidR="0057131B" w:rsidRDefault="00355A1C">
            <w:pPr>
              <w:pStyle w:val="P68B1DB1-Normal31"/>
              <w:rPr>
                <w:b/>
              </w:rPr>
            </w:pPr>
            <w:r>
              <w:t xml:space="preserve">Namn på den som driver FMI. </w:t>
            </w:r>
          </w:p>
          <w:p w14:paraId="7FE1C7FF" w14:textId="77777777" w:rsidR="0057131B" w:rsidRDefault="0057131B">
            <w:pPr>
              <w:rPr>
                <w:rFonts w:ascii="Times New Roman" w:hAnsi="Times New Roman" w:cs="Times New Roman"/>
                <w:color w:val="D13438"/>
                <w:sz w:val="20"/>
                <w:szCs w:val="20"/>
                <w:highlight w:val="yellow"/>
                <w:u w:val="single"/>
              </w:rPr>
            </w:pPr>
          </w:p>
        </w:tc>
      </w:tr>
      <w:tr w:rsidR="0057131B"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57131B" w:rsidRDefault="00355A1C">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57131B" w:rsidRDefault="00355A1C">
            <w:pPr>
              <w:pStyle w:val="P68B1DB1-Normal76"/>
            </w:pPr>
            <w:r>
              <w:t>Typ av deltagande</w:t>
            </w:r>
          </w:p>
          <w:p w14:paraId="7FE1C803" w14:textId="77777777" w:rsidR="0057131B" w:rsidRDefault="00355A1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Redovisa ett av följande värden</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57131B" w:rsidRDefault="00355A1C">
            <w:pPr>
              <w:pStyle w:val="P68B1DB1-TableParagraph40"/>
              <w:numPr>
                <w:ilvl w:val="0"/>
                <w:numId w:val="181"/>
              </w:numPr>
              <w:spacing w:before="108"/>
              <w:jc w:val="both"/>
            </w:pPr>
            <w:r>
              <w:lastRenderedPageBreak/>
              <w:t xml:space="preserve">”Direkt” vid direkt deltagande i/medlemskap i FMI. </w:t>
            </w:r>
          </w:p>
          <w:p w14:paraId="7FE1C805" w14:textId="77777777" w:rsidR="0057131B" w:rsidRDefault="00355A1C">
            <w:pPr>
              <w:pStyle w:val="P68B1DB1-TableParagraph40"/>
              <w:numPr>
                <w:ilvl w:val="0"/>
                <w:numId w:val="181"/>
              </w:numPr>
              <w:spacing w:before="108"/>
              <w:jc w:val="both"/>
            </w:pPr>
            <w:r>
              <w:t xml:space="preserve">”Indirekt” vid indirekt deltagande i/medlemskap i FMI. </w:t>
            </w:r>
          </w:p>
          <w:p w14:paraId="7FE1C806" w14:textId="77777777" w:rsidR="0057131B" w:rsidRDefault="00355A1C">
            <w:pPr>
              <w:pStyle w:val="P68B1DB1-TableParagraph40"/>
              <w:numPr>
                <w:ilvl w:val="0"/>
                <w:numId w:val="181"/>
              </w:numPr>
              <w:spacing w:before="108"/>
              <w:jc w:val="both"/>
              <w:rPr>
                <w:b/>
              </w:rPr>
            </w:pPr>
            <w:r>
              <w:t>”Ej tillämpligt (Deltagningssätt i FMI)” när ”Ej tillämpligt (typ av FMI-system)” rapporteras i kolumn 0040.</w:t>
            </w:r>
          </w:p>
          <w:p w14:paraId="7FE1C807" w14:textId="77777777" w:rsidR="0057131B" w:rsidRDefault="0057131B">
            <w:pPr>
              <w:pStyle w:val="TableParagraph"/>
              <w:spacing w:before="108"/>
              <w:ind w:left="85"/>
              <w:jc w:val="both"/>
              <w:rPr>
                <w:rFonts w:ascii="Times New Roman" w:eastAsia="Times New Roman" w:hAnsi="Times New Roman" w:cs="Times New Roman"/>
                <w:b/>
                <w:sz w:val="20"/>
                <w:szCs w:val="20"/>
              </w:rPr>
            </w:pPr>
          </w:p>
        </w:tc>
      </w:tr>
      <w:tr w:rsidR="0057131B"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57131B" w:rsidRDefault="00355A1C">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57131B" w:rsidRDefault="00355A1C">
            <w:pPr>
              <w:pStyle w:val="P68B1DB1-TableParagraph75"/>
              <w:spacing w:before="108"/>
              <w:ind w:left="85"/>
              <w:jc w:val="both"/>
            </w:pPr>
            <w:r>
              <w:t>Förmedlare</w:t>
            </w:r>
          </w:p>
        </w:tc>
      </w:tr>
      <w:tr w:rsidR="0057131B"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57131B" w:rsidRDefault="00355A1C">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57131B" w:rsidRDefault="00355A1C">
            <w:pPr>
              <w:pStyle w:val="P68B1DB1-Normal76"/>
            </w:pPr>
            <w:r>
              <w:t>Mellanhandens namn</w:t>
            </w:r>
          </w:p>
          <w:p w14:paraId="7FE1C80E" w14:textId="77777777" w:rsidR="0057131B" w:rsidRDefault="00355A1C">
            <w:pPr>
              <w:pStyle w:val="P68B1DB1-TableParagraph40"/>
              <w:spacing w:before="108"/>
              <w:ind w:left="85"/>
              <w:jc w:val="both"/>
            </w:pPr>
            <w:r>
              <w:t xml:space="preserve">Handelsnamn på den förmedlare med vilken användaren har ett avtalsförhållande och vilka leverantörer som har åtkomst till finansmarknadsinfrastrukturen. Ska rapporteras när ”Indirekt” eller ”Ej tillämpligt (Deltagandesätt i FMI)” rapporteras i kolumn 0100 ”Deltagandeläge”. </w:t>
            </w:r>
          </w:p>
          <w:p w14:paraId="7FE1C80F" w14:textId="77777777" w:rsidR="0057131B" w:rsidRDefault="00355A1C">
            <w:pPr>
              <w:pStyle w:val="P68B1DB1-TableParagraph40"/>
              <w:spacing w:before="108"/>
              <w:ind w:left="85"/>
              <w:jc w:val="both"/>
            </w:pPr>
            <w:r>
              <w:t>Om förmedlaren erbjuder indirekt tillgång till flera finansmarknadsinfrastrukturer, fyll i en rad per finansmarknadsinfrastrukturer för vilken förmedlaren erbjuder indirekt åtkomst.</w:t>
            </w:r>
          </w:p>
          <w:p w14:paraId="7FE1C810" w14:textId="77777777" w:rsidR="0057131B" w:rsidRDefault="00355A1C">
            <w:pPr>
              <w:pStyle w:val="P68B1DB1-TableParagraph40"/>
              <w:spacing w:before="108"/>
              <w:ind w:left="85"/>
              <w:jc w:val="both"/>
              <w:rPr>
                <w:b/>
              </w:rPr>
            </w:pPr>
            <w:r>
              <w:t>Om ”Direkt” har redovisats i kolumn 0090 ska denna kolumn lämnas tom.</w:t>
            </w:r>
          </w:p>
        </w:tc>
      </w:tr>
      <w:tr w:rsidR="0057131B"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57131B" w:rsidRDefault="00355A1C">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57131B" w:rsidRDefault="00355A1C">
            <w:pPr>
              <w:pStyle w:val="P68B1DB1-Normal76"/>
            </w:pPr>
            <w:r>
              <w:t>Kod för mellanhand</w:t>
            </w:r>
          </w:p>
          <w:p w14:paraId="7FE1C814" w14:textId="77777777" w:rsidR="0057131B" w:rsidRDefault="00355A1C">
            <w:pPr>
              <w:pStyle w:val="P68B1DB1-TableParagraph40"/>
              <w:spacing w:before="108"/>
              <w:ind w:left="85"/>
              <w:jc w:val="both"/>
            </w:pPr>
            <w:r>
              <w:t xml:space="preserve">Förmedlarens 20-siffriga alfanumeriska LEI-kod. </w:t>
            </w:r>
          </w:p>
          <w:p w14:paraId="7FE1C815" w14:textId="77777777" w:rsidR="0057131B" w:rsidRDefault="00355A1C">
            <w:pPr>
              <w:pStyle w:val="P68B1DB1-TableParagraph13"/>
              <w:spacing w:before="108"/>
              <w:ind w:left="85"/>
              <w:jc w:val="both"/>
              <w:rPr>
                <w:rFonts w:eastAsia="Cambria"/>
              </w:rPr>
            </w:pPr>
            <w:r>
              <w:t>Typen av kod ska helst vara LEI-koden.</w:t>
            </w:r>
          </w:p>
          <w:p w14:paraId="7FE1C816" w14:textId="77777777" w:rsidR="0057131B" w:rsidRDefault="00355A1C">
            <w:pPr>
              <w:pStyle w:val="P68B1DB1-TableParagraph17"/>
              <w:spacing w:before="108"/>
            </w:pPr>
            <w:r>
              <w:t xml:space="preserve">  Om LEI-koden inte är tillgänglig, rapportera ett MFI-ID eller, om det inte finns tillgängligt, en nationell kod.</w:t>
            </w:r>
          </w:p>
          <w:p w14:paraId="7FE1C817" w14:textId="3F55AEB3" w:rsidR="0057131B" w:rsidRDefault="00355A1C">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Identifieringen av enheter ska göras på ett enhetligt sätt i mallarna Z 09.01 – Z 09.05 i tillämpliga fall.</w:t>
            </w:r>
            <w:r>
              <w:rPr>
                <w:rFonts w:ascii="Times New Roman" w:eastAsia="Times New Roman" w:hAnsi="Times New Roman" w:cs="Times New Roman"/>
              </w:rPr>
              <w:t xml:space="preserve"> </w:t>
            </w:r>
          </w:p>
          <w:p w14:paraId="7FE1C818" w14:textId="77777777" w:rsidR="0057131B" w:rsidRDefault="00355A1C">
            <w:pPr>
              <w:pStyle w:val="P68B1DB1-TableParagraph40"/>
              <w:spacing w:before="108"/>
              <w:ind w:left="85"/>
              <w:jc w:val="both"/>
              <w:rPr>
                <w:b/>
              </w:rPr>
            </w:pPr>
            <w:r>
              <w:t>Om ”Direkt” har redovisats i kolumn 0090 ska denna kolumn lämnas tom.</w:t>
            </w:r>
          </w:p>
        </w:tc>
      </w:tr>
      <w:tr w:rsidR="0057131B"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57131B" w:rsidRDefault="00355A1C">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57131B" w:rsidRDefault="00355A1C">
            <w:pPr>
              <w:pStyle w:val="P68B1DB1-Normal77"/>
              <w:rPr>
                <w:color w:val="D13438"/>
                <w:u w:val="single"/>
              </w:rPr>
            </w:pPr>
            <w:r>
              <w:t>Kontrakt och tjänster</w:t>
            </w:r>
          </w:p>
        </w:tc>
      </w:tr>
      <w:tr w:rsidR="0057131B"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57131B" w:rsidRDefault="00355A1C">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57131B" w:rsidRDefault="00355A1C">
            <w:pPr>
              <w:pStyle w:val="P68B1DB1-TableParagraph73"/>
              <w:spacing w:before="108"/>
              <w:ind w:left="85"/>
              <w:jc w:val="both"/>
            </w:pPr>
            <w:r>
              <w:t>Avtals-ID</w:t>
            </w:r>
          </w:p>
          <w:p w14:paraId="7FE1C81F" w14:textId="77777777" w:rsidR="0057131B" w:rsidRDefault="00355A1C">
            <w:pPr>
              <w:pStyle w:val="P68B1DB1-TableParagraph40"/>
              <w:spacing w:before="108"/>
              <w:jc w:val="both"/>
              <w:rPr>
                <w:b/>
              </w:rPr>
            </w:pPr>
            <w:r>
              <w:t>Användarens interna identifierare för det avtal som reglerar förhållandet till den FMI/mellanhand som tillhandahåller tjänsten.</w:t>
            </w:r>
          </w:p>
        </w:tc>
      </w:tr>
      <w:tr w:rsidR="0057131B"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57131B" w:rsidRDefault="00355A1C">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57131B" w:rsidRDefault="00355A1C">
            <w:pPr>
              <w:pStyle w:val="P68B1DB1-TableParagraph73"/>
              <w:spacing w:before="108"/>
              <w:ind w:left="85"/>
              <w:jc w:val="both"/>
              <w:rPr>
                <w:bCs/>
              </w:rPr>
            </w:pPr>
            <w:r>
              <w:t>Tillämplig lag</w:t>
            </w:r>
          </w:p>
          <w:p w14:paraId="7FE1C823" w14:textId="77777777" w:rsidR="0057131B" w:rsidRDefault="00355A1C">
            <w:pPr>
              <w:pStyle w:val="P68B1DB1-TableParagraph40"/>
              <w:spacing w:before="108"/>
              <w:ind w:left="85"/>
              <w:jc w:val="both"/>
            </w:pPr>
            <w:r>
              <w:t xml:space="preserve">ISO 3166–1 alfa-2-identifieringskoden för det land vars lag reglerar det kontraktuella förhållandet med FMI. </w:t>
            </w:r>
          </w:p>
          <w:p w14:paraId="7FE1C824" w14:textId="77777777" w:rsidR="0057131B" w:rsidRDefault="00355A1C">
            <w:pPr>
              <w:pStyle w:val="P68B1DB1-TableParagraph40"/>
              <w:numPr>
                <w:ilvl w:val="0"/>
                <w:numId w:val="247"/>
              </w:numPr>
              <w:spacing w:before="108"/>
              <w:jc w:val="both"/>
              <w:rPr>
                <w:b/>
                <w:bCs/>
              </w:rPr>
            </w:pPr>
            <w:r>
              <w:t>För direkt åtkomst, tillämplig lag för avtalet mellan FMI och användaren</w:t>
            </w:r>
          </w:p>
          <w:p w14:paraId="7FE1C825" w14:textId="77777777" w:rsidR="0057131B" w:rsidRDefault="00355A1C">
            <w:pPr>
              <w:pStyle w:val="P68B1DB1-TableParagraph40"/>
              <w:numPr>
                <w:ilvl w:val="0"/>
                <w:numId w:val="247"/>
              </w:numPr>
              <w:spacing w:before="108"/>
              <w:jc w:val="both"/>
            </w:pPr>
            <w:r>
              <w:t>För indirekt åtkomst, tillämplig lag för avtalet mellan förmedlaren och användaren.</w:t>
            </w:r>
          </w:p>
        </w:tc>
      </w:tr>
      <w:tr w:rsidR="0057131B"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57131B" w:rsidRDefault="00355A1C">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57131B" w:rsidRDefault="00355A1C">
            <w:pPr>
              <w:pStyle w:val="P68B1DB1-TableParagraph73"/>
              <w:spacing w:before="108"/>
              <w:ind w:left="85"/>
              <w:jc w:val="both"/>
              <w:rPr>
                <w:bCs/>
              </w:rPr>
            </w:pPr>
            <w:r>
              <w:t xml:space="preserve">Resolutionståligt kontrakt </w:t>
            </w:r>
          </w:p>
          <w:p w14:paraId="7FE1C829" w14:textId="77777777" w:rsidR="0057131B" w:rsidRDefault="00355A1C">
            <w:pPr>
              <w:pStyle w:val="P68B1DB1-TableParagraph40"/>
              <w:spacing w:before="108"/>
              <w:ind w:left="85"/>
              <w:jc w:val="both"/>
            </w:pPr>
            <w:r>
              <w:t>Redovisa ett av följande värden:</w:t>
            </w:r>
          </w:p>
          <w:p w14:paraId="7FE1C82A" w14:textId="6A33252E" w:rsidR="0057131B" w:rsidRDefault="00355A1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 – om den rapporterande enheten har bedömt avtalet som resolutionståligt</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57131B" w:rsidRDefault="00355A1C">
            <w:pPr>
              <w:pStyle w:val="P68B1DB1-TableParagraph40"/>
              <w:spacing w:before="108"/>
              <w:ind w:left="85"/>
              <w:jc w:val="both"/>
            </w:pPr>
            <w:r>
              <w:t>”Nej” – om den rapporterande enheten har bedömt att avtalet inte är motståndskraftigt mot resolution.</w:t>
            </w:r>
          </w:p>
          <w:p w14:paraId="7FE1C82C" w14:textId="77777777" w:rsidR="0057131B" w:rsidRDefault="00355A1C">
            <w:pPr>
              <w:pStyle w:val="P68B1DB1-TableParagraph40"/>
              <w:spacing w:before="108"/>
              <w:ind w:left="85"/>
              <w:jc w:val="both"/>
            </w:pPr>
            <w:r>
              <w:t>”Ej bedömd” – om informationen inte är tillgänglig.</w:t>
            </w:r>
          </w:p>
          <w:p w14:paraId="7FE1C82D" w14:textId="77777777" w:rsidR="0057131B" w:rsidRDefault="00355A1C">
            <w:pPr>
              <w:pStyle w:val="P68B1DB1-TableParagraph40"/>
              <w:spacing w:before="108"/>
              <w:ind w:left="85"/>
              <w:jc w:val="both"/>
              <w:rPr>
                <w:b/>
                <w:bCs/>
                <w:i/>
                <w:iCs/>
                <w:u w:val="single"/>
              </w:rPr>
            </w:pPr>
            <w:r>
              <w:t xml:space="preserve">Endast rapport för mellanhänder. Rapportera ”Y” för alla avtal enligt EES-lagstiftningen.  </w:t>
            </w:r>
          </w:p>
        </w:tc>
      </w:tr>
      <w:tr w:rsidR="0057131B"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57131B" w:rsidRDefault="00355A1C">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57131B" w:rsidRDefault="00355A1C">
            <w:pPr>
              <w:pStyle w:val="P68B1DB1-TableParagraph73"/>
              <w:spacing w:before="108"/>
              <w:ind w:left="85"/>
              <w:jc w:val="both"/>
            </w:pPr>
            <w:r>
              <w:t>Valutor som är relevanta för rapporterande företag</w:t>
            </w:r>
          </w:p>
          <w:p w14:paraId="7FE1C831" w14:textId="77777777" w:rsidR="0057131B" w:rsidRDefault="00355A1C">
            <w:pPr>
              <w:pStyle w:val="P68B1DB1-TableParagraph40"/>
              <w:spacing w:before="108"/>
              <w:ind w:left="85"/>
              <w:jc w:val="both"/>
            </w:pPr>
            <w:r>
              <w:t xml:space="preserve">Valutor i vilka den rapporterande enhetens transaktioner godtas och regleras i systemet. Endast </w:t>
            </w:r>
            <w:r>
              <w:lastRenderedPageBreak/>
              <w:t>valutor som utgör minst 5 % av det rapporterande institutets totala verksamhet med finansmarknadsinfrastrukturer/intermediärer ska rapporteras.</w:t>
            </w:r>
          </w:p>
          <w:p w14:paraId="7FE1C832" w14:textId="77777777" w:rsidR="0057131B" w:rsidRDefault="00355A1C">
            <w:pPr>
              <w:pStyle w:val="P68B1DB1-TableParagraph40"/>
              <w:spacing w:before="108"/>
              <w:ind w:left="85"/>
              <w:jc w:val="both"/>
              <w:rPr>
                <w:b/>
              </w:rPr>
            </w:pPr>
            <w:r>
              <w:t>Ändringsförslagen 150–200 utesluter inte varandra. För ”övriga valutor” (kolumn 0170): Kod enligt ISO 4217–3 bokstäver för valutan eller valutorna.</w:t>
            </w:r>
          </w:p>
        </w:tc>
      </w:tr>
      <w:tr w:rsidR="0057131B"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57131B" w:rsidRDefault="00355A1C">
            <w:pPr>
              <w:pStyle w:val="P68B1DB1-Normal31"/>
            </w:pPr>
            <w:r>
              <w:lastRenderedPageBreak/>
              <w:t>0210</w:t>
            </w:r>
          </w:p>
        </w:tc>
        <w:tc>
          <w:tcPr>
            <w:tcW w:w="7832" w:type="dxa"/>
            <w:tcBorders>
              <w:top w:val="single" w:sz="8" w:space="0" w:color="auto"/>
              <w:left w:val="single" w:sz="8" w:space="0" w:color="auto"/>
              <w:bottom w:val="single" w:sz="8" w:space="0" w:color="auto"/>
            </w:tcBorders>
            <w:vAlign w:val="bottom"/>
          </w:tcPr>
          <w:p w14:paraId="7FE1C835" w14:textId="77777777" w:rsidR="0057131B" w:rsidRDefault="00355A1C">
            <w:pPr>
              <w:pStyle w:val="P68B1DB1-TableParagraph73"/>
              <w:spacing w:before="108"/>
              <w:ind w:left="85"/>
              <w:jc w:val="both"/>
            </w:pPr>
            <w:r>
              <w:t>Tjänster som tillhandahålls FMI/förmedlare</w:t>
            </w:r>
          </w:p>
          <w:p w14:paraId="7FE1C836" w14:textId="3FA389EC" w:rsidR="0057131B" w:rsidRDefault="00355A1C">
            <w:pPr>
              <w:pStyle w:val="P68B1DB1-TableParagraph40"/>
              <w:spacing w:before="108"/>
              <w:ind w:left="85"/>
              <w:jc w:val="both"/>
            </w:pPr>
            <w:r>
              <w:t xml:space="preserve">Rapportera endast när användaren tillhandahåller tjänster till finansmarknadsinfrastrukturen/förmedlaren, såsom prisleverantör, tillhandahållare av likviditet, kontantavveckling (ange valuta), depåförvaring, indirekt tillgång till (utländska) värdepapperscentraler, investeringsmotpart, annat. </w:t>
            </w:r>
          </w:p>
        </w:tc>
      </w:tr>
      <w:tr w:rsidR="0057131B"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57131B" w:rsidRDefault="00355A1C">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57131B" w:rsidRDefault="00355A1C">
            <w:pPr>
              <w:pStyle w:val="P68B1DB1-TableParagraph73"/>
              <w:spacing w:before="108"/>
              <w:ind w:left="85"/>
              <w:jc w:val="both"/>
            </w:pPr>
            <w:r>
              <w:t>Tjänst som tillhandahålls av FMI/intermediär</w:t>
            </w:r>
          </w:p>
          <w:p w14:paraId="7FE1C83A" w14:textId="77777777" w:rsidR="0057131B" w:rsidRDefault="00355A1C">
            <w:pPr>
              <w:pStyle w:val="P68B1DB1-TableParagraph40"/>
              <w:spacing w:before="108"/>
              <w:ind w:left="85"/>
              <w:jc w:val="both"/>
            </w:pPr>
            <w:r>
              <w:t>Tjänster som FMI/förmedlaren tillhandahåller den rapporterande enheten. Rapportera om 0040 är ”Ej tillämpligt”.</w:t>
            </w:r>
          </w:p>
        </w:tc>
      </w:tr>
      <w:tr w:rsidR="0057131B"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57131B" w:rsidRDefault="00355A1C">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57131B" w:rsidRDefault="00355A1C">
            <w:pPr>
              <w:pStyle w:val="P68B1DB1-TableParagraph75"/>
              <w:spacing w:before="108"/>
              <w:ind w:left="85"/>
              <w:jc w:val="both"/>
            </w:pPr>
            <w:r>
              <w:t>Tjänsteleverantörer</w:t>
            </w:r>
          </w:p>
        </w:tc>
      </w:tr>
      <w:tr w:rsidR="0057131B"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57131B" w:rsidRDefault="00355A1C">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57131B" w:rsidRDefault="00355A1C">
            <w:pPr>
              <w:pStyle w:val="P68B1DB1-TableParagraph73"/>
              <w:spacing w:before="108"/>
              <w:ind w:left="85"/>
              <w:jc w:val="both"/>
            </w:pPr>
            <w:r>
              <w:t>Leverantörer av kommunikationstjänster,</w:t>
            </w:r>
          </w:p>
          <w:p w14:paraId="7FE1C841" w14:textId="7B818514" w:rsidR="0057131B" w:rsidRDefault="00355A1C">
            <w:pPr>
              <w:pStyle w:val="P68B1DB1-TableParagraph40"/>
              <w:spacing w:before="108"/>
              <w:ind w:left="85"/>
              <w:jc w:val="both"/>
            </w:pPr>
            <w:r>
              <w:t xml:space="preserve">Leverantörer av kommunikationstjänster som används av institutet för tillgång till finansmarknadsinfrastrukturer. Kolumnerna 230–250 utesluter inte varandra. </w:t>
            </w:r>
          </w:p>
          <w:p w14:paraId="32DB4B00" w14:textId="3747D290" w:rsidR="0057131B" w:rsidRDefault="00355A1C">
            <w:pPr>
              <w:pStyle w:val="P68B1DB1-TableParagraph40"/>
              <w:spacing w:before="108"/>
              <w:ind w:left="85"/>
              <w:jc w:val="both"/>
            </w:pPr>
            <w:r>
              <w:t>För ”FMI propriety” -c0230 och ”SWIFT” – c0240, rapport:</w:t>
            </w:r>
          </w:p>
          <w:p w14:paraId="1D0FFCBE" w14:textId="373924D7" w:rsidR="0057131B" w:rsidRDefault="00355A1C">
            <w:pPr>
              <w:pStyle w:val="P68B1DB1-TableParagraph40"/>
              <w:numPr>
                <w:ilvl w:val="0"/>
                <w:numId w:val="181"/>
              </w:numPr>
              <w:spacing w:before="108"/>
              <w:jc w:val="both"/>
            </w:pPr>
            <w:r>
              <w:t>1.2.1.1</w:t>
            </w:r>
          </w:p>
          <w:p w14:paraId="26472FE9" w14:textId="3ED80557" w:rsidR="0057131B" w:rsidRDefault="00355A1C">
            <w:pPr>
              <w:pStyle w:val="P68B1DB1-TableParagraph40"/>
              <w:numPr>
                <w:ilvl w:val="0"/>
                <w:numId w:val="181"/>
              </w:numPr>
              <w:spacing w:before="108"/>
              <w:jc w:val="both"/>
            </w:pPr>
            <w:r>
              <w:t>Nr</w:t>
            </w:r>
          </w:p>
          <w:p w14:paraId="7FE1C842" w14:textId="0C70DB31" w:rsidR="0057131B" w:rsidRDefault="00355A1C">
            <w:pPr>
              <w:pStyle w:val="P68B1DB1-TableParagraph40"/>
              <w:spacing w:before="108"/>
              <w:ind w:left="85"/>
              <w:jc w:val="both"/>
            </w:pPr>
            <w:r>
              <w:t>För ”Andra leverantörer av kommunikationstjänster” – c0250: rapportera leverantörens firmanamn.</w:t>
            </w:r>
          </w:p>
        </w:tc>
      </w:tr>
      <w:tr w:rsidR="0057131B"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57131B" w:rsidRDefault="00355A1C">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57131B" w:rsidRDefault="00355A1C">
            <w:pPr>
              <w:pStyle w:val="P68B1DB1-TableParagraph75"/>
              <w:spacing w:before="108"/>
              <w:ind w:left="85"/>
              <w:jc w:val="both"/>
            </w:pPr>
            <w:r>
              <w:t>Andra tjänsteleverantörer som ger tillgång till FMI</w:t>
            </w:r>
          </w:p>
        </w:tc>
      </w:tr>
      <w:tr w:rsidR="0057131B"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57131B" w:rsidRDefault="00355A1C">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57131B" w:rsidRDefault="00355A1C">
            <w:pPr>
              <w:pStyle w:val="P68B1DB1-TableParagraph73"/>
              <w:spacing w:before="108"/>
              <w:ind w:left="85"/>
            </w:pPr>
            <w:r>
              <w:t xml:space="preserve">Namn på ytterligare tjänsteleverantörer </w:t>
            </w:r>
          </w:p>
          <w:p w14:paraId="7FE1C849" w14:textId="77777777" w:rsidR="0057131B" w:rsidRDefault="00355A1C">
            <w:pPr>
              <w:pStyle w:val="P68B1DB1-TableParagraph40"/>
              <w:spacing w:before="108"/>
              <w:ind w:left="85"/>
              <w:jc w:val="both"/>
              <w:rPr>
                <w:b/>
              </w:rPr>
            </w:pPr>
            <w:r>
              <w:t xml:space="preserve">Andra leverantörer än mellanhanden som är absolut nödvändiga för användaren, i tillämpliga fall: avvecklingsbank, kontantkorrespondent/nostro, tillhandahållare av likviditet.  </w:t>
            </w:r>
            <w:r>
              <w:br/>
              <w:t>Försäkringsföretagens namn och adress.</w:t>
            </w:r>
          </w:p>
        </w:tc>
      </w:tr>
      <w:tr w:rsidR="0057131B"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57131B" w:rsidRDefault="00355A1C">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57131B" w:rsidRDefault="00355A1C">
            <w:pPr>
              <w:pStyle w:val="P68B1DB1-TableParagraph73"/>
              <w:spacing w:before="108"/>
              <w:ind w:left="85"/>
              <w:jc w:val="both"/>
            </w:pPr>
            <w:r>
              <w:t xml:space="preserve">Tilläggstjänster </w:t>
            </w:r>
          </w:p>
          <w:p w14:paraId="7FE1C84D" w14:textId="77777777" w:rsidR="0057131B" w:rsidRDefault="00355A1C">
            <w:pPr>
              <w:pStyle w:val="P68B1DB1-TableParagraph40"/>
              <w:spacing w:before="108"/>
              <w:ind w:left="85"/>
              <w:jc w:val="both"/>
              <w:rPr>
                <w:b/>
              </w:rPr>
            </w:pPr>
            <w:r>
              <w:t xml:space="preserve">Tjänster från leverantörer som rapporterades 0260. </w:t>
            </w:r>
          </w:p>
        </w:tc>
      </w:tr>
      <w:tr w:rsidR="0057131B"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57131B" w:rsidRDefault="00355A1C">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57131B" w:rsidRDefault="00355A1C">
            <w:pPr>
              <w:pStyle w:val="P68B1DB1-TableParagraph73"/>
              <w:spacing w:before="108"/>
              <w:ind w:left="85"/>
              <w:jc w:val="both"/>
            </w:pPr>
            <w:r>
              <w:t>Kontaktpunkt vid FMI/intermediär</w:t>
            </w:r>
          </w:p>
          <w:p w14:paraId="7FE1C851" w14:textId="77777777" w:rsidR="0057131B" w:rsidRDefault="00355A1C">
            <w:pPr>
              <w:pStyle w:val="P68B1DB1-TableParagraph40"/>
              <w:spacing w:before="108"/>
              <w:ind w:left="85"/>
              <w:jc w:val="both"/>
            </w:pPr>
            <w:r>
              <w:t>Kontaktpunkt vid finansmarknadsinfrastrukturer vid resolution av den rapporterande enheten. Betänkande:</w:t>
            </w:r>
          </w:p>
          <w:p w14:paraId="7FE1C852" w14:textId="77777777" w:rsidR="0057131B" w:rsidRDefault="00355A1C">
            <w:pPr>
              <w:pStyle w:val="P68B1DB1-TableParagraph40"/>
              <w:numPr>
                <w:ilvl w:val="0"/>
                <w:numId w:val="181"/>
              </w:numPr>
              <w:ind w:left="799" w:hanging="357"/>
              <w:jc w:val="both"/>
            </w:pPr>
            <w:r>
              <w:t>Namn</w:t>
            </w:r>
          </w:p>
          <w:p w14:paraId="7FE1C853" w14:textId="77777777" w:rsidR="0057131B" w:rsidRDefault="00355A1C">
            <w:pPr>
              <w:pStyle w:val="P68B1DB1-TableParagraph40"/>
              <w:numPr>
                <w:ilvl w:val="0"/>
                <w:numId w:val="181"/>
              </w:numPr>
              <w:ind w:left="799" w:hanging="357"/>
              <w:jc w:val="both"/>
            </w:pPr>
            <w:r>
              <w:t>Befattning</w:t>
            </w:r>
          </w:p>
          <w:p w14:paraId="7FE1C854" w14:textId="5FE95CD9" w:rsidR="0057131B" w:rsidRDefault="00355A1C">
            <w:pPr>
              <w:pStyle w:val="P68B1DB1-TableParagraph40"/>
              <w:numPr>
                <w:ilvl w:val="0"/>
                <w:numId w:val="181"/>
              </w:numPr>
              <w:ind w:left="799" w:hanging="357"/>
              <w:jc w:val="both"/>
            </w:pPr>
            <w:r>
              <w:t>E-postadress</w:t>
            </w:r>
          </w:p>
        </w:tc>
      </w:tr>
    </w:tbl>
    <w:p w14:paraId="7FE1C856" w14:textId="77777777" w:rsidR="0057131B" w:rsidRDefault="00355A1C">
      <w:pPr>
        <w:pStyle w:val="P68B1DB1-Normal78"/>
      </w:pPr>
      <w:r>
        <w:br/>
      </w:r>
      <w:r>
        <w:br/>
      </w:r>
    </w:p>
    <w:p w14:paraId="7FE1C857" w14:textId="77777777" w:rsidR="0057131B" w:rsidRDefault="00355A1C">
      <w:pPr>
        <w:spacing w:line="257" w:lineRule="auto"/>
        <w:jc w:val="both"/>
        <w:rPr>
          <w:rFonts w:ascii="Times New Roman" w:eastAsia="Verdana" w:hAnsi="Times New Roman" w:cs="Times New Roman"/>
          <w:sz w:val="20"/>
          <w:szCs w:val="20"/>
        </w:rPr>
      </w:pPr>
      <w:hyperlink r:id="rId11"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T.ex. enhetens unika IDentifier (MFI ID) för användning i RIAD.</w:t>
      </w:r>
    </w:p>
    <w:p w14:paraId="7FE1C858" w14:textId="77777777" w:rsidR="0057131B" w:rsidRDefault="00355A1C">
      <w:pPr>
        <w:spacing w:line="257" w:lineRule="auto"/>
        <w:jc w:val="both"/>
        <w:rPr>
          <w:rFonts w:ascii="Times New Roman" w:eastAsia="Verdana" w:hAnsi="Times New Roman" w:cs="Times New Roman"/>
          <w:sz w:val="20"/>
          <w:szCs w:val="20"/>
        </w:rPr>
      </w:pPr>
      <w:hyperlink r:id="rId12"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ECB:s ordlista över villkor som rör betalnings-, clearing- och avvecklingssystem, december 2009.</w:t>
      </w:r>
    </w:p>
    <w:p w14:paraId="7FE1C859" w14:textId="77777777" w:rsidR="0057131B" w:rsidRDefault="00355A1C">
      <w:pPr>
        <w:spacing w:line="257" w:lineRule="auto"/>
        <w:jc w:val="both"/>
        <w:rPr>
          <w:rFonts w:ascii="Times New Roman" w:eastAsia="Verdana" w:hAnsi="Times New Roman" w:cs="Times New Roman"/>
          <w:sz w:val="20"/>
          <w:szCs w:val="20"/>
        </w:rPr>
      </w:pPr>
      <w:hyperlink r:id="rId13"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Se föregående fotnot.</w:t>
      </w:r>
    </w:p>
    <w:p w14:paraId="7FE1C85A" w14:textId="77777777" w:rsidR="0057131B" w:rsidRDefault="00355A1C">
      <w:pPr>
        <w:spacing w:line="257" w:lineRule="auto"/>
        <w:jc w:val="both"/>
        <w:rPr>
          <w:rFonts w:ascii="Times New Roman" w:hAnsi="Times New Roman" w:cs="Times New Roman"/>
        </w:rPr>
      </w:pPr>
      <w:hyperlink r:id="rId14"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T.ex. enhetens unika identifieringskod för monetära finansinstitut (MFI) för användning i RIAD.</w:t>
      </w:r>
    </w:p>
    <w:p w14:paraId="7FE1C8BF" w14:textId="77777777" w:rsidR="0057131B" w:rsidRDefault="0057131B">
      <w:pPr>
        <w:rPr>
          <w:rFonts w:ascii="Times New Roman" w:hAnsi="Times New Roman" w:cs="Times New Roman"/>
        </w:rPr>
      </w:pPr>
    </w:p>
    <w:p w14:paraId="7FE1C8C0" w14:textId="77777777" w:rsidR="0057131B" w:rsidRDefault="0057131B">
      <w:pPr>
        <w:rPr>
          <w:rFonts w:ascii="Times New Roman" w:hAnsi="Times New Roman"/>
          <w:sz w:val="20"/>
          <w:szCs w:val="20"/>
          <w:u w:val="single"/>
        </w:rPr>
      </w:pPr>
    </w:p>
    <w:p w14:paraId="7FE1C8C1" w14:textId="77777777" w:rsidR="0057131B" w:rsidRDefault="00355A1C">
      <w:pPr>
        <w:pStyle w:val="P68B1DB1-Instructionsberschrift25"/>
        <w:numPr>
          <w:ilvl w:val="1"/>
          <w:numId w:val="49"/>
        </w:numPr>
        <w:ind w:left="357" w:hanging="357"/>
        <w:rPr>
          <w:rFonts w:eastAsia="Calibri"/>
          <w:szCs w:val="20"/>
        </w:rPr>
      </w:pPr>
      <w:bookmarkStart w:id="137" w:name="_Toc210901310"/>
      <w:r>
        <w:lastRenderedPageBreak/>
        <w:t>Z 09.02 – Kartläggning av kritiska och väsentliga finansmarknadsinfrastrukturer (FMI 2)</w:t>
      </w:r>
      <w:bookmarkEnd w:id="137"/>
    </w:p>
    <w:p w14:paraId="7FE1C8C3" w14:textId="77777777" w:rsidR="0057131B" w:rsidRDefault="00355A1C">
      <w:pPr>
        <w:pStyle w:val="P68B1DB1-InstructionsText279"/>
        <w:numPr>
          <w:ilvl w:val="2"/>
          <w:numId w:val="209"/>
        </w:numPr>
        <w:spacing w:before="0"/>
        <w:ind w:left="1276"/>
      </w:pPr>
      <w:r>
        <w:t>Kritiska och väsentliga leverantörer av finansmarknadsinfrastrukturtjänster är direkt eller indirekt åtkomliga FMI-tjänster, vars upphörande kan utgöra ett allvarligt hinder för eller förhindra utförandet av en eller flera kritiska funktioner eller kärnaffärsområden för användaren.</w:t>
      </w:r>
    </w:p>
    <w:p w14:paraId="7FE1C8C4" w14:textId="77777777" w:rsidR="0057131B" w:rsidRDefault="00355A1C">
      <w:pPr>
        <w:pStyle w:val="P68B1DB1-ListParagraph80"/>
        <w:numPr>
          <w:ilvl w:val="2"/>
          <w:numId w:val="209"/>
        </w:numPr>
        <w:ind w:left="1276"/>
      </w:pPr>
      <w:r>
        <w:t>Endast rapportera i detta formulär dessa finansmarknadsinfrastrukturer för alla systemtyper som den rapporterande entiteten anser vara kritiska eller väsentliga. Omfattar inte några andra finansmarknadsinfrastrukturer som varken är kritiska eller väsentliga.</w:t>
      </w:r>
    </w:p>
    <w:p w14:paraId="7FE1C8C5" w14:textId="77777777" w:rsidR="0057131B" w:rsidRDefault="0057131B">
      <w:pPr>
        <w:pStyle w:val="ListParagraph"/>
        <w:ind w:left="1276"/>
        <w:rPr>
          <w:rFonts w:ascii="Times New Roman" w:eastAsiaTheme="majorEastAsia" w:hAnsi="Times New Roman"/>
          <w:sz w:val="20"/>
          <w:szCs w:val="20"/>
        </w:rPr>
      </w:pPr>
    </w:p>
    <w:p w14:paraId="7FE1C8C6" w14:textId="77777777" w:rsidR="0057131B" w:rsidRDefault="00355A1C">
      <w:pPr>
        <w:pStyle w:val="P68B1DB1-InstructionsText279"/>
        <w:numPr>
          <w:ilvl w:val="2"/>
          <w:numId w:val="209"/>
        </w:numPr>
        <w:spacing w:before="0"/>
        <w:ind w:left="1276"/>
      </w:pPr>
      <w:r>
        <w:t xml:space="preserve">Vid klassificeringen av kritiska och väsentliga finansmarknadsinfrastrukturer ska möjligheten till samtidig uppsägning av deltagande beaktas.  </w:t>
      </w:r>
    </w:p>
    <w:p w14:paraId="7FE1C8C7" w14:textId="77777777" w:rsidR="0057131B" w:rsidRDefault="0057131B">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57131B"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57131B" w:rsidRDefault="00355A1C">
            <w:pPr>
              <w:pStyle w:val="P68B1DB1-TableParagraph17"/>
              <w:spacing w:before="108"/>
              <w:ind w:left="85"/>
            </w:pPr>
            <w:r>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57131B" w:rsidRDefault="00355A1C">
            <w:pPr>
              <w:pStyle w:val="P68B1DB1-TableParagraph17"/>
              <w:spacing w:before="108"/>
              <w:ind w:left="85"/>
            </w:pPr>
            <w:r>
              <w:t xml:space="preserve">Anvisningar </w:t>
            </w:r>
          </w:p>
        </w:tc>
      </w:tr>
      <w:tr w:rsidR="0057131B"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57131B" w:rsidRDefault="00355A1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57131B" w:rsidRDefault="00355A1C">
            <w:pPr>
              <w:pStyle w:val="P68B1DB1-TableParagraph73"/>
              <w:spacing w:before="108"/>
              <w:ind w:left="85"/>
              <w:jc w:val="both"/>
            </w:pPr>
            <w:r>
              <w:t>ID som representerar en kombination av användare, FMI, systemtyp och intermediär</w:t>
            </w:r>
          </w:p>
          <w:p w14:paraId="7FE1C8CD" w14:textId="389563D7" w:rsidR="0057131B" w:rsidRDefault="00355A1C">
            <w:pPr>
              <w:pStyle w:val="P68B1DB1-TableParagraph40"/>
              <w:spacing w:before="108"/>
              <w:ind w:left="85"/>
              <w:jc w:val="both"/>
              <w:rPr>
                <w:b/>
              </w:rPr>
            </w:pPr>
            <w:r>
              <w:t>Använd en enda identifierare per rad som motsvarar en unik kombination av användare, FMI, systemtyp och intermediär. Samma ID, motsvarande samma kombination, måste användas i mallarna Z 09.01 – Z 09.05 i tillämpliga fall.</w:t>
            </w:r>
          </w:p>
        </w:tc>
      </w:tr>
      <w:tr w:rsidR="0057131B"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57131B" w:rsidRDefault="00355A1C">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57131B" w:rsidRDefault="00355A1C">
            <w:pPr>
              <w:pStyle w:val="P68B1DB1-TableParagraph75"/>
              <w:spacing w:before="108"/>
              <w:ind w:left="85"/>
              <w:jc w:val="both"/>
              <w:rPr>
                <w:bCs/>
                <w:iCs/>
              </w:rPr>
            </w:pPr>
            <w:r>
              <w:t>Kritiska finansmarknadsinfrastrukturer</w:t>
            </w:r>
          </w:p>
        </w:tc>
      </w:tr>
      <w:tr w:rsidR="0057131B"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57131B" w:rsidRDefault="00355A1C">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57131B" w:rsidRDefault="00355A1C">
            <w:pPr>
              <w:pStyle w:val="P68B1DB1-TableParagraph73"/>
              <w:spacing w:before="108"/>
              <w:ind w:left="85"/>
              <w:jc w:val="both"/>
            </w:pPr>
            <w:r>
              <w:t>Kritisk FMI: J/N</w:t>
            </w:r>
          </w:p>
          <w:p w14:paraId="7FE1C8D4" w14:textId="4439D1A6" w:rsidR="0057131B" w:rsidRDefault="00355A1C">
            <w:pPr>
              <w:pStyle w:val="P68B1DB1-TableParagraph40"/>
              <w:numPr>
                <w:ilvl w:val="0"/>
                <w:numId w:val="248"/>
              </w:numPr>
              <w:spacing w:before="108"/>
              <w:jc w:val="both"/>
            </w:pPr>
            <w:r>
              <w:t>”Ja” om finansmarknadsindexet är kritiskt</w:t>
            </w:r>
          </w:p>
          <w:p w14:paraId="7FE1C8D5" w14:textId="792CB29B" w:rsidR="0057131B" w:rsidRDefault="00355A1C">
            <w:pPr>
              <w:pStyle w:val="P68B1DB1-TableParagraph40"/>
              <w:numPr>
                <w:ilvl w:val="0"/>
                <w:numId w:val="248"/>
              </w:numPr>
              <w:spacing w:before="108"/>
              <w:jc w:val="both"/>
              <w:rPr>
                <w:b/>
                <w:bCs/>
              </w:rPr>
            </w:pPr>
            <w:r>
              <w:t>”Nej” om FMI inte är kritisk</w:t>
            </w:r>
            <w:r>
              <w:rPr>
                <w:b/>
              </w:rPr>
              <w:t xml:space="preserve"> </w:t>
            </w:r>
          </w:p>
          <w:p w14:paraId="7FE1C8D6" w14:textId="77777777" w:rsidR="0057131B" w:rsidRDefault="00355A1C">
            <w:pPr>
              <w:pStyle w:val="P68B1DB1-TableParagraph40"/>
              <w:spacing w:before="108"/>
              <w:ind w:left="85"/>
              <w:jc w:val="both"/>
            </w:pPr>
            <w:r>
              <w:t>Kolumnerna 0020 och 0050 utesluter inte varandra.</w:t>
            </w:r>
          </w:p>
        </w:tc>
      </w:tr>
      <w:tr w:rsidR="0057131B"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57131B" w:rsidRDefault="00355A1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57131B" w:rsidRDefault="00355A1C">
            <w:pPr>
              <w:pStyle w:val="P68B1DB1-TableParagraph73"/>
              <w:spacing w:before="108"/>
              <w:ind w:left="85"/>
              <w:jc w:val="both"/>
            </w:pPr>
            <w:r>
              <w:t>Land</w:t>
            </w:r>
          </w:p>
          <w:p w14:paraId="7FE1C8DA" w14:textId="56240ABE" w:rsidR="0057131B" w:rsidRDefault="00355A1C">
            <w:pPr>
              <w:pStyle w:val="P68B1DB1-TableParagraph40"/>
              <w:spacing w:before="108"/>
              <w:ind w:left="85"/>
              <w:jc w:val="both"/>
            </w:pPr>
            <w:r>
              <w:t xml:space="preserve">Land där den kritiska funktionen tillhandahålls, enligt vad som rapporteras i Z 07.01 </w:t>
            </w:r>
          </w:p>
        </w:tc>
      </w:tr>
      <w:tr w:rsidR="0057131B"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57131B" w:rsidRDefault="00355A1C">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57131B" w:rsidRDefault="00355A1C">
            <w:pPr>
              <w:pStyle w:val="P68B1DB1-TableParagraph73"/>
              <w:spacing w:before="108"/>
              <w:ind w:left="85"/>
              <w:jc w:val="both"/>
            </w:pPr>
            <w:r>
              <w:t>ID för kritisk funktion</w:t>
            </w:r>
          </w:p>
          <w:p w14:paraId="7FE1C8DE" w14:textId="77777777" w:rsidR="0057131B" w:rsidRDefault="00355A1C">
            <w:pPr>
              <w:pStyle w:val="P68B1DB1-TableParagraph40"/>
              <w:spacing w:before="108"/>
              <w:ind w:left="85"/>
              <w:jc w:val="both"/>
            </w:pPr>
            <w:r>
              <w:t>Kritiska funktioner som utförs av entiteten och vars utförande skulle hindras eller förhindras av avbrott i åtkomsten till leverantören av finansmarknadsinfrastrukturtjänster.</w:t>
            </w:r>
          </w:p>
          <w:p w14:paraId="79796B83" w14:textId="298E6F56" w:rsidR="0057131B" w:rsidRDefault="00355A1C">
            <w:pPr>
              <w:pStyle w:val="P68B1DB1-TableParagraph40"/>
              <w:spacing w:before="108"/>
              <w:ind w:left="85"/>
              <w:jc w:val="both"/>
              <w:rPr>
                <w:b/>
                <w:bCs/>
              </w:rPr>
            </w:pPr>
            <w:r>
              <w:t>ID för de kritiska funktioner som rapporteras i Z07.01</w:t>
            </w:r>
            <w:r>
              <w:rPr>
                <w:b/>
              </w:rPr>
              <w:t>:</w:t>
            </w:r>
          </w:p>
          <w:p w14:paraId="58520404" w14:textId="77777777" w:rsidR="0057131B" w:rsidRDefault="0057131B">
            <w:pPr>
              <w:pStyle w:val="TableParagraph"/>
              <w:spacing w:before="108"/>
              <w:ind w:left="85"/>
              <w:jc w:val="both"/>
              <w:rPr>
                <w:rFonts w:ascii="Times New Roman" w:eastAsia="Times New Roman" w:hAnsi="Times New Roman" w:cs="Times New Roman"/>
                <w:b/>
                <w:bCs/>
                <w:sz w:val="20"/>
                <w:szCs w:val="20"/>
              </w:rPr>
            </w:pPr>
          </w:p>
          <w:p w14:paraId="0E718D7B" w14:textId="77777777" w:rsidR="0057131B" w:rsidRDefault="00355A1C">
            <w:pPr>
              <w:pStyle w:val="P68B1DB1-Normal19"/>
              <w:rPr>
                <w:rFonts w:eastAsiaTheme="minorHAnsi"/>
              </w:rPr>
            </w:pPr>
            <w:r>
              <w:t>Inlåning</w:t>
            </w:r>
          </w:p>
          <w:p w14:paraId="354D6B7F" w14:textId="77777777" w:rsidR="0057131B" w:rsidRDefault="00355A1C">
            <w:pPr>
              <w:pStyle w:val="P68B1DB1-Normal19"/>
              <w:ind w:left="708"/>
            </w:pPr>
            <w:r>
              <w:t>Inlåning från hushåll</w:t>
            </w:r>
          </w:p>
          <w:p w14:paraId="71C89914" w14:textId="77777777" w:rsidR="0057131B" w:rsidRDefault="00355A1C">
            <w:pPr>
              <w:pStyle w:val="P68B1DB1-Normal19"/>
              <w:ind w:left="708"/>
            </w:pPr>
            <w:r>
              <w:t xml:space="preserve">Inlåning från icke-finansiella företag </w:t>
            </w:r>
          </w:p>
          <w:p w14:paraId="7621A95F" w14:textId="69E34691" w:rsidR="0057131B" w:rsidRDefault="00355A1C">
            <w:pPr>
              <w:pStyle w:val="P68B1DB1-Normal19"/>
              <w:ind w:left="1405"/>
            </w:pPr>
            <w:r>
              <w:t>Depositer från icke-finansiella företag SMEs</w:t>
            </w:r>
          </w:p>
          <w:p w14:paraId="046B913C" w14:textId="73440AD0" w:rsidR="0057131B" w:rsidRDefault="00355A1C">
            <w:pPr>
              <w:pStyle w:val="P68B1DB1-Normal19"/>
              <w:ind w:left="1405"/>
            </w:pPr>
            <w:r>
              <w:t>Inlåning från icke-finansiella företag (icke-små och medelstora företag)</w:t>
            </w:r>
          </w:p>
          <w:p w14:paraId="2DAF57AE" w14:textId="77777777" w:rsidR="0057131B" w:rsidRDefault="00355A1C">
            <w:pPr>
              <w:pStyle w:val="P68B1DB1-Normal19"/>
              <w:ind w:left="708"/>
            </w:pPr>
            <w:r>
              <w:t>Insättningar från den offentliga sektorn</w:t>
            </w:r>
          </w:p>
          <w:p w14:paraId="3AC3807C" w14:textId="77777777" w:rsidR="0057131B" w:rsidRDefault="00355A1C">
            <w:pPr>
              <w:pStyle w:val="P68B1DB1-Normal19"/>
              <w:ind w:left="708"/>
            </w:pPr>
            <w:r>
              <w:t>Inlåning från andra sektorer/motparter (1)</w:t>
            </w:r>
          </w:p>
          <w:p w14:paraId="7924D974" w14:textId="77777777" w:rsidR="0057131B" w:rsidRDefault="00355A1C">
            <w:pPr>
              <w:pStyle w:val="P68B1DB1-Normal19"/>
              <w:ind w:left="708"/>
            </w:pPr>
            <w:r>
              <w:t>Insättningar från andra sektorer/motparter (2)</w:t>
            </w:r>
          </w:p>
          <w:p w14:paraId="15B73120" w14:textId="77777777" w:rsidR="0057131B" w:rsidRDefault="00355A1C">
            <w:pPr>
              <w:pStyle w:val="P68B1DB1-Normal19"/>
              <w:ind w:left="708"/>
            </w:pPr>
            <w:r>
              <w:t>Depositer från andra sektorer/motparter (3)</w:t>
            </w:r>
          </w:p>
          <w:p w14:paraId="2FE46760" w14:textId="77777777" w:rsidR="0057131B" w:rsidRDefault="0057131B">
            <w:pPr>
              <w:rPr>
                <w:rFonts w:ascii="Times New Roman" w:hAnsi="Times New Roman" w:cs="Times New Roman"/>
                <w:sz w:val="20"/>
                <w:szCs w:val="20"/>
              </w:rPr>
            </w:pPr>
          </w:p>
          <w:p w14:paraId="685EA40A" w14:textId="77777777" w:rsidR="0057131B" w:rsidRDefault="00355A1C">
            <w:pPr>
              <w:pStyle w:val="P68B1DB1-Normal19"/>
            </w:pPr>
            <w:r>
              <w:t>Utlåning</w:t>
            </w:r>
          </w:p>
          <w:p w14:paraId="11C80F7E" w14:textId="77777777" w:rsidR="0057131B" w:rsidRDefault="00355A1C">
            <w:pPr>
              <w:pStyle w:val="P68B1DB1-Normal19"/>
              <w:ind w:left="708"/>
            </w:pPr>
            <w:r>
              <w:t>Utlåning till hushåll</w:t>
            </w:r>
          </w:p>
          <w:p w14:paraId="430711EA" w14:textId="77777777" w:rsidR="0057131B" w:rsidRDefault="00355A1C">
            <w:pPr>
              <w:pStyle w:val="P68B1DB1-Normal19"/>
              <w:ind w:left="1416"/>
            </w:pPr>
            <w:r>
              <w:t>Bostadslån till hushåll</w:t>
            </w:r>
          </w:p>
          <w:p w14:paraId="0147203E" w14:textId="77777777" w:rsidR="0057131B" w:rsidRDefault="00355A1C">
            <w:pPr>
              <w:pStyle w:val="P68B1DB1-Normal19"/>
              <w:ind w:left="1416"/>
            </w:pPr>
            <w:r>
              <w:t>Utlåning till hushåll för annat än bostadsköp</w:t>
            </w:r>
          </w:p>
          <w:p w14:paraId="20ACA306" w14:textId="77777777" w:rsidR="0057131B" w:rsidRDefault="00355A1C">
            <w:pPr>
              <w:pStyle w:val="P68B1DB1-Normal19"/>
              <w:ind w:left="708"/>
            </w:pPr>
            <w:r>
              <w:t>Låneutlåning till icke-finansiella företag</w:t>
            </w:r>
          </w:p>
          <w:p w14:paraId="19F6CF03" w14:textId="3FBCFA7C" w:rsidR="0057131B" w:rsidRDefault="00355A1C">
            <w:pPr>
              <w:pStyle w:val="P68B1DB1-Normal19"/>
              <w:ind w:left="1416"/>
            </w:pPr>
            <w:r>
              <w:t>Låneutlåning till icke-finansiella företag SMEs</w:t>
            </w:r>
          </w:p>
          <w:p w14:paraId="2C705D0D" w14:textId="77777777" w:rsidR="0057131B" w:rsidRDefault="00355A1C">
            <w:pPr>
              <w:pStyle w:val="P68B1DB1-Normal19"/>
              <w:ind w:left="1416"/>
            </w:pPr>
            <w:r>
              <w:t>Utlåning till icke-finansiella företag (icke-små och medelstora företag)</w:t>
            </w:r>
          </w:p>
          <w:p w14:paraId="6DAE8B55" w14:textId="77777777" w:rsidR="0057131B" w:rsidRDefault="00355A1C">
            <w:pPr>
              <w:pStyle w:val="P68B1DB1-Normal19"/>
              <w:ind w:left="708"/>
            </w:pPr>
            <w:r>
              <w:t>Utlåning till offentlig förvaltning</w:t>
            </w:r>
          </w:p>
          <w:p w14:paraId="5C2428A3" w14:textId="77777777" w:rsidR="0057131B" w:rsidRDefault="00355A1C">
            <w:pPr>
              <w:pStyle w:val="P68B1DB1-Normal19"/>
              <w:ind w:left="708"/>
            </w:pPr>
            <w:r>
              <w:t>Låne till övriga sektorer/motparter (1)</w:t>
            </w:r>
          </w:p>
          <w:p w14:paraId="7237D4E5" w14:textId="77777777" w:rsidR="0057131B" w:rsidRDefault="00355A1C">
            <w:pPr>
              <w:pStyle w:val="P68B1DB1-Normal19"/>
              <w:ind w:left="708"/>
            </w:pPr>
            <w:r>
              <w:t>Låneutlån till andra sektorer/motparter (2)</w:t>
            </w:r>
          </w:p>
          <w:p w14:paraId="62EF53AB" w14:textId="77777777" w:rsidR="0057131B" w:rsidRDefault="00355A1C">
            <w:pPr>
              <w:pStyle w:val="P68B1DB1-Normal19"/>
              <w:ind w:left="708"/>
            </w:pPr>
            <w:r>
              <w:lastRenderedPageBreak/>
              <w:t>Låne till andra sektorer/motparter (3)</w:t>
            </w:r>
          </w:p>
          <w:p w14:paraId="1269B857" w14:textId="77777777" w:rsidR="0057131B" w:rsidRDefault="0057131B">
            <w:pPr>
              <w:rPr>
                <w:rFonts w:ascii="Times New Roman" w:hAnsi="Times New Roman" w:cs="Times New Roman"/>
                <w:sz w:val="20"/>
                <w:szCs w:val="20"/>
              </w:rPr>
            </w:pPr>
          </w:p>
          <w:p w14:paraId="7CD1A6B0" w14:textId="77777777" w:rsidR="0057131B" w:rsidRDefault="00355A1C">
            <w:pPr>
              <w:pStyle w:val="P68B1DB1-Normal19"/>
            </w:pPr>
            <w:r>
              <w:t xml:space="preserve">Betal-, kontant-, avvecklings-, clearing- och depåtjänster </w:t>
            </w:r>
          </w:p>
          <w:p w14:paraId="11F499EA" w14:textId="77777777" w:rsidR="0057131B" w:rsidRDefault="00355A1C">
            <w:pPr>
              <w:pStyle w:val="P68B1DB1-Normal19"/>
              <w:ind w:left="708"/>
            </w:pPr>
            <w:r>
              <w:t>Betaltjänster till MFI</w:t>
            </w:r>
          </w:p>
          <w:p w14:paraId="6FC14FBE" w14:textId="4F1706DC" w:rsidR="0057131B" w:rsidRDefault="00355A1C">
            <w:pPr>
              <w:pStyle w:val="P68B1DB1-Normal19"/>
              <w:ind w:left="708"/>
            </w:pPr>
            <w:bookmarkStart w:id="138" w:name="_Hlk192600698"/>
            <w:r>
              <w:t>Betaltjänster till icke-MFI</w:t>
            </w:r>
          </w:p>
          <w:p w14:paraId="704B9B25" w14:textId="77777777" w:rsidR="0057131B" w:rsidRDefault="00355A1C">
            <w:pPr>
              <w:pStyle w:val="P68B1DB1-Normal19"/>
              <w:ind w:left="1405"/>
            </w:pPr>
            <w:r>
              <w:t>Betaltjänster till icke-MFI för hushåll</w:t>
            </w:r>
          </w:p>
          <w:p w14:paraId="1F8BC691" w14:textId="4FE22A42" w:rsidR="0057131B" w:rsidRDefault="00355A1C">
            <w:pPr>
              <w:pStyle w:val="P68B1DB1-Normal19"/>
              <w:ind w:left="1405"/>
            </w:pPr>
            <w:r>
              <w:t>Betaltjänster till icke-MFI för icke-finansiella företag</w:t>
            </w:r>
          </w:p>
          <w:p w14:paraId="39782E47" w14:textId="1287030F" w:rsidR="0057131B" w:rsidRDefault="00355A1C">
            <w:pPr>
              <w:pStyle w:val="P68B1DB1-Normal19"/>
              <w:ind w:left="1972"/>
            </w:pPr>
            <w:r>
              <w:t>Betaltjänster till icke-MFI för icke-finansiella företag</w:t>
            </w:r>
          </w:p>
          <w:p w14:paraId="416F0C20" w14:textId="504D6059" w:rsidR="0057131B" w:rsidRDefault="00355A1C">
            <w:pPr>
              <w:pStyle w:val="P68B1DB1-Normal19"/>
              <w:ind w:left="1972"/>
            </w:pPr>
            <w:r>
              <w:t>Betaltjänster till icke-MFI för icke-finansiella företag som inte är små och medelstora företag</w:t>
            </w:r>
            <w:bookmarkEnd w:id="138"/>
          </w:p>
          <w:p w14:paraId="661D0C87" w14:textId="77777777" w:rsidR="0057131B" w:rsidRDefault="00355A1C">
            <w:pPr>
              <w:pStyle w:val="P68B1DB1-Normal19"/>
              <w:ind w:left="708"/>
            </w:pPr>
            <w:r>
              <w:t>Kontanttjänster</w:t>
            </w:r>
          </w:p>
          <w:p w14:paraId="03769573" w14:textId="77777777" w:rsidR="0057131B" w:rsidRDefault="00355A1C">
            <w:pPr>
              <w:pStyle w:val="P68B1DB1-Normal19"/>
              <w:ind w:left="708"/>
            </w:pPr>
            <w:r>
              <w:t>Värdepappersavvecklingstjänster</w:t>
            </w:r>
          </w:p>
          <w:p w14:paraId="775020A9" w14:textId="77777777" w:rsidR="0057131B" w:rsidRDefault="00355A1C">
            <w:pPr>
              <w:pStyle w:val="P68B1DB1-Normal19"/>
              <w:ind w:left="708"/>
            </w:pPr>
            <w:r>
              <w:t>CCP-clearingtjänster</w:t>
            </w:r>
          </w:p>
          <w:p w14:paraId="5801E2F6" w14:textId="77777777" w:rsidR="0057131B" w:rsidRDefault="00355A1C">
            <w:pPr>
              <w:pStyle w:val="P68B1DB1-Normal19"/>
              <w:ind w:left="708"/>
            </w:pPr>
            <w:r>
              <w:t>Depåtjänster</w:t>
            </w:r>
          </w:p>
          <w:p w14:paraId="5B6CE30A" w14:textId="77777777" w:rsidR="0057131B" w:rsidRDefault="00355A1C">
            <w:pPr>
              <w:pStyle w:val="P68B1DB1-Normal19"/>
              <w:ind w:left="708"/>
            </w:pPr>
            <w:r>
              <w:t>Andra tjänster/verksamheter/funktioner (1) avseende betalningar, kontanter, avvecklings-, clearing- och förvaringstjänster</w:t>
            </w:r>
          </w:p>
          <w:p w14:paraId="7B4ED125" w14:textId="77777777" w:rsidR="0057131B" w:rsidRDefault="00355A1C">
            <w:pPr>
              <w:pStyle w:val="P68B1DB1-Normal19"/>
              <w:ind w:left="708"/>
            </w:pPr>
            <w:r>
              <w:t>Andra tjänster/verksamheter/funktioner (2) avseende betalningar, kontanter, avvecklings-, clearing- och förvaringstjänster</w:t>
            </w:r>
          </w:p>
          <w:p w14:paraId="19BA6278" w14:textId="77777777" w:rsidR="0057131B" w:rsidRDefault="00355A1C">
            <w:pPr>
              <w:pStyle w:val="P68B1DB1-Normal19"/>
              <w:ind w:left="708"/>
            </w:pPr>
            <w:r>
              <w:t>Andra tjänster/verksamheter/funktioner (3) avseende betalningar, kontanter, avvecklings-, clearing- och förvaringstjänster</w:t>
            </w:r>
          </w:p>
          <w:p w14:paraId="1E6049F9" w14:textId="77777777" w:rsidR="0057131B" w:rsidRDefault="0057131B">
            <w:pPr>
              <w:rPr>
                <w:rFonts w:ascii="Times New Roman" w:hAnsi="Times New Roman" w:cs="Times New Roman"/>
                <w:sz w:val="20"/>
                <w:szCs w:val="20"/>
              </w:rPr>
            </w:pPr>
          </w:p>
          <w:p w14:paraId="6F0287A8" w14:textId="77777777" w:rsidR="0057131B" w:rsidRDefault="00355A1C">
            <w:pPr>
              <w:pStyle w:val="P68B1DB1-Normal19"/>
            </w:pPr>
            <w:r>
              <w:t>Kapitalmarknader</w:t>
            </w:r>
          </w:p>
          <w:p w14:paraId="4F1B2CB2" w14:textId="77777777" w:rsidR="0057131B" w:rsidRDefault="00355A1C">
            <w:pPr>
              <w:pStyle w:val="P68B1DB1-Normal19"/>
              <w:ind w:left="708"/>
            </w:pPr>
            <w:r>
              <w:t xml:space="preserve">Derivat som innehas för handel </w:t>
            </w:r>
          </w:p>
          <w:p w14:paraId="608E7B75" w14:textId="77777777" w:rsidR="0057131B" w:rsidRDefault="00355A1C">
            <w:pPr>
              <w:pStyle w:val="P68B1DB1-Normal19"/>
              <w:ind w:left="1416"/>
            </w:pPr>
            <w:r>
              <w:t>Derivat som innehas för handel i OTC</w:t>
            </w:r>
          </w:p>
          <w:p w14:paraId="55232CB1" w14:textId="77777777" w:rsidR="0057131B" w:rsidRDefault="00355A1C">
            <w:pPr>
              <w:pStyle w:val="P68B1DB1-Normal19"/>
              <w:ind w:left="1416"/>
            </w:pPr>
            <w:r>
              <w:t>Derivat som innehas för handel i icke-OTC</w:t>
            </w:r>
          </w:p>
          <w:p w14:paraId="41765F70" w14:textId="77777777" w:rsidR="0057131B" w:rsidRDefault="00355A1C">
            <w:pPr>
              <w:pStyle w:val="P68B1DB1-Normal19"/>
              <w:ind w:left="708"/>
            </w:pPr>
            <w:r>
              <w:t>Andrahandsmarknader/handel:</w:t>
            </w:r>
          </w:p>
          <w:p w14:paraId="75381D0F" w14:textId="77777777" w:rsidR="0057131B" w:rsidRDefault="00355A1C">
            <w:pPr>
              <w:pStyle w:val="P68B1DB1-Normal19"/>
              <w:ind w:left="708"/>
            </w:pPr>
            <w:r>
              <w:t>Primära marknader/emissionsgarantier</w:t>
            </w:r>
          </w:p>
          <w:p w14:paraId="04BFAC55" w14:textId="77777777" w:rsidR="0057131B" w:rsidRDefault="00355A1C">
            <w:pPr>
              <w:pStyle w:val="P68B1DB1-Normal19"/>
              <w:ind w:left="708"/>
            </w:pPr>
            <w:r>
              <w:t>Övriga tjänster/aktiviteter/funktioner (1) i kapitalmarknaden</w:t>
            </w:r>
          </w:p>
          <w:p w14:paraId="4842F14D" w14:textId="77777777" w:rsidR="0057131B" w:rsidRDefault="00355A1C">
            <w:pPr>
              <w:pStyle w:val="P68B1DB1-Normal19"/>
              <w:ind w:left="708"/>
            </w:pPr>
            <w:r>
              <w:t>Övriga tjänster/aktiviteter/funktioner (2) i kapitalmarknaden</w:t>
            </w:r>
          </w:p>
          <w:p w14:paraId="4B2FE832" w14:textId="77777777" w:rsidR="0057131B" w:rsidRDefault="00355A1C">
            <w:pPr>
              <w:pStyle w:val="P68B1DB1-Normal19"/>
              <w:ind w:left="708"/>
            </w:pPr>
            <w:r>
              <w:t>Övriga tjänster/aktiviteter/funktioner (3) i kapitalmarknaden</w:t>
            </w:r>
          </w:p>
          <w:p w14:paraId="07EB9C1C" w14:textId="77777777" w:rsidR="0057131B" w:rsidRDefault="0057131B">
            <w:pPr>
              <w:ind w:left="708"/>
              <w:rPr>
                <w:rFonts w:ascii="Times New Roman" w:hAnsi="Times New Roman" w:cs="Times New Roman"/>
                <w:sz w:val="20"/>
                <w:szCs w:val="20"/>
              </w:rPr>
            </w:pPr>
          </w:p>
          <w:p w14:paraId="74D09EC2" w14:textId="77777777" w:rsidR="0057131B" w:rsidRDefault="00355A1C">
            <w:pPr>
              <w:pStyle w:val="P68B1DB1-Normal19"/>
            </w:pPr>
            <w:r>
              <w:t>Kapitalmarknadsfinansiering</w:t>
            </w:r>
          </w:p>
          <w:p w14:paraId="02676859" w14:textId="77777777" w:rsidR="0057131B" w:rsidRDefault="00355A1C">
            <w:pPr>
              <w:pStyle w:val="P68B1DB1-ListParagraph60"/>
            </w:pPr>
            <w:r>
              <w:t>Upplåning</w:t>
            </w:r>
          </w:p>
          <w:p w14:paraId="541AD926" w14:textId="77777777" w:rsidR="0057131B" w:rsidRDefault="00355A1C">
            <w:pPr>
              <w:pStyle w:val="P68B1DB1-ListParagraph60"/>
            </w:pPr>
            <w:r>
              <w:t>Derivat (tillgångar)</w:t>
            </w:r>
          </w:p>
          <w:p w14:paraId="25097734" w14:textId="77777777" w:rsidR="0057131B" w:rsidRDefault="00355A1C">
            <w:pPr>
              <w:pStyle w:val="P68B1DB1-ListParagraph60"/>
            </w:pPr>
            <w:r>
              <w:t>Utlåning</w:t>
            </w:r>
          </w:p>
          <w:p w14:paraId="772EBBB0" w14:textId="77777777" w:rsidR="0057131B" w:rsidRDefault="00355A1C">
            <w:pPr>
              <w:pStyle w:val="P68B1DB1-ListParagraph60"/>
            </w:pPr>
            <w:r>
              <w:t>Derivat (skulder)</w:t>
            </w:r>
          </w:p>
          <w:p w14:paraId="56E338CF" w14:textId="77777777" w:rsidR="0057131B" w:rsidRDefault="00355A1C">
            <w:pPr>
              <w:pStyle w:val="P68B1DB1-ListParagraph60"/>
            </w:pPr>
            <w:r>
              <w:t>Andra produkttyper (1) på grossistmarknaderna</w:t>
            </w:r>
          </w:p>
          <w:p w14:paraId="6607505D" w14:textId="77777777" w:rsidR="0057131B" w:rsidRDefault="00355A1C">
            <w:pPr>
              <w:pStyle w:val="P68B1DB1-ListParagraph60"/>
            </w:pPr>
            <w:r>
              <w:t>Andra produkttyper (2) på grossistmarknaderna</w:t>
            </w:r>
          </w:p>
          <w:p w14:paraId="41A2E098" w14:textId="77777777" w:rsidR="0057131B" w:rsidRDefault="00355A1C">
            <w:pPr>
              <w:pStyle w:val="P68B1DB1-ListParagraph60"/>
            </w:pPr>
            <w:r>
              <w:t>Andra produkttyper (3) på grossistmarknaderna</w:t>
            </w:r>
          </w:p>
          <w:p w14:paraId="7FE1C8DF" w14:textId="2134965F" w:rsidR="0057131B" w:rsidRDefault="0057131B">
            <w:pPr>
              <w:pStyle w:val="TableParagraph"/>
              <w:spacing w:before="108"/>
              <w:ind w:left="85"/>
              <w:jc w:val="both"/>
              <w:rPr>
                <w:rFonts w:ascii="Times New Roman" w:eastAsia="Times New Roman" w:hAnsi="Times New Roman" w:cs="Times New Roman"/>
                <w:b/>
                <w:bCs/>
                <w:i/>
                <w:iCs/>
                <w:sz w:val="20"/>
                <w:szCs w:val="20"/>
              </w:rPr>
            </w:pPr>
          </w:p>
        </w:tc>
      </w:tr>
      <w:tr w:rsidR="0057131B"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57131B" w:rsidRDefault="00355A1C">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57131B" w:rsidRDefault="00355A1C">
            <w:pPr>
              <w:pStyle w:val="P68B1DB1-Heading481"/>
              <w:numPr>
                <w:ilvl w:val="3"/>
                <w:numId w:val="0"/>
              </w:numPr>
              <w:ind w:left="360"/>
            </w:pPr>
            <w:r>
              <w:t>Viktiga finansmarknadsinfrastrukturer</w:t>
            </w:r>
          </w:p>
        </w:tc>
      </w:tr>
      <w:tr w:rsidR="0057131B"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57131B" w:rsidRDefault="00355A1C">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57131B" w:rsidRDefault="00355A1C">
            <w:pPr>
              <w:pStyle w:val="P68B1DB1-TableParagraph73"/>
              <w:spacing w:before="108"/>
              <w:ind w:left="85"/>
              <w:jc w:val="both"/>
            </w:pPr>
            <w:r>
              <w:t>Grundläggande FMI: J/N</w:t>
            </w:r>
          </w:p>
          <w:p w14:paraId="7FE1C8E6" w14:textId="46FA6345" w:rsidR="0057131B" w:rsidRDefault="00355A1C">
            <w:pPr>
              <w:pStyle w:val="P68B1DB1-TableParagraph40"/>
              <w:numPr>
                <w:ilvl w:val="0"/>
                <w:numId w:val="248"/>
              </w:numPr>
              <w:spacing w:before="108"/>
              <w:jc w:val="both"/>
            </w:pPr>
            <w:r>
              <w:t>”Ja” om finansmarknadsindexet är nödvändigt</w:t>
            </w:r>
          </w:p>
          <w:p w14:paraId="7FE1C8E7" w14:textId="0EBF3638" w:rsidR="0057131B" w:rsidRDefault="00355A1C">
            <w:pPr>
              <w:pStyle w:val="P68B1DB1-TableParagraph40"/>
              <w:numPr>
                <w:ilvl w:val="0"/>
                <w:numId w:val="248"/>
              </w:numPr>
              <w:spacing w:before="108"/>
              <w:jc w:val="both"/>
            </w:pPr>
            <w:r>
              <w:t>”Nej” om finansmarknadsindexet inte är nödvändigt</w:t>
            </w:r>
          </w:p>
          <w:p w14:paraId="7FE1C8E8" w14:textId="77777777" w:rsidR="0057131B" w:rsidRDefault="00355A1C">
            <w:pPr>
              <w:pStyle w:val="P68B1DB1-Heading482"/>
              <w:numPr>
                <w:ilvl w:val="3"/>
                <w:numId w:val="0"/>
              </w:numPr>
              <w:ind w:left="360"/>
            </w:pPr>
            <w:r>
              <w:t>Kolumnerna 0020 och 0050 utesluter inte varandra.</w:t>
            </w:r>
          </w:p>
        </w:tc>
      </w:tr>
      <w:tr w:rsidR="0057131B"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57131B" w:rsidRDefault="00355A1C">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57131B" w:rsidRDefault="00355A1C">
            <w:pPr>
              <w:pStyle w:val="P68B1DB1-TableParagraph73"/>
              <w:spacing w:before="108"/>
              <w:ind w:left="85"/>
              <w:jc w:val="both"/>
            </w:pPr>
            <w:r>
              <w:t>Kernaffärsområde-ID</w:t>
            </w:r>
          </w:p>
          <w:p w14:paraId="7FE1C8EC" w14:textId="62673BB2" w:rsidR="0057131B" w:rsidRDefault="00355A1C">
            <w:pPr>
              <w:pStyle w:val="P68B1DB1-TableParagraph40"/>
              <w:spacing w:before="108"/>
              <w:ind w:left="85"/>
              <w:jc w:val="both"/>
              <w:rPr>
                <w:u w:val="single"/>
              </w:rPr>
            </w:pPr>
            <w:r>
              <w:t>Kärnaffärsområden som utförs av användaren och vars prestanda skulle hindras eller förhindras genom avbrott i tillträdet för leverantören av finansmarknadsinfrastrukturtjänster.</w:t>
            </w:r>
          </w:p>
          <w:p w14:paraId="7FE1C8ED" w14:textId="77777777" w:rsidR="0057131B" w:rsidRDefault="00355A1C">
            <w:pPr>
              <w:pStyle w:val="P68B1DB1-TableParagraph40"/>
              <w:spacing w:before="108"/>
              <w:ind w:left="85"/>
              <w:jc w:val="both"/>
              <w:rPr>
                <w:b/>
                <w:bCs/>
              </w:rPr>
            </w:pPr>
            <w:r>
              <w:t>ID för det centrala affärsområdet enligt vad som rapporteras i Z 07.03 kolumn 0010.</w:t>
            </w:r>
          </w:p>
        </w:tc>
      </w:tr>
    </w:tbl>
    <w:p w14:paraId="7FE1C8EF" w14:textId="77777777" w:rsidR="0057131B" w:rsidRDefault="0057131B">
      <w:pPr>
        <w:pStyle w:val="Instructionsberschrift2"/>
        <w:ind w:left="357"/>
        <w:rPr>
          <w:rFonts w:ascii="Times New Roman" w:eastAsia="Calibri" w:hAnsi="Times New Roman" w:cs="Times New Roman"/>
          <w:szCs w:val="20"/>
        </w:rPr>
      </w:pPr>
    </w:p>
    <w:p w14:paraId="7FE1C8F0" w14:textId="77777777" w:rsidR="0057131B" w:rsidRDefault="00355A1C">
      <w:pPr>
        <w:pStyle w:val="P68B1DB1-Instructionsberschrift271"/>
        <w:numPr>
          <w:ilvl w:val="1"/>
          <w:numId w:val="49"/>
        </w:numPr>
        <w:ind w:left="357" w:hanging="357"/>
      </w:pPr>
      <w:bookmarkStart w:id="139" w:name="_Toc210901311"/>
      <w:r>
        <w:t>Z 09.03 – FMI-tjänster – nyckelmått (FMI 3)</w:t>
      </w:r>
      <w:bookmarkEnd w:id="139"/>
    </w:p>
    <w:p w14:paraId="7FE1C8F1" w14:textId="77777777" w:rsidR="0057131B" w:rsidRDefault="00355A1C">
      <w:pPr>
        <w:pStyle w:val="P68B1DB1-Numberedtitlelevel383"/>
      </w:pPr>
      <w:r>
        <w:t>Instruktioner för specifika positioner</w:t>
      </w:r>
    </w:p>
    <w:p w14:paraId="7FE1C8F2" w14:textId="6D7EB755" w:rsidR="0057131B" w:rsidRDefault="00355A1C">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Endast rapport för betalningssystem, (internationella) värdepapperscentraler, avvecklingstjänster för värdepapperstransaktioner, centrala motpartsderivat, centrala motpartsvärdepapper om inte annat anges</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57131B"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57131B" w:rsidRDefault="00355A1C">
            <w:pPr>
              <w:pStyle w:val="P68B1DB1-TableParagraph17"/>
              <w:spacing w:before="108"/>
              <w:ind w:left="85"/>
            </w:pPr>
            <w:r>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57131B" w:rsidRDefault="00355A1C">
            <w:pPr>
              <w:pStyle w:val="P68B1DB1-TableParagraph17"/>
              <w:spacing w:before="108"/>
              <w:ind w:left="85"/>
            </w:pPr>
            <w:r>
              <w:t xml:space="preserve">Anvisningar </w:t>
            </w:r>
          </w:p>
        </w:tc>
      </w:tr>
      <w:tr w:rsidR="0057131B"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57131B" w:rsidRDefault="00355A1C">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57131B" w:rsidRDefault="00355A1C">
            <w:pPr>
              <w:pStyle w:val="P68B1DB1-TableParagraph73"/>
              <w:spacing w:before="108"/>
              <w:jc w:val="both"/>
            </w:pPr>
            <w:r>
              <w:t>ID som representerar en kombination av användare, FMI, systemtyp och intermediär</w:t>
            </w:r>
          </w:p>
          <w:p w14:paraId="7FE1C8F8" w14:textId="314C2ABF" w:rsidR="0057131B" w:rsidRDefault="00355A1C">
            <w:pPr>
              <w:pStyle w:val="P68B1DB1-TableParagraph40"/>
              <w:spacing w:before="108"/>
              <w:jc w:val="both"/>
              <w:rPr>
                <w:b/>
                <w:bCs/>
                <w:i/>
                <w:iCs/>
              </w:rPr>
            </w:pPr>
            <w:r>
              <w:t>Använd en enda identifierare per rad som motsvarar en unik kombination av användare, FMI, systemtyp och intermediär. Samma ID, motsvarande samma kombination, måste användas i mallarna Z 09.01 – Z 09.05 i tillämpliga fall.</w:t>
            </w:r>
          </w:p>
        </w:tc>
      </w:tr>
      <w:tr w:rsidR="0057131B"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57131B" w:rsidRDefault="00355A1C">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57131B" w:rsidRDefault="00355A1C">
            <w:pPr>
              <w:pStyle w:val="P68B1DB1-TableParagraph73"/>
              <w:spacing w:before="108"/>
              <w:jc w:val="both"/>
            </w:pPr>
            <w:r>
              <w:t>Segment</w:t>
            </w:r>
          </w:p>
          <w:p w14:paraId="7FE1C8FC" w14:textId="77777777" w:rsidR="0057131B" w:rsidRDefault="00355A1C">
            <w:pPr>
              <w:pStyle w:val="P68B1DB1-TableParagraph40"/>
              <w:spacing w:before="108"/>
              <w:ind w:left="85"/>
              <w:jc w:val="both"/>
              <w:rPr>
                <w:b/>
                <w:bCs/>
                <w:i/>
                <w:iCs/>
                <w:strike/>
              </w:rPr>
            </w:pPr>
            <w:r>
              <w:t xml:space="preserve">Marknadssegment där användaren är verksam. En rad per segment. Endast rapport för centrala motparter. </w:t>
            </w:r>
          </w:p>
        </w:tc>
      </w:tr>
      <w:tr w:rsidR="0057131B"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57131B" w:rsidRDefault="00355A1C">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57131B" w:rsidRDefault="00355A1C">
            <w:pPr>
              <w:pStyle w:val="P68B1DB1-TableParagraph73"/>
              <w:spacing w:before="108"/>
              <w:jc w:val="both"/>
            </w:pPr>
            <w:r>
              <w:t>Bidrag till fallissemangsfonden</w:t>
            </w:r>
          </w:p>
          <w:p w14:paraId="7FE1C900" w14:textId="77777777" w:rsidR="0057131B" w:rsidRDefault="00355A1C">
            <w:pPr>
              <w:pStyle w:val="P68B1DB1-TableParagraph40"/>
              <w:spacing w:before="108"/>
              <w:jc w:val="both"/>
            </w:pPr>
            <w:r>
              <w:t xml:space="preserve">Bidrag till obeståndsfonden. Genomsnittligt belopp under året. </w:t>
            </w:r>
          </w:p>
          <w:p w14:paraId="7FE1C901" w14:textId="77777777" w:rsidR="0057131B" w:rsidRDefault="00355A1C">
            <w:pPr>
              <w:pStyle w:val="P68B1DB1-TableParagraph40"/>
              <w:spacing w:before="108"/>
              <w:ind w:left="85"/>
              <w:jc w:val="both"/>
              <w:rPr>
                <w:b/>
                <w:bCs/>
                <w:i/>
                <w:iCs/>
              </w:rPr>
            </w:pPr>
            <w:r>
              <w:t>Endast rapport för centrala motparter.</w:t>
            </w:r>
          </w:p>
        </w:tc>
      </w:tr>
      <w:tr w:rsidR="0057131B"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57131B" w:rsidRDefault="00355A1C">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57131B" w:rsidRDefault="00355A1C">
            <w:pPr>
              <w:pStyle w:val="P68B1DB1-TableParagraph73"/>
              <w:spacing w:before="108"/>
              <w:jc w:val="both"/>
              <w:rPr>
                <w:bCs/>
              </w:rPr>
            </w:pPr>
            <w:r>
              <w:t>Initial marginalsäkerhet på egna konton och kundkonton</w:t>
            </w:r>
          </w:p>
          <w:p w14:paraId="7FE1C905" w14:textId="1C30A5D8" w:rsidR="0057131B" w:rsidRDefault="00355A1C">
            <w:pPr>
              <w:pStyle w:val="P68B1DB1-TableParagraph40"/>
              <w:spacing w:before="108"/>
              <w:ind w:left="85"/>
              <w:jc w:val="both"/>
              <w:rPr>
                <w:b/>
              </w:rPr>
            </w:pPr>
            <w:r>
              <w:t>Initial marginalsäkerhet som ställts, uppdelat på huskonton och kundkonton. Genomsnittligt belopp under året. Endast rapport för centrala motparter. Kolumn 0050 omfattar både omnibus- och individuella kundkonton.</w:t>
            </w:r>
          </w:p>
        </w:tc>
      </w:tr>
      <w:tr w:rsidR="0057131B"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57131B" w:rsidRDefault="00355A1C">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57131B" w:rsidRDefault="00355A1C">
            <w:pPr>
              <w:pStyle w:val="P68B1DB1-TableParagraph73"/>
              <w:spacing w:before="108"/>
              <w:ind w:left="85"/>
              <w:jc w:val="both"/>
            </w:pPr>
            <w:r>
              <w:t>Värdet av positioner på egna konton och kundkonton</w:t>
            </w:r>
          </w:p>
          <w:p w14:paraId="7FE1C909" w14:textId="2662FB34" w:rsidR="0057131B" w:rsidRDefault="00355A1C">
            <w:pPr>
              <w:pStyle w:val="P68B1DB1-TableParagraph40"/>
              <w:spacing w:before="108"/>
              <w:ind w:left="85"/>
              <w:jc w:val="both"/>
            </w:pPr>
            <w:r>
              <w:t>Endast rapportera för centrala motparter och (I) värdepapperscentraler. Kolumn 0070 omfattar både omnibus- och individuella kundkonton.</w:t>
            </w:r>
          </w:p>
          <w:p w14:paraId="7FE1C90A" w14:textId="77777777" w:rsidR="0057131B" w:rsidRDefault="00355A1C">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Centrala motparter: Värdet av positioner hos centrala motparter i respektive kontotyp</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57131B" w:rsidRDefault="00355A1C">
            <w:pPr>
              <w:pStyle w:val="P68B1DB1-TableParagraph40"/>
              <w:numPr>
                <w:ilvl w:val="0"/>
                <w:numId w:val="249"/>
              </w:numPr>
              <w:spacing w:before="108"/>
              <w:jc w:val="both"/>
            </w:pPr>
            <w:r>
              <w:t xml:space="preserve">I) värdepapperscentraler: Värdet av värdepapper som innehas på respektive kontotyp. </w:t>
            </w:r>
          </w:p>
          <w:p w14:paraId="7FE1C90C" w14:textId="77777777" w:rsidR="0057131B" w:rsidRDefault="00355A1C">
            <w:pPr>
              <w:pStyle w:val="P68B1DB1-TableParagraph40"/>
              <w:spacing w:before="108"/>
              <w:ind w:left="85"/>
              <w:jc w:val="both"/>
              <w:rPr>
                <w:b/>
              </w:rPr>
            </w:pPr>
            <w:r>
              <w:t xml:space="preserve">Genomsnittligt värde vid avvecklingsdagens slut under föregående år. </w:t>
            </w:r>
          </w:p>
        </w:tc>
      </w:tr>
      <w:tr w:rsidR="0057131B"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57131B" w:rsidRDefault="00355A1C">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57131B" w:rsidRDefault="00355A1C">
            <w:pPr>
              <w:pStyle w:val="P68B1DB1-TableParagraph73"/>
              <w:spacing w:before="108"/>
              <w:ind w:left="85"/>
              <w:jc w:val="both"/>
            </w:pPr>
            <w:r>
              <w:t xml:space="preserve">Antal kunder </w:t>
            </w:r>
          </w:p>
          <w:p w14:paraId="7FE1C910" w14:textId="77777777" w:rsidR="0057131B" w:rsidRDefault="00355A1C">
            <w:pPr>
              <w:pStyle w:val="P68B1DB1-TableParagraph40"/>
              <w:spacing w:before="108"/>
              <w:ind w:left="85"/>
              <w:jc w:val="both"/>
            </w:pPr>
            <w:r>
              <w:t xml:space="preserve">Endast rapportera för centrala motparter och (I) värdepapperscentraler. </w:t>
            </w:r>
          </w:p>
          <w:p w14:paraId="7FE1C911" w14:textId="77777777" w:rsidR="0057131B" w:rsidRDefault="00355A1C">
            <w:pPr>
              <w:pStyle w:val="P68B1DB1-Heading482"/>
              <w:numPr>
                <w:ilvl w:val="3"/>
                <w:numId w:val="0"/>
              </w:numPr>
              <w:ind w:left="360"/>
              <w:rPr>
                <w:strike/>
                <w:color w:val="D13438"/>
              </w:rPr>
            </w:pPr>
            <w:r>
              <w:t>Totalt antal kunder som ingår i de olika typerna av kundkonton.</w:t>
            </w:r>
          </w:p>
        </w:tc>
      </w:tr>
      <w:tr w:rsidR="0057131B"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57131B" w:rsidRDefault="00355A1C">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57131B" w:rsidRDefault="00355A1C">
            <w:pPr>
              <w:pStyle w:val="P68B1DB1-TableParagraph73"/>
              <w:spacing w:before="108"/>
              <w:ind w:left="85"/>
              <w:jc w:val="both"/>
            </w:pPr>
            <w:r>
              <w:t>Antal transaktioner på egna konton och kundkonton</w:t>
            </w:r>
          </w:p>
          <w:p w14:paraId="7FE1C915" w14:textId="77777777" w:rsidR="0057131B" w:rsidRDefault="00355A1C">
            <w:pPr>
              <w:pStyle w:val="P68B1DB1-Heading482"/>
              <w:numPr>
                <w:ilvl w:val="3"/>
                <w:numId w:val="0"/>
              </w:numPr>
              <w:ind w:left="360"/>
              <w:rPr>
                <w:strike/>
                <w:color w:val="D13438"/>
                <w:u w:val="single"/>
              </w:rPr>
            </w:pPr>
            <w:r>
              <w:t xml:space="preserve">Totalt antal transaktioner som genomförts under året för respektive kontotyp. </w:t>
            </w:r>
          </w:p>
        </w:tc>
      </w:tr>
      <w:tr w:rsidR="0057131B"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57131B" w:rsidRDefault="00355A1C">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57131B" w:rsidRDefault="00355A1C">
            <w:pPr>
              <w:pStyle w:val="P68B1DB1-TableParagraph73"/>
              <w:spacing w:before="108"/>
              <w:ind w:left="85"/>
              <w:jc w:val="both"/>
            </w:pPr>
            <w:r>
              <w:t>Värdet av transaktioner på egna konton och kundkonton</w:t>
            </w:r>
          </w:p>
          <w:p w14:paraId="7FE1C919" w14:textId="7A080DD4" w:rsidR="0057131B" w:rsidRDefault="00355A1C">
            <w:pPr>
              <w:pStyle w:val="P68B1DB1-TableParagraph40"/>
              <w:spacing w:before="108"/>
              <w:ind w:left="85"/>
              <w:jc w:val="both"/>
            </w:pPr>
            <w:r>
              <w:t xml:space="preserve">Värdet av transaktionerna under rapporteringsåret från respektive kontotyp. Kolumn 0130 omfattar både omnibus- och separerade kundkonton. </w:t>
            </w:r>
          </w:p>
          <w:p w14:paraId="7FE1C91A" w14:textId="77777777" w:rsidR="0057131B" w:rsidRDefault="00355A1C">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Rapport för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57131B" w:rsidRDefault="00355A1C">
            <w:pPr>
              <w:pStyle w:val="P68B1DB1-TableParagraph40"/>
              <w:numPr>
                <w:ilvl w:val="0"/>
                <w:numId w:val="250"/>
              </w:numPr>
              <w:spacing w:before="108"/>
              <w:jc w:val="both"/>
            </w:pPr>
            <w:r>
              <w:t>PS: Värdet av sända transaktioner.</w:t>
            </w:r>
          </w:p>
          <w:p w14:paraId="7FE1C91C" w14:textId="77777777" w:rsidR="0057131B" w:rsidRDefault="00355A1C">
            <w:pPr>
              <w:pStyle w:val="P68B1DB1-TableParagraph40"/>
              <w:numPr>
                <w:ilvl w:val="0"/>
                <w:numId w:val="250"/>
              </w:numPr>
              <w:spacing w:before="108"/>
              <w:jc w:val="both"/>
            </w:pPr>
            <w:r>
              <w:t>Centrala motparter: Totalt värde av transaktioner som genomförts under året. För CCP-derivat:</w:t>
            </w:r>
          </w:p>
          <w:p w14:paraId="7FE1C91D" w14:textId="77777777" w:rsidR="0057131B" w:rsidRDefault="00355A1C">
            <w:pPr>
              <w:pStyle w:val="P68B1DB1-TableParagraph40"/>
              <w:numPr>
                <w:ilvl w:val="1"/>
                <w:numId w:val="250"/>
              </w:numPr>
              <w:spacing w:before="108"/>
              <w:jc w:val="both"/>
            </w:pPr>
            <w:r>
              <w:t>Optioner = lösenpris,</w:t>
            </w:r>
          </w:p>
          <w:p w14:paraId="7FE1C91E" w14:textId="77777777" w:rsidR="0057131B" w:rsidRDefault="00355A1C">
            <w:pPr>
              <w:pStyle w:val="P68B1DB1-TableParagraph40"/>
              <w:numPr>
                <w:ilvl w:val="1"/>
                <w:numId w:val="250"/>
              </w:numPr>
              <w:spacing w:before="108"/>
              <w:jc w:val="both"/>
            </w:pPr>
            <w:r>
              <w:t>Futures = värdet av det underliggande instrumentet vid tidpunkten för transaktionen eller, om det finns ett teoretiskt underliggande, marknadspris för terminskontrakt vid tidpunkten för transaktionen.</w:t>
            </w:r>
          </w:p>
          <w:p w14:paraId="7FE1C91F" w14:textId="77777777" w:rsidR="0057131B" w:rsidRDefault="00355A1C">
            <w:pPr>
              <w:pStyle w:val="P68B1DB1-TableParagraph40"/>
              <w:numPr>
                <w:ilvl w:val="1"/>
                <w:numId w:val="250"/>
              </w:numPr>
              <w:spacing w:before="108"/>
              <w:jc w:val="both"/>
            </w:pPr>
            <w:r>
              <w:t>Swappar = totalt marknadsvärde för utestående transaktioner vid årets slut.</w:t>
            </w:r>
          </w:p>
          <w:p w14:paraId="7FE1C920" w14:textId="22076F29" w:rsidR="0057131B" w:rsidRDefault="00355A1C">
            <w:pPr>
              <w:pStyle w:val="P68B1DB1-TableParagraph40"/>
              <w:numPr>
                <w:ilvl w:val="0"/>
                <w:numId w:val="250"/>
              </w:numPr>
              <w:spacing w:before="108"/>
              <w:jc w:val="both"/>
              <w:rPr>
                <w:strike/>
                <w:color w:val="D13438"/>
                <w:u w:val="single"/>
              </w:rPr>
            </w:pPr>
            <w:r>
              <w:t xml:space="preserve">I) CSD: Det totala värdet av leveransinstruktioner. </w:t>
            </w:r>
          </w:p>
        </w:tc>
      </w:tr>
      <w:tr w:rsidR="0057131B"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57131B" w:rsidRDefault="00355A1C">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57131B" w:rsidRDefault="00355A1C">
            <w:pPr>
              <w:pStyle w:val="P68B1DB1-TableParagraph73"/>
              <w:spacing w:before="108" w:after="120"/>
              <w:ind w:left="85"/>
              <w:jc w:val="both"/>
            </w:pPr>
            <w:r>
              <w:t>Ackumulerat teoretiskt belopp</w:t>
            </w:r>
          </w:p>
          <w:p w14:paraId="7FE1C924" w14:textId="77777777" w:rsidR="0057131B" w:rsidRDefault="00355A1C">
            <w:pPr>
              <w:pStyle w:val="P68B1DB1-TableParagraph40"/>
              <w:spacing w:before="108"/>
              <w:ind w:left="85"/>
              <w:jc w:val="both"/>
            </w:pPr>
            <w:r>
              <w:t xml:space="preserve">Summan av teoretiska belopp för transaktioner som genomförts under året, för både huskonton och kundkonton. Rapportera i miljarder euro </w:t>
            </w:r>
          </w:p>
          <w:p w14:paraId="7FE1C925" w14:textId="77777777" w:rsidR="0057131B" w:rsidRDefault="00355A1C">
            <w:pPr>
              <w:pStyle w:val="P68B1DB1-Heading482"/>
              <w:numPr>
                <w:ilvl w:val="3"/>
                <w:numId w:val="0"/>
              </w:numPr>
              <w:ind w:left="360"/>
              <w:rPr>
                <w:strike/>
                <w:color w:val="D13438"/>
                <w:u w:val="single"/>
              </w:rPr>
            </w:pPr>
            <w:r>
              <w:t>Endast för CCP-derivat.</w:t>
            </w:r>
          </w:p>
        </w:tc>
      </w:tr>
      <w:tr w:rsidR="0057131B"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57131B" w:rsidRDefault="00355A1C">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57131B" w:rsidRDefault="00355A1C">
            <w:pPr>
              <w:pStyle w:val="P68B1DB1-TableParagraph73"/>
              <w:spacing w:before="108"/>
              <w:ind w:left="85"/>
              <w:jc w:val="both"/>
            </w:pPr>
            <w:r>
              <w:t>Kreditlina</w:t>
            </w:r>
          </w:p>
          <w:p w14:paraId="7FE1C929" w14:textId="77777777" w:rsidR="0057131B" w:rsidRDefault="00355A1C">
            <w:pPr>
              <w:pStyle w:val="P68B1DB1-Heading482"/>
              <w:numPr>
                <w:ilvl w:val="3"/>
                <w:numId w:val="0"/>
              </w:numPr>
              <w:ind w:left="360"/>
              <w:rPr>
                <w:strike/>
                <w:color w:val="D13438"/>
                <w:u w:val="single"/>
              </w:rPr>
            </w:pPr>
            <w:r>
              <w:t xml:space="preserve">Beviljad eller ej beviljad kreditlina som beviljats av systemet vid direkt tillgång, eller av förmedlaren eller annan tillhandahållare av likviditet vid indirekt tillgång. För ej redovisade belopp, maximal användning under året. </w:t>
            </w:r>
          </w:p>
        </w:tc>
      </w:tr>
      <w:tr w:rsidR="0057131B"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57131B" w:rsidRDefault="00355A1C">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57131B" w:rsidRDefault="00355A1C">
            <w:pPr>
              <w:pStyle w:val="P68B1DB1-TableParagraph73"/>
              <w:spacing w:before="108"/>
              <w:ind w:left="85"/>
              <w:jc w:val="both"/>
            </w:pPr>
            <w:r>
              <w:t>Högsta likviditets- eller krav på säkerheter</w:t>
            </w:r>
          </w:p>
          <w:p w14:paraId="7FE1C92D" w14:textId="77777777" w:rsidR="0057131B" w:rsidRDefault="00355A1C">
            <w:pPr>
              <w:pStyle w:val="P68B1DB1-TableParagraph40"/>
              <w:spacing w:before="108"/>
              <w:ind w:left="85"/>
              <w:jc w:val="both"/>
            </w:pPr>
            <w:r>
              <w:t>Endast rapport för PS, I) CSD, CCP, beroende på vad som är tillämpligt. Toppvärde under föregående år.</w:t>
            </w:r>
          </w:p>
          <w:p w14:paraId="7FE1C92E" w14:textId="77777777" w:rsidR="0057131B" w:rsidRDefault="00355A1C">
            <w:pPr>
              <w:pStyle w:val="P68B1DB1-TableParagraph40"/>
              <w:numPr>
                <w:ilvl w:val="0"/>
                <w:numId w:val="251"/>
              </w:numPr>
              <w:spacing w:before="108"/>
              <w:jc w:val="both"/>
            </w:pPr>
            <w:r>
              <w:t xml:space="preserve">För i) värdepapperscentraler och PS: maximal användning av kreditlinan.  </w:t>
            </w:r>
          </w:p>
          <w:p w14:paraId="7FE1C92F" w14:textId="77777777" w:rsidR="0057131B" w:rsidRDefault="00355A1C">
            <w:pPr>
              <w:pStyle w:val="P68B1DB1-TableParagraph40"/>
              <w:numPr>
                <w:ilvl w:val="0"/>
                <w:numId w:val="251"/>
              </w:numPr>
              <w:spacing w:before="108"/>
              <w:jc w:val="both"/>
            </w:pPr>
            <w:r>
              <w:t>För centrala motparter: marginalsäkerhetens toppvärde.</w:t>
            </w:r>
          </w:p>
          <w:p w14:paraId="7FE1C930" w14:textId="77777777" w:rsidR="0057131B" w:rsidRDefault="00355A1C">
            <w:pPr>
              <w:pStyle w:val="P68B1DB1-TableParagraph40"/>
              <w:numPr>
                <w:ilvl w:val="0"/>
                <w:numId w:val="251"/>
              </w:numPr>
              <w:spacing w:before="108"/>
              <w:jc w:val="both"/>
              <w:rPr>
                <w:strike/>
                <w:color w:val="D13438"/>
                <w:u w:val="single"/>
              </w:rPr>
            </w:pPr>
            <w:r>
              <w:t>För indirekta tillträde: maximal finansiering som krävs av intermediären.</w:t>
            </w:r>
          </w:p>
        </w:tc>
      </w:tr>
      <w:tr w:rsidR="0057131B"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57131B" w:rsidRDefault="00355A1C">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57131B" w:rsidRDefault="00355A1C">
            <w:pPr>
              <w:pStyle w:val="P68B1DB1-TableParagraph73"/>
              <w:spacing w:before="108"/>
              <w:ind w:left="85"/>
              <w:jc w:val="both"/>
            </w:pPr>
            <w:r>
              <w:t>Uppskattade ytterligare likviditets- eller säkerhetskrav i en stressituation</w:t>
            </w:r>
          </w:p>
          <w:p w14:paraId="7FE1C934" w14:textId="16041565" w:rsidR="0057131B" w:rsidRDefault="00355A1C">
            <w:pPr>
              <w:pStyle w:val="P68B1DB1-Heading482"/>
              <w:numPr>
                <w:ilvl w:val="3"/>
                <w:numId w:val="0"/>
              </w:numPr>
              <w:ind w:left="360"/>
              <w:rPr>
                <w:strike/>
                <w:color w:val="D13438"/>
                <w:u w:val="single"/>
              </w:rPr>
            </w:pPr>
            <w:r>
              <w:t xml:space="preserve">Uppskattning av eventuell ytterligare likviditet eller säkerhet utöver toppkravet i kolumn 0160 som användaren kan ställas inför i en situation med allvarlig stress. </w:t>
            </w:r>
          </w:p>
        </w:tc>
      </w:tr>
    </w:tbl>
    <w:p w14:paraId="7FE1C936" w14:textId="77777777" w:rsidR="0057131B" w:rsidRDefault="0057131B">
      <w:pPr>
        <w:pStyle w:val="Instructionsberschrift2"/>
        <w:ind w:left="357"/>
        <w:rPr>
          <w:rFonts w:ascii="Times New Roman" w:eastAsia="Calibri" w:hAnsi="Times New Roman" w:cs="Times New Roman"/>
          <w:szCs w:val="20"/>
        </w:rPr>
      </w:pPr>
    </w:p>
    <w:p w14:paraId="7FE1C937" w14:textId="77777777" w:rsidR="0057131B" w:rsidRDefault="00355A1C">
      <w:pPr>
        <w:pStyle w:val="P68B1DB1-Instructionsberschrift271"/>
        <w:numPr>
          <w:ilvl w:val="1"/>
          <w:numId w:val="49"/>
        </w:numPr>
        <w:ind w:left="357" w:hanging="357"/>
      </w:pPr>
      <w:bookmarkStart w:id="140" w:name="_Toc210901312"/>
      <w:r>
        <w:t>Z 09.04 – FMI-tjänster – centrala motparter – alternativa leverantörer (FMI 4)</w:t>
      </w:r>
      <w:bookmarkEnd w:id="140"/>
    </w:p>
    <w:tbl>
      <w:tblPr>
        <w:tblW w:w="0" w:type="auto"/>
        <w:tblInd w:w="135" w:type="dxa"/>
        <w:tblLook w:val="04A0" w:firstRow="1" w:lastRow="0" w:firstColumn="1" w:lastColumn="0" w:noHBand="0" w:noVBand="1"/>
      </w:tblPr>
      <w:tblGrid>
        <w:gridCol w:w="1178"/>
        <w:gridCol w:w="7713"/>
      </w:tblGrid>
      <w:tr w:rsidR="0057131B"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57131B" w:rsidRDefault="00355A1C">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Kolumner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57131B" w:rsidRDefault="00355A1C">
            <w:pPr>
              <w:pStyle w:val="P68B1DB1-TableParagraph17"/>
              <w:spacing w:before="108"/>
              <w:ind w:left="85"/>
            </w:pPr>
            <w:r>
              <w:t xml:space="preserve">Anvisningar </w:t>
            </w:r>
          </w:p>
        </w:tc>
      </w:tr>
      <w:tr w:rsidR="0057131B"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57131B" w:rsidRDefault="00355A1C">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57131B" w:rsidRDefault="00355A1C">
            <w:pPr>
              <w:pStyle w:val="P68B1DB1-TableParagraph73"/>
              <w:spacing w:before="108"/>
              <w:ind w:left="85"/>
              <w:jc w:val="both"/>
            </w:pPr>
            <w:r>
              <w:t>ID som representerar en kombination av användare, FMI, systemtyp och intermediär</w:t>
            </w:r>
          </w:p>
          <w:p w14:paraId="7FE1CBEF" w14:textId="2166D4DC" w:rsidR="0057131B" w:rsidRDefault="00355A1C">
            <w:pPr>
              <w:pStyle w:val="P68B1DB1-TableParagraph40"/>
              <w:spacing w:before="108"/>
              <w:ind w:left="85"/>
              <w:jc w:val="both"/>
            </w:pPr>
            <w:r>
              <w:t xml:space="preserve">Den centrala motpartens identifieringskod enligt Z 09.01, kolumn 0010. </w:t>
            </w:r>
          </w:p>
          <w:p w14:paraId="7FE1CBF2" w14:textId="2A5BCF53" w:rsidR="0057131B" w:rsidRDefault="00355A1C">
            <w:pPr>
              <w:pStyle w:val="P68B1DB1-TableParagraph40"/>
              <w:spacing w:before="108"/>
              <w:ind w:left="85"/>
              <w:jc w:val="both"/>
              <w:rPr>
                <w:b/>
                <w:bCs/>
                <w:i/>
                <w:iCs/>
              </w:rPr>
            </w:pPr>
            <w:r>
              <w:t>Endast rapportera för centrala motparter som har fått direkt eller indirekt åtkomst. Rapportera alla tillträde till centrala motparter.</w:t>
            </w:r>
          </w:p>
        </w:tc>
      </w:tr>
      <w:tr w:rsidR="0057131B"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57131B" w:rsidRDefault="00355A1C">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57131B" w:rsidRDefault="00355A1C">
            <w:pPr>
              <w:pStyle w:val="P68B1DB1-TableParagraph73"/>
              <w:spacing w:before="108"/>
              <w:ind w:left="85"/>
              <w:jc w:val="both"/>
              <w:rPr>
                <w:bCs/>
              </w:rPr>
            </w:pPr>
            <w:r>
              <w:t>Produkttyp</w:t>
            </w:r>
          </w:p>
          <w:p w14:paraId="7FE1CBF8" w14:textId="236012E4" w:rsidR="0057131B" w:rsidRDefault="00355A1C">
            <w:pPr>
              <w:pStyle w:val="P68B1DB1-TableParagraph40"/>
              <w:spacing w:before="108"/>
              <w:ind w:left="85"/>
              <w:jc w:val="both"/>
              <w:rPr>
                <w:b/>
                <w:bCs/>
                <w:i/>
                <w:iCs/>
              </w:rPr>
            </w:pPr>
            <w:r>
              <w:t xml:space="preserve">Produkttyp som omfattas av clearingavtalet. Rapportera på lämplig detaljnivå som behövs för analysen av utbytbarheten. </w:t>
            </w:r>
          </w:p>
        </w:tc>
      </w:tr>
      <w:tr w:rsidR="0057131B"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57131B" w:rsidRDefault="00355A1C">
            <w:pPr>
              <w:pStyle w:val="P68B1DB1-Normal31"/>
            </w:pPr>
            <w:r>
              <w:lastRenderedPageBreak/>
              <w:t>0030</w:t>
            </w:r>
          </w:p>
        </w:tc>
        <w:tc>
          <w:tcPr>
            <w:tcW w:w="7713" w:type="dxa"/>
            <w:tcBorders>
              <w:top w:val="single" w:sz="8" w:space="0" w:color="auto"/>
              <w:left w:val="single" w:sz="8" w:space="0" w:color="auto"/>
              <w:bottom w:val="single" w:sz="8" w:space="0" w:color="auto"/>
            </w:tcBorders>
            <w:vAlign w:val="bottom"/>
          </w:tcPr>
          <w:p w14:paraId="7FE1CBFB" w14:textId="77777777" w:rsidR="0057131B" w:rsidRDefault="00355A1C">
            <w:pPr>
              <w:pStyle w:val="P68B1DB1-TableParagraph73"/>
              <w:spacing w:before="108"/>
              <w:ind w:left="85"/>
              <w:jc w:val="both"/>
            </w:pPr>
            <w:r>
              <w:t>Utbytbarhet J/N</w:t>
            </w:r>
          </w:p>
          <w:p w14:paraId="7FE1CBFC" w14:textId="24D3331D" w:rsidR="0057131B" w:rsidRDefault="00355A1C">
            <w:pPr>
              <w:pStyle w:val="P68B1DB1-TableParagraph40"/>
              <w:spacing w:before="108"/>
              <w:ind w:left="85"/>
              <w:jc w:val="both"/>
            </w:pPr>
            <w:r>
              <w:t>Användarens förmåga att ersätta leverantören av clearingtjänster i Z 09.01 kolumn 0020 med en alternativ FMI/intermediär med vilken leverantören har ett avtalsförhållande på rapporteringsdagen. .</w:t>
            </w:r>
          </w:p>
          <w:p w14:paraId="7FE1CBFE" w14:textId="1F022B26" w:rsidR="0057131B" w:rsidRDefault="00355A1C">
            <w:pPr>
              <w:pStyle w:val="P68B1DB1-TableParagraph40"/>
              <w:numPr>
                <w:ilvl w:val="0"/>
                <w:numId w:val="256"/>
              </w:numPr>
              <w:spacing w:before="108"/>
              <w:jc w:val="both"/>
            </w:pPr>
            <w:r>
              <w:t>”Ja” om substitution är möjlig</w:t>
            </w:r>
          </w:p>
          <w:p w14:paraId="7FE1CBFF" w14:textId="719E31EA" w:rsidR="0057131B" w:rsidRDefault="00355A1C">
            <w:pPr>
              <w:pStyle w:val="P68B1DB1-TableParagraph40"/>
              <w:numPr>
                <w:ilvl w:val="0"/>
                <w:numId w:val="256"/>
              </w:numPr>
              <w:spacing w:before="108"/>
              <w:jc w:val="both"/>
            </w:pPr>
            <w:r>
              <w:t>”Nej” om ersättning inte är möjlig</w:t>
            </w:r>
          </w:p>
          <w:p w14:paraId="7FE1CC02" w14:textId="77777777" w:rsidR="0057131B" w:rsidRDefault="0057131B">
            <w:pPr>
              <w:pStyle w:val="TableParagraph"/>
              <w:spacing w:before="108"/>
              <w:jc w:val="both"/>
              <w:rPr>
                <w:rFonts w:ascii="Times New Roman" w:eastAsia="Times New Roman" w:hAnsi="Times New Roman" w:cs="Times New Roman"/>
                <w:b/>
                <w:sz w:val="20"/>
                <w:szCs w:val="20"/>
              </w:rPr>
            </w:pPr>
          </w:p>
        </w:tc>
      </w:tr>
      <w:tr w:rsidR="0057131B"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57131B" w:rsidRDefault="00355A1C">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57131B" w:rsidRDefault="00355A1C">
            <w:pPr>
              <w:pStyle w:val="P68B1DB1-TableParagraph73"/>
              <w:spacing w:before="108" w:after="120"/>
              <w:jc w:val="both"/>
              <w:rPr>
                <w:bCs/>
              </w:rPr>
            </w:pPr>
            <w:r>
              <w:t>Alternativ leverantör</w:t>
            </w:r>
          </w:p>
          <w:p w14:paraId="7FE1CC06" w14:textId="77777777" w:rsidR="0057131B" w:rsidRDefault="00355A1C">
            <w:pPr>
              <w:pStyle w:val="P68B1DB1-Normal31"/>
              <w:spacing w:line="276" w:lineRule="auto"/>
              <w:jc w:val="both"/>
            </w:pPr>
            <w:r>
              <w:t xml:space="preserve">Namn på FMI/intermediär som identifierats som potentiell ersättning. </w:t>
            </w:r>
          </w:p>
          <w:p w14:paraId="7FE1CC07" w14:textId="2011DAFC" w:rsidR="0057131B" w:rsidRDefault="00355A1C">
            <w:pPr>
              <w:pStyle w:val="P68B1DB1-TableParagraph40"/>
              <w:spacing w:before="108"/>
              <w:ind w:left="85"/>
              <w:jc w:val="both"/>
              <w:rPr>
                <w:b/>
                <w:bCs/>
              </w:rPr>
            </w:pPr>
            <w:r>
              <w:t>Rapportera endast om Z 09.04 kolumn 0030 är ja.</w:t>
            </w:r>
          </w:p>
        </w:tc>
      </w:tr>
      <w:tr w:rsidR="0057131B"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57131B" w:rsidRDefault="00355A1C">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57131B" w:rsidRDefault="00355A1C">
            <w:pPr>
              <w:pStyle w:val="P68B1DB1-TableParagraph73"/>
              <w:spacing w:before="108"/>
              <w:jc w:val="both"/>
              <w:rPr>
                <w:bCs/>
              </w:rPr>
            </w:pPr>
            <w:r>
              <w:t>Alternativ ID-leverantör</w:t>
            </w:r>
          </w:p>
          <w:p w14:paraId="7FE1CC0B" w14:textId="680AAC78" w:rsidR="0057131B" w:rsidRDefault="00355A1C">
            <w:pPr>
              <w:pStyle w:val="P68B1DB1-Normal31"/>
              <w:spacing w:after="120" w:line="276" w:lineRule="auto"/>
              <w:jc w:val="both"/>
              <w:rPr>
                <w:b/>
                <w:bCs/>
              </w:rPr>
            </w:pPr>
            <w:r>
              <w:t>Unik id-handling som representerar en kombination av användare, FMI, systemtyp och mellanhand för den alternativa leverantör med vilken användaren har ett etablerat avtalsförhållande enligt vad som rapporteras i Z 09.01 kolumn 0010.</w:t>
            </w:r>
            <w:r>
              <w:rPr>
                <w:b/>
              </w:rPr>
              <w:t xml:space="preserve"> </w:t>
            </w:r>
          </w:p>
          <w:p w14:paraId="7FE1CC0C" w14:textId="7C8756E6" w:rsidR="0057131B" w:rsidRDefault="00355A1C">
            <w:pPr>
              <w:pStyle w:val="P68B1DB1-TableParagraph40"/>
              <w:spacing w:before="108"/>
              <w:ind w:left="85"/>
              <w:jc w:val="both"/>
              <w:rPr>
                <w:b/>
                <w:bCs/>
              </w:rPr>
            </w:pPr>
            <w:r>
              <w:t>Rapportera endast om Z 09.04 kolumn 0030 är ja.</w:t>
            </w:r>
          </w:p>
        </w:tc>
      </w:tr>
    </w:tbl>
    <w:p w14:paraId="7FE1CECA" w14:textId="77777777" w:rsidR="0057131B" w:rsidRDefault="0057131B">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57131B" w:rsidRDefault="0057131B">
      <w:pPr>
        <w:pStyle w:val="Instructionsberschrift2"/>
        <w:ind w:left="357"/>
        <w:rPr>
          <w:rFonts w:ascii="Times New Roman" w:eastAsia="Calibri" w:hAnsi="Times New Roman" w:cs="Times New Roman"/>
          <w:szCs w:val="20"/>
        </w:rPr>
      </w:pPr>
    </w:p>
    <w:p w14:paraId="7FE1CF07" w14:textId="77777777" w:rsidR="0057131B" w:rsidRDefault="00355A1C">
      <w:pPr>
        <w:pStyle w:val="P68B1DB1-Instructionsberschrift284"/>
        <w:numPr>
          <w:ilvl w:val="1"/>
          <w:numId w:val="49"/>
        </w:numPr>
        <w:spacing w:before="0"/>
        <w:ind w:left="357" w:hanging="357"/>
      </w:pPr>
      <w:bookmarkStart w:id="241" w:name="_Toc210901313"/>
      <w:r>
        <w:t>Ansvarsanalys</w:t>
      </w:r>
      <w:bookmarkEnd w:id="241"/>
    </w:p>
    <w:p w14:paraId="7FE1CF08" w14:textId="53CCE3BD" w:rsidR="0057131B" w:rsidRDefault="00355A1C">
      <w:pPr>
        <w:pStyle w:val="Instructionsberschrift2"/>
        <w:numPr>
          <w:ilvl w:val="1"/>
          <w:numId w:val="49"/>
        </w:numPr>
        <w:spacing w:before="0"/>
        <w:ind w:left="357" w:hanging="357"/>
        <w:rPr>
          <w:rFonts w:ascii="Times New Roman" w:hAnsi="Times New Roman" w:cs="Times New Roman"/>
        </w:rPr>
      </w:pPr>
      <w:bookmarkStart w:id="242" w:name="_Toc210901314"/>
      <w:r>
        <w:rPr>
          <w:rFonts w:ascii="Times New Roman" w:hAnsi="Times New Roman" w:cs="Times New Roman"/>
          <w:color w:val="000000" w:themeColor="text1"/>
        </w:rPr>
        <w:t>Z 11.00 Skulder inom gruppen</w:t>
      </w:r>
      <w:r>
        <w:rPr>
          <w:rFonts w:ascii="Times New Roman" w:eastAsia="Calibri" w:hAnsi="Times New Roman" w:cs="Times New Roman"/>
          <w:szCs w:val="20"/>
        </w:rPr>
        <w:t xml:space="preserve"> (LIAB-G-1)</w:t>
      </w:r>
      <w:bookmarkEnd w:id="242"/>
    </w:p>
    <w:p w14:paraId="7FE1CF0A" w14:textId="69A86E79" w:rsidR="0057131B" w:rsidRDefault="00355A1C">
      <w:pPr>
        <w:pStyle w:val="P68B1DB1-Numberedtitlelevel385"/>
      </w:pPr>
      <w:bookmarkStart w:id="243" w:name="_Toc81454213"/>
      <w:r>
        <w:t>Allmänna kommentarer</w:t>
      </w:r>
    </w:p>
    <w:p w14:paraId="7FE1CF0B" w14:textId="77777777" w:rsidR="0057131B" w:rsidRDefault="00355A1C">
      <w:pPr>
        <w:pStyle w:val="P68B1DB1-InstructionsText26"/>
        <w:numPr>
          <w:ilvl w:val="2"/>
          <w:numId w:val="209"/>
        </w:numPr>
        <w:spacing w:before="0"/>
        <w:ind w:left="1276"/>
        <w:rPr>
          <w:rFonts w:eastAsiaTheme="majorEastAsia"/>
        </w:rPr>
      </w:pPr>
      <w:r>
        <w:t>Denna tabell kräver information om koncerninterna skulder som täcker all kapitalbas och alla skulder.</w:t>
      </w:r>
    </w:p>
    <w:p w14:paraId="7FE1CF0C" w14:textId="4049DE4D" w:rsidR="0057131B" w:rsidRDefault="00355A1C">
      <w:pPr>
        <w:pStyle w:val="P68B1DB1-InstructionsText26"/>
        <w:numPr>
          <w:ilvl w:val="2"/>
          <w:numId w:val="209"/>
        </w:numPr>
        <w:spacing w:before="0"/>
        <w:ind w:left="1276"/>
        <w:rPr>
          <w:rFonts w:eastAsiaTheme="majorEastAsia"/>
        </w:rPr>
      </w:pPr>
      <w:r>
        <w:t>Enheter som ska betraktas som koncerninterna är de som – i linje med definitionen i kolumn 0100 i Z02.00 – tillhör den redovisningsmässiga omfattningen av konsolideringen av den yttersta moderenheten. Till följd av detta ska dessa skulder inte rapporteras under de detaljerade flikarna Z 12.00 – Z 17.00, med undantag för Z 15.00 Derivat (se nedan).</w:t>
      </w:r>
    </w:p>
    <w:p w14:paraId="7FE1CF0D" w14:textId="170B6ABA" w:rsidR="0057131B" w:rsidRDefault="00355A1C">
      <w:pPr>
        <w:pStyle w:val="P68B1DB1-InstructionsText26"/>
        <w:numPr>
          <w:ilvl w:val="2"/>
          <w:numId w:val="209"/>
        </w:numPr>
        <w:spacing w:before="0"/>
        <w:ind w:left="1276"/>
        <w:rPr>
          <w:rFonts w:eastAsiaTheme="majorEastAsia"/>
        </w:rPr>
      </w:pPr>
      <w:r>
        <w:t>Derivat är specifika till sin natur och ska inte rapporteras under Z 11.00 utan alltid i Z 15.00.</w:t>
      </w:r>
    </w:p>
    <w:p w14:paraId="7FE1CF0E" w14:textId="18AE2C5B" w:rsidR="0057131B" w:rsidRDefault="00355A1C">
      <w:pPr>
        <w:pStyle w:val="P68B1DB1-InstructionsText26"/>
        <w:numPr>
          <w:ilvl w:val="2"/>
          <w:numId w:val="209"/>
        </w:numPr>
        <w:spacing w:before="0"/>
        <w:ind w:left="1276"/>
        <w:rPr>
          <w:rFonts w:eastAsiaTheme="majorEastAsia"/>
        </w:rPr>
      </w:pPr>
      <w:r>
        <w:t>Alla skulder som emitterats till enheter som omfattas av konsolideringen (inklusive specialföretag som omfattas av konsolideringen) både inom och utanför resolutionsgruppen ska rapporteras i mall Z 11.00. I denna tabell ska skulder rapporteras på transaktionsbasis, dvs. varje transaktion som rapporteras som en enskild post. Transaktioner måste dock rapporteras i flera rader om de hänför sig till olika rangordningar vid insolvens.</w:t>
      </w:r>
    </w:p>
    <w:p w14:paraId="7FE1CF0F" w14:textId="77777777" w:rsidR="0057131B" w:rsidRDefault="00355A1C">
      <w:pPr>
        <w:pStyle w:val="P68B1DB1-Numberedtitlelevel372"/>
      </w:pPr>
      <w:r>
        <w:t>Instruktioner för specifika positioner</w:t>
      </w:r>
    </w:p>
    <w:tbl>
      <w:tblPr>
        <w:tblW w:w="0" w:type="auto"/>
        <w:tblLook w:val="01E0" w:firstRow="1" w:lastRow="1" w:firstColumn="1" w:lastColumn="1" w:noHBand="0" w:noVBand="0"/>
      </w:tblPr>
      <w:tblGrid>
        <w:gridCol w:w="1244"/>
        <w:gridCol w:w="7717"/>
        <w:gridCol w:w="65"/>
      </w:tblGrid>
      <w:tr w:rsidR="0057131B"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57131B" w:rsidRDefault="00355A1C">
            <w:pPr>
              <w:pStyle w:val="P68B1DB1-TableParagraph17"/>
              <w:spacing w:before="108"/>
              <w:ind w:left="85"/>
            </w:pPr>
            <w:r>
              <w:t xml:space="preserve">Kolumner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57131B" w:rsidRDefault="00355A1C">
            <w:pPr>
              <w:pStyle w:val="P68B1DB1-TableParagraph17"/>
              <w:spacing w:before="108"/>
              <w:ind w:left="85" w:right="1"/>
            </w:pPr>
            <w:r>
              <w:t>Anvisningar</w:t>
            </w:r>
          </w:p>
        </w:tc>
      </w:tr>
      <w:tr w:rsidR="0057131B"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57131B" w:rsidRDefault="00355A1C">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57131B" w:rsidRDefault="00355A1C">
            <w:pPr>
              <w:pStyle w:val="P68B1DB1-TableParagraph40"/>
              <w:spacing w:before="108"/>
              <w:ind w:left="85"/>
              <w:jc w:val="both"/>
              <w:rPr>
                <w:b/>
                <w:bCs/>
              </w:rPr>
            </w:pPr>
            <w:r>
              <w:t xml:space="preserve"> </w:t>
            </w:r>
            <w:r>
              <w:rPr>
                <w:b/>
              </w:rPr>
              <w:t>NR</w:t>
            </w:r>
          </w:p>
          <w:p w14:paraId="7FE1CF17" w14:textId="77777777" w:rsidR="0057131B" w:rsidRDefault="00355A1C">
            <w:pPr>
              <w:pStyle w:val="P68B1DB1-TableParagraph40"/>
              <w:spacing w:before="108"/>
              <w:ind w:left="85"/>
              <w:jc w:val="both"/>
            </w:pPr>
            <w:r>
              <w:t xml:space="preserve">Unikt nummer/primärnyckel för att identifiera radposterna. </w:t>
            </w:r>
          </w:p>
        </w:tc>
      </w:tr>
      <w:tr w:rsidR="0057131B"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57131B" w:rsidRDefault="00355A1C">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57131B" w:rsidRDefault="00355A1C">
            <w:pPr>
              <w:pStyle w:val="P68B1DB1-TableParagraph40"/>
              <w:spacing w:before="108"/>
              <w:ind w:left="85"/>
              <w:jc w:val="both"/>
              <w:rPr>
                <w:b/>
                <w:bCs/>
              </w:rPr>
            </w:pPr>
            <w:r>
              <w:t xml:space="preserve"> </w:t>
            </w:r>
            <w:r>
              <w:rPr>
                <w:b/>
              </w:rPr>
              <w:t>Rad</w:t>
            </w:r>
          </w:p>
          <w:p w14:paraId="7FE1CF1B" w14:textId="474C4148" w:rsidR="0057131B" w:rsidRDefault="00355A1C">
            <w:pPr>
              <w:pStyle w:val="P68B1DB1-TableParagraph40"/>
              <w:spacing w:before="108"/>
              <w:ind w:left="85"/>
              <w:jc w:val="both"/>
            </w:pPr>
            <w:r>
              <w:t>För varje instrument måste en avstämning med skuldstrukturens skuldkategorier i Z02.00 göras från en fördefinierad värdelista.</w:t>
            </w:r>
          </w:p>
        </w:tc>
      </w:tr>
      <w:tr w:rsidR="0057131B"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57131B" w:rsidRDefault="00355A1C">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57131B" w:rsidRDefault="00355A1C">
            <w:pPr>
              <w:pStyle w:val="P68B1DB1-TableParagraph73"/>
              <w:spacing w:before="108"/>
              <w:ind w:left="85"/>
              <w:jc w:val="both"/>
              <w:rPr>
                <w:bCs/>
              </w:rPr>
            </w:pPr>
            <w:r>
              <w:t xml:space="preserve">Kolumn </w:t>
            </w:r>
          </w:p>
          <w:p w14:paraId="7FE1CF1F" w14:textId="77777777" w:rsidR="0057131B" w:rsidRDefault="00355A1C">
            <w:pPr>
              <w:pStyle w:val="P68B1DB1-TableParagraph40"/>
              <w:spacing w:before="108"/>
              <w:ind w:left="85"/>
              <w:jc w:val="both"/>
            </w:pPr>
            <w:r>
              <w:lastRenderedPageBreak/>
              <w:t>För varje instrument måste en avstämning med den motpartsklass i Z02.00 till vilken skulden ska betalas tillhandahållas från fördefinierad värdelista.</w:t>
            </w:r>
          </w:p>
        </w:tc>
      </w:tr>
      <w:tr w:rsidR="0057131B"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57131B" w:rsidRDefault="00355A1C">
            <w:pPr>
              <w:pStyle w:val="P68B1DB1-Normal31"/>
            </w:pPr>
            <w:r>
              <w:lastRenderedPageBreak/>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57131B" w:rsidRDefault="00355A1C">
            <w:pPr>
              <w:pStyle w:val="P68B1DB1-TableParagraph73"/>
              <w:spacing w:before="108"/>
              <w:ind w:left="85"/>
              <w:jc w:val="both"/>
              <w:rPr>
                <w:bCs/>
              </w:rPr>
            </w:pPr>
            <w:r>
              <w:t>Rangordning vid insolvens</w:t>
            </w:r>
          </w:p>
          <w:p w14:paraId="7FE1CF23" w14:textId="396478FE"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57131B" w:rsidRDefault="00355A1C">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57131B" w:rsidRDefault="00355A1C">
            <w:pPr>
              <w:pStyle w:val="P68B1DB1-TableParagraph73"/>
              <w:spacing w:before="108"/>
              <w:ind w:left="85"/>
              <w:jc w:val="both"/>
              <w:rPr>
                <w:bCs/>
              </w:rPr>
            </w:pPr>
            <w:r>
              <w:t>ID-kod för avtal</w:t>
            </w:r>
          </w:p>
          <w:p w14:paraId="7FE1CF27" w14:textId="5E827C31" w:rsidR="0057131B" w:rsidRDefault="00355A1C">
            <w:pPr>
              <w:pStyle w:val="P68B1DB1-TableParagraph40"/>
              <w:spacing w:before="108"/>
              <w:ind w:left="85"/>
              <w:jc w:val="both"/>
            </w:pPr>
            <w:r>
              <w:t>ISIN-koden eller, om ISIN-koden inte är tillgänglig, en annan avtalsidentifierare för instrumentet ska rapporteras.</w:t>
            </w:r>
          </w:p>
        </w:tc>
      </w:tr>
      <w:tr w:rsidR="0057131B"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57131B" w:rsidRDefault="00355A1C">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57131B" w:rsidRDefault="00355A1C">
            <w:pPr>
              <w:pStyle w:val="P68B1DB1-TableParagraph73"/>
              <w:spacing w:before="108"/>
              <w:ind w:left="85"/>
              <w:jc w:val="both"/>
              <w:rPr>
                <w:bCs/>
              </w:rPr>
            </w:pPr>
            <w:r>
              <w:t>Motpartens namn</w:t>
            </w:r>
          </w:p>
          <w:p w14:paraId="7FE1CF2B" w14:textId="28E31BB6" w:rsidR="0057131B" w:rsidRDefault="00355A1C">
            <w:pPr>
              <w:pStyle w:val="P68B1DB1-TableParagraph40"/>
              <w:spacing w:before="108"/>
              <w:ind w:left="85"/>
              <w:jc w:val="both"/>
            </w:pPr>
            <w:r>
              <w:t>Företagets namn på skuldens motpart.</w:t>
            </w:r>
          </w:p>
        </w:tc>
      </w:tr>
      <w:tr w:rsidR="0057131B"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57131B" w:rsidRDefault="00355A1C">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57131B" w:rsidRDefault="00355A1C">
            <w:pPr>
              <w:pStyle w:val="P68B1DB1-TableParagraph73"/>
              <w:spacing w:before="108"/>
              <w:ind w:left="85"/>
              <w:jc w:val="both"/>
              <w:rPr>
                <w:bCs/>
              </w:rPr>
            </w:pPr>
            <w:r>
              <w:t>Motpartens identifieringskod</w:t>
            </w:r>
          </w:p>
          <w:p w14:paraId="7FE1CF2F" w14:textId="5864B2BC" w:rsidR="0057131B" w:rsidRDefault="00355A1C">
            <w:pPr>
              <w:pStyle w:val="P68B1DB1-TableParagraph40"/>
              <w:spacing w:before="108"/>
              <w:ind w:left="85"/>
              <w:jc w:val="both"/>
            </w:pPr>
            <w:r>
              <w:t>Motpartens unika LEI-kod. I avsaknad av LEI-kod, kreditinstitutets unika identifieringskod för monetära finansinstitut (MFI) för användning i RIAD. Om båda dessa identifierare saknas kan den interna identifieringskoden användas.</w:t>
            </w:r>
          </w:p>
          <w:p w14:paraId="7FE1CF30" w14:textId="585107E3" w:rsidR="0057131B" w:rsidRDefault="0057131B">
            <w:pPr>
              <w:pStyle w:val="TableParagraph"/>
              <w:spacing w:before="108"/>
              <w:ind w:left="85"/>
              <w:jc w:val="both"/>
              <w:rPr>
                <w:rFonts w:ascii="Times New Roman" w:eastAsia="Times New Roman" w:hAnsi="Times New Roman" w:cs="Times New Roman"/>
                <w:sz w:val="20"/>
                <w:szCs w:val="20"/>
              </w:rPr>
            </w:pPr>
          </w:p>
        </w:tc>
      </w:tr>
      <w:tr w:rsidR="0057131B"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57131B" w:rsidRDefault="00355A1C">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57131B" w:rsidRDefault="00355A1C">
            <w:pPr>
              <w:pStyle w:val="P68B1DB1-TableParagraph73"/>
              <w:spacing w:before="108"/>
              <w:ind w:left="85"/>
              <w:jc w:val="both"/>
              <w:rPr>
                <w:bCs/>
              </w:rPr>
            </w:pPr>
            <w:r>
              <w:t>Typ av identifierare</w:t>
            </w:r>
          </w:p>
          <w:p w14:paraId="7FE1CF34"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57131B" w:rsidRDefault="00355A1C">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57131B" w:rsidRDefault="00355A1C">
            <w:pPr>
              <w:pStyle w:val="P68B1DB1-TableParagraph73"/>
              <w:spacing w:before="108"/>
              <w:ind w:left="85"/>
              <w:jc w:val="both"/>
              <w:rPr>
                <w:bCs/>
              </w:rPr>
            </w:pPr>
            <w:r>
              <w:t>Förhållande till motparten</w:t>
            </w:r>
          </w:p>
          <w:p w14:paraId="7FE1CF38" w14:textId="1D86F34C" w:rsidR="0057131B" w:rsidRDefault="00355A1C">
            <w:pPr>
              <w:pStyle w:val="P68B1DB1-TableParagraph40"/>
              <w:spacing w:before="108"/>
              <w:ind w:left="85"/>
              <w:jc w:val="both"/>
            </w:pPr>
            <w:r>
              <w:t>Detta fält anger det utlånande företagets förhållande till det rapporterande företaget. En förteckning över värden planeras för detta fält: motparten kan antingen vara ett direkt eller indirekt moderföretag, ett direkt eller indirekt dotterföretag eller ett Sister.</w:t>
            </w:r>
          </w:p>
        </w:tc>
      </w:tr>
      <w:tr w:rsidR="0057131B"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57131B" w:rsidRDefault="00355A1C">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57131B" w:rsidRDefault="00355A1C">
            <w:pPr>
              <w:pStyle w:val="P68B1DB1-TableParagraph73"/>
              <w:spacing w:before="108"/>
              <w:ind w:left="85"/>
              <w:jc w:val="both"/>
              <w:rPr>
                <w:bCs/>
              </w:rPr>
            </w:pPr>
            <w:r>
              <w:t>Typ av ansvar</w:t>
            </w:r>
          </w:p>
          <w:p w14:paraId="7FE1CF3C" w14:textId="07B04D08" w:rsidR="0057131B" w:rsidRDefault="00355A1C">
            <w:pPr>
              <w:pStyle w:val="P68B1DB1-TableParagraph40"/>
              <w:spacing w:before="108"/>
              <w:ind w:left="85"/>
              <w:jc w:val="both"/>
            </w:pPr>
            <w:r>
              <w:t>För skulder som rapporteras under Z02.00-c0020-Row som ”r0210 – Skulder gentemot andra enheter i resolutionsgruppen”, ange typen av skuld såsom den skulle ha rapporterats i Z02.00, om skulden inte hade ansetts vara undantagen.</w:t>
            </w:r>
          </w:p>
        </w:tc>
      </w:tr>
      <w:tr w:rsidR="0057131B"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57131B" w:rsidRDefault="00355A1C">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57131B" w:rsidRDefault="00355A1C">
            <w:pPr>
              <w:pStyle w:val="P68B1DB1-TableParagraph73"/>
              <w:spacing w:before="108"/>
              <w:ind w:left="85"/>
              <w:jc w:val="both"/>
              <w:rPr>
                <w:bCs/>
              </w:rPr>
            </w:pPr>
            <w:r>
              <w:t>Tillämplig lag</w:t>
            </w:r>
          </w:p>
          <w:p w14:paraId="7FE1CF40" w14:textId="2C49BDFC" w:rsidR="0057131B" w:rsidRDefault="00355A1C">
            <w:pPr>
              <w:pStyle w:val="P68B1DB1-TableParagraph40"/>
              <w:spacing w:before="108"/>
              <w:ind w:left="85"/>
              <w:jc w:val="both"/>
            </w:pPr>
            <w:r>
              <w:t xml:space="preserve">ISO 3166–1 alpha-2-koden för det land vars lag reglerar instrumentet (använd ISO 3166–2-koden när lagen i en administrativ underavdelning är relevant, t.ex. ”US-NY”). Om avtalet regleras av lagen i mer än ett land ska det land vars lag har störst betydelse för erkännandet av nedskrivnings- och konverteringsbefogenheter rapporteras.  </w:t>
            </w:r>
          </w:p>
        </w:tc>
      </w:tr>
      <w:tr w:rsidR="0057131B"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57131B" w:rsidRDefault="00355A1C">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57131B" w:rsidRDefault="00355A1C">
            <w:pPr>
              <w:pStyle w:val="P68B1DB1-TableParagraph73"/>
              <w:spacing w:before="108"/>
              <w:ind w:left="85"/>
              <w:jc w:val="both"/>
              <w:rPr>
                <w:bCs/>
              </w:rPr>
            </w:pPr>
            <w:r>
              <w:t xml:space="preserve">Om tredjelandslagstiftning, avtalsrättsligt erkännande </w:t>
            </w:r>
          </w:p>
          <w:p w14:paraId="7FE1CF45" w14:textId="77777777" w:rsidR="0057131B" w:rsidRDefault="00355A1C">
            <w:pPr>
              <w:pStyle w:val="P68B1DB1-TableParagraph40"/>
              <w:spacing w:before="108"/>
              <w:ind w:left="85"/>
              <w:jc w:val="both"/>
            </w:pPr>
            <w:r>
              <w:t xml:space="preserve">Fastställande av avtalsbestämmelser för erkännande av skuldnedskrivningsbefogenheter i enlighet med artikel 55 i BRRD, antingen </w:t>
            </w:r>
          </w:p>
          <w:p w14:paraId="7FE1CF46" w14:textId="77777777" w:rsidR="0057131B" w:rsidRDefault="00355A1C">
            <w:pPr>
              <w:pStyle w:val="P68B1DB1-TableParagraph40"/>
              <w:spacing w:before="108"/>
              <w:ind w:left="85"/>
              <w:jc w:val="both"/>
            </w:pPr>
            <w:r>
              <w:t>”Ja, med stöd av ett rättsligt yttrande” = skulden omfattar en klausul om erkännande av skuldnedskrivning i enlighet med artikel 55 i BRRD som stöds av ett rättsligt yttrande.</w:t>
            </w:r>
          </w:p>
          <w:p w14:paraId="7FE1CF47" w14:textId="77777777" w:rsidR="0057131B" w:rsidRDefault="00355A1C">
            <w:pPr>
              <w:pStyle w:val="P68B1DB1-TableParagraph40"/>
              <w:spacing w:before="108"/>
              <w:ind w:left="85"/>
              <w:jc w:val="both"/>
            </w:pPr>
            <w:r>
              <w:t>”Ja, inget rättsligt yttrande” = skulden omfattar en klausul om erkännande av skuldnedskrivning i linje med artikel 55 i BRRD som för närvarande inte stöds av ett rättsligt yttrande.</w:t>
            </w:r>
          </w:p>
          <w:p w14:paraId="7FE1CF48" w14:textId="7427A49E" w:rsidR="0057131B" w:rsidRDefault="00355A1C">
            <w:pPr>
              <w:pStyle w:val="P68B1DB1-TableParagraph40"/>
              <w:spacing w:before="108"/>
              <w:ind w:left="85"/>
              <w:jc w:val="both"/>
            </w:pPr>
            <w:r>
              <w:t>”Nej” = skulden innehåller inte en klausul om erkännande av skuldnedskrivning.</w:t>
            </w:r>
          </w:p>
          <w:p w14:paraId="7FE1CF49" w14:textId="2FE33A69" w:rsidR="0057131B" w:rsidRDefault="00355A1C">
            <w:pPr>
              <w:pStyle w:val="P68B1DB1-TableParagraph40"/>
              <w:spacing w:before="108"/>
              <w:ind w:left="85"/>
              <w:jc w:val="both"/>
            </w:pPr>
            <w:r>
              <w:t>”Ej tillämpligt”.  från en fördefinierad förteckning.</w:t>
            </w:r>
          </w:p>
        </w:tc>
      </w:tr>
      <w:tr w:rsidR="0057131B" w14:paraId="7FE1CF4E" w14:textId="77777777">
        <w:tc>
          <w:tcPr>
            <w:tcW w:w="1244" w:type="dxa"/>
            <w:vAlign w:val="center"/>
          </w:tcPr>
          <w:p w14:paraId="7FE1CF4B" w14:textId="77777777" w:rsidR="0057131B" w:rsidRDefault="00355A1C">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57131B" w:rsidRDefault="00355A1C">
            <w:pPr>
              <w:pStyle w:val="P68B1DB1-TableParagraph73"/>
              <w:spacing w:before="108"/>
              <w:ind w:left="85"/>
              <w:jc w:val="both"/>
              <w:rPr>
                <w:bCs/>
              </w:rPr>
            </w:pPr>
            <w:r>
              <w:t xml:space="preserve">Utestående kapitalbelopp </w:t>
            </w:r>
          </w:p>
          <w:p w14:paraId="7FE1CF4D" w14:textId="1F7D6035" w:rsidR="0057131B" w:rsidRDefault="00355A1C">
            <w:pPr>
              <w:pStyle w:val="P68B1DB1-TableParagraph40"/>
              <w:spacing w:before="108"/>
              <w:ind w:left="85"/>
              <w:jc w:val="both"/>
            </w:pPr>
            <w:r>
              <w:t>Skuldens utestående kapitalbelopp.</w:t>
            </w:r>
          </w:p>
        </w:tc>
      </w:tr>
      <w:tr w:rsidR="0057131B"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57131B" w:rsidRDefault="00355A1C">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57131B" w:rsidRDefault="00355A1C">
            <w:pPr>
              <w:pStyle w:val="P68B1DB1-TableParagraph73"/>
              <w:spacing w:before="108"/>
              <w:ind w:left="85"/>
              <w:jc w:val="both"/>
              <w:rPr>
                <w:bCs/>
              </w:rPr>
            </w:pPr>
            <w:r>
              <w:t>Upplupen ränta</w:t>
            </w:r>
          </w:p>
          <w:p w14:paraId="7FE1CF51" w14:textId="6BF1C45C" w:rsidR="0057131B" w:rsidRDefault="00355A1C">
            <w:pPr>
              <w:pStyle w:val="P68B1DB1-TableParagraph40"/>
              <w:spacing w:before="108"/>
              <w:ind w:left="85"/>
              <w:jc w:val="both"/>
            </w:pPr>
            <w:r>
              <w:lastRenderedPageBreak/>
              <w:t>Utestående upplupen ränta på skulden.</w:t>
            </w:r>
          </w:p>
        </w:tc>
      </w:tr>
      <w:tr w:rsidR="0057131B"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57131B" w:rsidRDefault="00355A1C">
            <w:pPr>
              <w:pStyle w:val="P68B1DB1-Normal31"/>
            </w:pPr>
            <w:r>
              <w:lastRenderedPageBreak/>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57131B" w:rsidRDefault="00355A1C">
            <w:pPr>
              <w:pStyle w:val="P68B1DB1-TableParagraph73"/>
              <w:spacing w:before="108"/>
              <w:ind w:left="85"/>
              <w:jc w:val="both"/>
              <w:rPr>
                <w:bCs/>
              </w:rPr>
            </w:pPr>
            <w:r>
              <w:t>Valuta</w:t>
            </w:r>
          </w:p>
          <w:p w14:paraId="7FE1CF55" w14:textId="7419E4E6" w:rsidR="0057131B" w:rsidRDefault="00355A1C">
            <w:pPr>
              <w:pStyle w:val="P68B1DB1-TableParagraph40"/>
              <w:spacing w:before="108"/>
              <w:ind w:left="85"/>
              <w:jc w:val="both"/>
            </w:pPr>
            <w:r>
              <w:t>Skuldens valuta i enlighet med dess ISO 3-bokstavskod.</w:t>
            </w:r>
          </w:p>
        </w:tc>
      </w:tr>
      <w:tr w:rsidR="0057131B"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57131B" w:rsidRDefault="00355A1C">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57131B" w:rsidRDefault="00355A1C">
            <w:pPr>
              <w:pStyle w:val="P68B1DB1-TableParagraph73"/>
              <w:spacing w:before="108"/>
              <w:ind w:left="85"/>
              <w:jc w:val="both"/>
              <w:rPr>
                <w:bCs/>
              </w:rPr>
            </w:pPr>
            <w:r>
              <w:t>Utfärdandedatum</w:t>
            </w:r>
          </w:p>
          <w:p w14:paraId="7FE1CF59" w14:textId="77777777" w:rsidR="0057131B" w:rsidRDefault="00355A1C">
            <w:pPr>
              <w:pStyle w:val="P68B1DB1-TableParagraph40"/>
              <w:spacing w:before="108"/>
              <w:ind w:left="85"/>
              <w:jc w:val="both"/>
            </w:pPr>
            <w:r>
              <w:t>Datum för det ursprungliga utfärdandet av skulden. För transaktioner för värdepappersfinansiering som omfattas av ett nettningsavtal och rapporteras som en nettningsmängd kan rapporteringsdatumet användas som emissionsdatum.</w:t>
            </w:r>
          </w:p>
        </w:tc>
      </w:tr>
      <w:tr w:rsidR="0057131B"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57131B" w:rsidRDefault="00355A1C">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57131B" w:rsidRDefault="00355A1C">
            <w:pPr>
              <w:pStyle w:val="P68B1DB1-TableParagraph73"/>
              <w:spacing w:before="108"/>
              <w:ind w:left="85"/>
              <w:jc w:val="both"/>
              <w:rPr>
                <w:bCs/>
              </w:rPr>
            </w:pPr>
            <w:r>
              <w:t>Tidigaste inlösendatum</w:t>
            </w:r>
          </w:p>
          <w:p w14:paraId="7FE1CF5D" w14:textId="206F36C8" w:rsidR="0057131B" w:rsidRDefault="00355A1C">
            <w:pPr>
              <w:pStyle w:val="P68B1DB1-TableParagraph40"/>
              <w:spacing w:before="108"/>
              <w:ind w:left="85"/>
              <w:jc w:val="both"/>
            </w:pPr>
            <w:r>
              <w:t>Om det finns en möjlighet för kreditgivaren att begära förtida återbetalning, eller villkor för förtida återbetalning av skulden föreskrivs i avtalet, ange det tidigaste datumet för uppkomst. Om den förtida återbetalningen endast avser en del av skulden (t.ex. förtida återbetalning på 50 % av det nominella beloppet), dela upp skulden för att ta hänsyn till denna partiella klausul om förtida inlösen. För transaktioner för värdepappersfinansiering som omfattas av ett nettningsavtal och rapporteras som en nettningsmängd, använd dagen efter rapporteringsdatumet.</w:t>
            </w:r>
          </w:p>
        </w:tc>
      </w:tr>
      <w:tr w:rsidR="0057131B"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57131B" w:rsidRDefault="00355A1C">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57131B" w:rsidRDefault="00355A1C">
            <w:pPr>
              <w:pStyle w:val="P68B1DB1-TableParagraph73"/>
              <w:spacing w:before="108"/>
              <w:ind w:left="85"/>
              <w:jc w:val="both"/>
              <w:rPr>
                <w:bCs/>
              </w:rPr>
            </w:pPr>
            <w:r>
              <w:t>Laglig inlösendag</w:t>
            </w:r>
          </w:p>
          <w:p w14:paraId="7FE1CF61" w14:textId="6595476F" w:rsidR="0057131B" w:rsidRDefault="00355A1C">
            <w:pPr>
              <w:pStyle w:val="P68B1DB1-TableParagraph40"/>
              <w:spacing w:before="108"/>
              <w:ind w:left="85"/>
              <w:jc w:val="both"/>
            </w:pPr>
            <w:r>
              <w:t>Datum för skuldens rättsliga och slutliga förfallodag. För permanenta instrument, använd ”2099–01–31”.</w:t>
            </w:r>
          </w:p>
          <w:p w14:paraId="7FE1CF62" w14:textId="77777777" w:rsidR="0057131B" w:rsidRDefault="00355A1C">
            <w:pPr>
              <w:pStyle w:val="P68B1DB1-TableParagraph40"/>
              <w:spacing w:before="108"/>
              <w:ind w:left="85"/>
              <w:jc w:val="both"/>
            </w:pPr>
            <w:r>
              <w:t>För transaktioner för värdepappersfinansiering som omfattas av ett nettningsavtal och rapporteras som en nettningsmängd, använd dagen efter rapporteringsdatumet.</w:t>
            </w:r>
          </w:p>
        </w:tc>
      </w:tr>
      <w:tr w:rsidR="0057131B"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57131B" w:rsidRDefault="00355A1C">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57131B" w:rsidRDefault="00355A1C">
            <w:pPr>
              <w:pStyle w:val="P68B1DB1-TableParagraph73"/>
              <w:spacing w:before="108"/>
              <w:ind w:left="85"/>
              <w:jc w:val="both"/>
              <w:rPr>
                <w:bCs/>
              </w:rPr>
            </w:pPr>
            <w:r>
              <w:t>Belopp för pantsättning, panträtt eller säkerhet</w:t>
            </w:r>
          </w:p>
          <w:p w14:paraId="7FE1CF66" w14:textId="77777777" w:rsidR="0057131B" w:rsidRDefault="00355A1C">
            <w:pPr>
              <w:pStyle w:val="P68B1DB1-TableParagraph40"/>
              <w:spacing w:before="108"/>
              <w:ind w:left="85"/>
              <w:jc w:val="both"/>
            </w:pPr>
            <w:r>
              <w:t>Om en skuld är säkrad genom pantsättning, panträtt eller säkerhet ska bruttovärdet av den senare anges. I annat fall ska denna kategori rapporteras som noll för skulder utan säkerhet. Detta belopp kommer att fastställa den säkrade och slutligen den osäkrade delen av en eventuell skuld med säkerhet. För säkerhetspooler som säkrar flera radposter, fastställa den totala täckningsgraden och tillämpa proportionell tillämpning på alla radposter som omfattas av denna pool.</w:t>
            </w:r>
          </w:p>
        </w:tc>
      </w:tr>
      <w:tr w:rsidR="0057131B"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57131B" w:rsidRDefault="00355A1C">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57131B" w:rsidRDefault="00355A1C">
            <w:pPr>
              <w:pStyle w:val="P68B1DB1-TableParagraph73"/>
              <w:spacing w:before="108"/>
              <w:ind w:left="85"/>
              <w:jc w:val="both"/>
              <w:rPr>
                <w:bCs/>
              </w:rPr>
            </w:pPr>
            <w:r>
              <w:t>Borgensman i förekommande fall</w:t>
            </w:r>
          </w:p>
          <w:p w14:paraId="7FE1CF6A" w14:textId="77777777" w:rsidR="0057131B" w:rsidRDefault="00355A1C">
            <w:pPr>
              <w:pStyle w:val="P68B1DB1-TableParagraph40"/>
              <w:spacing w:before="108"/>
              <w:ind w:left="85"/>
              <w:jc w:val="both"/>
            </w:pPr>
            <w:r>
              <w:t>Om det finns garantier för instrumentet, ange en detaljerad identifiering av borgensmannen (LEI-kod, ISO 3166–1 alfa-2-landskod för staten osv.). Om det finns flera garanter ska alla identifierare rapporteras, åtskilda med semikolon.</w:t>
            </w:r>
          </w:p>
        </w:tc>
      </w:tr>
      <w:tr w:rsidR="0057131B"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57131B" w:rsidRDefault="00355A1C">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57131B" w:rsidRDefault="00355A1C">
            <w:pPr>
              <w:pStyle w:val="P68B1DB1-TableParagraph73"/>
              <w:spacing w:before="108"/>
              <w:ind w:left="85"/>
              <w:jc w:val="both"/>
              <w:rPr>
                <w:bCs/>
              </w:rPr>
            </w:pPr>
            <w:r>
              <w:t>Belopp som uppfyller villkoren för minimikravet för kapitalbas och kvalificerade skulder</w:t>
            </w:r>
          </w:p>
          <w:p w14:paraId="7FE1CF6F" w14:textId="4E658BD3" w:rsidR="0057131B" w:rsidRDefault="00355A1C">
            <w:pPr>
              <w:pStyle w:val="P68B1DB1-TableParagraph40"/>
              <w:spacing w:before="108"/>
              <w:ind w:left="85"/>
              <w:jc w:val="both"/>
            </w:pPr>
            <w:r>
              <w:t xml:space="preserve">Beloppet för kapitalbas och kvalificerade skulder som räknas med i det krav som fastställs i enlighet med artikel 45.1 i direktiv 2014/59/EU. </w:t>
            </w:r>
          </w:p>
        </w:tc>
      </w:tr>
      <w:tr w:rsidR="0057131B"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57131B" w:rsidRDefault="00355A1C">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57131B" w:rsidRDefault="00355A1C">
            <w:pPr>
              <w:pStyle w:val="P68B1DB1-TableParagraph73"/>
              <w:spacing w:before="108"/>
              <w:ind w:left="85"/>
              <w:jc w:val="both"/>
              <w:rPr>
                <w:bCs/>
              </w:rPr>
            </w:pPr>
            <w:r>
              <w:t>Kvalificerade som kapitalbas</w:t>
            </w:r>
          </w:p>
          <w:p w14:paraId="7FE1CF73" w14:textId="52056531" w:rsidR="0057131B" w:rsidRDefault="00355A1C">
            <w:pPr>
              <w:pStyle w:val="P68B1DB1-TableParagraph40"/>
              <w:spacing w:before="108"/>
              <w:ind w:left="85"/>
              <w:jc w:val="both"/>
            </w:pPr>
            <w:r>
              <w:t>Ange om och på vilken nivå instrumentet ingår i kapitalbasen, tillsammans med information om utfasningssystemet och bestämmelserna om tillämpning av äldre regler. Värdet kan vara ”Nej”, ”Partiellt AT1, T1 och T2”, ”T2 under utfasning”, ”Grandfalized T2”, ”Fullständig väntande T2”, ”Grandfalized AT1”, ”Fullständig anmälare AT1” eller ”CET1” från en fördefinierad förteckning.</w:t>
            </w:r>
          </w:p>
          <w:p w14:paraId="7FE1CF74" w14:textId="77777777" w:rsidR="0057131B" w:rsidRDefault="00355A1C">
            <w:pPr>
              <w:pStyle w:val="P68B1DB1-TableParagraph40"/>
              <w:spacing w:before="108"/>
              <w:ind w:left="85"/>
              <w:jc w:val="both"/>
            </w:pPr>
            <w:r>
              <w:t>I förteckningen över optioner avser termen ”utfasning” perioden på 5 år före förfallodagen för ett visst T2-instrument, under vilken det endast finns ett proportionellt erkännande baserat på den återstående tiden fram till förfallodagen. Med ”omfattas av äldre regler” avses alla övergångsåtgärder som är tillämpliga på ett T2-instrument, exklusive ”utfasning”. Under denna ”grandfathering” kan erkännandet vara fullständigt eller partiellt.</w:t>
            </w:r>
          </w:p>
          <w:p w14:paraId="7FE1CF75" w14:textId="77777777" w:rsidR="0057131B" w:rsidRDefault="0057131B">
            <w:pPr>
              <w:pStyle w:val="TableParagraph"/>
              <w:spacing w:before="108"/>
              <w:ind w:left="85"/>
              <w:jc w:val="both"/>
              <w:rPr>
                <w:rFonts w:ascii="Times New Roman" w:eastAsia="Times New Roman" w:hAnsi="Times New Roman" w:cs="Times New Roman"/>
                <w:sz w:val="20"/>
                <w:szCs w:val="20"/>
              </w:rPr>
            </w:pPr>
          </w:p>
        </w:tc>
      </w:tr>
      <w:tr w:rsidR="0057131B"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57131B" w:rsidRDefault="00355A1C">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57131B" w:rsidRDefault="00355A1C">
            <w:pPr>
              <w:pStyle w:val="P68B1DB1-TableParagraph73"/>
              <w:spacing w:before="108"/>
              <w:ind w:left="85"/>
              <w:jc w:val="both"/>
              <w:rPr>
                <w:bCs/>
              </w:rPr>
            </w:pPr>
            <w:r>
              <w:t>Belopp som klassificeras som kapitalbas</w:t>
            </w:r>
          </w:p>
          <w:p w14:paraId="7FE1CF79" w14:textId="28EFFBCF" w:rsidR="0057131B" w:rsidRDefault="00355A1C">
            <w:pPr>
              <w:pStyle w:val="P68B1DB1-TableParagraph40"/>
              <w:spacing w:before="108"/>
              <w:ind w:left="85"/>
              <w:jc w:val="both"/>
            </w:pPr>
            <w:r>
              <w:t>Beloppet för det instrument som räknas som kapitalbas.</w:t>
            </w:r>
          </w:p>
        </w:tc>
      </w:tr>
    </w:tbl>
    <w:p w14:paraId="7FE1CF7B" w14:textId="77777777" w:rsidR="0057131B" w:rsidRDefault="0057131B">
      <w:pPr>
        <w:pStyle w:val="Instructionsberschrift2"/>
        <w:ind w:left="357"/>
        <w:rPr>
          <w:rFonts w:ascii="Times New Roman" w:eastAsia="Calibri" w:hAnsi="Times New Roman" w:cs="Times New Roman"/>
          <w:szCs w:val="20"/>
        </w:rPr>
      </w:pPr>
    </w:p>
    <w:p w14:paraId="7FE1CF7C" w14:textId="78CE26C4" w:rsidR="0057131B" w:rsidRDefault="00355A1C">
      <w:pPr>
        <w:pStyle w:val="Instructionsberschrift2"/>
        <w:numPr>
          <w:ilvl w:val="1"/>
          <w:numId w:val="49"/>
        </w:numPr>
        <w:spacing w:before="0"/>
        <w:ind w:left="357" w:hanging="357"/>
        <w:rPr>
          <w:rFonts w:ascii="Times New Roman" w:hAnsi="Times New Roman" w:cs="Times New Roman"/>
        </w:rPr>
      </w:pPr>
      <w:bookmarkStart w:id="244" w:name="_Toc210901315"/>
      <w:r>
        <w:rPr>
          <w:rFonts w:ascii="Times New Roman" w:hAnsi="Times New Roman" w:cs="Times New Roman"/>
          <w:color w:val="000000" w:themeColor="text1"/>
        </w:rPr>
        <w:t xml:space="preserve">Z 12.00 – </w:t>
      </w:r>
      <w:r>
        <w:rPr>
          <w:rFonts w:ascii="Times New Roman" w:eastAsia="Cambria" w:hAnsi="Times New Roman" w:cs="Times New Roman"/>
        </w:rPr>
        <w:t>Värdepapper (inklusive CET1, AT1) nivå 2-instrument; utom inom gruppen)</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57131B" w:rsidRDefault="00355A1C">
      <w:pPr>
        <w:pStyle w:val="P68B1DB1-Numberedtitlelevel372"/>
      </w:pPr>
      <w:r>
        <w:t>Allmänna kommentarer</w:t>
      </w:r>
    </w:p>
    <w:p w14:paraId="7FE1CF7F" w14:textId="1BA9BF01" w:rsidR="0057131B" w:rsidRDefault="00355A1C">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Ett värdepapper är ett fungibelt, överlåtbar</w:t>
      </w:r>
      <w:r w:rsidR="00E13912">
        <w:rPr>
          <w:rFonts w:ascii="Times New Roman" w:eastAsia="Cambria" w:hAnsi="Times New Roman" w:cs="Times New Roman"/>
          <w:sz w:val="20"/>
          <w:szCs w:val="20"/>
        </w:rPr>
        <w:t>t</w:t>
      </w:r>
      <w:r>
        <w:rPr>
          <w:rFonts w:ascii="Times New Roman" w:eastAsia="Cambria" w:hAnsi="Times New Roman" w:cs="Times New Roman"/>
          <w:sz w:val="20"/>
          <w:szCs w:val="20"/>
        </w:rPr>
        <w:t xml:space="preserve"> finansiellt instrument som representerar ett finansiellt värde, oberoende av dess faktiska särdrag (t.ex. dessa instrument är antingen säkrade eller saknar säkerhet). Denna tabell ska även omfatta kapitalbasinstrument</w:t>
      </w:r>
      <w:r>
        <w:rPr>
          <w:rStyle w:val="FootnoteReference"/>
          <w:rFonts w:eastAsia="Cambria" w:cs="Times New Roman"/>
        </w:rPr>
        <w:footnoteReference w:id="36"/>
      </w:r>
      <w:r>
        <w:rPr>
          <w:rFonts w:ascii="Times New Roman" w:eastAsia="Cambria" w:hAnsi="Times New Roman" w:cs="Times New Roman"/>
          <w:sz w:val="20"/>
          <w:szCs w:val="20"/>
        </w:rPr>
        <w:t>. När det gäller kärnprimärkapitalinstrument ska den återstående fordran på aktier på totalt redovisat eget kapital (enligt definitionen i Z 1 – R02.00) rapporteras på instrumentnivå.</w:t>
      </w:r>
    </w:p>
    <w:p w14:paraId="7FE1CF81" w14:textId="262B713C" w:rsidR="0057131B" w:rsidRDefault="00355A1C">
      <w:pPr>
        <w:pStyle w:val="P68B1DB1-InstructionsText286"/>
        <w:numPr>
          <w:ilvl w:val="2"/>
          <w:numId w:val="209"/>
        </w:numPr>
        <w:spacing w:before="0"/>
        <w:ind w:left="1134"/>
      </w:pPr>
      <w:r>
        <w:t>Om borgenärskoden (kolumn 0210) inte är tillgänglig (t.ex. för instrument som handlas på plattformar) ska varje rad rapporteras på aggregerad nivå med avseende på detta fält.</w:t>
      </w:r>
    </w:p>
    <w:p w14:paraId="7FE1CF83" w14:textId="77777777" w:rsidR="0057131B" w:rsidRDefault="00355A1C">
      <w:pPr>
        <w:pStyle w:val="P68B1DB1-InstructionsText286"/>
        <w:numPr>
          <w:ilvl w:val="2"/>
          <w:numId w:val="209"/>
        </w:numPr>
        <w:spacing w:before="0"/>
        <w:ind w:left="1134"/>
      </w:pPr>
      <w:r>
        <w:t>Vid tillämpning av denna tabell ska skulder rapporteras i rader på den detaljnivå som definieras av de begärda fälten.</w:t>
      </w:r>
    </w:p>
    <w:p w14:paraId="7FE1CF86" w14:textId="77777777" w:rsidR="0057131B" w:rsidRDefault="0057131B">
      <w:pPr>
        <w:spacing w:line="276" w:lineRule="auto"/>
        <w:rPr>
          <w:rFonts w:ascii="Times New Roman" w:hAnsi="Times New Roman" w:cs="Times New Roman"/>
          <w:sz w:val="20"/>
          <w:szCs w:val="20"/>
        </w:rPr>
      </w:pPr>
    </w:p>
    <w:p w14:paraId="7FE1CF87" w14:textId="77777777" w:rsidR="0057131B" w:rsidRDefault="00355A1C">
      <w:pPr>
        <w:pStyle w:val="P68B1DB1-Numberedtitlelevel372"/>
      </w:pPr>
      <w:r>
        <w:t>Instruktioner för specifika positioner</w:t>
      </w:r>
    </w:p>
    <w:p w14:paraId="7FE1CF88" w14:textId="77777777" w:rsidR="0057131B" w:rsidRDefault="0057131B">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57131B"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57131B" w:rsidRDefault="00355A1C">
            <w:pPr>
              <w:pStyle w:val="P68B1DB1-TableParagraph17"/>
              <w:spacing w:before="108"/>
              <w:ind w:left="85"/>
            </w:pPr>
            <w:r>
              <w:t>Kolumner</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57131B" w:rsidRDefault="00355A1C">
            <w:pPr>
              <w:pStyle w:val="P68B1DB1-TableParagraph17"/>
              <w:spacing w:before="108"/>
              <w:ind w:left="85" w:right="1"/>
            </w:pPr>
            <w:r>
              <w:t>Anvisningar</w:t>
            </w:r>
          </w:p>
        </w:tc>
      </w:tr>
      <w:tr w:rsidR="0057131B"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57131B" w:rsidRDefault="00355A1C">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57131B" w:rsidRDefault="00355A1C">
            <w:pPr>
              <w:pStyle w:val="P68B1DB1-TableParagraph40"/>
              <w:spacing w:before="108"/>
              <w:ind w:left="85"/>
              <w:jc w:val="both"/>
              <w:rPr>
                <w:b/>
                <w:bCs/>
              </w:rPr>
            </w:pPr>
            <w:r>
              <w:t xml:space="preserve"> </w:t>
            </w:r>
            <w:r>
              <w:rPr>
                <w:b/>
              </w:rPr>
              <w:t>NR</w:t>
            </w:r>
          </w:p>
          <w:p w14:paraId="7FE1CF8E" w14:textId="77777777" w:rsidR="0057131B" w:rsidRDefault="00355A1C">
            <w:pPr>
              <w:pStyle w:val="P68B1DB1-TableParagraph40"/>
              <w:spacing w:before="108"/>
              <w:ind w:left="85"/>
              <w:jc w:val="both"/>
            </w:pPr>
            <w:r>
              <w:t>Unikt nummer/primärnyckel för att identifiera radposterna.</w:t>
            </w:r>
          </w:p>
        </w:tc>
      </w:tr>
      <w:tr w:rsidR="0057131B"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57131B" w:rsidRDefault="00355A1C">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57131B" w:rsidRDefault="00355A1C">
            <w:pPr>
              <w:pStyle w:val="P68B1DB1-TableParagraph73"/>
              <w:spacing w:before="108"/>
              <w:ind w:left="85"/>
              <w:jc w:val="both"/>
              <w:rPr>
                <w:bCs/>
              </w:rPr>
            </w:pPr>
            <w:r>
              <w:t>Rad</w:t>
            </w:r>
          </w:p>
          <w:p w14:paraId="7FE1CF92" w14:textId="771261C9" w:rsidR="0057131B" w:rsidRDefault="00355A1C">
            <w:pPr>
              <w:pStyle w:val="P68B1DB1-TableParagraph40"/>
              <w:spacing w:before="108"/>
              <w:ind w:left="85"/>
              <w:jc w:val="both"/>
            </w:pPr>
            <w:r>
              <w:t>För varje rapporterad Row måste en avstämning med skuldstrukturens skuldkategorier i Z02.00 göras på löptidsnivå från en fördefinierad värdelista.</w:t>
            </w:r>
          </w:p>
        </w:tc>
      </w:tr>
      <w:tr w:rsidR="0057131B"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57131B" w:rsidRDefault="00355A1C">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57131B" w:rsidRDefault="00355A1C">
            <w:pPr>
              <w:pStyle w:val="P68B1DB1-TableParagraph73"/>
              <w:spacing w:before="108"/>
              <w:ind w:left="85"/>
              <w:jc w:val="both"/>
              <w:rPr>
                <w:bCs/>
              </w:rPr>
            </w:pPr>
            <w:r>
              <w:t xml:space="preserve">Kolumn </w:t>
            </w:r>
          </w:p>
          <w:p w14:paraId="7FE1CF96" w14:textId="68A01AA0" w:rsidR="0057131B" w:rsidRDefault="00355A1C">
            <w:pPr>
              <w:pStyle w:val="P68B1DB1-TableParagraph40"/>
              <w:spacing w:before="108"/>
              <w:ind w:left="85"/>
              <w:jc w:val="both"/>
            </w:pPr>
            <w:r>
              <w:t>För varje rapporterad rad ska en avstämning göras med den motpartsklass i tillägg 02.00 till vilken skulden är hänförlig till en fördefinierad värdelista.</w:t>
            </w:r>
          </w:p>
        </w:tc>
      </w:tr>
      <w:tr w:rsidR="0057131B"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57131B" w:rsidRDefault="00355A1C">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57131B" w:rsidRDefault="00355A1C">
            <w:pPr>
              <w:pStyle w:val="P68B1DB1-TableParagraph40"/>
              <w:spacing w:before="108"/>
              <w:ind w:left="85"/>
              <w:jc w:val="both"/>
              <w:rPr>
                <w:b/>
                <w:bCs/>
              </w:rPr>
            </w:pPr>
            <w:r>
              <w:t xml:space="preserve"> </w:t>
            </w:r>
            <w:r>
              <w:rPr>
                <w:b/>
              </w:rPr>
              <w:t>Rangordning vid insolvens</w:t>
            </w:r>
          </w:p>
          <w:p w14:paraId="7FE1CF9A" w14:textId="33768518" w:rsidR="0057131B" w:rsidRDefault="00355A1C">
            <w:pPr>
              <w:pStyle w:val="P68B1DB1-TableParagraph40"/>
              <w:spacing w:before="108"/>
              <w:ind w:left="85"/>
              <w:jc w:val="both"/>
            </w:pPr>
            <w:r>
              <w:t xml:space="preserve">Rangordningen vid insolvens ska vara en av de rangordningar vid insolvens som publiceras av resolutionsmyndigheten i denna jurisdiktion. </w:t>
            </w:r>
          </w:p>
        </w:tc>
      </w:tr>
      <w:tr w:rsidR="0057131B"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57131B" w:rsidRDefault="00355A1C">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57131B" w:rsidRDefault="00355A1C">
            <w:pPr>
              <w:pStyle w:val="P68B1DB1-TableParagraph73"/>
              <w:spacing w:before="108"/>
              <w:ind w:left="85"/>
              <w:jc w:val="both"/>
              <w:rPr>
                <w:bCs/>
              </w:rPr>
            </w:pPr>
            <w:r>
              <w:t>ISIN-KOD</w:t>
            </w:r>
          </w:p>
          <w:p w14:paraId="7FE1CF9E" w14:textId="02C8C7D3" w:rsidR="0057131B" w:rsidRDefault="00355A1C">
            <w:pPr>
              <w:pStyle w:val="P68B1DB1-TableParagraph40"/>
              <w:spacing w:before="108"/>
              <w:ind w:left="85"/>
              <w:jc w:val="both"/>
            </w:pPr>
            <w:r>
              <w:t>ISIN-koden eller, om ISIN-koden inte är tillgänglig, en annan avtalsidentifierare för instrumentet ska rapporteras.</w:t>
            </w:r>
          </w:p>
        </w:tc>
      </w:tr>
      <w:tr w:rsidR="0057131B"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57131B" w:rsidRDefault="00355A1C">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57131B" w:rsidRDefault="00355A1C">
            <w:pPr>
              <w:pStyle w:val="P68B1DB1-TableParagraph73"/>
              <w:spacing w:before="108"/>
              <w:ind w:left="85"/>
              <w:jc w:val="both"/>
              <w:rPr>
                <w:bCs/>
              </w:rPr>
            </w:pPr>
            <w:r>
              <w:t xml:space="preserve">Typ av instrument  </w:t>
            </w:r>
          </w:p>
          <w:p w14:paraId="7FE1CFA2" w14:textId="77777777" w:rsidR="0057131B" w:rsidRDefault="00355A1C">
            <w:pPr>
              <w:pStyle w:val="P68B1DB1-TableParagraph40"/>
              <w:spacing w:before="108"/>
              <w:ind w:left="85"/>
              <w:jc w:val="both"/>
            </w:pPr>
            <w:r>
              <w:t xml:space="preserve">Identifiering av typen av instrument, antingen </w:t>
            </w:r>
          </w:p>
          <w:p w14:paraId="7FE1CFA3" w14:textId="77777777" w:rsidR="0057131B" w:rsidRDefault="00355A1C">
            <w:pPr>
              <w:pStyle w:val="P68B1DB1-TableParagraph40"/>
              <w:spacing w:before="108"/>
              <w:ind w:left="85"/>
              <w:jc w:val="both"/>
            </w:pPr>
            <w:r>
              <w:t>— Registrerad obligation</w:t>
            </w:r>
          </w:p>
          <w:p w14:paraId="7FE1CFA4" w14:textId="77777777" w:rsidR="0057131B" w:rsidRDefault="00355A1C">
            <w:pPr>
              <w:pStyle w:val="P68B1DB1-TableParagraph40"/>
              <w:spacing w:before="108"/>
              <w:ind w:left="85"/>
              <w:jc w:val="both"/>
            </w:pPr>
            <w:r>
              <w:lastRenderedPageBreak/>
              <w:t>— Innehavarobligationer</w:t>
            </w:r>
          </w:p>
          <w:p w14:paraId="7FE1CFA5" w14:textId="77777777" w:rsidR="0057131B" w:rsidRDefault="00355A1C">
            <w:pPr>
              <w:pStyle w:val="P68B1DB1-TableParagraph40"/>
              <w:spacing w:before="108"/>
              <w:ind w:left="85"/>
              <w:jc w:val="both"/>
            </w:pPr>
            <w:r>
              <w:t>— Låntagarlån</w:t>
            </w:r>
          </w:p>
          <w:p w14:paraId="7FE1CFA7" w14:textId="3E3D590C" w:rsidR="0057131B" w:rsidRDefault="00355A1C">
            <w:pPr>
              <w:pStyle w:val="P68B1DB1-TableParagraph40"/>
              <w:spacing w:before="108"/>
              <w:ind w:left="85"/>
              <w:jc w:val="both"/>
            </w:pPr>
            <w:r>
              <w:t>— Depositionsintyg/handelscertifikat</w:t>
            </w:r>
          </w:p>
          <w:p w14:paraId="7FE1CFA8" w14:textId="77777777" w:rsidR="0057131B" w:rsidRDefault="00355A1C">
            <w:pPr>
              <w:pStyle w:val="P68B1DB1-TableParagraph40"/>
              <w:spacing w:before="108"/>
              <w:ind w:left="85"/>
              <w:jc w:val="both"/>
            </w:pPr>
            <w:r>
              <w:t>— Ägarskapens beteckning</w:t>
            </w:r>
          </w:p>
          <w:p w14:paraId="7FE1CFA9" w14:textId="77777777" w:rsidR="0057131B" w:rsidRDefault="00355A1C">
            <w:pPr>
              <w:pStyle w:val="P68B1DB1-TableParagraph40"/>
              <w:spacing w:before="108"/>
              <w:ind w:left="85"/>
              <w:jc w:val="both"/>
            </w:pPr>
            <w:r>
              <w:t>—Övriga</w:t>
            </w:r>
          </w:p>
          <w:p w14:paraId="7FE1CFAA" w14:textId="2BCDE67E" w:rsidR="0057131B" w:rsidRDefault="00355A1C">
            <w:pPr>
              <w:pStyle w:val="P68B1DB1-TableParagraph40"/>
              <w:spacing w:before="108"/>
              <w:ind w:left="85"/>
              <w:jc w:val="both"/>
            </w:pPr>
            <w:r>
              <w:t xml:space="preserve"> </w:t>
            </w:r>
          </w:p>
          <w:p w14:paraId="7FE1CFAB" w14:textId="77777777" w:rsidR="0057131B" w:rsidRDefault="00355A1C">
            <w:pPr>
              <w:pStyle w:val="P68B1DB1-TableParagraph40"/>
              <w:spacing w:before="108"/>
              <w:ind w:left="85"/>
              <w:jc w:val="both"/>
            </w:pPr>
            <w:r>
              <w:t>från en fördefinierad förteckning.</w:t>
            </w:r>
          </w:p>
        </w:tc>
      </w:tr>
      <w:tr w:rsidR="0057131B"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57131B" w:rsidRDefault="00355A1C">
            <w:pPr>
              <w:pStyle w:val="P68B1DB1-Normal31"/>
            </w:pPr>
            <w:r>
              <w:lastRenderedPageBreak/>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57131B" w:rsidRDefault="00355A1C">
            <w:pPr>
              <w:pStyle w:val="P68B1DB1-TableParagraph73"/>
              <w:spacing w:before="108"/>
              <w:ind w:left="85"/>
              <w:jc w:val="both"/>
              <w:rPr>
                <w:bCs/>
              </w:rPr>
            </w:pPr>
            <w:r>
              <w:t xml:space="preserve">Tillämplig lag  </w:t>
            </w:r>
          </w:p>
          <w:p w14:paraId="7FE1CFAF" w14:textId="2BE77EA5" w:rsidR="0057131B" w:rsidRDefault="00355A1C">
            <w:pPr>
              <w:pStyle w:val="P68B1DB1-TableParagraph40"/>
              <w:spacing w:before="108"/>
              <w:ind w:left="85"/>
              <w:jc w:val="both"/>
            </w:pPr>
            <w:r>
              <w:t xml:space="preserve">ISO 3166–1 alpha-2-koden för det land vars lag reglerar instrumentet (använd ISO 3166–2-koden när lagen i en administrativ underavdelning är relevant, t.ex. ”US-NY”). Om avtalet regleras av lagen i mer än ett land ska det land vars lag har störst betydelse för erkännandet av nedskrivnings- och konverteringsbefogenheter rapporteras.  </w:t>
            </w:r>
          </w:p>
        </w:tc>
      </w:tr>
      <w:tr w:rsidR="0057131B"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57131B" w:rsidRDefault="00355A1C">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57131B" w:rsidRDefault="00355A1C">
            <w:pPr>
              <w:pStyle w:val="P68B1DB1-TableParagraph73"/>
              <w:spacing w:before="108"/>
              <w:ind w:left="85"/>
              <w:jc w:val="both"/>
              <w:rPr>
                <w:bCs/>
              </w:rPr>
            </w:pPr>
            <w:r>
              <w:t xml:space="preserve">Om tredjelandets lagstiftning, avtalsenligt erkännande </w:t>
            </w:r>
          </w:p>
          <w:p w14:paraId="7FE1CFB3" w14:textId="0329FBCA" w:rsidR="0057131B" w:rsidRDefault="00355A1C">
            <w:pPr>
              <w:pStyle w:val="P68B1DB1-TableParagraph40"/>
              <w:spacing w:before="108"/>
              <w:ind w:left="85"/>
              <w:jc w:val="both"/>
            </w:pPr>
            <w:r>
              <w:t>Fastställande av avtalsbestämmelser för erkännande av skuldnedskrivningsbefogenheter i enlighet med artikel 55 i BRRD, antingen</w:t>
            </w:r>
          </w:p>
          <w:p w14:paraId="7FE1CFB4" w14:textId="7CAD351E" w:rsidR="0057131B" w:rsidRDefault="00355A1C">
            <w:pPr>
              <w:pStyle w:val="P68B1DB1-TableParagraph40"/>
              <w:spacing w:before="108"/>
              <w:ind w:left="85"/>
              <w:jc w:val="both"/>
            </w:pPr>
            <w:r>
              <w:t>”Ja, med stöd av ett rättsligt yttrande” = skulden omfattar en klausul om erkännande av skuldnedskrivning i enlighet med artikel 55 i BRRD som stöds av ett rättsligt yttrande.</w:t>
            </w:r>
          </w:p>
          <w:p w14:paraId="7FE1CFB5" w14:textId="77777777" w:rsidR="0057131B" w:rsidRDefault="00355A1C">
            <w:pPr>
              <w:pStyle w:val="P68B1DB1-TableParagraph40"/>
              <w:spacing w:before="108"/>
              <w:ind w:left="85"/>
              <w:jc w:val="both"/>
            </w:pPr>
            <w:r>
              <w:t>”Ja, inget rättsligt yttrande” = skulden omfattar en klausul om erkännande av skuldnedskrivning i linje med artikel 55 i BRRD som för närvarande inte stöds av ett rättsligt yttrande.</w:t>
            </w:r>
          </w:p>
          <w:p w14:paraId="7FE1CFB6" w14:textId="77777777" w:rsidR="0057131B" w:rsidRDefault="00355A1C">
            <w:pPr>
              <w:pStyle w:val="P68B1DB1-TableParagraph40"/>
              <w:spacing w:before="108"/>
              <w:ind w:left="85"/>
              <w:jc w:val="both"/>
            </w:pPr>
            <w:r>
              <w:t>”Nej” = skulden innehåller inte en klausul om erkännande av skuldnedskrivning.</w:t>
            </w:r>
          </w:p>
          <w:p w14:paraId="7FE1CFB7" w14:textId="58099242" w:rsidR="0057131B" w:rsidRDefault="00355A1C">
            <w:pPr>
              <w:pStyle w:val="P68B1DB1-TableParagraph40"/>
              <w:spacing w:before="108"/>
              <w:ind w:left="85"/>
              <w:jc w:val="both"/>
            </w:pPr>
            <w:r>
              <w:t xml:space="preserve">”Ej tillämpligt”,  </w:t>
            </w:r>
          </w:p>
          <w:p w14:paraId="7FE1CFB8" w14:textId="77777777" w:rsidR="0057131B" w:rsidRDefault="00355A1C">
            <w:pPr>
              <w:pStyle w:val="P68B1DB1-TableParagraph40"/>
              <w:spacing w:before="108"/>
              <w:ind w:left="85"/>
              <w:jc w:val="both"/>
            </w:pPr>
            <w:r>
              <w:t>från en fördefinierad förteckning.</w:t>
            </w:r>
          </w:p>
        </w:tc>
      </w:tr>
      <w:tr w:rsidR="0057131B"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57131B" w:rsidRDefault="00355A1C">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57131B" w:rsidRDefault="00355A1C">
            <w:pPr>
              <w:pStyle w:val="P68B1DB1-TableParagraph73"/>
              <w:spacing w:before="108"/>
              <w:ind w:left="85"/>
              <w:jc w:val="both"/>
              <w:rPr>
                <w:bCs/>
              </w:rPr>
            </w:pPr>
            <w:r>
              <w:t xml:space="preserve">Valuta </w:t>
            </w:r>
          </w:p>
          <w:p w14:paraId="7FE1CFBC" w14:textId="71E1420D" w:rsidR="0057131B" w:rsidRDefault="00355A1C">
            <w:pPr>
              <w:pStyle w:val="P68B1DB1-TableParagraph40"/>
              <w:spacing w:before="108"/>
              <w:ind w:left="85"/>
              <w:jc w:val="both"/>
            </w:pPr>
            <w:r>
              <w:t>Skuldens valuta i enlighet med dess ISO 3-bokstavskod.</w:t>
            </w:r>
          </w:p>
        </w:tc>
      </w:tr>
      <w:tr w:rsidR="0057131B"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57131B" w:rsidRDefault="00355A1C">
            <w:pPr>
              <w:pStyle w:val="P68B1DB1-Normal31"/>
            </w:pPr>
            <w:r>
              <w:t>0110</w:t>
            </w:r>
          </w:p>
          <w:p w14:paraId="7FE1CFC3" w14:textId="77777777" w:rsidR="0057131B" w:rsidRDefault="00355A1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57131B" w:rsidRDefault="00355A1C">
            <w:pPr>
              <w:pStyle w:val="P68B1DB1-TableParagraph73"/>
              <w:spacing w:before="108"/>
              <w:ind w:left="85"/>
              <w:jc w:val="both"/>
              <w:rPr>
                <w:bCs/>
              </w:rPr>
            </w:pPr>
            <w:r>
              <w:t xml:space="preserve">Utestående kapitalbelopp  </w:t>
            </w:r>
          </w:p>
          <w:p w14:paraId="7FE1CFC5" w14:textId="3E328E9E" w:rsidR="0057131B" w:rsidRDefault="00355A1C">
            <w:pPr>
              <w:pStyle w:val="P68B1DB1-TableParagraph40"/>
              <w:spacing w:before="108"/>
              <w:ind w:left="85"/>
              <w:jc w:val="both"/>
            </w:pPr>
            <w:r>
              <w:t xml:space="preserve">Det utestående kapitalbeloppet för det instrument som innehas av motparten och som anges i kolumn 0210. Om motparten inte är tillgänglig på grund av att borgenärerna inte kan identifieras ska de utestående kapitalbeloppen grupperas utan hänsyn till motparten. För aktier inkluderar detta belopp reserver, i linje med vägledningen för Z02.00-r0511. </w:t>
            </w:r>
          </w:p>
          <w:p w14:paraId="7FE1CFC7" w14:textId="1EFD62D1" w:rsidR="0057131B" w:rsidRDefault="0057131B">
            <w:pPr>
              <w:pStyle w:val="TableParagraph"/>
              <w:spacing w:before="108"/>
              <w:ind w:left="85"/>
              <w:jc w:val="both"/>
              <w:rPr>
                <w:rFonts w:ascii="Times New Roman" w:eastAsia="Times New Roman" w:hAnsi="Times New Roman" w:cs="Times New Roman"/>
                <w:sz w:val="20"/>
                <w:szCs w:val="20"/>
              </w:rPr>
            </w:pPr>
          </w:p>
        </w:tc>
      </w:tr>
      <w:tr w:rsidR="0057131B"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57131B" w:rsidRDefault="00355A1C">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57131B" w:rsidRDefault="00355A1C">
            <w:pPr>
              <w:pStyle w:val="P68B1DB1-TableParagraph73"/>
              <w:spacing w:before="108"/>
              <w:ind w:left="85"/>
              <w:jc w:val="both"/>
              <w:rPr>
                <w:bCs/>
              </w:rPr>
            </w:pPr>
            <w:r>
              <w:t xml:space="preserve">Upplupen ränta </w:t>
            </w:r>
          </w:p>
          <w:p w14:paraId="7FE1CFCB" w14:textId="5040BFD7" w:rsidR="0057131B" w:rsidRDefault="00355A1C">
            <w:pPr>
              <w:pStyle w:val="P68B1DB1-TableParagraph40"/>
              <w:spacing w:before="108"/>
              <w:ind w:left="85"/>
              <w:jc w:val="both"/>
            </w:pPr>
            <w:r>
              <w:t>Utestående upplupen ränta på instrumentet.</w:t>
            </w:r>
          </w:p>
        </w:tc>
      </w:tr>
      <w:tr w:rsidR="0057131B"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57131B" w:rsidRDefault="00355A1C">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57131B" w:rsidRDefault="00355A1C">
            <w:pPr>
              <w:pStyle w:val="P68B1DB1-TableParagraph73"/>
              <w:spacing w:before="108"/>
              <w:ind w:left="85"/>
              <w:jc w:val="both"/>
              <w:rPr>
                <w:bCs/>
              </w:rPr>
            </w:pPr>
            <w:r>
              <w:t xml:space="preserve">Coupon type (Typ av kupong) </w:t>
            </w:r>
          </w:p>
          <w:p w14:paraId="7FE1CFCF" w14:textId="77777777" w:rsidR="0057131B" w:rsidRDefault="00355A1C">
            <w:pPr>
              <w:pStyle w:val="P68B1DB1-TableParagraph40"/>
              <w:spacing w:before="108"/>
              <w:ind w:left="85"/>
              <w:jc w:val="both"/>
            </w:pPr>
            <w:r>
              <w:t>Identifiering av den aktuella typen av kupongbetalning, antingen ”fast kupong”, ”Floating coupon”, ”Strukturerad kupong” eller ”Zero-Coupon” från en fördefinierad förteckning.</w:t>
            </w:r>
          </w:p>
        </w:tc>
      </w:tr>
      <w:tr w:rsidR="0057131B"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57131B" w:rsidRDefault="00355A1C">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57131B" w:rsidRDefault="00355A1C">
            <w:pPr>
              <w:pStyle w:val="P68B1DB1-TableParagraph73"/>
              <w:spacing w:before="108"/>
              <w:ind w:left="85"/>
              <w:jc w:val="both"/>
              <w:rPr>
                <w:bCs/>
              </w:rPr>
            </w:pPr>
            <w:r>
              <w:t>Nuvarande kupongränta (%)</w:t>
            </w:r>
          </w:p>
          <w:p w14:paraId="7FE1CFD3" w14:textId="32FFE809" w:rsidR="0057131B" w:rsidRDefault="00355A1C">
            <w:pPr>
              <w:pStyle w:val="P68B1DB1-TableParagraph40"/>
              <w:spacing w:before="108"/>
              <w:ind w:left="85"/>
              <w:jc w:val="both"/>
            </w:pPr>
            <w:r>
              <w:t xml:space="preserve">Den kupongränta som är tillämplig på instrumentet på rapporteringsdagen. </w:t>
            </w:r>
          </w:p>
        </w:tc>
      </w:tr>
      <w:tr w:rsidR="0057131B"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57131B" w:rsidRDefault="00355A1C">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57131B" w:rsidRDefault="00355A1C">
            <w:pPr>
              <w:pStyle w:val="P68B1DB1-TableParagraph73"/>
              <w:spacing w:before="108"/>
              <w:ind w:left="85"/>
              <w:jc w:val="both"/>
              <w:rPr>
                <w:bCs/>
              </w:rPr>
            </w:pPr>
            <w:r>
              <w:t xml:space="preserve">Utgivningsdatum </w:t>
            </w:r>
          </w:p>
          <w:p w14:paraId="7FE1CFD7" w14:textId="77777777" w:rsidR="0057131B" w:rsidRDefault="00355A1C">
            <w:pPr>
              <w:pStyle w:val="P68B1DB1-TableParagraph40"/>
              <w:spacing w:before="108"/>
              <w:ind w:left="85"/>
              <w:jc w:val="both"/>
            </w:pPr>
            <w:r>
              <w:t>Datum för det ursprungliga utfärdandet av instrumentet.</w:t>
            </w:r>
          </w:p>
        </w:tc>
      </w:tr>
      <w:tr w:rsidR="0057131B"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57131B" w:rsidRDefault="00355A1C">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57131B" w:rsidRDefault="00355A1C">
            <w:pPr>
              <w:pStyle w:val="P68B1DB1-TableParagraph73"/>
              <w:spacing w:before="108"/>
              <w:ind w:left="85"/>
              <w:jc w:val="both"/>
              <w:rPr>
                <w:bCs/>
              </w:rPr>
            </w:pPr>
            <w:r>
              <w:t xml:space="preserve">Tidigaste inlösendatum  </w:t>
            </w:r>
          </w:p>
          <w:p w14:paraId="7FE1CFDB" w14:textId="2A33C765" w:rsidR="0057131B" w:rsidRDefault="00355A1C">
            <w:pPr>
              <w:pStyle w:val="P68B1DB1-TableParagraph40"/>
              <w:spacing w:before="108"/>
              <w:ind w:left="85"/>
              <w:jc w:val="both"/>
            </w:pPr>
            <w:r>
              <w:lastRenderedPageBreak/>
              <w:t>Om det finns en möjlighet för innehavarna av instrumentet att begära förtida återbetalning, eller om villkor för förtida återbetalning föreskrivs i avtalet, ska det tidigaste datumet rapporteras. Om sådana uppsägningshändelser inte är kopplade till ett datum, utan snarare till händelser i framtiden, rapportera det tidigaste datum då händelsen kan inträffa. Om den förtida återbetalningen endast avser en del av skulden (t.ex. förtida återbetalning på 50 % av det nominella beloppet), dela upp skulden för att ta hänsyn till denna partiella klausul om förtida inlösen.</w:t>
            </w:r>
          </w:p>
        </w:tc>
      </w:tr>
      <w:tr w:rsidR="0057131B"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57131B" w:rsidRDefault="00355A1C">
            <w:pPr>
              <w:pStyle w:val="P68B1DB1-Normal31"/>
            </w:pPr>
            <w:r>
              <w:lastRenderedPageBreak/>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57131B" w:rsidRDefault="00355A1C">
            <w:pPr>
              <w:pStyle w:val="P68B1DB1-TableParagraph73"/>
              <w:spacing w:before="108"/>
              <w:ind w:left="85"/>
              <w:jc w:val="both"/>
              <w:rPr>
                <w:bCs/>
              </w:rPr>
            </w:pPr>
            <w:r>
              <w:t xml:space="preserve">Laglig inlösendag </w:t>
            </w:r>
          </w:p>
          <w:p w14:paraId="7FE1CFDF" w14:textId="3157371F" w:rsidR="0057131B" w:rsidRDefault="00355A1C">
            <w:pPr>
              <w:pStyle w:val="P68B1DB1-TableParagraph40"/>
              <w:spacing w:before="108"/>
              <w:ind w:left="85"/>
              <w:jc w:val="both"/>
            </w:pPr>
            <w:r>
              <w:t>Datum för instrumentets rättsliga och slutliga löptid. För permanenta instrument, använd ”2099–01–31”.</w:t>
            </w:r>
          </w:p>
        </w:tc>
      </w:tr>
      <w:tr w:rsidR="0057131B"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57131B" w:rsidRDefault="00355A1C">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57131B" w:rsidRDefault="00355A1C">
            <w:pPr>
              <w:pStyle w:val="P68B1DB1-TableParagraph73"/>
              <w:spacing w:before="108"/>
              <w:ind w:left="85"/>
              <w:jc w:val="both"/>
              <w:rPr>
                <w:bCs/>
              </w:rPr>
            </w:pPr>
            <w:r>
              <w:t xml:space="preserve">Offentlig/privat placering </w:t>
            </w:r>
          </w:p>
          <w:p w14:paraId="7FE1CFE3" w14:textId="77777777" w:rsidR="0057131B" w:rsidRDefault="00355A1C">
            <w:pPr>
              <w:pStyle w:val="P68B1DB1-TableParagraph40"/>
              <w:spacing w:before="108"/>
              <w:ind w:left="85"/>
              <w:jc w:val="both"/>
            </w:pPr>
            <w:r>
              <w:t>Vid en offentlig placering kommer enheten att ha offentliggjort emissionen med en särskild tidsplan för ett anbudsförfarande. Privata placeringar förhandlas däremot mellan enskilda parter som agerar för egen räkning för tredje mans räkning. Värdet kan vara ”Public Placement” eller ”Private Placement” från en fördefinierad förteckning.</w:t>
            </w:r>
          </w:p>
        </w:tc>
      </w:tr>
      <w:tr w:rsidR="0057131B"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57131B" w:rsidRDefault="00355A1C">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57131B" w:rsidRDefault="00355A1C">
            <w:pPr>
              <w:pStyle w:val="P68B1DB1-TableParagraph73"/>
              <w:spacing w:before="108"/>
              <w:ind w:left="85"/>
              <w:jc w:val="both"/>
              <w:rPr>
                <w:bCs/>
              </w:rPr>
            </w:pPr>
            <w:r>
              <w:t xml:space="preserve">Betalningsombud </w:t>
            </w:r>
          </w:p>
          <w:p w14:paraId="7FE1CFE7" w14:textId="77777777" w:rsidR="0057131B" w:rsidRDefault="00355A1C">
            <w:pPr>
              <w:pStyle w:val="P68B1DB1-TableParagraph40"/>
              <w:spacing w:before="108"/>
              <w:ind w:left="85"/>
              <w:jc w:val="both"/>
            </w:pPr>
            <w:r>
              <w:t>Identifiering av betalningsombudet för instrumentet med hjälp av dess LEI-kod. Ett ”betalningsombud” är ett institut, vanligtvis en investeringsbank, som tar emot medel från emittenten av ett värdepapper och distribuerar dem till värdepappersinnehavarna. När det gäller aktier delar ett betalningsombud ut utdelning till aktieägare. För obligationer distribuerar den kupongbetalningar och återbetalningar av kapitalbelopp till obligationsinnehavare.</w:t>
            </w:r>
          </w:p>
        </w:tc>
      </w:tr>
      <w:tr w:rsidR="0057131B"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57131B" w:rsidRDefault="00355A1C">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57131B" w:rsidRDefault="00355A1C">
            <w:pPr>
              <w:pStyle w:val="P68B1DB1-TableParagraph73"/>
              <w:spacing w:before="108"/>
              <w:ind w:left="85"/>
              <w:jc w:val="both"/>
              <w:rPr>
                <w:bCs/>
              </w:rPr>
            </w:pPr>
            <w:r>
              <w:t xml:space="preserve">Identifieringskod för motpart </w:t>
            </w:r>
          </w:p>
          <w:p w14:paraId="7FE1CFEF" w14:textId="599C6555" w:rsidR="0057131B" w:rsidRDefault="00355A1C">
            <w:pPr>
              <w:pStyle w:val="P68B1DB1-TableParagraph40"/>
              <w:spacing w:before="108"/>
              <w:ind w:left="85"/>
              <w:jc w:val="both"/>
            </w:pPr>
            <w:r>
              <w:t>Rapportera borgenärens LEI-kod. Om det inte finns någon LEI-kod, för banker, rapportera ECB:s identifieringskod för monetära finansinstitut (MFI ID) som används i RIAD. Endast om båda dessa identifierare saknas, rapportera en intern identifierare.</w:t>
            </w:r>
          </w:p>
        </w:tc>
      </w:tr>
      <w:tr w:rsidR="0057131B"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57131B" w:rsidRDefault="00355A1C">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57131B" w:rsidRDefault="00355A1C">
            <w:pPr>
              <w:pStyle w:val="P68B1DB1-TableParagraph73"/>
              <w:spacing w:before="108"/>
              <w:ind w:left="85"/>
              <w:jc w:val="both"/>
              <w:rPr>
                <w:bCs/>
              </w:rPr>
            </w:pPr>
            <w:r>
              <w:t xml:space="preserve">Typ av identifierare </w:t>
            </w:r>
          </w:p>
          <w:p w14:paraId="7FE1CFF3"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57131B" w:rsidRDefault="00355A1C">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57131B" w:rsidRDefault="00355A1C">
            <w:pPr>
              <w:pStyle w:val="P68B1DB1-TableParagraph73"/>
              <w:spacing w:before="108"/>
              <w:ind w:left="85"/>
              <w:jc w:val="both"/>
              <w:rPr>
                <w:bCs/>
              </w:rPr>
            </w:pPr>
            <w:r>
              <w:t xml:space="preserve">Värdepappersbörser är noterade på </w:t>
            </w:r>
          </w:p>
          <w:p w14:paraId="7FE1CFF7" w14:textId="3C377B4D" w:rsidR="0057131B" w:rsidRDefault="00355A1C">
            <w:pPr>
              <w:pStyle w:val="P68B1DB1-TableParagraph40"/>
              <w:spacing w:before="108"/>
              <w:ind w:left="85"/>
              <w:jc w:val="both"/>
            </w:pPr>
            <w:r>
              <w:t>Om instrumenten förtecknas på en börsplattform, ange detta/dessa plattformar. När det gäller flera utbyten, separera plattformarna med semikolon.</w:t>
            </w:r>
          </w:p>
        </w:tc>
      </w:tr>
      <w:tr w:rsidR="0057131B"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57131B" w:rsidRDefault="00355A1C">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57131B" w:rsidRDefault="00355A1C">
            <w:pPr>
              <w:pStyle w:val="P68B1DB1-TableParagraph73"/>
              <w:spacing w:before="108"/>
              <w:ind w:left="85"/>
              <w:jc w:val="both"/>
              <w:rPr>
                <w:bCs/>
              </w:rPr>
            </w:pPr>
            <w:r>
              <w:t xml:space="preserve">Avvecklingssystem  </w:t>
            </w:r>
          </w:p>
          <w:p w14:paraId="7FE1CFFB" w14:textId="2006B3AF" w:rsidR="0057131B" w:rsidRDefault="00355A1C">
            <w:pPr>
              <w:pStyle w:val="P68B1DB1-TableParagraph40"/>
              <w:spacing w:before="108"/>
              <w:ind w:left="85"/>
              <w:jc w:val="both"/>
            </w:pPr>
            <w:r>
              <w:t>Ange de avvecklingssystem där dessa värdepapper kan avvecklas. När det gäller flera avvecklingssystem ska varje system separeras med semikolon.</w:t>
            </w:r>
          </w:p>
        </w:tc>
      </w:tr>
      <w:tr w:rsidR="0057131B"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57131B" w:rsidRDefault="00355A1C">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57131B" w:rsidRDefault="00355A1C">
            <w:pPr>
              <w:pStyle w:val="P68B1DB1-TableParagraph73"/>
              <w:spacing w:before="108"/>
              <w:ind w:left="85"/>
              <w:jc w:val="both"/>
              <w:rPr>
                <w:bCs/>
              </w:rPr>
            </w:pPr>
            <w:r>
              <w:t xml:space="preserve">V. Di Bucci </w:t>
            </w:r>
          </w:p>
          <w:p w14:paraId="7FE1CFFF" w14:textId="77777777" w:rsidR="0057131B" w:rsidRDefault="00355A1C">
            <w:pPr>
              <w:pStyle w:val="P68B1DB1-TableParagraph40"/>
              <w:spacing w:before="108"/>
              <w:ind w:left="85"/>
              <w:jc w:val="both"/>
            </w:pPr>
            <w:r>
              <w:t xml:space="preserve">Ange registrator (som ansvarar för att föra register över värdepappersinnehavarna). Registratorn eller registerinnehavaren är vanligtvis emittenten själv, en värdepapperscentral eller en annan enhet. </w:t>
            </w:r>
          </w:p>
        </w:tc>
      </w:tr>
      <w:tr w:rsidR="0057131B" w14:paraId="7FE1D004" w14:textId="77777777">
        <w:tc>
          <w:tcPr>
            <w:tcW w:w="1415" w:type="dxa"/>
            <w:tcBorders>
              <w:top w:val="single" w:sz="8" w:space="0" w:color="1A171C"/>
              <w:left w:val="nil"/>
              <w:right w:val="single" w:sz="8" w:space="0" w:color="1A171C"/>
            </w:tcBorders>
            <w:vAlign w:val="center"/>
          </w:tcPr>
          <w:p w14:paraId="7FE1D001" w14:textId="77777777" w:rsidR="0057131B" w:rsidRDefault="00355A1C">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57131B" w:rsidRDefault="00355A1C">
            <w:pPr>
              <w:pStyle w:val="P68B1DB1-TableParagraph73"/>
              <w:spacing w:before="108"/>
              <w:ind w:left="85"/>
              <w:jc w:val="both"/>
              <w:rPr>
                <w:bCs/>
              </w:rPr>
            </w:pPr>
            <w:r>
              <w:t xml:space="preserve">”CSD” (förkortningen används ej i den svenska versionen) </w:t>
            </w:r>
          </w:p>
          <w:p w14:paraId="7FE1D003" w14:textId="77777777" w:rsidR="0057131B" w:rsidRDefault="00355A1C">
            <w:pPr>
              <w:pStyle w:val="P68B1DB1-TableParagraph40"/>
              <w:spacing w:before="108"/>
              <w:ind w:left="85"/>
              <w:jc w:val="both"/>
            </w:pPr>
            <w:r>
              <w:t>Ange den emitterande värdepapperscentralen för värdepapperet.</w:t>
            </w:r>
          </w:p>
        </w:tc>
      </w:tr>
      <w:tr w:rsidR="0057131B" w14:paraId="7FE1D02F" w14:textId="77777777">
        <w:tc>
          <w:tcPr>
            <w:tcW w:w="1415" w:type="dxa"/>
            <w:tcBorders>
              <w:left w:val="nil"/>
              <w:bottom w:val="single" w:sz="8" w:space="0" w:color="1A171C"/>
              <w:right w:val="single" w:sz="8" w:space="0" w:color="1A171C"/>
            </w:tcBorders>
            <w:vAlign w:val="center"/>
          </w:tcPr>
          <w:p w14:paraId="7FE1D005" w14:textId="77777777" w:rsidR="0057131B" w:rsidRDefault="00355A1C">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57131B" w:rsidRDefault="00355A1C">
            <w:pPr>
              <w:pStyle w:val="P68B1DB1-TableParagraph40"/>
              <w:spacing w:before="108"/>
              <w:ind w:left="85"/>
              <w:jc w:val="both"/>
            </w:pPr>
            <w:r>
              <w:t>Vid rapportering av den utgivande värdepapperscentralen ska den förkortning som anges i tabellen nedan användas, utom om den relevanta värdepapperscentralen inte finns med i förteckningen:</w:t>
            </w:r>
          </w:p>
          <w:p w14:paraId="7FE1D007" w14:textId="77777777" w:rsidR="0057131B" w:rsidRDefault="00355A1C">
            <w:pPr>
              <w:pStyle w:val="P68B1DB1-TableParagraph40"/>
              <w:spacing w:before="108"/>
              <w:ind w:left="85"/>
              <w:jc w:val="both"/>
            </w:pPr>
            <w:r>
              <w:t>ATHEX CSD_EL</w:t>
            </w:r>
          </w:p>
          <w:p w14:paraId="7FE1D008" w14:textId="77777777" w:rsidR="0057131B" w:rsidRDefault="00355A1C">
            <w:pPr>
              <w:pStyle w:val="P68B1DB1-TableParagraph40"/>
              <w:spacing w:before="108"/>
              <w:ind w:left="85"/>
              <w:jc w:val="both"/>
            </w:pPr>
            <w:r>
              <w:t>BOGS_EL</w:t>
            </w:r>
          </w:p>
          <w:p w14:paraId="7FE1D009" w14:textId="77777777" w:rsidR="0057131B" w:rsidRDefault="00355A1C">
            <w:pPr>
              <w:pStyle w:val="P68B1DB1-TableParagraph40"/>
              <w:spacing w:before="108"/>
              <w:ind w:left="85"/>
              <w:jc w:val="both"/>
            </w:pPr>
            <w:r>
              <w:lastRenderedPageBreak/>
              <w:t>CBF_DE</w:t>
            </w:r>
          </w:p>
          <w:p w14:paraId="7FE1D00A" w14:textId="77777777" w:rsidR="0057131B" w:rsidRDefault="00355A1C">
            <w:pPr>
              <w:pStyle w:val="P68B1DB1-TableParagraph40"/>
              <w:spacing w:before="108"/>
              <w:ind w:left="85"/>
              <w:jc w:val="both"/>
            </w:pPr>
            <w:r>
              <w:t>CBL_LU</w:t>
            </w:r>
          </w:p>
          <w:p w14:paraId="7FE1D00B" w14:textId="77777777" w:rsidR="0057131B" w:rsidRDefault="00355A1C">
            <w:pPr>
              <w:pStyle w:val="P68B1DB1-TableParagraph40"/>
              <w:spacing w:before="108"/>
              <w:ind w:left="85"/>
              <w:jc w:val="both"/>
            </w:pPr>
            <w:r>
              <w:t>CDCP SR_SK</w:t>
            </w:r>
          </w:p>
          <w:p w14:paraId="7FE1D00C" w14:textId="77777777" w:rsidR="0057131B" w:rsidRDefault="00355A1C">
            <w:pPr>
              <w:pStyle w:val="P68B1DB1-TableParagraph40"/>
              <w:spacing w:before="108"/>
              <w:ind w:left="85"/>
              <w:jc w:val="both"/>
            </w:pPr>
            <w:r>
              <w:t>CDCP_CZ</w:t>
            </w:r>
          </w:p>
          <w:p w14:paraId="7FE1D00D" w14:textId="77777777" w:rsidR="0057131B" w:rsidRPr="003751AD" w:rsidRDefault="00355A1C">
            <w:pPr>
              <w:pStyle w:val="P68B1DB1-TableParagraph40"/>
              <w:spacing w:before="108"/>
              <w:ind w:left="85"/>
              <w:jc w:val="both"/>
              <w:rPr>
                <w:lang w:val="en-US"/>
              </w:rPr>
            </w:pPr>
            <w:r w:rsidRPr="003751AD">
              <w:rPr>
                <w:lang w:val="en-US"/>
              </w:rPr>
              <w:t xml:space="preserve">Central </w:t>
            </w:r>
            <w:proofErr w:type="spellStart"/>
            <w:r w:rsidRPr="003751AD">
              <w:rPr>
                <w:lang w:val="en-US"/>
              </w:rPr>
              <w:t>depositarie</w:t>
            </w:r>
            <w:proofErr w:type="spellEnd"/>
            <w:r w:rsidRPr="003751AD">
              <w:rPr>
                <w:lang w:val="en-US"/>
              </w:rPr>
              <w:t xml:space="preserve"> – Clearing </w:t>
            </w:r>
            <w:proofErr w:type="spellStart"/>
            <w:r w:rsidRPr="003751AD">
              <w:rPr>
                <w:lang w:val="en-US"/>
              </w:rPr>
              <w:t>Company_HR</w:t>
            </w:r>
            <w:proofErr w:type="spellEnd"/>
          </w:p>
          <w:p w14:paraId="7FE1D00E" w14:textId="77777777" w:rsidR="0057131B" w:rsidRPr="003751AD" w:rsidRDefault="00355A1C">
            <w:pPr>
              <w:pStyle w:val="P68B1DB1-TableParagraph40"/>
              <w:spacing w:before="108"/>
              <w:ind w:left="85"/>
              <w:jc w:val="both"/>
              <w:rPr>
                <w:lang w:val="en-US"/>
              </w:rPr>
            </w:pPr>
            <w:proofErr w:type="spellStart"/>
            <w:r w:rsidRPr="003751AD">
              <w:rPr>
                <w:lang w:val="en-US"/>
              </w:rPr>
              <w:t>Värdepapperscentral</w:t>
            </w:r>
            <w:proofErr w:type="spellEnd"/>
            <w:r w:rsidRPr="003751AD">
              <w:rPr>
                <w:lang w:val="en-US"/>
              </w:rPr>
              <w:t xml:space="preserve"> </w:t>
            </w:r>
            <w:proofErr w:type="spellStart"/>
            <w:r w:rsidRPr="003751AD">
              <w:rPr>
                <w:lang w:val="en-US"/>
              </w:rPr>
              <w:t>Prague_CZ</w:t>
            </w:r>
            <w:proofErr w:type="spellEnd"/>
          </w:p>
          <w:p w14:paraId="7FE1D00F" w14:textId="77777777" w:rsidR="0057131B" w:rsidRDefault="00355A1C">
            <w:pPr>
              <w:pStyle w:val="P68B1DB1-TableParagraph40"/>
              <w:spacing w:before="108"/>
              <w:ind w:left="85"/>
              <w:jc w:val="both"/>
            </w:pPr>
            <w:r>
              <w:t>Central depositari_BG</w:t>
            </w:r>
          </w:p>
          <w:p w14:paraId="7FE1D010" w14:textId="77777777" w:rsidR="0057131B" w:rsidRDefault="00355A1C">
            <w:pPr>
              <w:pStyle w:val="P68B1DB1-TableParagraph40"/>
              <w:spacing w:before="108"/>
              <w:ind w:left="85"/>
              <w:jc w:val="both"/>
            </w:pPr>
            <w:r>
              <w:t>Cypern CDCR_CY</w:t>
            </w:r>
          </w:p>
          <w:p w14:paraId="7FE1D011" w14:textId="77777777" w:rsidR="0057131B" w:rsidRPr="003751AD" w:rsidRDefault="00355A1C">
            <w:pPr>
              <w:pStyle w:val="P68B1DB1-TableParagraph40"/>
              <w:spacing w:before="108"/>
              <w:ind w:left="85"/>
              <w:jc w:val="both"/>
              <w:rPr>
                <w:lang w:val="en-US"/>
              </w:rPr>
            </w:pPr>
            <w:proofErr w:type="spellStart"/>
            <w:r w:rsidRPr="003751AD">
              <w:rPr>
                <w:lang w:val="en-US"/>
              </w:rPr>
              <w:t>Depozitarul</w:t>
            </w:r>
            <w:proofErr w:type="spellEnd"/>
            <w:r w:rsidRPr="003751AD">
              <w:rPr>
                <w:lang w:val="en-US"/>
              </w:rPr>
              <w:t xml:space="preserve"> </w:t>
            </w:r>
            <w:proofErr w:type="spellStart"/>
            <w:r w:rsidRPr="003751AD">
              <w:rPr>
                <w:lang w:val="en-US"/>
              </w:rPr>
              <w:t>Central_RO</w:t>
            </w:r>
            <w:proofErr w:type="spellEnd"/>
          </w:p>
          <w:p w14:paraId="7FE1D012" w14:textId="77777777" w:rsidR="0057131B" w:rsidRPr="003751AD" w:rsidRDefault="00355A1C">
            <w:pPr>
              <w:pStyle w:val="P68B1DB1-TableParagraph40"/>
              <w:spacing w:before="108"/>
              <w:ind w:left="85"/>
              <w:jc w:val="both"/>
              <w:rPr>
                <w:lang w:val="en-US"/>
              </w:rPr>
            </w:pPr>
            <w:r w:rsidRPr="003751AD">
              <w:rPr>
                <w:lang w:val="en-US"/>
              </w:rPr>
              <w:t>DTC_US</w:t>
            </w:r>
          </w:p>
          <w:p w14:paraId="7FE1D013" w14:textId="77777777" w:rsidR="0057131B" w:rsidRPr="003751AD" w:rsidRDefault="00355A1C">
            <w:pPr>
              <w:pStyle w:val="P68B1DB1-TableParagraph40"/>
              <w:spacing w:before="108"/>
              <w:ind w:left="85"/>
              <w:jc w:val="both"/>
              <w:rPr>
                <w:lang w:val="en-US"/>
              </w:rPr>
            </w:pPr>
            <w:r w:rsidRPr="003751AD">
              <w:rPr>
                <w:lang w:val="en-US"/>
              </w:rPr>
              <w:t xml:space="preserve">Euroclear </w:t>
            </w:r>
            <w:proofErr w:type="spellStart"/>
            <w:r w:rsidRPr="003751AD">
              <w:rPr>
                <w:lang w:val="en-US"/>
              </w:rPr>
              <w:t>Bank_BE</w:t>
            </w:r>
            <w:proofErr w:type="spellEnd"/>
          </w:p>
          <w:p w14:paraId="7FE1D014" w14:textId="77777777" w:rsidR="0057131B" w:rsidRPr="003751AD" w:rsidRDefault="00355A1C">
            <w:pPr>
              <w:pStyle w:val="P68B1DB1-TableParagraph40"/>
              <w:spacing w:before="108"/>
              <w:ind w:left="85"/>
              <w:jc w:val="both"/>
              <w:rPr>
                <w:lang w:val="en-US"/>
              </w:rPr>
            </w:pPr>
            <w:r w:rsidRPr="003751AD">
              <w:rPr>
                <w:lang w:val="en-US"/>
              </w:rPr>
              <w:t xml:space="preserve">Euroclear </w:t>
            </w:r>
            <w:proofErr w:type="spellStart"/>
            <w:r w:rsidRPr="003751AD">
              <w:rPr>
                <w:lang w:val="en-US"/>
              </w:rPr>
              <w:t>Belgium_BE</w:t>
            </w:r>
            <w:proofErr w:type="spellEnd"/>
          </w:p>
          <w:p w14:paraId="7FE1D015" w14:textId="77777777" w:rsidR="0057131B" w:rsidRPr="003751AD" w:rsidRDefault="00355A1C">
            <w:pPr>
              <w:pStyle w:val="P68B1DB1-TableParagraph40"/>
              <w:spacing w:before="108"/>
              <w:ind w:left="85"/>
              <w:jc w:val="both"/>
              <w:rPr>
                <w:lang w:val="en-US"/>
              </w:rPr>
            </w:pPr>
            <w:r w:rsidRPr="003751AD">
              <w:rPr>
                <w:lang w:val="en-US"/>
              </w:rPr>
              <w:t xml:space="preserve">Euroclear </w:t>
            </w:r>
            <w:proofErr w:type="spellStart"/>
            <w:r w:rsidRPr="003751AD">
              <w:rPr>
                <w:lang w:val="en-US"/>
              </w:rPr>
              <w:t>Finland_FI</w:t>
            </w:r>
            <w:proofErr w:type="spellEnd"/>
          </w:p>
          <w:p w14:paraId="7FE1D016" w14:textId="77777777" w:rsidR="0057131B" w:rsidRDefault="00355A1C">
            <w:pPr>
              <w:pStyle w:val="P68B1DB1-TableParagraph40"/>
              <w:spacing w:before="108"/>
              <w:ind w:left="85"/>
              <w:jc w:val="both"/>
            </w:pPr>
            <w:r>
              <w:t>Euroclear France_FR</w:t>
            </w:r>
          </w:p>
          <w:p w14:paraId="7FE1D017" w14:textId="77777777" w:rsidR="0057131B" w:rsidRDefault="00355A1C">
            <w:pPr>
              <w:pStyle w:val="P68B1DB1-TableParagraph40"/>
              <w:spacing w:before="108"/>
              <w:ind w:left="85"/>
              <w:jc w:val="both"/>
            </w:pPr>
            <w:r>
              <w:t>Euroclear Nederländerna_NL</w:t>
            </w:r>
          </w:p>
          <w:p w14:paraId="7FE1D018" w14:textId="77777777" w:rsidR="0057131B" w:rsidRDefault="00355A1C">
            <w:pPr>
              <w:pStyle w:val="P68B1DB1-TableParagraph40"/>
              <w:spacing w:before="108"/>
              <w:ind w:left="85"/>
              <w:jc w:val="both"/>
            </w:pPr>
            <w:r>
              <w:t>Euroclear Sweden_SE</w:t>
            </w:r>
          </w:p>
          <w:p w14:paraId="7FE1D019" w14:textId="77777777" w:rsidR="0057131B" w:rsidRDefault="00355A1C">
            <w:pPr>
              <w:pStyle w:val="P68B1DB1-TableParagraph40"/>
              <w:spacing w:before="108"/>
              <w:ind w:left="85"/>
              <w:jc w:val="both"/>
            </w:pPr>
            <w:r>
              <w:t>Euroclear Storbritannien – Ireland_UK</w:t>
            </w:r>
          </w:p>
          <w:p w14:paraId="7FE1D01A" w14:textId="77777777" w:rsidR="0057131B" w:rsidRDefault="00355A1C">
            <w:pPr>
              <w:pStyle w:val="P68B1DB1-TableParagraph40"/>
              <w:spacing w:before="108"/>
              <w:ind w:left="85"/>
              <w:jc w:val="both"/>
            </w:pPr>
            <w:r>
              <w:t>Statlig värdepapperscentral (GSD) _BG</w:t>
            </w:r>
          </w:p>
          <w:p w14:paraId="7FE1D01B" w14:textId="77777777" w:rsidR="0057131B" w:rsidRDefault="00355A1C">
            <w:pPr>
              <w:pStyle w:val="P68B1DB1-TableParagraph40"/>
              <w:spacing w:before="108"/>
              <w:ind w:left="85"/>
              <w:jc w:val="both"/>
            </w:pPr>
            <w:r>
              <w:t>Iberclear_ES</w:t>
            </w:r>
          </w:p>
          <w:p w14:paraId="7FE1D01C" w14:textId="77777777" w:rsidR="0057131B" w:rsidRDefault="00355A1C">
            <w:pPr>
              <w:pStyle w:val="P68B1DB1-TableParagraph40"/>
              <w:spacing w:before="108"/>
              <w:ind w:left="85"/>
              <w:jc w:val="both"/>
            </w:pPr>
            <w:r>
              <w:t>INTERBOLSA_PT</w:t>
            </w:r>
          </w:p>
          <w:p w14:paraId="7FE1D01D" w14:textId="77777777" w:rsidR="0057131B" w:rsidRDefault="00355A1C">
            <w:pPr>
              <w:pStyle w:val="P68B1DB1-TableParagraph40"/>
              <w:spacing w:before="108"/>
              <w:ind w:left="85"/>
              <w:jc w:val="both"/>
            </w:pPr>
            <w:r>
              <w:t>KDD_SI</w:t>
            </w:r>
          </w:p>
          <w:p w14:paraId="7FE1D01E" w14:textId="77777777" w:rsidR="0057131B" w:rsidRDefault="00355A1C">
            <w:pPr>
              <w:pStyle w:val="P68B1DB1-TableParagraph40"/>
              <w:spacing w:before="108"/>
              <w:ind w:left="85"/>
              <w:jc w:val="both"/>
            </w:pPr>
            <w:r>
              <w:t>KDPW_PL</w:t>
            </w:r>
          </w:p>
          <w:p w14:paraId="7FE1D01F" w14:textId="77777777" w:rsidR="0057131B" w:rsidRDefault="00355A1C">
            <w:pPr>
              <w:pStyle w:val="P68B1DB1-TableParagraph40"/>
              <w:spacing w:before="108"/>
              <w:ind w:left="85"/>
              <w:jc w:val="both"/>
            </w:pPr>
            <w:r>
              <w:t>KELER_HU</w:t>
            </w:r>
          </w:p>
          <w:p w14:paraId="7FE1D020" w14:textId="77777777" w:rsidR="0057131B" w:rsidRDefault="00355A1C">
            <w:pPr>
              <w:pStyle w:val="P68B1DB1-TableParagraph40"/>
              <w:spacing w:before="108"/>
              <w:ind w:left="85"/>
              <w:jc w:val="both"/>
            </w:pPr>
            <w:r>
              <w:t>LUX CSD_LU</w:t>
            </w:r>
          </w:p>
          <w:p w14:paraId="7FE1D021" w14:textId="77777777" w:rsidR="0057131B" w:rsidRDefault="00355A1C">
            <w:pPr>
              <w:pStyle w:val="P68B1DB1-TableParagraph40"/>
              <w:spacing w:before="108"/>
              <w:ind w:left="85"/>
              <w:jc w:val="both"/>
            </w:pPr>
            <w:r>
              <w:t>Maltas fondbörs CSD_MT</w:t>
            </w:r>
          </w:p>
          <w:p w14:paraId="7FE1D022" w14:textId="77777777" w:rsidR="0057131B" w:rsidRPr="003751AD" w:rsidRDefault="00355A1C">
            <w:pPr>
              <w:pStyle w:val="P68B1DB1-TableParagraph40"/>
              <w:spacing w:before="108"/>
              <w:ind w:left="85"/>
              <w:jc w:val="both"/>
              <w:rPr>
                <w:lang w:val="en-US"/>
              </w:rPr>
            </w:pPr>
            <w:r w:rsidRPr="003751AD">
              <w:rPr>
                <w:lang w:val="en-US"/>
              </w:rPr>
              <w:t xml:space="preserve">Euronext Securities </w:t>
            </w:r>
            <w:proofErr w:type="spellStart"/>
            <w:r w:rsidRPr="003751AD">
              <w:rPr>
                <w:lang w:val="en-US"/>
              </w:rPr>
              <w:t>Milan_IT</w:t>
            </w:r>
            <w:proofErr w:type="spellEnd"/>
          </w:p>
          <w:p w14:paraId="7FE1D023" w14:textId="77777777" w:rsidR="0057131B" w:rsidRPr="003751AD" w:rsidRDefault="00355A1C">
            <w:pPr>
              <w:pStyle w:val="P68B1DB1-TableParagraph40"/>
              <w:spacing w:before="108"/>
              <w:ind w:left="85"/>
              <w:jc w:val="both"/>
              <w:rPr>
                <w:lang w:val="en-US"/>
              </w:rPr>
            </w:pPr>
            <w:r w:rsidRPr="003751AD">
              <w:rPr>
                <w:lang w:val="en-US"/>
              </w:rPr>
              <w:t>Nasdaq CSD_EE</w:t>
            </w:r>
          </w:p>
          <w:p w14:paraId="7FE1D024" w14:textId="77777777" w:rsidR="0057131B" w:rsidRPr="003751AD" w:rsidRDefault="00355A1C">
            <w:pPr>
              <w:pStyle w:val="P68B1DB1-TableParagraph40"/>
              <w:spacing w:before="108"/>
              <w:ind w:left="85"/>
              <w:jc w:val="both"/>
              <w:rPr>
                <w:lang w:val="en-US"/>
              </w:rPr>
            </w:pPr>
            <w:r w:rsidRPr="003751AD">
              <w:rPr>
                <w:lang w:val="en-US"/>
              </w:rPr>
              <w:t>Nasdaq CSD_LT</w:t>
            </w:r>
          </w:p>
          <w:p w14:paraId="7FE1D025" w14:textId="77777777" w:rsidR="0057131B" w:rsidRPr="003751AD" w:rsidRDefault="00355A1C">
            <w:pPr>
              <w:pStyle w:val="P68B1DB1-TableParagraph40"/>
              <w:spacing w:before="108"/>
              <w:ind w:left="85"/>
              <w:jc w:val="both"/>
              <w:rPr>
                <w:lang w:val="en-US"/>
              </w:rPr>
            </w:pPr>
            <w:r w:rsidRPr="003751AD">
              <w:rPr>
                <w:lang w:val="en-US"/>
              </w:rPr>
              <w:t>Nasdaq CSD_LV</w:t>
            </w:r>
          </w:p>
          <w:p w14:paraId="7FE1D026" w14:textId="77777777" w:rsidR="0057131B" w:rsidRPr="003751AD" w:rsidRDefault="00355A1C">
            <w:pPr>
              <w:pStyle w:val="P68B1DB1-TableParagraph40"/>
              <w:spacing w:before="108"/>
              <w:ind w:left="85"/>
              <w:jc w:val="both"/>
              <w:rPr>
                <w:lang w:val="en-US"/>
              </w:rPr>
            </w:pPr>
            <w:r w:rsidRPr="003751AD">
              <w:rPr>
                <w:lang w:val="en-US"/>
              </w:rPr>
              <w:t>NBB SSS_BE</w:t>
            </w:r>
          </w:p>
          <w:p w14:paraId="7FE1D027" w14:textId="77777777" w:rsidR="0057131B" w:rsidRPr="003751AD" w:rsidRDefault="00355A1C">
            <w:pPr>
              <w:pStyle w:val="P68B1DB1-TableParagraph40"/>
              <w:spacing w:before="108"/>
              <w:ind w:left="85"/>
              <w:jc w:val="both"/>
              <w:rPr>
                <w:lang w:val="en-US"/>
              </w:rPr>
            </w:pPr>
            <w:proofErr w:type="spellStart"/>
            <w:r w:rsidRPr="003751AD">
              <w:rPr>
                <w:lang w:val="en-US"/>
              </w:rPr>
              <w:t>nCDCP_SK</w:t>
            </w:r>
            <w:proofErr w:type="spellEnd"/>
          </w:p>
          <w:p w14:paraId="7FE1D028" w14:textId="77777777" w:rsidR="0057131B" w:rsidRPr="003751AD" w:rsidRDefault="00355A1C">
            <w:pPr>
              <w:pStyle w:val="P68B1DB1-TableParagraph40"/>
              <w:spacing w:before="108"/>
              <w:ind w:left="85"/>
              <w:jc w:val="both"/>
              <w:rPr>
                <w:lang w:val="en-US"/>
              </w:rPr>
            </w:pPr>
            <w:proofErr w:type="spellStart"/>
            <w:r w:rsidRPr="003751AD">
              <w:rPr>
                <w:lang w:val="en-US"/>
              </w:rPr>
              <w:t>OeKB</w:t>
            </w:r>
            <w:proofErr w:type="spellEnd"/>
            <w:r w:rsidRPr="003751AD">
              <w:rPr>
                <w:lang w:val="en-US"/>
              </w:rPr>
              <w:t xml:space="preserve"> CSD_AT</w:t>
            </w:r>
          </w:p>
          <w:p w14:paraId="7FE1D029" w14:textId="77777777" w:rsidR="0057131B" w:rsidRDefault="00355A1C">
            <w:pPr>
              <w:pStyle w:val="P68B1DB1-TableParagraph40"/>
              <w:spacing w:before="108"/>
              <w:ind w:left="85"/>
              <w:jc w:val="both"/>
            </w:pPr>
            <w:r>
              <w:t>SAFIR_RO</w:t>
            </w:r>
          </w:p>
          <w:p w14:paraId="7FE1D02A" w14:textId="77777777" w:rsidR="0057131B" w:rsidRDefault="00355A1C">
            <w:pPr>
              <w:pStyle w:val="P68B1DB1-TableParagraph40"/>
              <w:spacing w:before="108"/>
              <w:ind w:left="85"/>
              <w:jc w:val="both"/>
            </w:pPr>
            <w:r>
              <w:t>SEX SIS_CH</w:t>
            </w:r>
          </w:p>
          <w:p w14:paraId="7FE1D02B" w14:textId="77777777" w:rsidR="0057131B" w:rsidRDefault="00355A1C">
            <w:pPr>
              <w:pStyle w:val="P68B1DB1-TableParagraph40"/>
              <w:spacing w:before="108"/>
              <w:ind w:left="85"/>
              <w:jc w:val="both"/>
            </w:pPr>
            <w:r>
              <w:t>SKARBNET4_PL</w:t>
            </w:r>
          </w:p>
          <w:p w14:paraId="7FE1D02C" w14:textId="77777777" w:rsidR="0057131B" w:rsidRDefault="00355A1C">
            <w:pPr>
              <w:pStyle w:val="P68B1DB1-TableParagraph40"/>
              <w:spacing w:before="108"/>
              <w:ind w:left="85"/>
              <w:jc w:val="both"/>
            </w:pPr>
            <w:r>
              <w:t>SKD_CZ</w:t>
            </w:r>
          </w:p>
          <w:p w14:paraId="7FE1D02D" w14:textId="77777777" w:rsidR="0057131B" w:rsidRDefault="00355A1C">
            <w:pPr>
              <w:pStyle w:val="P68B1DB1-TableParagraph40"/>
              <w:spacing w:before="108"/>
              <w:ind w:left="85"/>
              <w:jc w:val="both"/>
            </w:pPr>
            <w:r>
              <w:t>Vice ordförande Securities_DK</w:t>
            </w:r>
          </w:p>
          <w:p w14:paraId="7FE1D02E" w14:textId="77777777" w:rsidR="0057131B" w:rsidRDefault="00355A1C">
            <w:pPr>
              <w:pStyle w:val="P68B1DB1-TableParagraph40"/>
              <w:spacing w:before="108"/>
              <w:ind w:left="85"/>
              <w:jc w:val="both"/>
            </w:pPr>
            <w:r>
              <w:t>VPS_NEJ</w:t>
            </w:r>
          </w:p>
        </w:tc>
      </w:tr>
      <w:tr w:rsidR="0057131B"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57131B" w:rsidRDefault="00355A1C">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57131B" w:rsidRDefault="00355A1C">
            <w:pPr>
              <w:pStyle w:val="P68B1DB1-TableParagraph73"/>
              <w:spacing w:before="108"/>
              <w:ind w:left="85"/>
              <w:jc w:val="both"/>
              <w:rPr>
                <w:bCs/>
              </w:rPr>
            </w:pPr>
            <w:r>
              <w:t>Belopp för pantsättning, panträtt eller säkerhet</w:t>
            </w:r>
          </w:p>
          <w:p w14:paraId="7FE1D035" w14:textId="01C91AE9" w:rsidR="0057131B" w:rsidRDefault="00355A1C">
            <w:pPr>
              <w:pStyle w:val="P68B1DB1-TableParagraph40"/>
              <w:spacing w:before="108"/>
              <w:ind w:left="85"/>
              <w:jc w:val="both"/>
            </w:pPr>
            <w:r>
              <w:lastRenderedPageBreak/>
              <w:t>Om en skuld är säkrad genom pantsättning, panträtt eller säkerhet ska bruttomarknadsvärdet för den senare rapporteras. I annat fall ska denna kategori rapporteras som noll för skulder utan säkerhet. Detta belopp kommer att fastställa den säkrade och slutligen den osäkrade delen av en eventuell skuld med säkerhet. För säkerhetspooler som säkrar flera poster, fastställa den totala täckningsgraden och tillämpa proportionell tillämpning på alla poster som omfattas av denna pool.</w:t>
            </w:r>
          </w:p>
        </w:tc>
      </w:tr>
      <w:tr w:rsidR="0057131B"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57131B" w:rsidRDefault="00355A1C">
            <w:pPr>
              <w:pStyle w:val="P68B1DB1-Normal31"/>
            </w:pPr>
            <w:r>
              <w:lastRenderedPageBreak/>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57131B" w:rsidRDefault="00355A1C">
            <w:pPr>
              <w:pStyle w:val="P68B1DB1-TableParagraph73"/>
              <w:spacing w:before="108"/>
              <w:ind w:left="85"/>
              <w:jc w:val="both"/>
              <w:rPr>
                <w:bCs/>
              </w:rPr>
            </w:pPr>
            <w:r>
              <w:t xml:space="preserve">Borgensman </w:t>
            </w:r>
          </w:p>
          <w:p w14:paraId="7FE1D039" w14:textId="7525BFD5" w:rsidR="0057131B" w:rsidRDefault="00355A1C">
            <w:pPr>
              <w:pStyle w:val="P68B1DB1-TableParagraph40"/>
              <w:spacing w:before="108"/>
              <w:ind w:left="85"/>
              <w:jc w:val="both"/>
            </w:pPr>
            <w:r>
              <w:t>Om det finns garantier för instrumentet, ange en detaljerad identifiering av borgensmannen (LEI-kod, ISO 3166–1 alfa-2-landskod för staten osv.). Om det finns flera garanter ska alla identifierare rapporteras, åtskilda med semikolon.</w:t>
            </w:r>
          </w:p>
        </w:tc>
      </w:tr>
      <w:tr w:rsidR="0057131B"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57131B" w:rsidRDefault="00355A1C">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57131B" w:rsidRDefault="00355A1C">
            <w:pPr>
              <w:pStyle w:val="P68B1DB1-TableParagraph73"/>
              <w:spacing w:before="108"/>
              <w:ind w:left="85"/>
              <w:jc w:val="both"/>
              <w:rPr>
                <w:bCs/>
              </w:rPr>
            </w:pPr>
            <w:r>
              <w:t xml:space="preserve">Belopp som uppfyller villkoren för minimikravet för kapitalbas och kvalificerade skulder </w:t>
            </w:r>
          </w:p>
          <w:p w14:paraId="7FE1D044" w14:textId="63D3C63A" w:rsidR="0057131B" w:rsidRDefault="00355A1C">
            <w:pPr>
              <w:pStyle w:val="P68B1DB1-TableParagraph40"/>
              <w:spacing w:before="108"/>
              <w:ind w:left="85"/>
              <w:jc w:val="both"/>
            </w:pPr>
            <w:r>
              <w:t>Beloppet för kapitalbas och kvalificerade skulder som räknas med i det krav som fastställs i enlighet med artikel 45.1 i direktiv 2014/59/EU.</w:t>
            </w:r>
          </w:p>
        </w:tc>
      </w:tr>
      <w:tr w:rsidR="0057131B"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57131B" w:rsidRDefault="00355A1C">
            <w:pPr>
              <w:pStyle w:val="P68B1DB1-Normal31"/>
            </w:pPr>
            <w:r>
              <w:t>0310</w:t>
            </w:r>
          </w:p>
          <w:p w14:paraId="7FE1D047" w14:textId="77777777" w:rsidR="0057131B" w:rsidRDefault="00355A1C">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57131B" w:rsidRDefault="00355A1C">
            <w:pPr>
              <w:pStyle w:val="P68B1DB1-TableParagraph73"/>
              <w:spacing w:before="108"/>
              <w:ind w:left="85"/>
              <w:jc w:val="both"/>
              <w:rPr>
                <w:bCs/>
              </w:rPr>
            </w:pPr>
            <w:r>
              <w:t xml:space="preserve">Kvalificering som kapitalbas </w:t>
            </w:r>
          </w:p>
          <w:p w14:paraId="7FE1D049" w14:textId="4AE6A326" w:rsidR="0057131B" w:rsidRDefault="00355A1C">
            <w:pPr>
              <w:pStyle w:val="P68B1DB1-TableParagraph40"/>
              <w:spacing w:before="108"/>
              <w:ind w:left="85"/>
              <w:jc w:val="both"/>
            </w:pPr>
            <w:r>
              <w:t xml:space="preserve">Ange om och på vilken nivå instrumentet ingår i kapitalbasen, tillsammans med information om utfasningssystemet och bestämmelserna om tillämpning av äldre regler. Värdet kan vara ”Nej”, ”Partiellt AT1, T1 och T2”, ”T2 under utfasning”, ”Grandfalized T2”, ”Fullständig väntande T2”, ”Grandfalized AT1”, ”Fullständig anmälare AT1” eller ”CET1” från en fördefinierad förteckning. </w:t>
            </w:r>
          </w:p>
          <w:p w14:paraId="7FE1D04A" w14:textId="62223A6F" w:rsidR="0057131B" w:rsidRDefault="00355A1C">
            <w:pPr>
              <w:pStyle w:val="P68B1DB1-TableParagraph40"/>
              <w:spacing w:before="108"/>
              <w:ind w:left="85"/>
              <w:jc w:val="both"/>
            </w:pPr>
            <w:r>
              <w:t>I förteckningen över optioner avser termen ”utfasning” perioden på 5 år före förfallodagen för ett visst T2-instrument, under vilken det endast finns ett proportionellt erkännande baserat på den återstående tiden fram till förfallodagen. Med ”omfattas av äldre regler” avses alla övergångsåtgärder som är tillämpliga på ett T2-instrument, exklusive ”utfasning”. Under denna ”grandfathering” kan erkännandet vara fullständigt eller partiellt.</w:t>
            </w:r>
          </w:p>
          <w:p w14:paraId="7FE1D04B" w14:textId="56289907" w:rsidR="0057131B" w:rsidRDefault="00355A1C">
            <w:pPr>
              <w:pStyle w:val="P68B1DB1-TableParagraph40"/>
              <w:spacing w:before="108"/>
              <w:ind w:left="85"/>
              <w:jc w:val="both"/>
            </w:pPr>
            <w:r>
              <w:t xml:space="preserve"> </w:t>
            </w:r>
          </w:p>
        </w:tc>
      </w:tr>
      <w:tr w:rsidR="0057131B"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57131B" w:rsidRDefault="00355A1C">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57131B" w:rsidRDefault="00355A1C">
            <w:pPr>
              <w:pStyle w:val="P68B1DB1-TableParagraph40"/>
              <w:spacing w:before="108"/>
              <w:ind w:left="85"/>
              <w:jc w:val="both"/>
              <w:rPr>
                <w:b/>
                <w:bCs/>
              </w:rPr>
            </w:pPr>
            <w:r>
              <w:t xml:space="preserve"> </w:t>
            </w:r>
            <w:r>
              <w:rPr>
                <w:b/>
              </w:rPr>
              <w:t>Belopp som klassificeras som kapitalbas</w:t>
            </w:r>
          </w:p>
          <w:p w14:paraId="7FE1D050" w14:textId="1253231B" w:rsidR="0057131B" w:rsidRDefault="00355A1C">
            <w:pPr>
              <w:pStyle w:val="P68B1DB1-TableParagraph40"/>
              <w:spacing w:before="108"/>
              <w:ind w:left="85"/>
              <w:jc w:val="both"/>
            </w:pPr>
            <w:r>
              <w:t>Beloppet för det instrument som räknas som kapitalbas.</w:t>
            </w:r>
          </w:p>
        </w:tc>
      </w:tr>
    </w:tbl>
    <w:p w14:paraId="7FE1D052" w14:textId="77777777" w:rsidR="0057131B" w:rsidRDefault="0057131B">
      <w:pPr>
        <w:rPr>
          <w:rFonts w:ascii="Times New Roman" w:hAnsi="Times New Roman" w:cs="Times New Roman"/>
        </w:rPr>
      </w:pPr>
    </w:p>
    <w:p w14:paraId="7FE1D053" w14:textId="77777777" w:rsidR="0057131B" w:rsidRDefault="0057131B">
      <w:pPr>
        <w:pStyle w:val="Instructionsberschrift2"/>
        <w:ind w:left="357"/>
        <w:rPr>
          <w:rFonts w:ascii="Times New Roman" w:eastAsia="Calibri" w:hAnsi="Times New Roman" w:cs="Times New Roman"/>
          <w:szCs w:val="20"/>
        </w:rPr>
      </w:pPr>
    </w:p>
    <w:p w14:paraId="7FE1D054" w14:textId="6B5C3BCC" w:rsidR="0057131B" w:rsidRDefault="00355A1C">
      <w:pPr>
        <w:pStyle w:val="Instructionsberschrift2"/>
        <w:numPr>
          <w:ilvl w:val="1"/>
          <w:numId w:val="49"/>
        </w:numPr>
        <w:spacing w:before="0"/>
        <w:ind w:left="357" w:hanging="357"/>
        <w:rPr>
          <w:rFonts w:ascii="Times New Roman" w:hAnsi="Times New Roman" w:cs="Times New Roman"/>
        </w:rPr>
      </w:pPr>
      <w:bookmarkStart w:id="245" w:name="_Toc210901316"/>
      <w:r>
        <w:rPr>
          <w:rFonts w:ascii="Times New Roman" w:eastAsiaTheme="minorEastAsia" w:hAnsi="Times New Roman" w:cs="Times New Roman"/>
        </w:rPr>
        <w:t xml:space="preserve">Z 13.00 – Alla insättningar (utom inom gruppen) </w:t>
      </w:r>
      <w:r>
        <w:rPr>
          <w:rFonts w:ascii="Times New Roman" w:eastAsia="Calibri" w:hAnsi="Times New Roman" w:cs="Times New Roman"/>
          <w:szCs w:val="20"/>
        </w:rPr>
        <w:t>(LIAB-G-3)</w:t>
      </w:r>
      <w:bookmarkEnd w:id="245"/>
    </w:p>
    <w:p w14:paraId="7FE1D057" w14:textId="77777777" w:rsidR="0057131B" w:rsidRDefault="00355A1C">
      <w:pPr>
        <w:pStyle w:val="P68B1DB1-Numberedtitlelevel372"/>
      </w:pPr>
      <w:r>
        <w:t>Allmänna kommentarer</w:t>
      </w:r>
    </w:p>
    <w:p w14:paraId="7FE1D058" w14:textId="669C462E" w:rsidR="0057131B" w:rsidRDefault="00355A1C">
      <w:pPr>
        <w:pStyle w:val="P68B1DB1-InstructionsText26"/>
        <w:numPr>
          <w:ilvl w:val="2"/>
          <w:numId w:val="209"/>
        </w:numPr>
        <w:spacing w:before="0"/>
        <w:ind w:left="1418"/>
        <w:rPr>
          <w:rFonts w:eastAsia="Cambria"/>
        </w:rPr>
      </w:pPr>
      <w:r>
        <w:t>Denna rapport omfattar alla insättningar, med undantag för transaktioner inom gruppen, oavsett insättningens art eller löptid. Insättningar bör identifieras på grundval av definitionen i artikel 2.1 (3) i direktiv 2014/49/EU.</w:t>
      </w:r>
    </w:p>
    <w:p w14:paraId="7FE1D05A" w14:textId="4B3AE2E6" w:rsidR="0057131B" w:rsidRDefault="00355A1C">
      <w:pPr>
        <w:pStyle w:val="P68B1DB1-InstructionsText286"/>
        <w:numPr>
          <w:ilvl w:val="2"/>
          <w:numId w:val="209"/>
        </w:numPr>
        <w:spacing w:before="0"/>
        <w:ind w:left="1418"/>
      </w:pPr>
      <w:r>
        <w:t xml:space="preserve">I denna tabell grupperas all inlåning med Not-Covered-and-Not-Preferential (enligt definitionen i Z 02.00 – R0320) med en återstående löptid på mindre än 1 år, alla garanterade insättningar och inlåning med nationell täckning (enligt definitionen i Z 02.00 – R0310 och oavsett återstående löptid), per skuldkategori (kolumn 0020), typ av motpart (kolumn 0025) och rangordning vid insolvens (kolumn 0030). Inlåning med Not-Covered-and-Not-PSE med en återstående löptid på minst 1 år ska rapporteras som en enskild post på rad för alla begärda fält. </w:t>
      </w:r>
    </w:p>
    <w:p w14:paraId="7FE1D05B" w14:textId="4C000A39" w:rsidR="0057131B" w:rsidRDefault="00355A1C">
      <w:pPr>
        <w:pStyle w:val="InstructionsText2"/>
        <w:numPr>
          <w:ilvl w:val="2"/>
          <w:numId w:val="209"/>
        </w:numPr>
        <w:spacing w:before="0"/>
        <w:ind w:left="1418"/>
        <w:rPr>
          <w:rFonts w:ascii="Times New Roman" w:eastAsia="Cambria" w:hAnsi="Times New Roman" w:cs="Times New Roman"/>
          <w:sz w:val="20"/>
          <w:szCs w:val="20"/>
        </w:rPr>
      </w:pPr>
      <w:r>
        <w:rPr>
          <w:rFonts w:ascii="Times New Roman" w:hAnsi="Times New Roman" w:cs="Times New Roman"/>
        </w:rPr>
        <w:t xml:space="preserve">Trots vad som </w:t>
      </w:r>
      <w:r>
        <w:rPr>
          <w:rFonts w:ascii="Times New Roman" w:eastAsia="Cambria" w:hAnsi="Times New Roman" w:cs="Times New Roman"/>
          <w:sz w:val="20"/>
          <w:szCs w:val="20"/>
        </w:rPr>
        <w:t>sägs i punkt 67 ska varje insättning från ett kreditinstitut, oavsett typ av insättning, rapporteras som en enskild radpost</w:t>
      </w:r>
      <w:r>
        <w:rPr>
          <w:rFonts w:ascii="Times New Roman" w:hAnsi="Times New Roman" w:cs="Times New Roman"/>
        </w:rPr>
        <w:t xml:space="preserve"> </w:t>
      </w:r>
      <w:r>
        <w:rPr>
          <w:rFonts w:ascii="Times New Roman" w:eastAsia="Cambria" w:hAnsi="Times New Roman" w:cs="Times New Roman"/>
          <w:sz w:val="20"/>
          <w:szCs w:val="20"/>
        </w:rPr>
        <w:t>med avseende på alla begärda fält. Till exempel måste en transaktion rapporteras i flera rader om den avser olika rangordningar vid insolvens.</w:t>
      </w:r>
    </w:p>
    <w:p w14:paraId="7FE1D05C" w14:textId="0E610125" w:rsidR="0057131B" w:rsidRDefault="00355A1C">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lastRenderedPageBreak/>
        <w:t>Alla andra insättningar som inte uttryckligen nämns ovan måste rapporteras som en enskild radpost</w:t>
      </w:r>
      <w:r>
        <w:rPr>
          <w:rFonts w:ascii="Times New Roman" w:hAnsi="Times New Roman" w:cs="Times New Roman"/>
        </w:rPr>
        <w:t xml:space="preserve"> </w:t>
      </w:r>
      <w:r>
        <w:rPr>
          <w:rFonts w:ascii="Times New Roman" w:eastAsia="Cambria" w:hAnsi="Times New Roman" w:cs="Times New Roman"/>
          <w:sz w:val="20"/>
          <w:szCs w:val="20"/>
        </w:rPr>
        <w:t>med avseende på alla begärda fält.</w:t>
      </w:r>
    </w:p>
    <w:p w14:paraId="7FE1D061" w14:textId="77777777" w:rsidR="0057131B" w:rsidRDefault="00355A1C">
      <w:pPr>
        <w:pStyle w:val="P68B1DB1-InstructionsText287"/>
        <w:numPr>
          <w:ilvl w:val="0"/>
          <w:numId w:val="0"/>
        </w:numPr>
        <w:ind w:left="753"/>
      </w:pPr>
      <w:r>
        <w:t>Instruktioner för specifika positioner</w:t>
      </w:r>
    </w:p>
    <w:tbl>
      <w:tblPr>
        <w:tblW w:w="0" w:type="auto"/>
        <w:tblLook w:val="01E0" w:firstRow="1" w:lastRow="1" w:firstColumn="1" w:lastColumn="1" w:noHBand="0" w:noVBand="0"/>
      </w:tblPr>
      <w:tblGrid>
        <w:gridCol w:w="1188"/>
        <w:gridCol w:w="7772"/>
        <w:gridCol w:w="66"/>
      </w:tblGrid>
      <w:tr w:rsidR="0057131B"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57131B" w:rsidRDefault="00355A1C">
            <w:pPr>
              <w:pStyle w:val="P68B1DB1-TableParagraph17"/>
              <w:spacing w:before="108"/>
              <w:ind w:left="85"/>
            </w:pPr>
            <w:r>
              <w:t>Kolumner</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57131B" w:rsidRDefault="00355A1C">
            <w:pPr>
              <w:pStyle w:val="P68B1DB1-TableParagraph17"/>
              <w:spacing w:before="108"/>
              <w:ind w:left="85" w:right="1"/>
            </w:pPr>
            <w:r>
              <w:t>Anvisningar</w:t>
            </w:r>
          </w:p>
        </w:tc>
      </w:tr>
      <w:tr w:rsidR="0057131B"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57131B" w:rsidRDefault="00355A1C">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57131B" w:rsidRDefault="00355A1C">
            <w:pPr>
              <w:pStyle w:val="P68B1DB1-TableParagraph73"/>
              <w:spacing w:before="108"/>
              <w:ind w:left="85"/>
              <w:jc w:val="both"/>
              <w:rPr>
                <w:bCs/>
              </w:rPr>
            </w:pPr>
            <w:r>
              <w:t xml:space="preserve">NR </w:t>
            </w:r>
          </w:p>
          <w:p w14:paraId="7FE1D067" w14:textId="43449971" w:rsidR="0057131B" w:rsidRDefault="00355A1C">
            <w:pPr>
              <w:pStyle w:val="P68B1DB1-TableParagraph40"/>
              <w:spacing w:before="108"/>
              <w:ind w:left="85"/>
              <w:jc w:val="both"/>
            </w:pPr>
            <w:r>
              <w:t>Unikt nummer/primärnyckel för att identifiera radposterna.</w:t>
            </w:r>
          </w:p>
        </w:tc>
      </w:tr>
      <w:tr w:rsidR="0057131B"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57131B" w:rsidRDefault="00355A1C">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57131B" w:rsidRDefault="00355A1C">
            <w:pPr>
              <w:pStyle w:val="P68B1DB1-TableParagraph73"/>
              <w:spacing w:before="108"/>
              <w:ind w:left="85"/>
              <w:jc w:val="both"/>
              <w:rPr>
                <w:bCs/>
              </w:rPr>
            </w:pPr>
            <w:r>
              <w:t xml:space="preserve">Rad </w:t>
            </w:r>
          </w:p>
          <w:p w14:paraId="7FE1D06B" w14:textId="7887C3E1" w:rsidR="0057131B" w:rsidRDefault="00355A1C">
            <w:pPr>
              <w:pStyle w:val="P68B1DB1-TableParagraph40"/>
              <w:spacing w:before="108"/>
              <w:ind w:left="85"/>
              <w:jc w:val="both"/>
            </w:pPr>
            <w:r>
              <w:t>För varje rapporterad rad måste en avstämning med skuldstrukturens kategori i Z02.00 göras på löptidsnivå från en fördefinierad värdelista.</w:t>
            </w:r>
          </w:p>
        </w:tc>
      </w:tr>
      <w:tr w:rsidR="0057131B"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57131B" w:rsidRDefault="00355A1C">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57131B" w:rsidRDefault="00355A1C">
            <w:pPr>
              <w:pStyle w:val="P68B1DB1-TableParagraph73"/>
              <w:spacing w:before="108"/>
              <w:ind w:left="85"/>
              <w:jc w:val="both"/>
              <w:rPr>
                <w:bCs/>
              </w:rPr>
            </w:pPr>
            <w:r>
              <w:t xml:space="preserve">Kolumn </w:t>
            </w:r>
          </w:p>
          <w:p w14:paraId="7FE1D06F" w14:textId="34DE133F" w:rsidR="0057131B" w:rsidRDefault="00355A1C">
            <w:pPr>
              <w:pStyle w:val="P68B1DB1-TableParagraph40"/>
              <w:spacing w:before="108"/>
              <w:ind w:left="85"/>
              <w:jc w:val="both"/>
            </w:pPr>
            <w:r>
              <w:t>För varje rapporterad rad ska en avstämning göras med den motpartsklass som inlåningen ska hänföras till i form av en på förhand fastställd värdelista.</w:t>
            </w:r>
          </w:p>
        </w:tc>
      </w:tr>
      <w:tr w:rsidR="0057131B"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57131B" w:rsidRDefault="00355A1C">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57131B" w:rsidRDefault="00355A1C">
            <w:pPr>
              <w:pStyle w:val="P68B1DB1-TableParagraph73"/>
              <w:spacing w:before="108"/>
              <w:ind w:left="85"/>
              <w:jc w:val="both"/>
              <w:rPr>
                <w:bCs/>
              </w:rPr>
            </w:pPr>
            <w:r>
              <w:t xml:space="preserve">Rangordning vid insolvens  </w:t>
            </w:r>
          </w:p>
          <w:p w14:paraId="7FE1D073" w14:textId="3CA3DC07"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57131B" w:rsidRDefault="00355A1C">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57131B" w:rsidRDefault="00355A1C">
            <w:pPr>
              <w:pStyle w:val="P68B1DB1-TableParagraph73"/>
              <w:spacing w:before="108"/>
              <w:ind w:left="85"/>
              <w:jc w:val="both"/>
              <w:rPr>
                <w:bCs/>
              </w:rPr>
            </w:pPr>
            <w:r>
              <w:t xml:space="preserve">Identifierare: Kontraktet eller ramavtalet </w:t>
            </w:r>
          </w:p>
          <w:p w14:paraId="7FE1D077" w14:textId="77777777" w:rsidR="0057131B" w:rsidRDefault="00355A1C">
            <w:pPr>
              <w:pStyle w:val="P68B1DB1-TableParagraph40"/>
              <w:spacing w:before="108"/>
              <w:ind w:left="85"/>
              <w:jc w:val="both"/>
            </w:pPr>
            <w:r>
              <w:t>Intern identifierare för kontraktet.</w:t>
            </w:r>
          </w:p>
        </w:tc>
      </w:tr>
      <w:tr w:rsidR="0057131B"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57131B" w:rsidRDefault="00355A1C">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57131B" w:rsidRDefault="00355A1C">
            <w:pPr>
              <w:pStyle w:val="P68B1DB1-TableParagraph73"/>
              <w:spacing w:before="108"/>
              <w:ind w:left="85"/>
              <w:jc w:val="both"/>
              <w:rPr>
                <w:bCs/>
              </w:rPr>
            </w:pPr>
            <w:r>
              <w:t xml:space="preserve">Identifieringskod för motpart  </w:t>
            </w:r>
          </w:p>
          <w:p w14:paraId="7FE1D07B" w14:textId="67D0F26D" w:rsidR="0057131B" w:rsidRDefault="00355A1C">
            <w:pPr>
              <w:pStyle w:val="P68B1DB1-TableParagraph40"/>
              <w:spacing w:before="108"/>
              <w:ind w:left="85"/>
              <w:jc w:val="both"/>
            </w:pPr>
            <w:r>
              <w:t xml:space="preserve">Rapportera insättarens LEI-kod. I avsaknad av LEI-kod, när det gäller bankrapporter, ECB:s identifieringskod för monetära finansinstitut (MFI ID) som används i RIAD. Endast i avsaknad av båda dessa identifierare rapportera en intern identifierare (endast en unik identifierare per motpart). </w:t>
            </w:r>
          </w:p>
        </w:tc>
      </w:tr>
      <w:tr w:rsidR="0057131B" w14:paraId="7FE1D07F" w14:textId="77777777">
        <w:tc>
          <w:tcPr>
            <w:tcW w:w="1188" w:type="dxa"/>
            <w:vMerge/>
            <w:tcBorders>
              <w:bottom w:val="single" w:sz="4" w:space="0" w:color="auto"/>
              <w:right w:val="single" w:sz="8" w:space="0" w:color="1A171C"/>
            </w:tcBorders>
            <w:vAlign w:val="center"/>
          </w:tcPr>
          <w:p w14:paraId="7FE1D07D" w14:textId="77777777" w:rsidR="0057131B" w:rsidRDefault="0057131B">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57131B" w:rsidRDefault="00355A1C">
            <w:pPr>
              <w:pStyle w:val="P68B1DB1-TableParagraph40"/>
              <w:spacing w:before="108"/>
              <w:ind w:left="85"/>
              <w:jc w:val="both"/>
            </w:pPr>
            <w:r>
              <w:t>För inlåning som rapporteras på aggregerad nivå, ange ”0000” eftersom detta fält är obligatoriskt.</w:t>
            </w:r>
          </w:p>
        </w:tc>
      </w:tr>
      <w:tr w:rsidR="0057131B"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57131B" w:rsidRDefault="00355A1C">
            <w:pPr>
              <w:pStyle w:val="P68B1DB1-Normal31"/>
            </w:pPr>
            <w:r>
              <w:t>0045</w:t>
            </w:r>
          </w:p>
        </w:tc>
        <w:tc>
          <w:tcPr>
            <w:tcW w:w="7838" w:type="dxa"/>
            <w:gridSpan w:val="2"/>
            <w:tcBorders>
              <w:top w:val="single" w:sz="4" w:space="0" w:color="auto"/>
              <w:left w:val="single" w:sz="4" w:space="0" w:color="auto"/>
            </w:tcBorders>
          </w:tcPr>
          <w:p w14:paraId="7FE1D081" w14:textId="05C93935" w:rsidR="0057131B" w:rsidRDefault="00355A1C">
            <w:pPr>
              <w:pStyle w:val="P68B1DB1-TableParagraph73"/>
              <w:spacing w:before="108"/>
              <w:ind w:left="85"/>
              <w:jc w:val="both"/>
              <w:rPr>
                <w:bCs/>
              </w:rPr>
            </w:pPr>
            <w:r>
              <w:t xml:space="preserve">Typ av identifierare </w:t>
            </w:r>
          </w:p>
          <w:p w14:paraId="7FE1D082"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57131B" w:rsidRDefault="0057131B">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57131B" w:rsidRDefault="00355A1C">
            <w:pPr>
              <w:pStyle w:val="P68B1DB1-TableParagraph40"/>
              <w:spacing w:before="108"/>
              <w:ind w:left="85"/>
              <w:jc w:val="both"/>
            </w:pPr>
            <w:r>
              <w:t>För inlåning som rapporteras på aggregerad nivå, ange ”Typ av identifieringskod, annan än LEI-kod eller MFI-kod”.</w:t>
            </w:r>
          </w:p>
        </w:tc>
      </w:tr>
      <w:tr w:rsidR="0057131B"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57131B" w:rsidRDefault="00355A1C">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57131B" w:rsidRDefault="00355A1C">
            <w:pPr>
              <w:pStyle w:val="P68B1DB1-TableParagraph73"/>
              <w:spacing w:before="108"/>
              <w:ind w:left="85"/>
              <w:jc w:val="both"/>
              <w:rPr>
                <w:bCs/>
              </w:rPr>
            </w:pPr>
            <w:r>
              <w:t xml:space="preserve">Tillämplig lag  </w:t>
            </w:r>
          </w:p>
          <w:p w14:paraId="7FE1D089" w14:textId="1A451092" w:rsidR="0057131B" w:rsidRDefault="00355A1C">
            <w:pPr>
              <w:pStyle w:val="P68B1DB1-TableParagraph40"/>
              <w:spacing w:before="108"/>
              <w:ind w:left="85"/>
              <w:jc w:val="both"/>
            </w:pPr>
            <w:r>
              <w:t>ISO 3166–1 alpha-2-koden för det land vars lag reglerar instrumentet (använd ISO 3166–2-koden när lagen i en administrativ underavdelning är relevant, t.ex. ”US-NY”). Om avtalet regleras av lagen i mer än ett land ska det land vars lag har störst betydelse för erkännandet av nedskrivnings- och konverteringsbefogenheter rapporteras.  För inlåning som rapporteras på aggregerad nivå, använd värdet ”Övriga länder”.</w:t>
            </w:r>
          </w:p>
        </w:tc>
      </w:tr>
      <w:tr w:rsidR="0057131B"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57131B" w:rsidRDefault="00355A1C">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57131B" w:rsidRDefault="00355A1C">
            <w:pPr>
              <w:pStyle w:val="P68B1DB1-TableParagraph73"/>
              <w:spacing w:before="108"/>
              <w:ind w:left="85"/>
              <w:jc w:val="both"/>
              <w:rPr>
                <w:bCs/>
              </w:rPr>
            </w:pPr>
            <w:r>
              <w:t xml:space="preserve">Valuta  </w:t>
            </w:r>
          </w:p>
          <w:p w14:paraId="7FE1D08D" w14:textId="3FCE0053" w:rsidR="0057131B" w:rsidRDefault="00355A1C">
            <w:pPr>
              <w:pStyle w:val="P68B1DB1-TableParagraph40"/>
              <w:spacing w:before="108"/>
              <w:ind w:left="85"/>
              <w:jc w:val="both"/>
            </w:pPr>
            <w:r>
              <w:t>Inlåningens valuta i enlighet med dess ISO 3-bokstavskod på 4217 bokstäver. För inlåning som rapporteras på aggregerad nivå, använd värdet ”XXX”.</w:t>
            </w:r>
          </w:p>
        </w:tc>
      </w:tr>
      <w:tr w:rsidR="0057131B"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57131B" w:rsidRDefault="00355A1C">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57131B" w:rsidRDefault="00355A1C">
            <w:pPr>
              <w:pStyle w:val="P68B1DB1-TableParagraph73"/>
              <w:spacing w:before="108"/>
              <w:ind w:left="85"/>
              <w:jc w:val="both"/>
              <w:rPr>
                <w:bCs/>
              </w:rPr>
            </w:pPr>
            <w:r>
              <w:t xml:space="preserve">Utestående kapitalbelopp  </w:t>
            </w:r>
          </w:p>
          <w:p w14:paraId="7FE1D091" w14:textId="6232EFBD" w:rsidR="0057131B" w:rsidRDefault="00355A1C">
            <w:pPr>
              <w:pStyle w:val="P68B1DB1-TableParagraph40"/>
              <w:spacing w:before="108"/>
              <w:ind w:left="85"/>
              <w:jc w:val="both"/>
            </w:pPr>
            <w:r>
              <w:t>Insättningens utestående kapitalbelopp.</w:t>
            </w:r>
          </w:p>
        </w:tc>
      </w:tr>
      <w:tr w:rsidR="0057131B"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57131B" w:rsidRDefault="00355A1C">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57131B" w:rsidRDefault="00355A1C">
            <w:pPr>
              <w:pStyle w:val="P68B1DB1-TableParagraph73"/>
              <w:spacing w:before="108"/>
              <w:ind w:left="85"/>
              <w:jc w:val="both"/>
              <w:rPr>
                <w:bCs/>
              </w:rPr>
            </w:pPr>
            <w:r>
              <w:t xml:space="preserve">Upplupen ränta </w:t>
            </w:r>
          </w:p>
          <w:p w14:paraId="7FE1D095" w14:textId="1CBCCFC7" w:rsidR="0057131B" w:rsidRDefault="00355A1C">
            <w:pPr>
              <w:pStyle w:val="P68B1DB1-TableParagraph40"/>
              <w:spacing w:before="108"/>
              <w:ind w:left="85"/>
              <w:jc w:val="both"/>
            </w:pPr>
            <w:r>
              <w:t>Utestående upplupen ränta på inlåningen.</w:t>
            </w:r>
          </w:p>
        </w:tc>
      </w:tr>
      <w:tr w:rsidR="0057131B"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57131B" w:rsidRDefault="00355A1C">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57131B" w:rsidRDefault="00355A1C">
            <w:pPr>
              <w:pStyle w:val="P68B1DB1-TableParagraph73"/>
              <w:spacing w:before="108"/>
              <w:ind w:left="85"/>
              <w:jc w:val="both"/>
              <w:rPr>
                <w:bCs/>
              </w:rPr>
            </w:pPr>
            <w:r>
              <w:t xml:space="preserve">Aktuell räntesats (%). </w:t>
            </w:r>
          </w:p>
          <w:p w14:paraId="7FE1D099" w14:textId="0E3CB279" w:rsidR="0057131B" w:rsidRDefault="00355A1C">
            <w:pPr>
              <w:pStyle w:val="P68B1DB1-TableParagraph40"/>
              <w:spacing w:before="108"/>
              <w:ind w:left="85"/>
              <w:jc w:val="both"/>
            </w:pPr>
            <w:r>
              <w:lastRenderedPageBreak/>
              <w:t xml:space="preserve">Aktuell nivå på den räntesats som är tillämplig på inlåningen. </w:t>
            </w:r>
          </w:p>
        </w:tc>
      </w:tr>
      <w:tr w:rsidR="0057131B"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57131B" w:rsidRDefault="00355A1C">
            <w:pPr>
              <w:pStyle w:val="P68B1DB1-TableParagraph40"/>
              <w:spacing w:before="108"/>
              <w:ind w:left="85"/>
              <w:jc w:val="both"/>
            </w:pPr>
            <w:r>
              <w:lastRenderedPageBreak/>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57131B" w:rsidRDefault="00355A1C">
            <w:pPr>
              <w:pStyle w:val="P68B1DB1-TableParagraph73"/>
              <w:spacing w:before="108"/>
              <w:ind w:left="85"/>
              <w:jc w:val="both"/>
              <w:rPr>
                <w:bCs/>
              </w:rPr>
            </w:pPr>
            <w:r>
              <w:t xml:space="preserve">Belopp för pantsättning, panträtt eller säkerhet </w:t>
            </w:r>
          </w:p>
          <w:p w14:paraId="7FE1D0A2" w14:textId="5FFC3F02" w:rsidR="0057131B" w:rsidRDefault="00355A1C">
            <w:pPr>
              <w:pStyle w:val="P68B1DB1-TableParagraph40"/>
              <w:spacing w:before="108"/>
              <w:ind w:left="85"/>
              <w:jc w:val="both"/>
            </w:pPr>
            <w:r>
              <w:t>Om en skuld är säkrad genom pantsättning, panträtt eller säkerhet ska bruttomarknadsvärdet för den senare anges. I annat fall ska denna kategori rapporteras som noll för skulder utan säkerhet. Detta belopp kommer att fastställa den del av eventuell inlåning med säkerhet som säkerhet och så småningom den osäkrade delen. För säkerhetspooler som säkrar flera radposter, fastställa den totala täckningsgraden och tillämpa proportionell tillämpning på alla radposter som omfattas av denna pool.</w:t>
            </w:r>
          </w:p>
        </w:tc>
      </w:tr>
      <w:tr w:rsidR="0057131B"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57131B" w:rsidRDefault="00355A1C">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57131B" w:rsidRDefault="00355A1C">
            <w:pPr>
              <w:pStyle w:val="P68B1DB1-TableParagraph73"/>
              <w:spacing w:before="108"/>
              <w:ind w:left="85"/>
              <w:jc w:val="both"/>
              <w:rPr>
                <w:bCs/>
              </w:rPr>
            </w:pPr>
            <w:r>
              <w:t xml:space="preserve">Belopp som uppfyller villkoren för minimikravet för kapitalbas och kvalificerade skulder </w:t>
            </w:r>
          </w:p>
          <w:p w14:paraId="7FE1D0A6" w14:textId="65380CFA" w:rsidR="0057131B" w:rsidRDefault="00355A1C">
            <w:pPr>
              <w:pStyle w:val="P68B1DB1-TableParagraph40"/>
              <w:spacing w:before="108"/>
              <w:ind w:left="85"/>
              <w:jc w:val="both"/>
            </w:pPr>
            <w:r>
              <w:t>Beloppet för kapitalbas och kvalificerade skulder som räknas med i det krav som fastställs i enlighet med artikel 45.1 i direktiv 2014/59/EU.</w:t>
            </w:r>
          </w:p>
        </w:tc>
      </w:tr>
      <w:tr w:rsidR="0057131B"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57131B" w:rsidRDefault="00355A1C">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57131B" w:rsidRDefault="00355A1C">
            <w:pPr>
              <w:pStyle w:val="P68B1DB1-TableParagraph73"/>
              <w:spacing w:before="108"/>
              <w:ind w:left="85"/>
              <w:jc w:val="both"/>
              <w:rPr>
                <w:bCs/>
              </w:rPr>
            </w:pPr>
            <w:r>
              <w:t xml:space="preserve">Utfärdandedatum för inlåning på förfallodagen </w:t>
            </w:r>
          </w:p>
          <w:p w14:paraId="7FE1D0AA" w14:textId="77777777" w:rsidR="0057131B" w:rsidRDefault="00355A1C">
            <w:pPr>
              <w:pStyle w:val="P68B1DB1-TableParagraph40"/>
              <w:spacing w:before="108"/>
              <w:ind w:left="85"/>
              <w:jc w:val="both"/>
            </w:pPr>
            <w:r>
              <w:t>Datum för det ursprungliga utfärdandet av den tidsbegränsade depositionen.</w:t>
            </w:r>
          </w:p>
        </w:tc>
      </w:tr>
      <w:tr w:rsidR="0057131B" w14:paraId="7FE1D0AF" w14:textId="77777777">
        <w:tc>
          <w:tcPr>
            <w:tcW w:w="1188" w:type="dxa"/>
            <w:vMerge w:val="restart"/>
            <w:tcBorders>
              <w:top w:val="single" w:sz="8" w:space="0" w:color="1A171C"/>
              <w:left w:val="nil"/>
              <w:right w:val="single" w:sz="8" w:space="0" w:color="1A171C"/>
            </w:tcBorders>
          </w:tcPr>
          <w:p w14:paraId="7FE1D0AC" w14:textId="77777777" w:rsidR="0057131B" w:rsidRDefault="00355A1C">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57131B" w:rsidRDefault="00355A1C">
            <w:pPr>
              <w:pStyle w:val="P68B1DB1-TableParagraph73"/>
              <w:spacing w:before="108"/>
              <w:ind w:left="85"/>
              <w:jc w:val="both"/>
              <w:rPr>
                <w:bCs/>
              </w:rPr>
            </w:pPr>
            <w:r>
              <w:t xml:space="preserve">Tidigaste inlösendatum  </w:t>
            </w:r>
          </w:p>
          <w:p w14:paraId="7FE1D0AE" w14:textId="5DABFCEF" w:rsidR="0057131B" w:rsidRDefault="00355A1C">
            <w:pPr>
              <w:pStyle w:val="P68B1DB1-TableParagraph40"/>
              <w:spacing w:before="108"/>
              <w:ind w:left="85"/>
              <w:jc w:val="both"/>
            </w:pPr>
            <w:r>
              <w:t>Om det finns en möjlighet för borgenärens innehavare att begära förtida återbetalning av skulden, eller om villkoren för förtida återbetalning föreskrivs i avtalet, ange det tidigaste datumet, annars datumet för den lagstadgade sista förfallodagen för insättningen. Om den förtida återbetalningen endast avser en del av skulden (t.ex. förtida återbetalning på 50 % av det nominella beloppet), dela upp skulden för att ta hänsyn till denna partiella klausul om förtida inlösen.</w:t>
            </w:r>
          </w:p>
        </w:tc>
      </w:tr>
      <w:tr w:rsidR="0057131B" w14:paraId="7FE1D0B2" w14:textId="77777777">
        <w:tc>
          <w:tcPr>
            <w:tcW w:w="1188" w:type="dxa"/>
            <w:vMerge/>
            <w:tcBorders>
              <w:bottom w:val="single" w:sz="8" w:space="0" w:color="1A171C"/>
              <w:right w:val="single" w:sz="8" w:space="0" w:color="1A171C"/>
            </w:tcBorders>
            <w:vAlign w:val="center"/>
          </w:tcPr>
          <w:p w14:paraId="7FE1D0B0" w14:textId="77777777" w:rsidR="0057131B" w:rsidRDefault="0057131B">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57131B" w:rsidRDefault="00355A1C">
            <w:pPr>
              <w:pStyle w:val="P68B1DB1-TableParagraph40"/>
              <w:spacing w:before="108"/>
              <w:ind w:left="85"/>
              <w:jc w:val="both"/>
            </w:pPr>
            <w:r>
              <w:t xml:space="preserve">För inlåning som rapporteras på aggregerad nivå ska det tidigaste inlösendatumet rapporteras som ”2199–12–31”. </w:t>
            </w:r>
          </w:p>
        </w:tc>
      </w:tr>
      <w:tr w:rsidR="0057131B" w14:paraId="7FE1D0B6" w14:textId="77777777">
        <w:tc>
          <w:tcPr>
            <w:tcW w:w="1188" w:type="dxa"/>
            <w:vMerge w:val="restart"/>
            <w:tcBorders>
              <w:top w:val="single" w:sz="8" w:space="0" w:color="1A171C"/>
              <w:left w:val="nil"/>
              <w:right w:val="single" w:sz="8" w:space="0" w:color="1A171C"/>
            </w:tcBorders>
          </w:tcPr>
          <w:p w14:paraId="7FE1D0B3" w14:textId="413885FF" w:rsidR="0057131B" w:rsidRDefault="0057131B">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57131B" w:rsidRDefault="0057131B">
            <w:pPr>
              <w:pStyle w:val="TableParagraph"/>
              <w:spacing w:before="108"/>
              <w:ind w:left="85"/>
              <w:jc w:val="both"/>
              <w:rPr>
                <w:rFonts w:ascii="Times New Roman" w:eastAsia="Times New Roman" w:hAnsi="Times New Roman" w:cs="Times New Roman"/>
                <w:sz w:val="20"/>
                <w:szCs w:val="20"/>
              </w:rPr>
            </w:pPr>
          </w:p>
        </w:tc>
      </w:tr>
      <w:tr w:rsidR="0057131B" w14:paraId="7FE1D0B9" w14:textId="77777777">
        <w:tc>
          <w:tcPr>
            <w:tcW w:w="1188" w:type="dxa"/>
            <w:vMerge/>
            <w:tcBorders>
              <w:bottom w:val="single" w:sz="8" w:space="0" w:color="1A171C"/>
              <w:right w:val="single" w:sz="8" w:space="0" w:color="1A171C"/>
            </w:tcBorders>
            <w:vAlign w:val="center"/>
          </w:tcPr>
          <w:p w14:paraId="7FE1D0B7" w14:textId="77777777" w:rsidR="0057131B" w:rsidRDefault="0057131B">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57131B" w:rsidRDefault="0057131B">
            <w:pPr>
              <w:rPr>
                <w:rFonts w:ascii="Times New Roman" w:hAnsi="Times New Roman" w:cs="Times New Roman"/>
              </w:rPr>
            </w:pPr>
          </w:p>
        </w:tc>
      </w:tr>
    </w:tbl>
    <w:p w14:paraId="7FE1D0BA" w14:textId="77777777" w:rsidR="0057131B" w:rsidRDefault="0057131B">
      <w:pPr>
        <w:pStyle w:val="body"/>
        <w:rPr>
          <w:rFonts w:ascii="Times New Roman" w:hAnsi="Times New Roman" w:cs="Times New Roman"/>
          <w:color w:val="000000" w:themeColor="text1"/>
          <w:sz w:val="20"/>
          <w:szCs w:val="20"/>
        </w:rPr>
      </w:pPr>
    </w:p>
    <w:p w14:paraId="7FE1D0BB" w14:textId="77777777" w:rsidR="0057131B" w:rsidRDefault="0057131B">
      <w:pPr>
        <w:rPr>
          <w:rFonts w:ascii="Times New Roman" w:hAnsi="Times New Roman" w:cs="Times New Roman"/>
        </w:rPr>
      </w:pPr>
    </w:p>
    <w:p w14:paraId="7FE1D0BC" w14:textId="77777777" w:rsidR="0057131B" w:rsidRDefault="0057131B">
      <w:pPr>
        <w:pStyle w:val="Instructionsberschrift2"/>
        <w:ind w:left="357"/>
        <w:rPr>
          <w:rFonts w:ascii="Times New Roman" w:eastAsia="Calibri" w:hAnsi="Times New Roman" w:cs="Times New Roman"/>
          <w:szCs w:val="20"/>
        </w:rPr>
      </w:pPr>
    </w:p>
    <w:p w14:paraId="7FE1D0BD" w14:textId="2FE97D37" w:rsidR="0057131B" w:rsidRDefault="00355A1C">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1090131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Övriga finansiella skulder (som inte ingår i andra flikar, utom inom gruppen) </w:t>
      </w:r>
      <w:r>
        <w:rPr>
          <w:rFonts w:ascii="Times New Roman" w:eastAsia="Calibri" w:hAnsi="Times New Roman" w:cs="Times New Roman"/>
          <w:szCs w:val="20"/>
        </w:rPr>
        <w:t>(LIAB-G-4)</w:t>
      </w:r>
      <w:bookmarkEnd w:id="246"/>
    </w:p>
    <w:p w14:paraId="7FE1D0BE" w14:textId="56404057" w:rsidR="0057131B" w:rsidRDefault="0057131B">
      <w:pPr>
        <w:pStyle w:val="Instructionsberschrift2"/>
        <w:ind w:left="357"/>
        <w:rPr>
          <w:rFonts w:ascii="Times New Roman" w:eastAsiaTheme="minorEastAsia" w:hAnsi="Times New Roman" w:cs="Times New Roman"/>
          <w:color w:val="000000" w:themeColor="text1"/>
        </w:rPr>
      </w:pPr>
    </w:p>
    <w:p w14:paraId="7FE1D0BF" w14:textId="77777777" w:rsidR="0057131B" w:rsidRDefault="00355A1C">
      <w:pPr>
        <w:pStyle w:val="P68B1DB1-Numberedtitlelevel372"/>
      </w:pPr>
      <w:r>
        <w:t>Allmänna kommentarer</w:t>
      </w:r>
    </w:p>
    <w:p w14:paraId="7FE1D0C0" w14:textId="28B97243" w:rsidR="0057131B" w:rsidRDefault="00355A1C">
      <w:pPr>
        <w:pStyle w:val="P68B1DB1-InstructionsText286"/>
        <w:numPr>
          <w:ilvl w:val="2"/>
          <w:numId w:val="209"/>
        </w:numPr>
        <w:spacing w:before="0"/>
        <w:ind w:left="1276"/>
      </w:pPr>
      <w:r>
        <w:t>Denna tabell omfattar alla skulder som inte rapporteras i något av de andra detaljerade informationskraven (dvs. Z11.00, Z12.00, Z13.00, Z15.00, Z16.00 och Z17.00), såsom lån, operativa skulder, skulder till clearingorganisationer osv.</w:t>
      </w:r>
    </w:p>
    <w:p w14:paraId="7FE1D0C2" w14:textId="3CB02A11" w:rsidR="0057131B" w:rsidRDefault="00355A1C">
      <w:pPr>
        <w:pStyle w:val="P68B1DB1-InstructionsText286"/>
        <w:numPr>
          <w:ilvl w:val="2"/>
          <w:numId w:val="209"/>
        </w:numPr>
        <w:spacing w:before="0"/>
        <w:ind w:left="1276"/>
      </w:pPr>
      <w:r>
        <w:t>Celler som inte är tillämpliga för en viss skuld (t.ex. upplupen ränta, aktuell ränta, emissionsdatum osv.) kan lämnas tomma.</w:t>
      </w:r>
    </w:p>
    <w:p w14:paraId="7FE1D0C3" w14:textId="7C8B3D6D" w:rsidR="0057131B" w:rsidRDefault="00355A1C">
      <w:pPr>
        <w:pStyle w:val="P68B1DB1-InstructionsText286"/>
        <w:numPr>
          <w:ilvl w:val="2"/>
          <w:numId w:val="209"/>
        </w:numPr>
        <w:spacing w:before="0"/>
        <w:ind w:left="1276"/>
      </w:pPr>
      <w:r>
        <w:t>Vid tillämpning av denna tabell ska skulder rapporteras i rader på den detaljnivå som definieras av de begärda fälten (i princip varje transaktion som rapporteras som en enskild post på raden). Koncernanställdas skulder efter typ och insolvensrangordning.</w:t>
      </w:r>
    </w:p>
    <w:p w14:paraId="7FE1D0C5" w14:textId="77777777" w:rsidR="0057131B" w:rsidRDefault="00355A1C">
      <w:pPr>
        <w:pStyle w:val="P68B1DB1-InstructionsText287"/>
        <w:numPr>
          <w:ilvl w:val="0"/>
          <w:numId w:val="0"/>
        </w:numPr>
        <w:spacing w:before="0"/>
      </w:pPr>
      <w:r>
        <w:t>Instruktioner för specifika positioner</w:t>
      </w:r>
    </w:p>
    <w:tbl>
      <w:tblPr>
        <w:tblW w:w="9015" w:type="dxa"/>
        <w:tblInd w:w="135" w:type="dxa"/>
        <w:tblLayout w:type="fixed"/>
        <w:tblLook w:val="04A0" w:firstRow="1" w:lastRow="0" w:firstColumn="1" w:lastColumn="0" w:noHBand="0" w:noVBand="1"/>
      </w:tblPr>
      <w:tblGrid>
        <w:gridCol w:w="1183"/>
        <w:gridCol w:w="7832"/>
      </w:tblGrid>
      <w:tr w:rsidR="0057131B"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57131B" w:rsidRDefault="00355A1C">
            <w:pPr>
              <w:pStyle w:val="P68B1DB1-TableParagraph17"/>
              <w:spacing w:before="108"/>
              <w:ind w:left="85"/>
            </w:pPr>
            <w:r>
              <w:lastRenderedPageBreak/>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57131B" w:rsidRDefault="00355A1C">
            <w:pPr>
              <w:pStyle w:val="P68B1DB1-TableParagraph17"/>
              <w:spacing w:before="108"/>
              <w:ind w:left="85"/>
            </w:pPr>
            <w:r>
              <w:t xml:space="preserve">Anvisningar </w:t>
            </w:r>
          </w:p>
        </w:tc>
      </w:tr>
      <w:tr w:rsidR="0057131B"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57131B" w:rsidRDefault="00355A1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57131B" w:rsidRDefault="00355A1C">
            <w:pPr>
              <w:pStyle w:val="P68B1DB1-TableParagraph73"/>
              <w:spacing w:before="108"/>
              <w:ind w:left="85"/>
              <w:jc w:val="both"/>
              <w:rPr>
                <w:bCs/>
              </w:rPr>
            </w:pPr>
            <w:r>
              <w:t xml:space="preserve">NR </w:t>
            </w:r>
          </w:p>
          <w:p w14:paraId="7FE1D0CB" w14:textId="1F8D9197" w:rsidR="0057131B" w:rsidRDefault="00355A1C">
            <w:pPr>
              <w:pStyle w:val="P68B1DB1-TableParagraph40"/>
              <w:spacing w:before="108"/>
              <w:ind w:left="85"/>
              <w:jc w:val="both"/>
            </w:pPr>
            <w:r>
              <w:t>Unikt nummer/primärnyckel för att identifiera radposterna.</w:t>
            </w:r>
          </w:p>
        </w:tc>
      </w:tr>
      <w:tr w:rsidR="0057131B"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57131B" w:rsidRDefault="00355A1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57131B" w:rsidRDefault="00355A1C">
            <w:pPr>
              <w:pStyle w:val="P68B1DB1-TableParagraph73"/>
              <w:spacing w:before="108"/>
              <w:ind w:left="85"/>
              <w:jc w:val="both"/>
              <w:rPr>
                <w:bCs/>
              </w:rPr>
            </w:pPr>
            <w:r>
              <w:t xml:space="preserve">Rad </w:t>
            </w:r>
          </w:p>
          <w:p w14:paraId="7FE1D0CF" w14:textId="3C03C281" w:rsidR="0057131B" w:rsidRDefault="00355A1C">
            <w:pPr>
              <w:pStyle w:val="P68B1DB1-TableParagraph40"/>
              <w:spacing w:before="108"/>
              <w:ind w:left="85"/>
              <w:jc w:val="both"/>
            </w:pPr>
            <w:r>
              <w:t>För varje rapporterad rad måste en avstämning med skuldstrukturens skuldkategorier i Z02.00 göras på löptidsnivå från en fördefinierad värdelista.</w:t>
            </w:r>
          </w:p>
        </w:tc>
      </w:tr>
      <w:tr w:rsidR="0057131B"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57131B" w:rsidRDefault="00355A1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57131B" w:rsidRDefault="00355A1C">
            <w:pPr>
              <w:pStyle w:val="P68B1DB1-TableParagraph73"/>
              <w:spacing w:before="108"/>
              <w:ind w:left="85"/>
              <w:jc w:val="both"/>
              <w:rPr>
                <w:bCs/>
              </w:rPr>
            </w:pPr>
            <w:r>
              <w:t xml:space="preserve">Kolumn </w:t>
            </w:r>
          </w:p>
          <w:p w14:paraId="7FE1D0D3" w14:textId="0F37C958" w:rsidR="0057131B" w:rsidRDefault="00355A1C">
            <w:pPr>
              <w:pStyle w:val="P68B1DB1-TableParagraph40"/>
              <w:spacing w:before="108"/>
              <w:ind w:left="85"/>
              <w:jc w:val="both"/>
            </w:pPr>
            <w:r>
              <w:t>För varje rapporterad rad måste en avstämning med den motpartsklass i Z02.00 till vilken skulden ska betalas tillhandahållas från fördefinierad värdelista.</w:t>
            </w:r>
          </w:p>
        </w:tc>
      </w:tr>
      <w:tr w:rsidR="0057131B"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57131B" w:rsidRDefault="00355A1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57131B" w:rsidRDefault="00355A1C">
            <w:pPr>
              <w:pStyle w:val="P68B1DB1-TableParagraph73"/>
              <w:spacing w:before="108"/>
              <w:ind w:left="85"/>
              <w:jc w:val="both"/>
              <w:rPr>
                <w:bCs/>
              </w:rPr>
            </w:pPr>
            <w:r>
              <w:t xml:space="preserve">Rangordning vid insolvens  </w:t>
            </w:r>
          </w:p>
          <w:p w14:paraId="7FE1D0D7" w14:textId="3C00E6EA"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57131B" w:rsidRDefault="00355A1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57131B" w:rsidRDefault="00355A1C">
            <w:pPr>
              <w:pStyle w:val="P68B1DB1-TableParagraph73"/>
              <w:spacing w:before="108"/>
              <w:ind w:left="85"/>
              <w:jc w:val="both"/>
              <w:rPr>
                <w:bCs/>
              </w:rPr>
            </w:pPr>
            <w:r>
              <w:t xml:space="preserve">ID-kod för avtal </w:t>
            </w:r>
          </w:p>
          <w:p w14:paraId="7FE1D0DB" w14:textId="09A77FF8" w:rsidR="0057131B" w:rsidRDefault="00355A1C">
            <w:pPr>
              <w:pStyle w:val="P68B1DB1-TableParagraph40"/>
              <w:spacing w:before="108"/>
              <w:ind w:left="85"/>
              <w:jc w:val="both"/>
            </w:pPr>
            <w:r>
              <w:t>ISIN-koden eller, om ISIN-koden inte är tillgänglig, en annan avtalsidentifierare för instrumentet ska rapporteras.</w:t>
            </w:r>
          </w:p>
        </w:tc>
      </w:tr>
      <w:tr w:rsidR="0057131B"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57131B" w:rsidRDefault="00355A1C">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57131B" w:rsidRDefault="00355A1C">
            <w:pPr>
              <w:pStyle w:val="P68B1DB1-TableParagraph73"/>
              <w:spacing w:before="108"/>
              <w:ind w:left="85"/>
              <w:jc w:val="both"/>
              <w:rPr>
                <w:bCs/>
              </w:rPr>
            </w:pPr>
            <w:r>
              <w:t xml:space="preserve">Motpartens namn </w:t>
            </w:r>
          </w:p>
          <w:p w14:paraId="7FE1D0DF" w14:textId="5D08E31A" w:rsidR="0057131B" w:rsidRDefault="00355A1C">
            <w:pPr>
              <w:pStyle w:val="P68B1DB1-TableParagraph40"/>
              <w:spacing w:before="108"/>
              <w:ind w:left="85"/>
              <w:jc w:val="both"/>
            </w:pPr>
            <w:r>
              <w:t>Företagets namn på skuldens motpart.</w:t>
            </w:r>
          </w:p>
        </w:tc>
      </w:tr>
      <w:tr w:rsidR="0057131B"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57131B" w:rsidRDefault="00355A1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57131B" w:rsidRDefault="00355A1C">
            <w:pPr>
              <w:pStyle w:val="P68B1DB1-TableParagraph73"/>
              <w:spacing w:before="108"/>
              <w:ind w:left="85"/>
              <w:jc w:val="both"/>
            </w:pPr>
            <w:r>
              <w:t>Identifieringskod för motpart</w:t>
            </w:r>
          </w:p>
          <w:p w14:paraId="7FE1D0E3" w14:textId="4E34C2DB" w:rsidR="0057131B" w:rsidRDefault="00355A1C">
            <w:pPr>
              <w:pStyle w:val="P68B1DB1-TableParagraph40"/>
              <w:spacing w:before="108"/>
              <w:ind w:left="85"/>
              <w:jc w:val="both"/>
            </w:pPr>
            <w:r>
              <w:t>Rapportera borgenärens LEI-kod. I avsaknad av LEI-kod, när det gäller bankrapporter, ECB:s identifieringskod för monetära finansinstitut (MFI ID) som används i RIAD. Endast om båda dessa identifierare saknas, rapportera en intern identifierare.</w:t>
            </w:r>
          </w:p>
          <w:p w14:paraId="7FE1D0E4" w14:textId="1D573481" w:rsidR="0057131B" w:rsidRDefault="0057131B">
            <w:pPr>
              <w:pStyle w:val="TableParagraph"/>
              <w:spacing w:before="108"/>
              <w:ind w:left="85"/>
              <w:jc w:val="both"/>
              <w:rPr>
                <w:rFonts w:ascii="Times New Roman" w:eastAsia="Times New Roman" w:hAnsi="Times New Roman" w:cs="Times New Roman"/>
                <w:sz w:val="20"/>
                <w:szCs w:val="20"/>
              </w:rPr>
            </w:pPr>
          </w:p>
        </w:tc>
      </w:tr>
      <w:tr w:rsidR="0057131B"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57131B" w:rsidRDefault="00355A1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57131B" w:rsidRDefault="00355A1C">
            <w:pPr>
              <w:pStyle w:val="P68B1DB1-TableParagraph73"/>
              <w:spacing w:before="108"/>
              <w:ind w:left="85"/>
              <w:jc w:val="both"/>
              <w:rPr>
                <w:bCs/>
              </w:rPr>
            </w:pPr>
            <w:r>
              <w:t xml:space="preserve">Typ av identifierare </w:t>
            </w:r>
          </w:p>
          <w:p w14:paraId="7FE1D0E8"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57131B" w:rsidRDefault="00355A1C">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57131B" w:rsidRDefault="00355A1C">
            <w:pPr>
              <w:pStyle w:val="P68B1DB1-TableParagraph73"/>
              <w:spacing w:before="108"/>
              <w:ind w:left="85"/>
              <w:jc w:val="both"/>
              <w:rPr>
                <w:bCs/>
              </w:rPr>
            </w:pPr>
            <w:r>
              <w:t xml:space="preserve">Tillämplig lag  </w:t>
            </w:r>
          </w:p>
          <w:p w14:paraId="7FE1D0EC" w14:textId="237CB9E1" w:rsidR="0057131B" w:rsidRDefault="00355A1C">
            <w:pPr>
              <w:pStyle w:val="P68B1DB1-TableParagraph40"/>
              <w:spacing w:before="108"/>
              <w:ind w:left="85"/>
              <w:jc w:val="both"/>
            </w:pPr>
            <w:r>
              <w:t xml:space="preserve">ISO 3166–1 alpha-2-koden för det land vars lag reglerar instrumentet (använd ISO 3166–2-koden när lagen i en administrativ underavdelning är relevant, t.ex. ”US-NY”). Om avtalet regleras av lagen i mer än ett land ska det land vars lag har störst betydelse för erkännandet av nedskrivnings- och konverteringsbefogenheter rapporteras.  </w:t>
            </w:r>
          </w:p>
        </w:tc>
      </w:tr>
      <w:tr w:rsidR="0057131B"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57131B" w:rsidRDefault="00355A1C">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57131B" w:rsidRDefault="00355A1C">
            <w:pPr>
              <w:pStyle w:val="P68B1DB1-TableParagraph73"/>
              <w:spacing w:before="108"/>
              <w:ind w:left="85"/>
              <w:jc w:val="both"/>
              <w:rPr>
                <w:bCs/>
              </w:rPr>
            </w:pPr>
            <w:r>
              <w:t xml:space="preserve">Typ av finansiella skulder </w:t>
            </w:r>
          </w:p>
          <w:p w14:paraId="7FE1D0F0" w14:textId="3ACB2D3D" w:rsidR="0057131B" w:rsidRDefault="00355A1C">
            <w:pPr>
              <w:pStyle w:val="P68B1DB1-TableParagraph40"/>
              <w:spacing w:before="108"/>
              <w:ind w:left="85"/>
              <w:jc w:val="both"/>
            </w:pPr>
            <w:r>
              <w:t>Ska väljas bland följande alternativ: ”Lån på låntagarnota”, ”Registrerad obligation”, ”växel”, ”passivt partnerskap” och ”Övriga finansiella skulder”.</w:t>
            </w:r>
          </w:p>
        </w:tc>
      </w:tr>
      <w:tr w:rsidR="0057131B"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57131B" w:rsidRDefault="00355A1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57131B" w:rsidRDefault="00355A1C">
            <w:pPr>
              <w:pStyle w:val="P68B1DB1-TableParagraph73"/>
              <w:spacing w:before="108"/>
              <w:ind w:left="85"/>
              <w:jc w:val="both"/>
            </w:pPr>
            <w:r>
              <w:t xml:space="preserve">Om tredje lands lagstiftning, avtalsenligt erkännande </w:t>
            </w:r>
          </w:p>
          <w:p w14:paraId="7FE1D0F6" w14:textId="77777777" w:rsidR="0057131B" w:rsidRDefault="00355A1C">
            <w:pPr>
              <w:pStyle w:val="P68B1DB1-TableParagraph40"/>
              <w:spacing w:before="108"/>
              <w:ind w:left="85"/>
              <w:jc w:val="both"/>
            </w:pPr>
            <w:r>
              <w:t xml:space="preserve">Fastställande av avtalsbestämmelser för erkännande av skuldnedskrivningsbefogenheter i enlighet med artikel 55 i BRRD, antingen </w:t>
            </w:r>
          </w:p>
          <w:p w14:paraId="7FE1D0F7" w14:textId="77777777" w:rsidR="0057131B" w:rsidRDefault="00355A1C">
            <w:pPr>
              <w:pStyle w:val="P68B1DB1-TableParagraph40"/>
              <w:spacing w:before="108"/>
              <w:ind w:left="85"/>
              <w:jc w:val="both"/>
            </w:pPr>
            <w:r>
              <w:t>Ja, med stöd av ett rättsligt yttrande ”= skulden omfattar en klausul om erkännande av skuldnedskrivning i enlighet med artikel 55 i BRRD som stöds av ett rättsligt yttrande.</w:t>
            </w:r>
          </w:p>
          <w:p w14:paraId="7FE1D0F8" w14:textId="77777777" w:rsidR="0057131B" w:rsidRDefault="00355A1C">
            <w:pPr>
              <w:pStyle w:val="P68B1DB1-TableParagraph40"/>
              <w:spacing w:before="108"/>
              <w:ind w:left="85"/>
              <w:jc w:val="both"/>
            </w:pPr>
            <w:r>
              <w:t>”Ja, inget rättsligt yttrande” = skulden omfattar en klausul om erkännande av skuldnedskrivning i linje med artikel 55 i BRRD som för närvarande inte stöds av ett rättsligt yttrande.</w:t>
            </w:r>
          </w:p>
          <w:p w14:paraId="7FE1D0F9" w14:textId="77777777" w:rsidR="0057131B" w:rsidRDefault="00355A1C">
            <w:pPr>
              <w:pStyle w:val="P68B1DB1-TableParagraph40"/>
              <w:spacing w:before="108"/>
              <w:ind w:left="85"/>
              <w:jc w:val="both"/>
            </w:pPr>
            <w:r>
              <w:t>”Nej” = skulden innehåller inte en klausul om erkännande av skuldnedskrivning.</w:t>
            </w:r>
          </w:p>
          <w:p w14:paraId="7FE1D0FA" w14:textId="07E9B1A6" w:rsidR="0057131B" w:rsidRDefault="00355A1C">
            <w:pPr>
              <w:pStyle w:val="P68B1DB1-TableParagraph40"/>
              <w:spacing w:before="108"/>
              <w:ind w:left="85"/>
              <w:jc w:val="both"/>
            </w:pPr>
            <w:r>
              <w:t xml:space="preserve">”Ej tillämpligt”,   </w:t>
            </w:r>
          </w:p>
          <w:p w14:paraId="7FE1D0FB" w14:textId="77777777" w:rsidR="0057131B" w:rsidRDefault="00355A1C">
            <w:pPr>
              <w:pStyle w:val="P68B1DB1-TableParagraph40"/>
              <w:spacing w:before="108"/>
              <w:ind w:left="85"/>
              <w:jc w:val="both"/>
            </w:pPr>
            <w:r>
              <w:t>från en fördefinierad förteckning.</w:t>
            </w:r>
          </w:p>
        </w:tc>
      </w:tr>
      <w:tr w:rsidR="0057131B"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57131B" w:rsidRDefault="00355A1C">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57131B" w:rsidRDefault="00355A1C">
            <w:pPr>
              <w:pStyle w:val="P68B1DB1-TableParagraph73"/>
              <w:spacing w:before="108"/>
              <w:ind w:left="85"/>
              <w:jc w:val="both"/>
              <w:rPr>
                <w:bCs/>
              </w:rPr>
            </w:pPr>
            <w:r>
              <w:t xml:space="preserve">Utestående kapitalbelopp  </w:t>
            </w:r>
          </w:p>
          <w:p w14:paraId="7FE1D0FF" w14:textId="66FDB1F5" w:rsidR="0057131B" w:rsidRDefault="00355A1C">
            <w:pPr>
              <w:pStyle w:val="P68B1DB1-TableParagraph40"/>
              <w:spacing w:before="108"/>
              <w:ind w:left="85"/>
              <w:jc w:val="both"/>
            </w:pPr>
            <w:r>
              <w:t>Skuldens utestående kapitalbelopp.</w:t>
            </w:r>
          </w:p>
        </w:tc>
      </w:tr>
      <w:tr w:rsidR="0057131B"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57131B" w:rsidRDefault="00355A1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57131B" w:rsidRDefault="00355A1C">
            <w:pPr>
              <w:pStyle w:val="P68B1DB1-TableParagraph73"/>
              <w:spacing w:before="108"/>
              <w:ind w:left="85"/>
              <w:jc w:val="both"/>
              <w:rPr>
                <w:bCs/>
              </w:rPr>
            </w:pPr>
            <w:r>
              <w:t xml:space="preserve">Upplupen ränta </w:t>
            </w:r>
          </w:p>
          <w:p w14:paraId="7FE1D103" w14:textId="345D6EBF" w:rsidR="0057131B" w:rsidRDefault="00355A1C">
            <w:pPr>
              <w:pStyle w:val="P68B1DB1-TableParagraph40"/>
              <w:spacing w:before="108"/>
              <w:ind w:left="85"/>
              <w:jc w:val="both"/>
            </w:pPr>
            <w:r>
              <w:t>Utestående upplupen ränta på skulden.</w:t>
            </w:r>
          </w:p>
        </w:tc>
      </w:tr>
      <w:tr w:rsidR="0057131B"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57131B" w:rsidRDefault="00355A1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57131B" w:rsidRDefault="00355A1C">
            <w:pPr>
              <w:pStyle w:val="P68B1DB1-TableParagraph73"/>
              <w:spacing w:before="108"/>
              <w:ind w:left="85"/>
              <w:jc w:val="both"/>
              <w:rPr>
                <w:bCs/>
              </w:rPr>
            </w:pPr>
            <w:r>
              <w:t xml:space="preserve">Aktuell räntesats (%) </w:t>
            </w:r>
          </w:p>
          <w:p w14:paraId="7FE1D107" w14:textId="574366AF" w:rsidR="0057131B" w:rsidRDefault="00355A1C">
            <w:pPr>
              <w:pStyle w:val="P68B1DB1-TableParagraph40"/>
              <w:spacing w:before="108"/>
              <w:ind w:left="85"/>
              <w:jc w:val="both"/>
            </w:pPr>
            <w:r>
              <w:t xml:space="preserve">Aktuell nivå på den räntesats som är tillämplig på skulden. </w:t>
            </w:r>
          </w:p>
        </w:tc>
      </w:tr>
      <w:tr w:rsidR="0057131B"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57131B" w:rsidRDefault="00355A1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57131B" w:rsidRDefault="00355A1C">
            <w:pPr>
              <w:pStyle w:val="P68B1DB1-TableParagraph73"/>
              <w:spacing w:before="108"/>
              <w:ind w:left="85"/>
              <w:jc w:val="both"/>
              <w:rPr>
                <w:bCs/>
              </w:rPr>
            </w:pPr>
            <w:r>
              <w:t xml:space="preserve">Valuta  </w:t>
            </w:r>
          </w:p>
          <w:p w14:paraId="7FE1D10B" w14:textId="4FC71DBE" w:rsidR="0057131B" w:rsidRDefault="00355A1C">
            <w:pPr>
              <w:pStyle w:val="P68B1DB1-TableParagraph40"/>
              <w:spacing w:before="108"/>
              <w:ind w:left="85"/>
              <w:jc w:val="both"/>
            </w:pPr>
            <w:r>
              <w:t>Skuldens valuta i enlighet med dess ISO 3-bokstavskod.</w:t>
            </w:r>
          </w:p>
        </w:tc>
      </w:tr>
      <w:tr w:rsidR="0057131B"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57131B" w:rsidRDefault="00355A1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57131B" w:rsidRDefault="00355A1C">
            <w:pPr>
              <w:pStyle w:val="P68B1DB1-TableParagraph73"/>
              <w:spacing w:before="108"/>
              <w:ind w:left="85"/>
              <w:jc w:val="both"/>
              <w:rPr>
                <w:bCs/>
              </w:rPr>
            </w:pPr>
            <w:r>
              <w:t xml:space="preserve">Utfärdandedatum </w:t>
            </w:r>
          </w:p>
          <w:p w14:paraId="7FE1D10F" w14:textId="77777777" w:rsidR="0057131B" w:rsidRDefault="00355A1C">
            <w:pPr>
              <w:pStyle w:val="P68B1DB1-TableParagraph40"/>
              <w:spacing w:before="108"/>
              <w:ind w:left="85"/>
              <w:jc w:val="both"/>
            </w:pPr>
            <w:r>
              <w:t>Datum för det ursprungliga utfärdandet av skulden.</w:t>
            </w:r>
          </w:p>
        </w:tc>
      </w:tr>
      <w:tr w:rsidR="0057131B"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57131B" w:rsidRDefault="00355A1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57131B" w:rsidRDefault="00355A1C">
            <w:pPr>
              <w:pStyle w:val="P68B1DB1-TableParagraph73"/>
              <w:spacing w:before="108"/>
              <w:ind w:left="85"/>
              <w:jc w:val="both"/>
              <w:rPr>
                <w:bCs/>
              </w:rPr>
            </w:pPr>
            <w:r>
              <w:t xml:space="preserve">Tidigaste inlösendatum  </w:t>
            </w:r>
          </w:p>
          <w:p w14:paraId="7FE1D113" w14:textId="6DCF0327" w:rsidR="0057131B" w:rsidRDefault="00355A1C">
            <w:pPr>
              <w:pStyle w:val="P68B1DB1-TableParagraph40"/>
              <w:spacing w:before="108"/>
              <w:ind w:left="85"/>
              <w:jc w:val="both"/>
            </w:pPr>
            <w:r>
              <w:t>Om det finns en möjlighet för kreditgivaren att begära förtida återbetalning, eller villkor för förtida återbetalning av skulden föreskrivs i avtalet, ange det tidigaste datumet för uppkomst. Om den förtida återbetalningen endast avser en del av skulden (t.ex. förtida återbetalning på 50 % av det nominella beloppet), dela upp skulden för att ta hänsyn till denna partiella klausul om förtida inlösen.</w:t>
            </w:r>
          </w:p>
        </w:tc>
      </w:tr>
      <w:tr w:rsidR="0057131B"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57131B" w:rsidRDefault="00355A1C">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57131B" w:rsidRDefault="00355A1C">
            <w:pPr>
              <w:pStyle w:val="P68B1DB1-TableParagraph73"/>
              <w:spacing w:before="108"/>
              <w:ind w:left="85"/>
              <w:jc w:val="both"/>
              <w:rPr>
                <w:bCs/>
              </w:rPr>
            </w:pPr>
            <w:r>
              <w:t xml:space="preserve"> Laglig inlösendag </w:t>
            </w:r>
          </w:p>
          <w:p w14:paraId="7FE1D117" w14:textId="39B8EDB9" w:rsidR="0057131B" w:rsidRDefault="00355A1C">
            <w:pPr>
              <w:pStyle w:val="P68B1DB1-TableParagraph40"/>
              <w:spacing w:before="108"/>
              <w:ind w:left="85"/>
              <w:jc w:val="both"/>
            </w:pPr>
            <w:r>
              <w:t>Datum för instrumentets rättsliga och slutliga löptid. För permanenta instrument, använd ”2099–01–31”.</w:t>
            </w:r>
          </w:p>
        </w:tc>
      </w:tr>
      <w:tr w:rsidR="0057131B"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57131B" w:rsidRDefault="00355A1C">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57131B" w:rsidRDefault="00355A1C">
            <w:pPr>
              <w:pStyle w:val="P68B1DB1-TableParagraph73"/>
              <w:spacing w:before="108"/>
              <w:ind w:left="85"/>
              <w:jc w:val="both"/>
              <w:rPr>
                <w:bCs/>
              </w:rPr>
            </w:pPr>
            <w:r>
              <w:t xml:space="preserve">Belopp för pantsättning, panträtt eller säkerhet </w:t>
            </w:r>
          </w:p>
          <w:p w14:paraId="7FE1D120" w14:textId="7CF01C3B" w:rsidR="0057131B" w:rsidRDefault="00355A1C">
            <w:pPr>
              <w:pStyle w:val="P68B1DB1-TableParagraph40"/>
              <w:spacing w:before="108"/>
              <w:ind w:left="85"/>
              <w:jc w:val="both"/>
            </w:pPr>
            <w:r>
              <w:t>Om en skuld är säkrad genom pantsättning, panträtt eller säkerhet ska bruttomarknadsvärdet för den senare anges. I annat fall ska denna kategori rapporteras som noll för skulder utan säkerhet. Detta belopp kommer att fastställa den säkrade och slutligen den osäkrade delen av en eventuell skuld med säkerhet. För säkerhetspooler som säkrar flera radposter, fastställa den totala täckningsgraden och tillämpa proportionell tillämpning på alla radposter som omfattas av denna pool.</w:t>
            </w:r>
          </w:p>
        </w:tc>
      </w:tr>
      <w:tr w:rsidR="0057131B"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57131B" w:rsidRDefault="00355A1C">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57131B" w:rsidRDefault="00355A1C">
            <w:pPr>
              <w:pStyle w:val="P68B1DB1-TableParagraph73"/>
              <w:spacing w:before="108"/>
              <w:ind w:left="85"/>
              <w:jc w:val="both"/>
              <w:rPr>
                <w:bCs/>
              </w:rPr>
            </w:pPr>
            <w:r>
              <w:t xml:space="preserve">Borgensman </w:t>
            </w:r>
          </w:p>
          <w:p w14:paraId="7FE1D124" w14:textId="216ADC15" w:rsidR="0057131B" w:rsidRDefault="00355A1C">
            <w:pPr>
              <w:pStyle w:val="P68B1DB1-TableParagraph40"/>
              <w:spacing w:before="108"/>
              <w:ind w:left="85"/>
              <w:jc w:val="both"/>
            </w:pPr>
            <w:r>
              <w:t>Om det finns garantier för instrumentet, ange en detaljerad identifiering av borgensmannen (LEI-kod, ISO 3166–1 alfa-2-landskod för staten osv.). Om det finns flera garanter ska alla identifierare rapporteras, åtskilda med semikolon.</w:t>
            </w:r>
          </w:p>
        </w:tc>
      </w:tr>
      <w:tr w:rsidR="0057131B"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57131B" w:rsidRDefault="00355A1C">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57131B" w:rsidRDefault="00355A1C">
            <w:pPr>
              <w:pStyle w:val="P68B1DB1-TableParagraph73"/>
              <w:spacing w:before="108"/>
              <w:ind w:left="85"/>
              <w:jc w:val="both"/>
              <w:rPr>
                <w:bCs/>
              </w:rPr>
            </w:pPr>
            <w:r>
              <w:t xml:space="preserve">Belopp som uppfyller villkoren för minimikravet för kapitalbas och kvalificerade skulder </w:t>
            </w:r>
          </w:p>
          <w:p w14:paraId="7FE1D130" w14:textId="267C8F59" w:rsidR="0057131B" w:rsidRDefault="00355A1C">
            <w:pPr>
              <w:pStyle w:val="P68B1DB1-TableParagraph40"/>
              <w:spacing w:before="108"/>
              <w:ind w:left="85"/>
              <w:jc w:val="both"/>
            </w:pPr>
            <w:r>
              <w:t>Beloppet för kapitalbas och kvalificerade skulder som räknas med i det krav som fastställs i enlighet med artikel 45.1 i direktiv 2014/59/EU.</w:t>
            </w:r>
          </w:p>
        </w:tc>
      </w:tr>
      <w:tr w:rsidR="0057131B"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57131B" w:rsidRDefault="00355A1C">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57131B" w:rsidRDefault="00355A1C">
            <w:pPr>
              <w:pStyle w:val="P68B1DB1-TableParagraph73"/>
              <w:spacing w:before="108"/>
              <w:ind w:left="85"/>
              <w:jc w:val="both"/>
              <w:rPr>
                <w:bCs/>
              </w:rPr>
            </w:pPr>
            <w:r>
              <w:t xml:space="preserve">Kvalificering som kapitalbas </w:t>
            </w:r>
          </w:p>
          <w:p w14:paraId="7FE1D134" w14:textId="3B38CBB9" w:rsidR="0057131B" w:rsidRDefault="00355A1C">
            <w:pPr>
              <w:pStyle w:val="P68B1DB1-TableParagraph40"/>
              <w:spacing w:before="108"/>
              <w:ind w:left="85"/>
              <w:jc w:val="both"/>
            </w:pPr>
            <w:r>
              <w:t>Ange om och på vilken nivå instrumentet ingår i kapitalbasen, tillsammans med information om utfasningssystemet och bestämmelserna om tillämpning av äldre regler. Värdet kan vara ”Nej”, ”Partiellt AT1, T1 och T2”, ”T2 under utfasning”, ”Grandfalized T2”, ”Fullständig väntande T2”, ”Grandfalized AT1”, ”Fullständig anmälare AT1” eller ”CET1” från en fördefinierad förteckning.</w:t>
            </w:r>
          </w:p>
        </w:tc>
      </w:tr>
      <w:tr w:rsidR="0057131B"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57131B" w:rsidRDefault="00355A1C">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57131B" w:rsidRDefault="00355A1C">
            <w:pPr>
              <w:pStyle w:val="P68B1DB1-TableParagraph40"/>
              <w:spacing w:before="108"/>
              <w:ind w:left="85"/>
              <w:jc w:val="both"/>
              <w:rPr>
                <w:b/>
                <w:bCs/>
              </w:rPr>
            </w:pPr>
            <w:r>
              <w:t xml:space="preserve"> </w:t>
            </w:r>
            <w:r>
              <w:rPr>
                <w:b/>
              </w:rPr>
              <w:t>Belopp som klassificeras som kapitalbas</w:t>
            </w:r>
          </w:p>
          <w:p w14:paraId="7FE1D138" w14:textId="48ED7147" w:rsidR="0057131B" w:rsidRDefault="00355A1C">
            <w:pPr>
              <w:pStyle w:val="P68B1DB1-TableParagraph40"/>
              <w:spacing w:before="108"/>
              <w:ind w:left="85"/>
              <w:jc w:val="both"/>
            </w:pPr>
            <w:r>
              <w:t>Beloppet för det instrument som räknas som kapitalbas.</w:t>
            </w:r>
          </w:p>
        </w:tc>
      </w:tr>
    </w:tbl>
    <w:p w14:paraId="7FE1D13A" w14:textId="77777777" w:rsidR="0057131B" w:rsidRDefault="0057131B">
      <w:pPr>
        <w:pStyle w:val="Instructionsberschrift2"/>
        <w:ind w:left="357"/>
        <w:rPr>
          <w:rFonts w:ascii="Times New Roman" w:eastAsia="Calibri" w:hAnsi="Times New Roman" w:cs="Times New Roman"/>
          <w:szCs w:val="20"/>
        </w:rPr>
      </w:pPr>
      <w:bookmarkStart w:id="247" w:name="_Toc81454216"/>
    </w:p>
    <w:p w14:paraId="7FE1D13B" w14:textId="0DCB9703" w:rsidR="0057131B" w:rsidRDefault="00355A1C">
      <w:pPr>
        <w:pStyle w:val="Instructionsberschrift2"/>
        <w:numPr>
          <w:ilvl w:val="1"/>
          <w:numId w:val="49"/>
        </w:numPr>
        <w:spacing w:before="0"/>
        <w:ind w:left="357" w:hanging="357"/>
        <w:rPr>
          <w:rFonts w:ascii="Times New Roman" w:hAnsi="Times New Roman" w:cs="Times New Roman"/>
        </w:rPr>
      </w:pPr>
      <w:bookmarkStart w:id="248" w:name="_Toc210901318"/>
      <w:r>
        <w:rPr>
          <w:rFonts w:ascii="Times New Roman" w:eastAsiaTheme="minorEastAsia" w:hAnsi="Times New Roman" w:cs="Times New Roman"/>
        </w:rPr>
        <w:t xml:space="preserve">Z 15.00 – Derivat </w:t>
      </w:r>
      <w:r>
        <w:rPr>
          <w:rFonts w:ascii="Times New Roman" w:eastAsia="Calibri" w:hAnsi="Times New Roman" w:cs="Times New Roman"/>
          <w:szCs w:val="20"/>
        </w:rPr>
        <w:t>(LIAB-G-5)</w:t>
      </w:r>
      <w:bookmarkEnd w:id="248"/>
    </w:p>
    <w:bookmarkEnd w:id="247"/>
    <w:p w14:paraId="7FE1D13D" w14:textId="77777777" w:rsidR="0057131B" w:rsidRDefault="00355A1C">
      <w:pPr>
        <w:pStyle w:val="P68B1DB1-Numberedtitlelevel388"/>
      </w:pPr>
      <w:r>
        <w:t>Allmänna kommentarer</w:t>
      </w:r>
    </w:p>
    <w:p w14:paraId="7FE1D13E" w14:textId="2F22A34C" w:rsidR="0057131B" w:rsidRDefault="00355A1C">
      <w:pPr>
        <w:pStyle w:val="P68B1DB1-InstructionsText286"/>
        <w:numPr>
          <w:ilvl w:val="2"/>
          <w:numId w:val="209"/>
        </w:numPr>
        <w:spacing w:before="0"/>
        <w:ind w:left="1276"/>
        <w:rPr>
          <w:rFonts w:eastAsiaTheme="majorEastAsia"/>
        </w:rPr>
      </w:pPr>
      <w:r>
        <w:t xml:space="preserve">I denna tabell ska skulder som härrör från derivat rapporteras per nettningsmängd, dvs. varje nettningsmängd som rapporteras som en enskild post. </w:t>
      </w:r>
    </w:p>
    <w:p w14:paraId="7FE1D140" w14:textId="6B5870BD" w:rsidR="0057131B" w:rsidRDefault="00355A1C">
      <w:pPr>
        <w:pStyle w:val="P68B1DB1-InstructionsText286"/>
        <w:numPr>
          <w:ilvl w:val="2"/>
          <w:numId w:val="209"/>
        </w:numPr>
        <w:spacing w:before="0"/>
        <w:ind w:left="1276"/>
      </w:pPr>
      <w:r>
        <w:t>Endast rapportera nettningsmängder/enskilda kontrakt som resulterar i en nettomarknadsvärdering (kolumn c0120).</w:t>
      </w:r>
    </w:p>
    <w:p w14:paraId="7FE1D142" w14:textId="77777777" w:rsidR="0057131B" w:rsidRDefault="00355A1C">
      <w:pPr>
        <w:pStyle w:val="P68B1DB1-Numberedtitlelevel388"/>
      </w:pPr>
      <w:r>
        <w:t>Instruktioner för specifika positioner</w:t>
      </w:r>
    </w:p>
    <w:tbl>
      <w:tblPr>
        <w:tblW w:w="9015" w:type="dxa"/>
        <w:tblInd w:w="135" w:type="dxa"/>
        <w:tblLayout w:type="fixed"/>
        <w:tblLook w:val="04A0" w:firstRow="1" w:lastRow="0" w:firstColumn="1" w:lastColumn="0" w:noHBand="0" w:noVBand="1"/>
      </w:tblPr>
      <w:tblGrid>
        <w:gridCol w:w="1183"/>
        <w:gridCol w:w="7832"/>
      </w:tblGrid>
      <w:tr w:rsidR="0057131B"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57131B" w:rsidRDefault="00355A1C">
            <w:pPr>
              <w:pStyle w:val="P68B1DB1-Normal31"/>
            </w:pPr>
            <w:r>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57131B" w:rsidRDefault="00355A1C">
            <w:pPr>
              <w:pStyle w:val="P68B1DB1-Normal31"/>
            </w:pPr>
            <w:r>
              <w:t xml:space="preserve">Anvisningar </w:t>
            </w:r>
          </w:p>
        </w:tc>
      </w:tr>
      <w:tr w:rsidR="0057131B"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57131B" w:rsidRDefault="00355A1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57131B" w:rsidRDefault="00355A1C">
            <w:pPr>
              <w:pStyle w:val="P68B1DB1-TableParagraph73"/>
              <w:spacing w:before="108"/>
              <w:ind w:left="85"/>
              <w:jc w:val="both"/>
              <w:rPr>
                <w:bCs/>
              </w:rPr>
            </w:pPr>
            <w:r>
              <w:t xml:space="preserve">NR </w:t>
            </w:r>
          </w:p>
          <w:p w14:paraId="7FE1D148" w14:textId="7090CAA7" w:rsidR="0057131B" w:rsidRDefault="00355A1C">
            <w:pPr>
              <w:pStyle w:val="P68B1DB1-TableParagraph40"/>
              <w:spacing w:before="108"/>
              <w:ind w:left="85"/>
              <w:jc w:val="both"/>
            </w:pPr>
            <w:r>
              <w:t>Unikt nummer/primärnyckel för att identifiera radposterna.</w:t>
            </w:r>
          </w:p>
        </w:tc>
      </w:tr>
      <w:tr w:rsidR="0057131B"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57131B" w:rsidRDefault="00355A1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57131B" w:rsidRDefault="00355A1C">
            <w:pPr>
              <w:pStyle w:val="P68B1DB1-TableParagraph73"/>
              <w:spacing w:before="108"/>
              <w:ind w:left="85"/>
              <w:jc w:val="both"/>
              <w:rPr>
                <w:bCs/>
              </w:rPr>
            </w:pPr>
            <w:r>
              <w:t xml:space="preserve">Kolumn </w:t>
            </w:r>
          </w:p>
          <w:p w14:paraId="7FE1D14C" w14:textId="43946C69" w:rsidR="0057131B" w:rsidRDefault="00355A1C">
            <w:pPr>
              <w:pStyle w:val="P68B1DB1-TableParagraph40"/>
              <w:spacing w:before="108"/>
              <w:ind w:left="85"/>
              <w:jc w:val="both"/>
            </w:pPr>
            <w:r>
              <w:t>För varje nettningsmängd måste en avstämning med vilken av motparterna som skuldstrukturen i Z 02.00 har avtalats tillhandahållas från fördefinierad värdelista.</w:t>
            </w:r>
          </w:p>
        </w:tc>
      </w:tr>
      <w:tr w:rsidR="0057131B"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57131B" w:rsidRDefault="00355A1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57131B" w:rsidRDefault="00355A1C">
            <w:pPr>
              <w:pStyle w:val="P68B1DB1-TableParagraph73"/>
              <w:spacing w:before="108"/>
              <w:ind w:left="85"/>
              <w:jc w:val="both"/>
              <w:rPr>
                <w:bCs/>
              </w:rPr>
            </w:pPr>
            <w:r>
              <w:t xml:space="preserve">Rangordning vid insolvens  </w:t>
            </w:r>
          </w:p>
          <w:p w14:paraId="7FE1D150" w14:textId="00926D41"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57131B" w:rsidRDefault="00355A1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57131B" w:rsidRDefault="00355A1C">
            <w:pPr>
              <w:pStyle w:val="P68B1DB1-TableParagraph73"/>
              <w:spacing w:before="108"/>
              <w:ind w:left="85"/>
              <w:jc w:val="both"/>
              <w:rPr>
                <w:bCs/>
              </w:rPr>
            </w:pPr>
            <w:r>
              <w:t xml:space="preserve">Huvudavtalets ID  </w:t>
            </w:r>
          </w:p>
          <w:p w14:paraId="7FE1D154" w14:textId="77777777" w:rsidR="0057131B" w:rsidRDefault="00355A1C">
            <w:pPr>
              <w:pStyle w:val="P68B1DB1-TableParagraph40"/>
              <w:spacing w:before="108"/>
              <w:ind w:left="85"/>
              <w:jc w:val="both"/>
            </w:pPr>
            <w:r>
              <w:t>Intern identifieringskod för huvudavtalet eller det enskilda kontraktet.</w:t>
            </w:r>
          </w:p>
        </w:tc>
      </w:tr>
      <w:tr w:rsidR="0057131B"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57131B" w:rsidRDefault="00355A1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57131B" w:rsidRDefault="00355A1C">
            <w:pPr>
              <w:pStyle w:val="P68B1DB1-TableParagraph73"/>
              <w:spacing w:before="108"/>
              <w:ind w:left="85"/>
              <w:jc w:val="both"/>
              <w:rPr>
                <w:bCs/>
              </w:rPr>
            </w:pPr>
            <w:r>
              <w:t xml:space="preserve">Typ av ramavtal </w:t>
            </w:r>
          </w:p>
          <w:p w14:paraId="7FE1D158" w14:textId="338F32CE" w:rsidR="0057131B" w:rsidRDefault="00355A1C">
            <w:pPr>
              <w:pStyle w:val="P68B1DB1-TableParagraph40"/>
              <w:spacing w:before="108"/>
              <w:ind w:left="85"/>
              <w:jc w:val="both"/>
            </w:pPr>
            <w:r>
              <w:t>Ange huvudavtalet, antingen ”ISDA 2002 Master Agreement”, ”ISDA 1992 Master Agreement”, ”ISDA 1987 Master Agreement”, ”ISDA 1986 Master Agreement”, ”ISDA 1985 Master Agreement”, ”Annat ramavtal”, ”Enhetskontrakt” från en fördefinierad förteckning.</w:t>
            </w:r>
          </w:p>
        </w:tc>
      </w:tr>
      <w:tr w:rsidR="0057131B"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57131B" w:rsidRDefault="00355A1C">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57131B" w:rsidRDefault="00355A1C">
            <w:pPr>
              <w:pStyle w:val="P68B1DB1-TableParagraph73"/>
              <w:spacing w:before="108"/>
              <w:ind w:left="85"/>
              <w:jc w:val="both"/>
              <w:rPr>
                <w:bCs/>
              </w:rPr>
            </w:pPr>
            <w:r>
              <w:t xml:space="preserve">Mottagande enhet enligt ISDA-protokollet  </w:t>
            </w:r>
          </w:p>
          <w:p w14:paraId="7FE1D15C" w14:textId="34C9BF40" w:rsidR="0057131B" w:rsidRDefault="00355A1C">
            <w:pPr>
              <w:pStyle w:val="P68B1DB1-TableParagraph40"/>
              <w:spacing w:before="108"/>
              <w:ind w:left="85"/>
              <w:jc w:val="both"/>
            </w:pPr>
            <w:r>
              <w:t xml:space="preserve">Ange om enheten själv har undertecknat ISDA Universal Stay Protocol, antingen ”ISDA Universal Protocol”, ”ISDA JMP Module”, ”BRRD II Omnibus Jurisdictional Module” eller ”Nej” från en fördefinierad förteckning. </w:t>
            </w:r>
          </w:p>
        </w:tc>
      </w:tr>
      <w:tr w:rsidR="0057131B"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57131B" w:rsidRDefault="00355A1C">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57131B" w:rsidRDefault="00355A1C">
            <w:pPr>
              <w:pStyle w:val="P68B1DB1-TableParagraph73"/>
              <w:spacing w:before="108"/>
              <w:ind w:left="85"/>
              <w:jc w:val="both"/>
              <w:rPr>
                <w:bCs/>
              </w:rPr>
            </w:pPr>
            <w:r>
              <w:t xml:space="preserve">Erkännande av upplösning  </w:t>
            </w:r>
          </w:p>
          <w:p w14:paraId="7FE1D160" w14:textId="59E963FA" w:rsidR="0057131B" w:rsidRDefault="00355A1C">
            <w:pPr>
              <w:pStyle w:val="P68B1DB1-TableParagraph40"/>
              <w:spacing w:before="108"/>
              <w:ind w:left="85"/>
              <w:jc w:val="both"/>
            </w:pPr>
            <w:r>
              <w:t>Ange om motparten har anslutit sig till antingen ”ISDA Universal Protocol”, ”ISDA JMP Module”, ”Annan överenskommelse om erkännande av uppskjuten resolution” eller ”Inget erkännande av uppskjuten resolution” från en fördefinierad förteckning.</w:t>
            </w:r>
          </w:p>
        </w:tc>
      </w:tr>
      <w:tr w:rsidR="0057131B"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57131B" w:rsidRDefault="00355A1C">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57131B" w:rsidRDefault="00355A1C">
            <w:pPr>
              <w:pStyle w:val="P68B1DB1-TableParagraph73"/>
              <w:spacing w:before="108"/>
              <w:ind w:left="85"/>
              <w:jc w:val="both"/>
              <w:rPr>
                <w:bCs/>
              </w:rPr>
            </w:pPr>
            <w:r>
              <w:t xml:space="preserve">Motpartens namn </w:t>
            </w:r>
          </w:p>
          <w:p w14:paraId="7FE1D164" w14:textId="222EF1A6" w:rsidR="0057131B" w:rsidRDefault="00355A1C">
            <w:pPr>
              <w:pStyle w:val="P68B1DB1-TableParagraph40"/>
              <w:spacing w:before="108"/>
              <w:ind w:left="85"/>
              <w:jc w:val="both"/>
            </w:pPr>
            <w:bookmarkStart w:id="249" w:name="_Hlk189839311"/>
            <w:r>
              <w:t>Motpartens företagsnamn.</w:t>
            </w:r>
            <w:bookmarkEnd w:id="249"/>
            <w:r>
              <w:t xml:space="preserve"> När det gäller derivat som clearas av centrala motparter, rapportera den relevanta centrala motparten som motpart.</w:t>
            </w:r>
          </w:p>
        </w:tc>
      </w:tr>
      <w:tr w:rsidR="0057131B"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57131B" w:rsidRDefault="00355A1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57131B" w:rsidRDefault="00355A1C">
            <w:pPr>
              <w:pStyle w:val="P68B1DB1-TableParagraph73"/>
              <w:spacing w:before="108"/>
              <w:ind w:left="85"/>
              <w:jc w:val="both"/>
              <w:rPr>
                <w:bCs/>
              </w:rPr>
            </w:pPr>
            <w:r>
              <w:t xml:space="preserve">Identifieringskod för motpart </w:t>
            </w:r>
          </w:p>
          <w:p w14:paraId="7FE1D168" w14:textId="7D4036D9" w:rsidR="0057131B" w:rsidRDefault="00355A1C">
            <w:pPr>
              <w:pStyle w:val="P68B1DB1-TableParagraph40"/>
              <w:spacing w:before="108"/>
              <w:ind w:left="85"/>
              <w:jc w:val="both"/>
            </w:pPr>
            <w:r>
              <w:t xml:space="preserve">Rapportera motpartens LEI-kod. I avsaknad av LEI-kod, när det gäller bankrapporter, ECB:s identifieringskod för monetära finansinstitut (MFI ID) som används i RIAD. Om båda dessa identifierare saknas, rapportera en intern identifierare. </w:t>
            </w:r>
          </w:p>
        </w:tc>
      </w:tr>
      <w:tr w:rsidR="0057131B"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57131B" w:rsidRDefault="00355A1C">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57131B" w:rsidRDefault="00355A1C">
            <w:pPr>
              <w:pStyle w:val="P68B1DB1-TableParagraph73"/>
              <w:spacing w:before="108"/>
              <w:ind w:left="85"/>
              <w:jc w:val="both"/>
              <w:rPr>
                <w:bCs/>
              </w:rPr>
            </w:pPr>
            <w:r>
              <w:t xml:space="preserve">Typ av identifierare </w:t>
            </w:r>
          </w:p>
          <w:p w14:paraId="7FE1D16C"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57131B" w:rsidRDefault="00355A1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57131B" w:rsidRDefault="00355A1C">
            <w:pPr>
              <w:pStyle w:val="P68B1DB1-TableParagraph73"/>
              <w:spacing w:before="108"/>
              <w:ind w:left="85"/>
              <w:jc w:val="both"/>
              <w:rPr>
                <w:bCs/>
              </w:rPr>
            </w:pPr>
            <w:r>
              <w:t xml:space="preserve">Motpartens land  </w:t>
            </w:r>
          </w:p>
          <w:p w14:paraId="7FE1D170" w14:textId="77777777" w:rsidR="0057131B" w:rsidRDefault="00355A1C">
            <w:pPr>
              <w:pStyle w:val="P68B1DB1-TableParagraph40"/>
              <w:spacing w:before="108"/>
              <w:ind w:left="85"/>
              <w:jc w:val="both"/>
            </w:pPr>
            <w:r>
              <w:lastRenderedPageBreak/>
              <w:t>ISO 3166–1 alpha-2-koden för det land där motparten är etablerad.</w:t>
            </w:r>
          </w:p>
        </w:tc>
      </w:tr>
      <w:tr w:rsidR="0057131B"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57131B" w:rsidRDefault="00355A1C">
            <w:pPr>
              <w:pStyle w:val="P68B1DB1-Normal31"/>
            </w:pPr>
            <w:r>
              <w:lastRenderedPageBreak/>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57131B" w:rsidRDefault="00355A1C">
            <w:pPr>
              <w:pStyle w:val="P68B1DB1-TableParagraph73"/>
              <w:spacing w:before="108"/>
              <w:ind w:left="85"/>
              <w:jc w:val="both"/>
              <w:rPr>
                <w:bCs/>
              </w:rPr>
            </w:pPr>
            <w:r>
              <w:t>Koncernintern transaktion</w:t>
            </w:r>
          </w:p>
          <w:p w14:paraId="1EA32667" w14:textId="1995F401" w:rsidR="0057131B" w:rsidRDefault="00355A1C">
            <w:pPr>
              <w:pStyle w:val="P68B1DB1-TableParagraph40"/>
              <w:spacing w:before="108"/>
              <w:ind w:left="85"/>
              <w:jc w:val="both"/>
            </w:pPr>
            <w:r>
              <w:t>Den rapporterande enheten måste ange om den rapporterade transaktionen görs med en motpart som tillhör den redovisningsmässiga omfattningen av konsolideringen av den yttersta moderenheten. De godtagbara värdena är ”True” eller ”False”.</w:t>
            </w:r>
          </w:p>
        </w:tc>
      </w:tr>
      <w:tr w:rsidR="0057131B"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57131B" w:rsidRDefault="00355A1C">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57131B" w:rsidRDefault="00355A1C">
            <w:pPr>
              <w:pStyle w:val="P68B1DB1-TableParagraph73"/>
              <w:spacing w:before="108"/>
              <w:ind w:left="85"/>
              <w:jc w:val="both"/>
              <w:rPr>
                <w:bCs/>
              </w:rPr>
            </w:pPr>
            <w:r>
              <w:t>Tillämplig lag för ramavtal/enskilt kontrakt</w:t>
            </w:r>
          </w:p>
          <w:p w14:paraId="7FE1D178" w14:textId="69ED3535" w:rsidR="0057131B" w:rsidRDefault="00355A1C">
            <w:pPr>
              <w:pStyle w:val="P68B1DB1-TableParagraph40"/>
              <w:spacing w:before="108"/>
              <w:ind w:left="85"/>
              <w:jc w:val="both"/>
            </w:pPr>
            <w:r>
              <w:t xml:space="preserve">ISO 3166–1 alpha-2-koden för det land vars lag reglerar huvudavtalet/det enda kontraktet (använd ISO 3166–2-koden när lagen i en administrativ underavdelning är relevant, t.ex. ”US-NY”). Om avtalet regleras av lagen i mer än ett land ska det land vars lag har störst betydelse för erkännandet av nedskrivnings- och konverteringsbefogenheter rapporteras.  </w:t>
            </w:r>
          </w:p>
        </w:tc>
      </w:tr>
      <w:tr w:rsidR="0057131B"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57131B" w:rsidRDefault="00355A1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57131B" w:rsidRDefault="00355A1C">
            <w:pPr>
              <w:pStyle w:val="P68B1DB1-TableParagraph73"/>
              <w:spacing w:before="108"/>
              <w:ind w:left="85"/>
              <w:jc w:val="both"/>
              <w:rPr>
                <w:bCs/>
              </w:rPr>
            </w:pPr>
            <w:r>
              <w:t xml:space="preserve">Antal transaktioner som denna  </w:t>
            </w:r>
          </w:p>
          <w:p w14:paraId="7FE1D17C" w14:textId="77777777" w:rsidR="0057131B" w:rsidRDefault="00355A1C">
            <w:pPr>
              <w:pStyle w:val="P68B1DB1-TableParagraph40"/>
              <w:spacing w:before="108"/>
              <w:ind w:left="85"/>
              <w:jc w:val="both"/>
            </w:pPr>
            <w:r>
              <w:t>Ange antalet enskilda avtal som ingår i nettningsmängden i ramavtalen.</w:t>
            </w:r>
          </w:p>
        </w:tc>
      </w:tr>
      <w:tr w:rsidR="0057131B"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57131B" w:rsidRDefault="00355A1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57131B" w:rsidRDefault="00355A1C">
            <w:pPr>
              <w:pStyle w:val="P68B1DB1-TableParagraph73"/>
              <w:spacing w:before="108"/>
              <w:ind w:left="85"/>
              <w:jc w:val="both"/>
              <w:rPr>
                <w:bCs/>
              </w:rPr>
            </w:pPr>
            <w:r>
              <w:t xml:space="preserve">Nettovärde till marknadsvärde </w:t>
            </w:r>
          </w:p>
          <w:p w14:paraId="7FE1D180" w14:textId="229346B5" w:rsidR="0057131B" w:rsidRDefault="00355A1C">
            <w:pPr>
              <w:pStyle w:val="P68B1DB1-TableParagraph40"/>
              <w:spacing w:before="108"/>
              <w:ind w:left="85"/>
              <w:jc w:val="both"/>
            </w:pPr>
            <w:r>
              <w:t xml:space="preserve">Nettomarknadsvärde för derivatskulder per kontraktsenlig nettningsmängd under antagandet att derivat avslutas på referensdagen. </w:t>
            </w:r>
          </w:p>
        </w:tc>
      </w:tr>
      <w:tr w:rsidR="0057131B"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57131B" w:rsidRDefault="00355A1C">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57131B" w:rsidRDefault="00355A1C">
            <w:pPr>
              <w:pStyle w:val="P68B1DB1-TableParagraph73"/>
              <w:spacing w:before="108"/>
              <w:ind w:left="85"/>
              <w:jc w:val="both"/>
              <w:rPr>
                <w:bCs/>
              </w:rPr>
            </w:pPr>
            <w:r>
              <w:t xml:space="preserve">Värde av ställda nettosäkerheter </w:t>
            </w:r>
          </w:p>
          <w:p w14:paraId="7FE1D184" w14:textId="014CEFC4" w:rsidR="0057131B" w:rsidRDefault="00355A1C">
            <w:pPr>
              <w:pStyle w:val="P68B1DB1-TableParagraph40"/>
              <w:spacing w:before="108"/>
              <w:ind w:left="85"/>
              <w:jc w:val="both"/>
            </w:pPr>
            <w:r>
              <w:t>Nettomarknadsvärdet av säkerhetspositioner inom ramen för en nettningsmängd (dvs. ställda säkerheter minskade med eventuella erhållna säkerheter). Detta inbegriper eventuella marginalkonton inom ramen för nettningsarrangemangen. Rapportera som ett positivt värde för nettosäkerheter som ställts till motparter.</w:t>
            </w:r>
          </w:p>
        </w:tc>
      </w:tr>
      <w:tr w:rsidR="0057131B"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57131B" w:rsidRDefault="00355A1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57131B" w:rsidRDefault="00355A1C">
            <w:pPr>
              <w:pStyle w:val="P68B1DB1-TableParagraph40"/>
              <w:spacing w:before="108"/>
              <w:ind w:left="85"/>
              <w:jc w:val="both"/>
              <w:rPr>
                <w:b/>
                <w:bCs/>
              </w:rPr>
            </w:pPr>
            <w:r>
              <w:t xml:space="preserve"> </w:t>
            </w:r>
            <w:r>
              <w:rPr>
                <w:b/>
              </w:rPr>
              <w:t>Uppskattat totalbelopp</w:t>
            </w:r>
          </w:p>
          <w:p w14:paraId="7FE1D188" w14:textId="63DBB8B6" w:rsidR="0057131B" w:rsidRDefault="00355A1C">
            <w:pPr>
              <w:pStyle w:val="P68B1DB1-TableParagraph40"/>
              <w:spacing w:before="108"/>
              <w:ind w:left="85"/>
              <w:jc w:val="both"/>
            </w:pPr>
            <w:r>
              <w:t>Den beräknade avräkningsbeloppet som täcker de förluster eller kostnader som derivatmotparter ådrar sig, eller de vinster som de gör, genom att ersätta eller erhålla den ekonomiska motsvarigheten av de materiella villkoren i de uppsagda avtalen och parternas optionsrättigheter för dessa avtal. Ja, i vissa fall; de uppskattningar som krävs för att fastställa detta värde i enlighet med delegerad förordning (EU) 2016/1401 är svåra att rapportera på individuell nivå. Därför ska proxy-värden baserade på tillgänglig data så som tillsynskraven för marknadsrisker användas i stället. Ett positivt värde för det uppskattade avslutningsbeloppet leder till en ökning av det uppskattade beloppet för förtida avslutande, medan ett negativt tecken skulle minska det uppskattade beloppet för förtida avslutande.</w:t>
            </w:r>
          </w:p>
        </w:tc>
      </w:tr>
      <w:tr w:rsidR="0057131B"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57131B" w:rsidRDefault="00355A1C">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57131B" w:rsidRDefault="00355A1C">
            <w:pPr>
              <w:pStyle w:val="P68B1DB1-TableParagraph40"/>
              <w:spacing w:before="108"/>
              <w:ind w:left="85"/>
              <w:jc w:val="both"/>
              <w:rPr>
                <w:b/>
                <w:bCs/>
              </w:rPr>
            </w:pPr>
            <w:r>
              <w:t xml:space="preserve"> </w:t>
            </w:r>
            <w:r>
              <w:rPr>
                <w:b/>
              </w:rPr>
              <w:t>Uppskattat belopp vid förtida uppsägning</w:t>
            </w:r>
          </w:p>
          <w:p w14:paraId="7FE1D18C" w14:textId="77777777" w:rsidR="0057131B" w:rsidRDefault="00355A1C">
            <w:pPr>
              <w:pStyle w:val="P68B1DB1-TableParagraph40"/>
              <w:spacing w:before="108"/>
              <w:ind w:left="85"/>
              <w:jc w:val="both"/>
            </w:pPr>
            <w:r>
              <w:t>Med hänvisning till delegerad förordning (EU) 2016/1401 om värdering av derivat i enlighet med artikel 49.4 i BRRD fastställs detta belopp enligt följande:</w:t>
            </w:r>
          </w:p>
        </w:tc>
      </w:tr>
      <w:tr w:rsidR="0057131B" w14:paraId="7FE1D190" w14:textId="77777777">
        <w:tc>
          <w:tcPr>
            <w:tcW w:w="1183" w:type="dxa"/>
            <w:vMerge/>
            <w:tcBorders>
              <w:right w:val="single" w:sz="8" w:space="0" w:color="1A171C"/>
            </w:tcBorders>
            <w:vAlign w:val="center"/>
          </w:tcPr>
          <w:p w14:paraId="7FE1D18E" w14:textId="77777777" w:rsidR="0057131B" w:rsidRDefault="0057131B">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57131B" w:rsidRDefault="00355A1C">
            <w:pPr>
              <w:pStyle w:val="P68B1DB1-TableParagraph40"/>
              <w:spacing w:before="108"/>
              <w:ind w:left="85"/>
              <w:jc w:val="both"/>
            </w:pPr>
            <w:r>
              <w:t xml:space="preserve"> ”Värderaren ska fastställa värdet av skulder som hänför sig till derivatkontrakt under en nettinguppsättning som ett förtida uppsägningsbelopp, beräknat som summan av: </w:t>
            </w:r>
          </w:p>
        </w:tc>
      </w:tr>
      <w:tr w:rsidR="0057131B" w14:paraId="7FE1D193" w14:textId="77777777">
        <w:tc>
          <w:tcPr>
            <w:tcW w:w="1183" w:type="dxa"/>
            <w:vMerge/>
            <w:tcBorders>
              <w:right w:val="single" w:sz="8" w:space="0" w:color="1A171C"/>
            </w:tcBorders>
            <w:vAlign w:val="center"/>
          </w:tcPr>
          <w:p w14:paraId="7FE1D191" w14:textId="77777777" w:rsidR="0057131B" w:rsidRDefault="0057131B">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57131B" w:rsidRDefault="00355A1C">
            <w:pPr>
              <w:pStyle w:val="P68B1DB1-TableParagraph40"/>
              <w:spacing w:before="108"/>
              <w:ind w:left="85"/>
              <w:jc w:val="both"/>
            </w:pPr>
            <w:r>
              <w:t xml:space="preserve"> · Obetalda belopp, säkerheter eller andra belopp som entiteten under resolution är skyldig motparten, minus obetalda belopp, säkerheter och andra belopp som motparten är skyldig entiteten under resolution vid avräkningsdatumet. och</w:t>
            </w:r>
          </w:p>
        </w:tc>
      </w:tr>
      <w:tr w:rsidR="0057131B" w14:paraId="7FE1D196" w14:textId="77777777">
        <w:tc>
          <w:tcPr>
            <w:tcW w:w="1183" w:type="dxa"/>
            <w:vMerge/>
            <w:tcBorders>
              <w:right w:val="single" w:sz="8" w:space="0" w:color="1A171C"/>
            </w:tcBorders>
            <w:vAlign w:val="center"/>
          </w:tcPr>
          <w:p w14:paraId="7FE1D194" w14:textId="77777777" w:rsidR="0057131B" w:rsidRDefault="0057131B">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57131B" w:rsidRDefault="00355A1C">
            <w:pPr>
              <w:pStyle w:val="P68B1DB1-TableParagraph40"/>
              <w:spacing w:before="108"/>
              <w:ind w:left="85"/>
              <w:jc w:val="both"/>
            </w:pPr>
            <w:r>
              <w:t xml:space="preserve"> · Ett avräkningsbelopp som täcker de förluster eller kostnader som derivatmotparter ådrar sig, eller de vinster som de gör, genom att ersätta eller erhålla den ekonomiska motsvarigheten av de materiella villkoren i de uppsagda avtalen och parternas optionsrättigheter för dessa avtal.</w:t>
            </w:r>
          </w:p>
        </w:tc>
      </w:tr>
      <w:tr w:rsidR="0057131B" w14:paraId="7FE1D199" w14:textId="77777777">
        <w:tc>
          <w:tcPr>
            <w:tcW w:w="1183" w:type="dxa"/>
            <w:vMerge/>
            <w:tcBorders>
              <w:right w:val="single" w:sz="8" w:space="0" w:color="1A171C"/>
            </w:tcBorders>
            <w:vAlign w:val="center"/>
          </w:tcPr>
          <w:p w14:paraId="7FE1D197" w14:textId="77777777" w:rsidR="0057131B" w:rsidRDefault="0057131B">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57131B" w:rsidRDefault="00355A1C">
            <w:pPr>
              <w:pStyle w:val="P68B1DB1-TableParagraph40"/>
              <w:spacing w:before="108"/>
              <w:ind w:left="85"/>
              <w:jc w:val="both"/>
            </w:pPr>
            <w:r>
              <w:t xml:space="preserve"> Som sådant måste det uppskattade beloppet vid förtida uppsägning vara lika med nettonuvärdet i förhållande till marknadsvärdet (c0120) – värdet av utställda nettosäkerheter (c0130) + uppskattat utgående belopp (c0140).</w:t>
            </w:r>
          </w:p>
        </w:tc>
      </w:tr>
    </w:tbl>
    <w:p w14:paraId="7FE1D19A" w14:textId="77777777" w:rsidR="0057131B" w:rsidRDefault="0057131B">
      <w:pPr>
        <w:pStyle w:val="Instructionsberschrift2"/>
        <w:ind w:left="357"/>
        <w:rPr>
          <w:rFonts w:ascii="Times New Roman" w:eastAsia="Calibri" w:hAnsi="Times New Roman" w:cs="Times New Roman"/>
          <w:szCs w:val="20"/>
        </w:rPr>
      </w:pPr>
      <w:bookmarkStart w:id="250" w:name="_Toc81454217"/>
    </w:p>
    <w:p w14:paraId="7FE1D19B" w14:textId="08247010" w:rsidR="0057131B" w:rsidRDefault="00355A1C">
      <w:pPr>
        <w:pStyle w:val="Instructionsberschrift2"/>
        <w:numPr>
          <w:ilvl w:val="1"/>
          <w:numId w:val="49"/>
        </w:numPr>
        <w:spacing w:before="0"/>
        <w:ind w:left="357" w:hanging="357"/>
        <w:rPr>
          <w:rFonts w:ascii="Times New Roman" w:hAnsi="Times New Roman" w:cs="Times New Roman"/>
        </w:rPr>
      </w:pPr>
      <w:bookmarkStart w:id="251" w:name="_Toc210901319"/>
      <w:r>
        <w:rPr>
          <w:rFonts w:ascii="Times New Roman" w:eastAsiaTheme="minorEastAsia" w:hAnsi="Times New Roman" w:cs="Times New Roman"/>
        </w:rPr>
        <w:t xml:space="preserve">Z 16.00 – Säkerställda finansiella transaktioner, exklusive koncerninterna transaktioner </w:t>
      </w:r>
      <w:r>
        <w:rPr>
          <w:rFonts w:ascii="Times New Roman" w:eastAsia="Calibri" w:hAnsi="Times New Roman" w:cs="Times New Roman"/>
          <w:szCs w:val="20"/>
        </w:rPr>
        <w:t>(LIAB-G-6)</w:t>
      </w:r>
      <w:bookmarkEnd w:id="251"/>
    </w:p>
    <w:p w14:paraId="7FE1D19C" w14:textId="07C13721" w:rsidR="0057131B" w:rsidRDefault="00355A1C">
      <w:pPr>
        <w:pStyle w:val="P68B1DB1-Instructionsberschrift289"/>
        <w:rPr>
          <w:rFonts w:eastAsiaTheme="minorEastAsia"/>
        </w:rPr>
      </w:pPr>
      <w:r>
        <w:t xml:space="preserve"> </w:t>
      </w:r>
      <w:bookmarkEnd w:id="250"/>
    </w:p>
    <w:p w14:paraId="7FE1D19D" w14:textId="77777777" w:rsidR="0057131B" w:rsidRDefault="00355A1C">
      <w:pPr>
        <w:pStyle w:val="P68B1DB1-Numberedtitlelevel388"/>
      </w:pPr>
      <w:r>
        <w:t>Allmänna kommentarer</w:t>
      </w:r>
    </w:p>
    <w:p w14:paraId="7FE1D19E" w14:textId="3901B7DB" w:rsidR="0057131B" w:rsidRDefault="00355A1C">
      <w:pPr>
        <w:pStyle w:val="P68B1DB1-InstructionsText286"/>
        <w:numPr>
          <w:ilvl w:val="2"/>
          <w:numId w:val="209"/>
        </w:numPr>
        <w:spacing w:before="0"/>
        <w:ind w:left="1276"/>
        <w:rPr>
          <w:rFonts w:eastAsiaTheme="majorEastAsia"/>
        </w:rPr>
      </w:pPr>
      <w:r>
        <w:t xml:space="preserve">Säkrad finansiering omfattar alla finansieringsarrangemang som omfattas av ställande av säkerhet, panträtter eller panträtter, med undantag för exempelvis värdepapper som måste rapporteras i Z12.00. </w:t>
      </w:r>
    </w:p>
    <w:p w14:paraId="7FE1D19F" w14:textId="77777777" w:rsidR="0057131B" w:rsidRDefault="00355A1C">
      <w:pPr>
        <w:pStyle w:val="P68B1DB1-InstructionsText286"/>
        <w:numPr>
          <w:ilvl w:val="2"/>
          <w:numId w:val="209"/>
        </w:numPr>
        <w:spacing w:before="0"/>
        <w:ind w:left="1276"/>
      </w:pPr>
      <w:r>
        <w:t>Typiska exempel på sådana arrangemang är centralbanksfinansiering eller återköpsavtal.</w:t>
      </w:r>
    </w:p>
    <w:p w14:paraId="7FE1D1A0" w14:textId="77777777" w:rsidR="0057131B" w:rsidRDefault="00355A1C">
      <w:pPr>
        <w:pStyle w:val="P68B1DB1-InstructionsText286"/>
        <w:numPr>
          <w:ilvl w:val="2"/>
          <w:numId w:val="209"/>
        </w:numPr>
        <w:spacing w:before="0"/>
        <w:ind w:left="1276"/>
      </w:pPr>
      <w:r>
        <w:t>Skulden med säkerhet ska rapporteras, inte själva säkerheten.</w:t>
      </w:r>
    </w:p>
    <w:p w14:paraId="7FE1D1A1" w14:textId="437B0574" w:rsidR="0057131B" w:rsidRDefault="00355A1C">
      <w:pPr>
        <w:pStyle w:val="P68B1DB1-InstructionsText286"/>
        <w:numPr>
          <w:ilvl w:val="2"/>
          <w:numId w:val="209"/>
        </w:numPr>
        <w:spacing w:before="0"/>
        <w:ind w:left="1276"/>
      </w:pPr>
      <w:r>
        <w:t xml:space="preserve">I denna tabell ska säkrade finansieringsarrangemang rapporteras per nettningsmängd, dvs. varje nettningsmängd som rapporteras som en enskild post. Den del av nettningsmängden med säkerhet och den del utan säkerhet som ingår i samma nettningsmängd måste dock rapporteras i olika radposter om de hänför sig till olika rangordningar vid insolvens. </w:t>
      </w:r>
    </w:p>
    <w:p w14:paraId="7FE1D1A2" w14:textId="77777777" w:rsidR="0057131B" w:rsidRDefault="00355A1C">
      <w:pPr>
        <w:pStyle w:val="P68B1DB1-InstructionsText286"/>
        <w:numPr>
          <w:ilvl w:val="2"/>
          <w:numId w:val="209"/>
        </w:numPr>
        <w:spacing w:before="0"/>
        <w:ind w:left="1276"/>
      </w:pPr>
      <w:r>
        <w:t>Inga tröskelvärden för rapportering är tillämpliga i detta avseende.</w:t>
      </w:r>
    </w:p>
    <w:p w14:paraId="7FE1D1A3" w14:textId="77777777" w:rsidR="0057131B" w:rsidRDefault="00355A1C">
      <w:pPr>
        <w:pStyle w:val="P68B1DB1-Numberedtitlelevel388"/>
      </w:pPr>
      <w:r>
        <w:t>Instruktioner för specifika positioner</w:t>
      </w:r>
    </w:p>
    <w:tbl>
      <w:tblPr>
        <w:tblW w:w="9015" w:type="dxa"/>
        <w:tblInd w:w="135" w:type="dxa"/>
        <w:tblLayout w:type="fixed"/>
        <w:tblLook w:val="04A0" w:firstRow="1" w:lastRow="0" w:firstColumn="1" w:lastColumn="0" w:noHBand="0" w:noVBand="1"/>
      </w:tblPr>
      <w:tblGrid>
        <w:gridCol w:w="1183"/>
        <w:gridCol w:w="7832"/>
      </w:tblGrid>
      <w:tr w:rsidR="0057131B"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57131B" w:rsidRDefault="00355A1C">
            <w:pPr>
              <w:pStyle w:val="P68B1DB1-Normal31"/>
            </w:pPr>
            <w:r>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57131B" w:rsidRDefault="00355A1C">
            <w:pPr>
              <w:pStyle w:val="P68B1DB1-Normal31"/>
            </w:pPr>
            <w:r>
              <w:t xml:space="preserve">Anvisningar </w:t>
            </w:r>
          </w:p>
        </w:tc>
      </w:tr>
      <w:tr w:rsidR="0057131B"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57131B" w:rsidRDefault="00355A1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57131B" w:rsidRDefault="00355A1C">
            <w:pPr>
              <w:pStyle w:val="P68B1DB1-TableParagraph40"/>
              <w:spacing w:before="108"/>
              <w:ind w:left="85"/>
              <w:jc w:val="both"/>
              <w:rPr>
                <w:b/>
                <w:bCs/>
              </w:rPr>
            </w:pPr>
            <w:r>
              <w:t xml:space="preserve"> </w:t>
            </w:r>
            <w:r>
              <w:rPr>
                <w:b/>
              </w:rPr>
              <w:t>NR</w:t>
            </w:r>
          </w:p>
          <w:p w14:paraId="7FE1D1A9" w14:textId="7C09A169" w:rsidR="0057131B" w:rsidRDefault="00355A1C">
            <w:pPr>
              <w:pStyle w:val="P68B1DB1-TableParagraph40"/>
              <w:spacing w:before="108"/>
              <w:ind w:left="85"/>
              <w:jc w:val="both"/>
            </w:pPr>
            <w:r>
              <w:t>Unikt nummer/primärnyckel för att identifiera radposterna.</w:t>
            </w:r>
          </w:p>
        </w:tc>
      </w:tr>
      <w:tr w:rsidR="0057131B"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57131B" w:rsidRDefault="00355A1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57131B" w:rsidRDefault="00355A1C">
            <w:pPr>
              <w:pStyle w:val="P68B1DB1-TableParagraph40"/>
              <w:spacing w:before="108"/>
              <w:ind w:left="85"/>
              <w:jc w:val="both"/>
              <w:rPr>
                <w:b/>
                <w:bCs/>
              </w:rPr>
            </w:pPr>
            <w:r>
              <w:t xml:space="preserve"> </w:t>
            </w:r>
            <w:r>
              <w:rPr>
                <w:b/>
              </w:rPr>
              <w:t>Kolumn</w:t>
            </w:r>
          </w:p>
          <w:p w14:paraId="7FE1D1AD" w14:textId="57B67374" w:rsidR="0057131B" w:rsidRDefault="00355A1C">
            <w:pPr>
              <w:pStyle w:val="P68B1DB1-TableParagraph40"/>
              <w:spacing w:before="108"/>
              <w:ind w:left="85"/>
              <w:jc w:val="both"/>
            </w:pPr>
            <w:r>
              <w:t>För varje nettningsmängd måste en avstämning med den motpartsklass i Z02.00 till vilken skulden ska betalas tillhandahållas från fördefinierad värdelista.</w:t>
            </w:r>
          </w:p>
        </w:tc>
      </w:tr>
      <w:tr w:rsidR="0057131B"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57131B" w:rsidRDefault="00355A1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57131B" w:rsidRDefault="00355A1C">
            <w:pPr>
              <w:pStyle w:val="P68B1DB1-TableParagraph40"/>
              <w:spacing w:before="108"/>
              <w:ind w:left="85"/>
              <w:jc w:val="both"/>
              <w:rPr>
                <w:b/>
                <w:bCs/>
              </w:rPr>
            </w:pPr>
            <w:r>
              <w:t xml:space="preserve"> </w:t>
            </w:r>
            <w:r>
              <w:rPr>
                <w:b/>
              </w:rPr>
              <w:t>Konkursanpassning</w:t>
            </w:r>
          </w:p>
          <w:p w14:paraId="7FE1D1B1" w14:textId="0D780E4C"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57131B" w:rsidRDefault="00355A1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57131B" w:rsidRDefault="00355A1C">
            <w:pPr>
              <w:pStyle w:val="P68B1DB1-TableParagraph73"/>
              <w:spacing w:before="108"/>
              <w:ind w:left="85"/>
              <w:jc w:val="both"/>
              <w:rPr>
                <w:bCs/>
              </w:rPr>
            </w:pPr>
            <w:r>
              <w:t xml:space="preserve"> Huvudavtalets ID </w:t>
            </w:r>
          </w:p>
          <w:p w14:paraId="7FE1D1B5" w14:textId="77777777" w:rsidR="0057131B" w:rsidRDefault="00355A1C">
            <w:pPr>
              <w:pStyle w:val="P68B1DB1-TableParagraph40"/>
              <w:spacing w:before="108"/>
              <w:ind w:left="85"/>
              <w:jc w:val="both"/>
            </w:pPr>
            <w:r>
              <w:t>Intern identifieringskod för huvudavtalet eller det enskilda kontraktet.</w:t>
            </w:r>
          </w:p>
        </w:tc>
      </w:tr>
      <w:tr w:rsidR="0057131B"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57131B" w:rsidRDefault="00355A1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57131B" w:rsidRDefault="00355A1C">
            <w:pPr>
              <w:pStyle w:val="P68B1DB1-TableParagraph73"/>
              <w:spacing w:before="108"/>
              <w:ind w:left="85"/>
              <w:jc w:val="both"/>
              <w:rPr>
                <w:bCs/>
              </w:rPr>
            </w:pPr>
            <w:r>
              <w:t xml:space="preserve"> Typ av MA (t.ex. GMRA) </w:t>
            </w:r>
          </w:p>
          <w:p w14:paraId="7FE1D1B9" w14:textId="7472E062" w:rsidR="0057131B" w:rsidRDefault="00355A1C">
            <w:pPr>
              <w:pStyle w:val="P68B1DB1-TableParagraph40"/>
              <w:spacing w:before="108"/>
              <w:ind w:left="85"/>
              <w:jc w:val="both"/>
            </w:pPr>
            <w:r>
              <w:t>Specificera masteravtalet, antingen ”ICMA 2011 Global Master repurchase agreements”, ”ICMA 2000 Global Master repurchase agreements”, ”ICMA 1995 Global Master repurchase agreements”, ”ICMA 1992 Global Master repurchase agreements”, ”Andra globala ramavtal om återköp” eller ”Single Contract” från en fördefinierad förteckning.</w:t>
            </w:r>
          </w:p>
        </w:tc>
      </w:tr>
      <w:tr w:rsidR="0057131B"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57131B" w:rsidRDefault="00355A1C">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57131B" w:rsidRDefault="00355A1C">
            <w:pPr>
              <w:pStyle w:val="P68B1DB1-TableParagraph73"/>
              <w:spacing w:before="108"/>
              <w:ind w:left="85"/>
              <w:jc w:val="both"/>
              <w:rPr>
                <w:bCs/>
              </w:rPr>
            </w:pPr>
            <w:bookmarkStart w:id="252" w:name="_Hlk189839338"/>
            <w:r>
              <w:t xml:space="preserve">Motpartens namn </w:t>
            </w:r>
          </w:p>
          <w:bookmarkEnd w:id="252"/>
          <w:p w14:paraId="7FE1D1BD" w14:textId="0E71EEA1" w:rsidR="0057131B" w:rsidRDefault="00355A1C">
            <w:pPr>
              <w:pStyle w:val="P68B1DB1-TableParagraph40"/>
              <w:spacing w:before="108"/>
              <w:ind w:left="85"/>
              <w:jc w:val="both"/>
            </w:pPr>
            <w:r>
              <w:t>Motpartens företagsnamn.</w:t>
            </w:r>
          </w:p>
        </w:tc>
      </w:tr>
      <w:tr w:rsidR="0057131B"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57131B" w:rsidRDefault="00355A1C">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57131B" w:rsidRPr="007505CF" w:rsidRDefault="00355A1C">
            <w:pPr>
              <w:pStyle w:val="P68B1DB1-TableParagraph40"/>
              <w:spacing w:before="108"/>
              <w:ind w:left="85"/>
              <w:jc w:val="both"/>
              <w:rPr>
                <w:b/>
                <w:bCs/>
                <w:lang w:val="fr-FR"/>
              </w:rPr>
            </w:pPr>
            <w:r w:rsidRPr="007505CF">
              <w:rPr>
                <w:lang w:val="fr-FR"/>
              </w:rPr>
              <w:t xml:space="preserve"> </w:t>
            </w:r>
            <w:proofErr w:type="spellStart"/>
            <w:r w:rsidRPr="007505CF">
              <w:rPr>
                <w:b/>
                <w:lang w:val="fr-FR"/>
              </w:rPr>
              <w:t>Motpart</w:t>
            </w:r>
            <w:proofErr w:type="spellEnd"/>
            <w:r w:rsidRPr="007505CF">
              <w:rPr>
                <w:b/>
                <w:lang w:val="fr-FR"/>
              </w:rPr>
              <w:t xml:space="preserve"> (LEI/MFI/Local Identifier)</w:t>
            </w:r>
          </w:p>
          <w:p w14:paraId="7FE1D1C1" w14:textId="5ADC0AB9" w:rsidR="0057131B" w:rsidRDefault="00355A1C">
            <w:pPr>
              <w:pStyle w:val="P68B1DB1-TableParagraph40"/>
              <w:spacing w:before="108"/>
              <w:ind w:left="85"/>
              <w:jc w:val="both"/>
            </w:pPr>
            <w:r>
              <w:t>Rapportera borgenärens LEI-kod. I avsaknad av LEI-kod, när det gäller bankrapporter, ECB:s identifieringskod för monetära finansinstitut (MFI ID) som används i RIAD. Om båda dessa identifierare saknas, rapportera en intern identifierare.</w:t>
            </w:r>
          </w:p>
        </w:tc>
      </w:tr>
      <w:tr w:rsidR="0057131B"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57131B" w:rsidRDefault="00355A1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57131B" w:rsidRDefault="00355A1C">
            <w:pPr>
              <w:pStyle w:val="P68B1DB1-TableParagraph73"/>
              <w:spacing w:before="108"/>
              <w:ind w:left="85"/>
              <w:jc w:val="both"/>
              <w:rPr>
                <w:bCs/>
              </w:rPr>
            </w:pPr>
            <w:r>
              <w:t xml:space="preserve">Typ av identifierare </w:t>
            </w:r>
          </w:p>
          <w:p w14:paraId="7FE1D1C5"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57131B" w:rsidRDefault="00355A1C">
            <w:pPr>
              <w:pStyle w:val="P68B1DB1-Normal31"/>
            </w:pPr>
            <w:r>
              <w:lastRenderedPageBreak/>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57131B" w:rsidRDefault="00355A1C">
            <w:pPr>
              <w:pStyle w:val="P68B1DB1-TableParagraph40"/>
              <w:spacing w:before="108"/>
              <w:ind w:left="85"/>
              <w:jc w:val="both"/>
              <w:rPr>
                <w:b/>
                <w:bCs/>
              </w:rPr>
            </w:pPr>
            <w:r>
              <w:t xml:space="preserve"> </w:t>
            </w:r>
            <w:r>
              <w:rPr>
                <w:b/>
              </w:rPr>
              <w:t>Land för motpart</w:t>
            </w:r>
          </w:p>
          <w:p w14:paraId="7FE1D1C9" w14:textId="77777777" w:rsidR="0057131B" w:rsidRDefault="00355A1C">
            <w:pPr>
              <w:pStyle w:val="P68B1DB1-TableParagraph40"/>
              <w:spacing w:before="108"/>
              <w:ind w:left="85"/>
              <w:jc w:val="both"/>
            </w:pPr>
            <w:r>
              <w:t>Namnet på det land där motparten är etablerad.</w:t>
            </w:r>
          </w:p>
        </w:tc>
      </w:tr>
      <w:tr w:rsidR="0057131B"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57131B" w:rsidRDefault="00355A1C">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57131B" w:rsidRDefault="00355A1C">
            <w:pPr>
              <w:pStyle w:val="P68B1DB1-TableParagraph40"/>
              <w:spacing w:before="108"/>
              <w:ind w:left="85"/>
              <w:jc w:val="both"/>
              <w:rPr>
                <w:b/>
                <w:bCs/>
              </w:rPr>
            </w:pPr>
            <w:r>
              <w:t xml:space="preserve"> </w:t>
            </w:r>
            <w:r>
              <w:rPr>
                <w:b/>
              </w:rPr>
              <w:t>Tillämplig lag för den förvaltande myndigheten/ett enda avtal</w:t>
            </w:r>
          </w:p>
          <w:p w14:paraId="7FE1D1CD" w14:textId="77777777" w:rsidR="0057131B" w:rsidRDefault="00355A1C">
            <w:pPr>
              <w:pStyle w:val="P68B1DB1-TableParagraph40"/>
              <w:spacing w:before="108"/>
              <w:ind w:left="85"/>
              <w:jc w:val="both"/>
            </w:pPr>
            <w:r>
              <w:t xml:space="preserve">Namnet på det land vars lag reglerar den förvaltande myndigheten/det enda avtalet. Om avtalet regleras av lagen i mer än ett land ska det land vars lag har störst betydelse för erkännandet av nedskrivnings- och konverteringsbefogenheter rapporteras.  </w:t>
            </w:r>
          </w:p>
        </w:tc>
      </w:tr>
      <w:tr w:rsidR="0057131B"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57131B" w:rsidRDefault="00355A1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57131B" w:rsidRDefault="00355A1C">
            <w:pPr>
              <w:pStyle w:val="P68B1DB1-TableParagraph40"/>
              <w:spacing w:before="108"/>
              <w:ind w:left="85"/>
              <w:jc w:val="both"/>
              <w:rPr>
                <w:b/>
                <w:bCs/>
              </w:rPr>
            </w:pPr>
            <w:r>
              <w:t xml:space="preserve"> </w:t>
            </w:r>
            <w:r>
              <w:rPr>
                <w:b/>
              </w:rPr>
              <w:t>Antal transaktioner som denna</w:t>
            </w:r>
          </w:p>
          <w:p w14:paraId="7FE1D1D1" w14:textId="77777777" w:rsidR="0057131B" w:rsidRDefault="00355A1C">
            <w:pPr>
              <w:pStyle w:val="P68B1DB1-TableParagraph40"/>
              <w:spacing w:before="108"/>
              <w:ind w:left="85"/>
              <w:jc w:val="both"/>
            </w:pPr>
            <w:r>
              <w:t>Ange antalet enskilda avtal som ingår i den förvaltande myndighetens nettningsmängd.</w:t>
            </w:r>
          </w:p>
        </w:tc>
      </w:tr>
      <w:tr w:rsidR="0057131B"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57131B" w:rsidRDefault="00355A1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57131B" w:rsidRDefault="00355A1C">
            <w:pPr>
              <w:pStyle w:val="P68B1DB1-TableParagraph40"/>
              <w:spacing w:before="108"/>
              <w:ind w:left="85"/>
              <w:jc w:val="both"/>
              <w:rPr>
                <w:b/>
                <w:bCs/>
              </w:rPr>
            </w:pPr>
            <w:r>
              <w:t xml:space="preserve"> </w:t>
            </w:r>
            <w:r>
              <w:rPr>
                <w:b/>
              </w:rPr>
              <w:t>Nettobelopp för mottagen finansiering</w:t>
            </w:r>
          </w:p>
          <w:p w14:paraId="7FE1D1D5" w14:textId="40508D2F" w:rsidR="0057131B" w:rsidRDefault="00355A1C">
            <w:pPr>
              <w:pStyle w:val="P68B1DB1-TableParagraph40"/>
              <w:spacing w:before="108"/>
              <w:ind w:left="85"/>
              <w:jc w:val="both"/>
            </w:pPr>
            <w:r>
              <w:t>Ange nettobeloppet för finansiering som mottagits inom ramen för finansieringsöverenskommelser med säkerhet, med beaktande av alla transaktioner som omfattas av nettningsarrangemanget. Observera att detta belopp inte omfattar upplupen ränta, medan det relaterade beloppet på rad 0120 i Z02.00 gör det.</w:t>
            </w:r>
          </w:p>
        </w:tc>
      </w:tr>
      <w:tr w:rsidR="0057131B"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57131B" w:rsidRDefault="00355A1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57131B" w:rsidRDefault="00355A1C">
            <w:pPr>
              <w:pStyle w:val="P68B1DB1-TableParagraph73"/>
              <w:spacing w:before="108"/>
              <w:ind w:left="85"/>
              <w:jc w:val="both"/>
              <w:rPr>
                <w:bCs/>
              </w:rPr>
            </w:pPr>
            <w:r>
              <w:t xml:space="preserve"> Nettobelopp för ställda säkerheter  </w:t>
            </w:r>
          </w:p>
          <w:p w14:paraId="7FE1D1D9" w14:textId="6D452434" w:rsidR="0057131B" w:rsidRDefault="00355A1C">
            <w:pPr>
              <w:pStyle w:val="P68B1DB1-TableParagraph40"/>
              <w:spacing w:before="108"/>
              <w:ind w:left="85"/>
              <w:jc w:val="both"/>
            </w:pPr>
            <w:r>
              <w:t>Per nettningsmängd, ange nettovärdet av de säkerheter som ställts för att täcka de säkrade finansieringstransaktionerna, med beaktande av alla säkerhetspositioner som beaktas i nettningsavtalet. Detta inbegriper alla belopp av säkerheter eller marginalsäkerheter som utväxlas.</w:t>
            </w:r>
          </w:p>
        </w:tc>
      </w:tr>
    </w:tbl>
    <w:p w14:paraId="7FE1D1DB" w14:textId="77777777" w:rsidR="0057131B" w:rsidRDefault="0057131B">
      <w:pPr>
        <w:pStyle w:val="Instructionsberschrift2"/>
        <w:ind w:left="357"/>
        <w:rPr>
          <w:rFonts w:ascii="Times New Roman" w:eastAsia="Calibri" w:hAnsi="Times New Roman" w:cs="Times New Roman"/>
          <w:szCs w:val="20"/>
        </w:rPr>
      </w:pPr>
      <w:bookmarkStart w:id="253" w:name="_Toc81454218"/>
    </w:p>
    <w:p w14:paraId="7FE1D1DC" w14:textId="4F83132F" w:rsidR="0057131B" w:rsidRDefault="00355A1C">
      <w:pPr>
        <w:pStyle w:val="Instructionsberschrift2"/>
        <w:numPr>
          <w:ilvl w:val="1"/>
          <w:numId w:val="49"/>
        </w:numPr>
        <w:spacing w:before="0"/>
        <w:ind w:left="357" w:hanging="357"/>
        <w:rPr>
          <w:rFonts w:ascii="Times New Roman" w:hAnsi="Times New Roman" w:cs="Times New Roman"/>
        </w:rPr>
      </w:pPr>
      <w:bookmarkStart w:id="254" w:name="_Toc21090132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Övriga icke-finansiella skulder (som inte ingår i andra flikar, utom inom gruppen) </w:t>
      </w:r>
      <w:r>
        <w:rPr>
          <w:rFonts w:ascii="Times New Roman" w:eastAsia="Calibri" w:hAnsi="Times New Roman" w:cs="Times New Roman"/>
          <w:szCs w:val="20"/>
        </w:rPr>
        <w:t>(LIAB-G-7)</w:t>
      </w:r>
      <w:bookmarkEnd w:id="254"/>
    </w:p>
    <w:bookmarkEnd w:id="253"/>
    <w:p w14:paraId="7FE1D1DD" w14:textId="28BEEC11" w:rsidR="0057131B" w:rsidRDefault="0057131B">
      <w:pPr>
        <w:pStyle w:val="Instructionsberschrift2"/>
        <w:ind w:left="357"/>
        <w:rPr>
          <w:rFonts w:ascii="Times New Roman" w:eastAsiaTheme="minorEastAsia" w:hAnsi="Times New Roman" w:cs="Times New Roman"/>
          <w:u w:val="none"/>
        </w:rPr>
      </w:pPr>
    </w:p>
    <w:p w14:paraId="7FE1D1DE" w14:textId="77777777" w:rsidR="0057131B" w:rsidRDefault="00355A1C">
      <w:pPr>
        <w:pStyle w:val="P68B1DB1-Numberedtitlelevel388"/>
      </w:pPr>
      <w:r>
        <w:t>Allmänna kommentarer</w:t>
      </w:r>
    </w:p>
    <w:p w14:paraId="7FE1D1DF" w14:textId="6152DD19" w:rsidR="0057131B" w:rsidRDefault="00355A1C">
      <w:pPr>
        <w:pStyle w:val="P68B1DB1-InstructionsText286"/>
        <w:numPr>
          <w:ilvl w:val="2"/>
          <w:numId w:val="209"/>
        </w:numPr>
        <w:spacing w:before="0"/>
        <w:ind w:left="1276"/>
        <w:rPr>
          <w:rFonts w:eastAsiaTheme="majorEastAsia"/>
        </w:rPr>
      </w:pPr>
      <w:r>
        <w:t>Denna tabell omfattar icke-finansiella skulder såsom avsättningar, skatteskulder och uppskjutna intäkter.</w:t>
      </w:r>
    </w:p>
    <w:p w14:paraId="7FE1D1E0" w14:textId="6480C40E" w:rsidR="0057131B" w:rsidRDefault="00355A1C">
      <w:pPr>
        <w:pStyle w:val="P68B1DB1-InstructionsText286"/>
        <w:numPr>
          <w:ilvl w:val="2"/>
          <w:numId w:val="209"/>
        </w:numPr>
        <w:spacing w:before="0"/>
        <w:ind w:left="1276"/>
      </w:pPr>
      <w:r>
        <w:t>Gruppera dessa skulder efter typ av icke-finansiell skuld och rangordning vid insolvens.</w:t>
      </w:r>
    </w:p>
    <w:p w14:paraId="7FE1D1E2" w14:textId="77777777" w:rsidR="0057131B" w:rsidRDefault="00355A1C">
      <w:pPr>
        <w:pStyle w:val="P68B1DB1-Numberedtitlelevel388"/>
      </w:pPr>
      <w:r>
        <w:t>Instruktioner för specifika positioner</w:t>
      </w:r>
    </w:p>
    <w:tbl>
      <w:tblPr>
        <w:tblW w:w="9015" w:type="dxa"/>
        <w:tblInd w:w="135" w:type="dxa"/>
        <w:tblLayout w:type="fixed"/>
        <w:tblLook w:val="04A0" w:firstRow="1" w:lastRow="0" w:firstColumn="1" w:lastColumn="0" w:noHBand="0" w:noVBand="1"/>
      </w:tblPr>
      <w:tblGrid>
        <w:gridCol w:w="1183"/>
        <w:gridCol w:w="7832"/>
      </w:tblGrid>
      <w:tr w:rsidR="0057131B"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57131B" w:rsidRDefault="00355A1C">
            <w:pPr>
              <w:pStyle w:val="P68B1DB1-Normal31"/>
            </w:pPr>
            <w:r>
              <w:t xml:space="preserve">Kolumner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57131B" w:rsidRDefault="00355A1C">
            <w:pPr>
              <w:pStyle w:val="P68B1DB1-Normal31"/>
            </w:pPr>
            <w:r>
              <w:t xml:space="preserve">Anvisningar </w:t>
            </w:r>
          </w:p>
        </w:tc>
      </w:tr>
      <w:tr w:rsidR="0057131B"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57131B" w:rsidRDefault="00355A1C">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57131B" w:rsidRDefault="00355A1C">
            <w:pPr>
              <w:pStyle w:val="P68B1DB1-TableParagraph73"/>
              <w:spacing w:before="108"/>
              <w:ind w:left="85"/>
              <w:jc w:val="both"/>
              <w:rPr>
                <w:bCs/>
              </w:rPr>
            </w:pPr>
            <w:r>
              <w:t xml:space="preserve"> NR </w:t>
            </w:r>
          </w:p>
          <w:p w14:paraId="7FE1D1E8" w14:textId="5AB7F74C" w:rsidR="0057131B" w:rsidRDefault="00355A1C">
            <w:pPr>
              <w:pStyle w:val="P68B1DB1-TableParagraph40"/>
              <w:spacing w:before="108"/>
              <w:ind w:left="85"/>
              <w:jc w:val="both"/>
            </w:pPr>
            <w:r>
              <w:t>Unikt nummer/primärnyckel för att identifiera radposterna.</w:t>
            </w:r>
          </w:p>
        </w:tc>
      </w:tr>
      <w:tr w:rsidR="0057131B"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57131B" w:rsidRDefault="00355A1C">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57131B" w:rsidRDefault="00355A1C">
            <w:pPr>
              <w:pStyle w:val="P68B1DB1-TableParagraph73"/>
              <w:spacing w:before="108"/>
              <w:ind w:left="85"/>
              <w:jc w:val="both"/>
              <w:rPr>
                <w:bCs/>
              </w:rPr>
            </w:pPr>
            <w:r>
              <w:t xml:space="preserve"> Rad </w:t>
            </w:r>
          </w:p>
          <w:p w14:paraId="7FE1D1EC" w14:textId="31DF728D" w:rsidR="0057131B" w:rsidRDefault="00355A1C">
            <w:pPr>
              <w:pStyle w:val="P68B1DB1-TableParagraph40"/>
              <w:spacing w:before="108"/>
              <w:ind w:left="85"/>
              <w:jc w:val="both"/>
            </w:pPr>
            <w:r>
              <w:t>För varje skuld måste en avstämning med skuldstrukturens kategorier i Z02.00 göras på löptidsnivå från en fördefinierad värdelista.</w:t>
            </w:r>
          </w:p>
        </w:tc>
      </w:tr>
      <w:tr w:rsidR="0057131B"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57131B" w:rsidRDefault="00355A1C">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57131B" w:rsidRDefault="00355A1C">
            <w:pPr>
              <w:pStyle w:val="P68B1DB1-TableParagraph40"/>
              <w:spacing w:before="108"/>
              <w:ind w:left="85"/>
              <w:jc w:val="both"/>
              <w:rPr>
                <w:b/>
                <w:bCs/>
              </w:rPr>
            </w:pPr>
            <w:r>
              <w:t xml:space="preserve"> </w:t>
            </w:r>
            <w:r>
              <w:rPr>
                <w:b/>
              </w:rPr>
              <w:t>Kolumn</w:t>
            </w:r>
          </w:p>
          <w:p w14:paraId="7FE1D1F0" w14:textId="2D865C88" w:rsidR="0057131B" w:rsidRDefault="00355A1C">
            <w:pPr>
              <w:pStyle w:val="P68B1DB1-TableParagraph40"/>
              <w:spacing w:before="108"/>
              <w:ind w:left="85"/>
              <w:jc w:val="both"/>
            </w:pPr>
            <w:r>
              <w:t>För varje skuld ska en avstämning göras med den motpartsklass i Z 02.00 till vilken skulden är hänförlig till en fördefinierad värdelista.</w:t>
            </w:r>
          </w:p>
        </w:tc>
      </w:tr>
      <w:tr w:rsidR="0057131B"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57131B" w:rsidRDefault="00355A1C">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57131B" w:rsidRDefault="00355A1C">
            <w:pPr>
              <w:pStyle w:val="P68B1DB1-TableParagraph40"/>
              <w:spacing w:before="108"/>
              <w:ind w:left="85"/>
              <w:jc w:val="both"/>
              <w:rPr>
                <w:b/>
                <w:bCs/>
              </w:rPr>
            </w:pPr>
            <w:r>
              <w:t xml:space="preserve"> </w:t>
            </w:r>
            <w:r>
              <w:rPr>
                <w:b/>
              </w:rPr>
              <w:t>Konkursanpassning</w:t>
            </w:r>
          </w:p>
          <w:p w14:paraId="7FE1D1F4" w14:textId="16989963" w:rsidR="0057131B" w:rsidRDefault="00355A1C">
            <w:pPr>
              <w:pStyle w:val="P68B1DB1-TableParagraph40"/>
              <w:spacing w:before="108"/>
              <w:ind w:left="85"/>
              <w:jc w:val="both"/>
            </w:pPr>
            <w:r>
              <w:t>Rangordningen vid insolvens ska vara en av de rangordningar vid insolvens som publiceras av resolutionsmyndigheten i denna jurisdiktion.</w:t>
            </w:r>
          </w:p>
        </w:tc>
      </w:tr>
      <w:tr w:rsidR="0057131B"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57131B" w:rsidRDefault="00355A1C">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57131B" w:rsidRDefault="00355A1C">
            <w:pPr>
              <w:pStyle w:val="P68B1DB1-TableParagraph73"/>
              <w:spacing w:before="108"/>
              <w:ind w:left="85"/>
              <w:jc w:val="both"/>
              <w:rPr>
                <w:bCs/>
              </w:rPr>
            </w:pPr>
            <w:r>
              <w:t xml:space="preserve">ID-kod för avtal </w:t>
            </w:r>
          </w:p>
          <w:p w14:paraId="7FE1D1F8" w14:textId="77777777" w:rsidR="0057131B" w:rsidRDefault="00355A1C">
            <w:pPr>
              <w:pStyle w:val="P68B1DB1-TableParagraph40"/>
              <w:spacing w:before="108"/>
              <w:ind w:left="85"/>
              <w:jc w:val="both"/>
            </w:pPr>
            <w:r>
              <w:lastRenderedPageBreak/>
              <w:t>Intern identifieringskod för kontraktet, som likvärdig med ISIN-koden för värdepapper.</w:t>
            </w:r>
          </w:p>
        </w:tc>
      </w:tr>
      <w:tr w:rsidR="0057131B"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57131B" w:rsidRDefault="00355A1C">
            <w:pPr>
              <w:pStyle w:val="P68B1DB1-Normal31"/>
            </w:pPr>
            <w:r>
              <w:lastRenderedPageBreak/>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57131B" w:rsidRDefault="00355A1C">
            <w:pPr>
              <w:pStyle w:val="P68B1DB1-TableParagraph73"/>
              <w:spacing w:before="108"/>
              <w:ind w:left="85"/>
              <w:jc w:val="both"/>
              <w:rPr>
                <w:bCs/>
              </w:rPr>
            </w:pPr>
            <w:r>
              <w:t xml:space="preserve"> Identifieringskod för motpart </w:t>
            </w:r>
          </w:p>
          <w:p w14:paraId="7FE1D1FC" w14:textId="3D6CB4CA" w:rsidR="0057131B" w:rsidRDefault="00355A1C">
            <w:pPr>
              <w:pStyle w:val="P68B1DB1-TableParagraph40"/>
              <w:spacing w:before="108"/>
              <w:ind w:left="85"/>
              <w:jc w:val="both"/>
            </w:pPr>
            <w:r>
              <w:t>Rapportera borgenärens LEI-kod. I avsaknad av LEI-kod, när det gäller bankrapporter, ECB:s identifieringskod för monetära finansinstitut (MFI ID) som används i RIAD. Om båda dessa identifierare saknas, rapportera en intern identifierare.</w:t>
            </w:r>
          </w:p>
        </w:tc>
      </w:tr>
      <w:tr w:rsidR="0057131B"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57131B" w:rsidRDefault="00355A1C">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57131B" w:rsidRDefault="00355A1C">
            <w:pPr>
              <w:pStyle w:val="P68B1DB1-TableParagraph73"/>
              <w:spacing w:before="108"/>
              <w:ind w:left="85"/>
              <w:jc w:val="both"/>
              <w:rPr>
                <w:bCs/>
              </w:rPr>
            </w:pPr>
            <w:r>
              <w:t xml:space="preserve">Typ av identifierare </w:t>
            </w:r>
          </w:p>
          <w:p w14:paraId="7FE1D200" w14:textId="77777777" w:rsidR="0057131B" w:rsidRDefault="00355A1C">
            <w:pPr>
              <w:pStyle w:val="P68B1DB1-TableParagraph40"/>
              <w:spacing w:before="108"/>
              <w:ind w:left="85"/>
              <w:jc w:val="both"/>
            </w:pPr>
            <w:r>
              <w:t>Välj en av följande alternativ: ”LEI-kod”, ”MFI-kod” eller ”Typ av identifierare, annan än LEI-kod eller MFI-kod”.</w:t>
            </w:r>
          </w:p>
        </w:tc>
      </w:tr>
      <w:tr w:rsidR="0057131B"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57131B" w:rsidRDefault="00355A1C">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57131B" w:rsidRDefault="00355A1C">
            <w:pPr>
              <w:pStyle w:val="P68B1DB1-TableParagraph40"/>
              <w:spacing w:before="108"/>
              <w:ind w:left="85"/>
              <w:jc w:val="both"/>
              <w:rPr>
                <w:b/>
                <w:bCs/>
              </w:rPr>
            </w:pPr>
            <w:r>
              <w:t xml:space="preserve"> </w:t>
            </w:r>
            <w:r>
              <w:rPr>
                <w:b/>
              </w:rPr>
              <w:t>Tillämplig lagstiftning</w:t>
            </w:r>
          </w:p>
          <w:p w14:paraId="7FE1D204" w14:textId="24CB3395" w:rsidR="0057131B" w:rsidRDefault="00355A1C">
            <w:pPr>
              <w:pStyle w:val="P68B1DB1-TableParagraph40"/>
              <w:spacing w:before="108"/>
              <w:ind w:left="85"/>
              <w:jc w:val="both"/>
            </w:pPr>
            <w:r>
              <w:t xml:space="preserve">Namnet på det land vars lag reglerar ansvaret. Om avtalet regleras av lagen i mer än ett land ska det land vars lag har störst betydelse för erkännandet av nedskrivnings- och konverteringsbefogenheter rapporteras.  </w:t>
            </w:r>
          </w:p>
        </w:tc>
      </w:tr>
      <w:tr w:rsidR="0057131B"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57131B" w:rsidRDefault="00355A1C">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57131B" w:rsidRDefault="00355A1C">
            <w:pPr>
              <w:pStyle w:val="P68B1DB1-TableParagraph40"/>
              <w:spacing w:before="108"/>
              <w:ind w:left="85"/>
              <w:jc w:val="both"/>
              <w:rPr>
                <w:b/>
                <w:bCs/>
              </w:rPr>
            </w:pPr>
            <w:r>
              <w:t xml:space="preserve"> </w:t>
            </w:r>
            <w:r>
              <w:rPr>
                <w:b/>
              </w:rPr>
              <w:t>Typ av icke-finansiell skuld</w:t>
            </w:r>
          </w:p>
          <w:p w14:paraId="7FE1D208" w14:textId="234E81AF" w:rsidR="0057131B" w:rsidRDefault="00355A1C">
            <w:pPr>
              <w:pStyle w:val="P68B1DB1-TableParagraph40"/>
              <w:spacing w:before="108"/>
              <w:ind w:left="85"/>
              <w:jc w:val="both"/>
            </w:pPr>
            <w:r>
              <w:t>Välj en av följande alternativ:</w:t>
            </w:r>
          </w:p>
          <w:p w14:paraId="7FE1D209" w14:textId="1B19E45B" w:rsidR="0057131B" w:rsidRDefault="00355A1C">
            <w:pPr>
              <w:pStyle w:val="P68B1DB1-TableParagraph40"/>
              <w:numPr>
                <w:ilvl w:val="0"/>
                <w:numId w:val="269"/>
              </w:numPr>
              <w:spacing w:before="108"/>
              <w:jc w:val="both"/>
            </w:pPr>
            <w:r>
              <w:t>Reserveringar för allmänna bankrisker</w:t>
            </w:r>
          </w:p>
          <w:p w14:paraId="7FE1D20A" w14:textId="5F4C425A" w:rsidR="0057131B" w:rsidRDefault="00355A1C">
            <w:pPr>
              <w:pStyle w:val="P68B1DB1-TableParagraph40"/>
              <w:numPr>
                <w:ilvl w:val="0"/>
                <w:numId w:val="269"/>
              </w:numPr>
              <w:spacing w:before="108"/>
              <w:jc w:val="both"/>
            </w:pPr>
            <w:r>
              <w:t>Pensioner och andra förmånsbestämda förpliktelser efter anställningen</w:t>
            </w:r>
          </w:p>
          <w:p w14:paraId="7FE1D20B" w14:textId="3AEADF9D" w:rsidR="0057131B" w:rsidRDefault="00355A1C">
            <w:pPr>
              <w:pStyle w:val="P68B1DB1-TableParagraph40"/>
              <w:numPr>
                <w:ilvl w:val="0"/>
                <w:numId w:val="269"/>
              </w:numPr>
              <w:spacing w:before="108"/>
              <w:jc w:val="both"/>
            </w:pPr>
            <w:r>
              <w:t>Ersättningar till anställda. Annat än pensioner och andra förmånsbestämda förpliktelser efter anställningen</w:t>
            </w:r>
          </w:p>
          <w:p w14:paraId="7FE1D20C" w14:textId="66AEA5AF" w:rsidR="0057131B" w:rsidRDefault="00355A1C">
            <w:pPr>
              <w:pStyle w:val="P68B1DB1-TableParagraph40"/>
              <w:numPr>
                <w:ilvl w:val="0"/>
                <w:numId w:val="269"/>
              </w:numPr>
              <w:spacing w:before="108"/>
              <w:jc w:val="both"/>
            </w:pPr>
            <w:r>
              <w:t>Omstrukturering</w:t>
            </w:r>
          </w:p>
          <w:p w14:paraId="7FE1D20D" w14:textId="72D6FCB9" w:rsidR="0057131B" w:rsidRDefault="00355A1C">
            <w:pPr>
              <w:pStyle w:val="P68B1DB1-TableParagraph40"/>
              <w:numPr>
                <w:ilvl w:val="0"/>
                <w:numId w:val="269"/>
              </w:numPr>
              <w:spacing w:before="108"/>
              <w:jc w:val="both"/>
            </w:pPr>
            <w:r>
              <w:t>Pågående rättsliga frågor och skattemål</w:t>
            </w:r>
          </w:p>
          <w:p w14:paraId="7FE1D20E" w14:textId="6A9A65DF" w:rsidR="0057131B" w:rsidRDefault="00355A1C">
            <w:pPr>
              <w:pStyle w:val="P68B1DB1-TableParagraph40"/>
              <w:numPr>
                <w:ilvl w:val="0"/>
                <w:numId w:val="269"/>
              </w:numPr>
              <w:spacing w:before="108"/>
              <w:jc w:val="both"/>
            </w:pPr>
            <w:r>
              <w:t>Exponeringar utanför balansräkningen som är förenade med kreditrisk</w:t>
            </w:r>
          </w:p>
          <w:p w14:paraId="7FE1D20F" w14:textId="69731D97" w:rsidR="0057131B" w:rsidRDefault="00355A1C">
            <w:pPr>
              <w:pStyle w:val="P68B1DB1-TableParagraph40"/>
              <w:numPr>
                <w:ilvl w:val="0"/>
                <w:numId w:val="269"/>
              </w:numPr>
              <w:spacing w:before="108"/>
              <w:jc w:val="both"/>
            </w:pPr>
            <w:r>
              <w:t>Annat än ersättningar till anställda, omstrukturering, pågående rättsliga frågor och skattemål, poster utanför balansräkningen som är förenade med kreditrisk</w:t>
            </w:r>
          </w:p>
          <w:p w14:paraId="7FE1D210" w14:textId="00431AB4" w:rsidR="0057131B" w:rsidRDefault="00355A1C">
            <w:pPr>
              <w:pStyle w:val="P68B1DB1-TableParagraph40"/>
              <w:numPr>
                <w:ilvl w:val="0"/>
                <w:numId w:val="269"/>
              </w:numPr>
              <w:spacing w:before="108"/>
              <w:jc w:val="both"/>
            </w:pPr>
            <w:r>
              <w:t>Skatteskulder</w:t>
            </w:r>
          </w:p>
          <w:p w14:paraId="7FE1D211" w14:textId="29640DA2" w:rsidR="0057131B" w:rsidRDefault="00355A1C">
            <w:pPr>
              <w:pStyle w:val="P68B1DB1-TableParagraph40"/>
              <w:numPr>
                <w:ilvl w:val="0"/>
                <w:numId w:val="269"/>
              </w:numPr>
              <w:spacing w:before="108"/>
              <w:jc w:val="both"/>
            </w:pPr>
            <w:r>
              <w:t>Förutbetalda intäkter</w:t>
            </w:r>
          </w:p>
          <w:p w14:paraId="7FE1D212" w14:textId="7E6BDA10" w:rsidR="0057131B" w:rsidRDefault="00355A1C">
            <w:pPr>
              <w:pStyle w:val="P68B1DB1-TableParagraph40"/>
              <w:numPr>
                <w:ilvl w:val="0"/>
                <w:numId w:val="269"/>
              </w:numPr>
              <w:spacing w:before="108"/>
              <w:jc w:val="both"/>
            </w:pPr>
            <w:r>
              <w:t>Andra skulder än finansiella skulder, avsättningar, skatteskulder, uppskjutna intäkter</w:t>
            </w:r>
          </w:p>
        </w:tc>
      </w:tr>
      <w:tr w:rsidR="0057131B"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57131B" w:rsidRDefault="00355A1C">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57131B" w:rsidRDefault="00355A1C">
            <w:pPr>
              <w:pStyle w:val="P68B1DB1-TableParagraph40"/>
              <w:spacing w:before="108"/>
              <w:ind w:left="85"/>
              <w:jc w:val="both"/>
              <w:rPr>
                <w:b/>
                <w:bCs/>
              </w:rPr>
            </w:pPr>
            <w:r>
              <w:t xml:space="preserve"> </w:t>
            </w:r>
            <w:r>
              <w:rPr>
                <w:b/>
              </w:rPr>
              <w:t>Utestående belopp</w:t>
            </w:r>
          </w:p>
          <w:p w14:paraId="7FE1D216" w14:textId="41D11E8B" w:rsidR="0057131B" w:rsidRDefault="00355A1C">
            <w:pPr>
              <w:pStyle w:val="P68B1DB1-TableParagraph40"/>
              <w:spacing w:before="108"/>
              <w:ind w:left="85"/>
              <w:jc w:val="both"/>
            </w:pPr>
            <w:r>
              <w:t>Skuldens utestående belopp.</w:t>
            </w:r>
          </w:p>
        </w:tc>
      </w:tr>
      <w:tr w:rsidR="0057131B"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57131B" w:rsidRDefault="00355A1C">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57131B" w:rsidRDefault="00355A1C">
            <w:pPr>
              <w:pStyle w:val="P68B1DB1-TableParagraph73"/>
              <w:spacing w:before="108"/>
              <w:ind w:left="85"/>
              <w:jc w:val="both"/>
              <w:rPr>
                <w:bCs/>
              </w:rPr>
            </w:pPr>
            <w:r>
              <w:t xml:space="preserve">Valuta  </w:t>
            </w:r>
          </w:p>
          <w:p w14:paraId="7FE1D21A" w14:textId="0E8D9FF4" w:rsidR="0057131B" w:rsidRDefault="00355A1C">
            <w:pPr>
              <w:pStyle w:val="P68B1DB1-TableParagraph40"/>
              <w:spacing w:before="108"/>
              <w:ind w:left="85"/>
              <w:jc w:val="both"/>
            </w:pPr>
            <w:r>
              <w:t>Skuldens valuta emitteras i enlighet med dess ISO 3-bokstavskod.</w:t>
            </w:r>
          </w:p>
        </w:tc>
      </w:tr>
      <w:tr w:rsidR="0057131B"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57131B" w:rsidRDefault="00355A1C">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57131B" w:rsidRDefault="00355A1C">
            <w:pPr>
              <w:pStyle w:val="P68B1DB1-TableParagraph73"/>
              <w:spacing w:before="108"/>
              <w:ind w:left="85"/>
              <w:jc w:val="both"/>
              <w:rPr>
                <w:bCs/>
              </w:rPr>
            </w:pPr>
            <w:r>
              <w:t xml:space="preserve"> Datum för erkännande. </w:t>
            </w:r>
          </w:p>
          <w:p w14:paraId="7FE1D21E" w14:textId="6A3E04DE" w:rsidR="0057131B" w:rsidRDefault="00355A1C">
            <w:pPr>
              <w:pStyle w:val="P68B1DB1-TableParagraph40"/>
              <w:spacing w:before="108"/>
              <w:ind w:left="85"/>
              <w:jc w:val="both"/>
            </w:pPr>
            <w:r>
              <w:t>Det datum då skulden redovisades i räkenskaperna enligt tillämpliga redovisningsstandarder.</w:t>
            </w:r>
          </w:p>
        </w:tc>
      </w:tr>
      <w:tr w:rsidR="0057131B"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57131B" w:rsidRDefault="00355A1C">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57131B" w:rsidRDefault="00355A1C">
            <w:pPr>
              <w:pStyle w:val="P68B1DB1-TableParagraph73"/>
              <w:spacing w:before="108"/>
              <w:ind w:left="85"/>
              <w:jc w:val="both"/>
              <w:rPr>
                <w:bCs/>
              </w:rPr>
            </w:pPr>
            <w:r>
              <w:t xml:space="preserve">Förfallodag </w:t>
            </w:r>
          </w:p>
          <w:p w14:paraId="7FE1D222" w14:textId="41BB691A" w:rsidR="0057131B" w:rsidRDefault="00355A1C">
            <w:pPr>
              <w:pStyle w:val="P68B1DB1-TableParagraph40"/>
              <w:spacing w:before="108"/>
              <w:ind w:left="85"/>
              <w:jc w:val="both"/>
            </w:pPr>
            <w:r>
              <w:t>Datum för skuldens rättsliga och slutliga förfallodag. För eviga skulder, använd ”2099–01–31”.</w:t>
            </w:r>
          </w:p>
        </w:tc>
      </w:tr>
      <w:tr w:rsidR="0057131B"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57131B" w:rsidRDefault="00355A1C">
            <w:pPr>
              <w:pStyle w:val="P68B1DB1-Normal31"/>
            </w:pPr>
            <w:r>
              <w:lastRenderedPageBreak/>
              <w:t>0130</w:t>
            </w:r>
          </w:p>
        </w:tc>
        <w:tc>
          <w:tcPr>
            <w:tcW w:w="7832" w:type="dxa"/>
            <w:tcBorders>
              <w:top w:val="single" w:sz="8" w:space="0" w:color="1A171C"/>
              <w:left w:val="single" w:sz="8" w:space="0" w:color="1A171C"/>
              <w:right w:val="nil"/>
            </w:tcBorders>
            <w:vAlign w:val="bottom"/>
          </w:tcPr>
          <w:p w14:paraId="7FE1D225" w14:textId="77777777" w:rsidR="0057131B" w:rsidRDefault="00355A1C">
            <w:pPr>
              <w:pStyle w:val="P68B1DB1-TableParagraph40"/>
              <w:spacing w:before="108"/>
              <w:ind w:left="85"/>
              <w:jc w:val="both"/>
              <w:rPr>
                <w:b/>
                <w:bCs/>
              </w:rPr>
            </w:pPr>
            <w:r>
              <w:t xml:space="preserve"> </w:t>
            </w:r>
            <w:r>
              <w:rPr>
                <w:b/>
              </w:rPr>
              <w:t>Kvalificerade som kapitalbas</w:t>
            </w:r>
          </w:p>
          <w:p w14:paraId="7FE1D226" w14:textId="3E6ABC96" w:rsidR="0057131B" w:rsidRDefault="00355A1C">
            <w:pPr>
              <w:pStyle w:val="P68B1DB1-TableParagraph40"/>
              <w:spacing w:before="108"/>
              <w:ind w:left="85"/>
              <w:jc w:val="both"/>
            </w:pPr>
            <w:r>
              <w:t xml:space="preserve">Ange om och på vilken nivå instrumentet ingår i kapitalbasen, tillsammans med information om utfasningssystemet och bestämmelserna om tillämpning av äldre regler. Värdet kan vara ”Nej”, ”Partiellt AT1, T1 och T2”, ”T2 under utfasning”, ”Grandfalized T2”, ”Fullständig väntande T2”, ”Grandfalized AT1”, ”Fullständig anmälare AT1” eller ”CET1” från en fördefinierad förteckning. </w:t>
            </w:r>
          </w:p>
          <w:p w14:paraId="7FE1D227" w14:textId="4662C12C" w:rsidR="0057131B" w:rsidRDefault="00355A1C">
            <w:pPr>
              <w:pStyle w:val="P68B1DB1-TableParagraph40"/>
              <w:spacing w:before="108"/>
              <w:ind w:left="85"/>
              <w:jc w:val="both"/>
            </w:pPr>
            <w:r>
              <w:t xml:space="preserve"> I förteckningen över optioner avser termen ”utfasning” perioden på 5 år före förfallodagen för ett visst T2-instrument, under vilken det endast finns ett proportionellt erkännande baserat på den återstående tiden fram till förfallodagen. Med ”omfattas av äldre regler” avses alla övergångsåtgärder som är tillämpliga på ett T2-instrument, exklusive ”utfasning”. Under denna ”grandfathering” kan erkännandet vara fullständigt eller partiellt.</w:t>
            </w:r>
          </w:p>
        </w:tc>
      </w:tr>
      <w:tr w:rsidR="0057131B" w14:paraId="7FE1D22C" w14:textId="77777777">
        <w:tc>
          <w:tcPr>
            <w:tcW w:w="1183" w:type="dxa"/>
            <w:tcBorders>
              <w:top w:val="nil"/>
              <w:left w:val="nil"/>
              <w:bottom w:val="single" w:sz="8" w:space="0" w:color="1A171C"/>
              <w:right w:val="single" w:sz="8" w:space="0" w:color="1A171C"/>
            </w:tcBorders>
            <w:vAlign w:val="center"/>
          </w:tcPr>
          <w:p w14:paraId="7FE1D229" w14:textId="77777777" w:rsidR="0057131B" w:rsidRDefault="00355A1C">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57131B" w:rsidRDefault="00355A1C">
            <w:pPr>
              <w:pStyle w:val="P68B1DB1-TableParagraph40"/>
              <w:spacing w:before="108"/>
              <w:ind w:left="85"/>
              <w:jc w:val="both"/>
              <w:rPr>
                <w:b/>
                <w:bCs/>
              </w:rPr>
            </w:pPr>
            <w:r>
              <w:t xml:space="preserve"> </w:t>
            </w:r>
            <w:r>
              <w:rPr>
                <w:b/>
              </w:rPr>
              <w:t>Belopp som klassificeras som kapitalbas</w:t>
            </w:r>
          </w:p>
          <w:p w14:paraId="7FE1D22B" w14:textId="01A9A811" w:rsidR="0057131B" w:rsidRDefault="00355A1C">
            <w:pPr>
              <w:pStyle w:val="P68B1DB1-TableParagraph40"/>
              <w:spacing w:before="108"/>
              <w:ind w:left="85"/>
              <w:jc w:val="both"/>
            </w:pPr>
            <w:r>
              <w:t>Beloppet för det instrument som räknas som kapitalbas.</w:t>
            </w:r>
          </w:p>
        </w:tc>
      </w:tr>
    </w:tbl>
    <w:p w14:paraId="7FE1D22D" w14:textId="01F1CEAB" w:rsidR="0057131B" w:rsidRDefault="0057131B">
      <w:pPr>
        <w:pStyle w:val="body"/>
        <w:rPr>
          <w:rFonts w:ascii="Times New Roman" w:hAnsi="Times New Roman" w:cs="Times New Roman"/>
          <w:sz w:val="20"/>
          <w:szCs w:val="20"/>
        </w:rPr>
      </w:pPr>
    </w:p>
    <w:p w14:paraId="349218F7" w14:textId="77777777" w:rsidR="0057131B" w:rsidRDefault="00355A1C">
      <w:pPr>
        <w:pStyle w:val="P68B1DB1-Normal19"/>
        <w:spacing w:after="200" w:line="276" w:lineRule="auto"/>
      </w:pPr>
      <w:r>
        <w:br w:type="page"/>
      </w:r>
    </w:p>
    <w:p w14:paraId="42DED9B4" w14:textId="77777777" w:rsidR="0057131B" w:rsidRDefault="0057131B">
      <w:pPr>
        <w:pStyle w:val="Instructionsberschrift2"/>
        <w:ind w:left="357"/>
        <w:rPr>
          <w:rFonts w:ascii="Times New Roman" w:eastAsia="Calibri" w:hAnsi="Times New Roman" w:cs="Times New Roman"/>
          <w:szCs w:val="20"/>
        </w:rPr>
      </w:pPr>
    </w:p>
    <w:p w14:paraId="4BD624F8" w14:textId="77777777" w:rsidR="0057131B" w:rsidRDefault="0057131B">
      <w:pPr>
        <w:spacing w:after="200" w:line="276" w:lineRule="auto"/>
        <w:rPr>
          <w:rFonts w:ascii="Times New Roman" w:hAnsi="Times New Roman" w:cs="Times New Roman"/>
          <w:sz w:val="20"/>
          <w:szCs w:val="20"/>
        </w:rPr>
      </w:pPr>
    </w:p>
    <w:p w14:paraId="715529B0" w14:textId="64A141F4" w:rsidR="0057131B" w:rsidRDefault="00355A1C">
      <w:pPr>
        <w:pStyle w:val="P68B1DB1-Instructionsberschrift284"/>
        <w:numPr>
          <w:ilvl w:val="1"/>
          <w:numId w:val="49"/>
        </w:numPr>
        <w:spacing w:before="0"/>
        <w:ind w:left="357" w:hanging="357"/>
      </w:pPr>
      <w:bookmarkStart w:id="255" w:name="_Toc192248856"/>
      <w:bookmarkStart w:id="256" w:name="_Toc210901321"/>
      <w:r>
        <w:t>Bilaga I – Förteckning över finansmarknadsinfrastrukturer som ska användas för Z 09.01 – c0050</w:t>
      </w:r>
      <w:bookmarkEnd w:id="255"/>
      <w:bookmarkEnd w:id="256"/>
    </w:p>
    <w:p w14:paraId="31681B73" w14:textId="51FEAE08" w:rsidR="0057131B" w:rsidRDefault="0057131B">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57131B"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57131B" w:rsidRDefault="00355A1C">
            <w:pPr>
              <w:pStyle w:val="P68B1DB1-Normal90"/>
            </w:pPr>
            <w:r>
              <w:t>Post i rullgardinsmenyn över finansmarknadsinfrastrukturer</w:t>
            </w:r>
          </w:p>
        </w:tc>
      </w:tr>
      <w:tr w:rsidR="0057131B" w14:paraId="09736821" w14:textId="77777777">
        <w:trPr>
          <w:trHeight w:val="300"/>
        </w:trPr>
        <w:tc>
          <w:tcPr>
            <w:tcW w:w="9072" w:type="dxa"/>
            <w:tcBorders>
              <w:top w:val="nil"/>
              <w:left w:val="nil"/>
              <w:bottom w:val="nil"/>
              <w:right w:val="nil"/>
            </w:tcBorders>
            <w:noWrap/>
            <w:vAlign w:val="bottom"/>
            <w:hideMark/>
          </w:tcPr>
          <w:p w14:paraId="65FBD6FC" w14:textId="77777777" w:rsidR="0057131B" w:rsidRDefault="00355A1C">
            <w:pPr>
              <w:pStyle w:val="P68B1DB1-Normal91"/>
            </w:pPr>
            <w:bookmarkStart w:id="257" w:name="RANGE!A3:A168"/>
            <w:r>
              <w:t>Clearingkontoret i Aten (ACO)</w:t>
            </w:r>
            <w:bookmarkEnd w:id="257"/>
          </w:p>
        </w:tc>
      </w:tr>
      <w:tr w:rsidR="0057131B" w14:paraId="447EB604" w14:textId="77777777">
        <w:trPr>
          <w:trHeight w:val="300"/>
        </w:trPr>
        <w:tc>
          <w:tcPr>
            <w:tcW w:w="9072" w:type="dxa"/>
            <w:tcBorders>
              <w:top w:val="nil"/>
              <w:left w:val="nil"/>
              <w:bottom w:val="nil"/>
              <w:right w:val="nil"/>
            </w:tcBorders>
            <w:noWrap/>
            <w:vAlign w:val="bottom"/>
            <w:hideMark/>
          </w:tcPr>
          <w:p w14:paraId="2B6E60A7" w14:textId="77777777" w:rsidR="0057131B" w:rsidRDefault="00355A1C">
            <w:pPr>
              <w:pStyle w:val="P68B1DB1-Normal91"/>
            </w:pPr>
            <w:r>
              <w:t>ATHEX (Atens fondbörs)</w:t>
            </w:r>
          </w:p>
        </w:tc>
      </w:tr>
      <w:tr w:rsidR="0057131B" w14:paraId="0DF5C441" w14:textId="77777777">
        <w:trPr>
          <w:trHeight w:val="300"/>
        </w:trPr>
        <w:tc>
          <w:tcPr>
            <w:tcW w:w="9072" w:type="dxa"/>
            <w:tcBorders>
              <w:top w:val="nil"/>
              <w:left w:val="nil"/>
              <w:bottom w:val="nil"/>
              <w:right w:val="nil"/>
            </w:tcBorders>
            <w:noWrap/>
            <w:vAlign w:val="bottom"/>
            <w:hideMark/>
          </w:tcPr>
          <w:p w14:paraId="4C199F01" w14:textId="77777777" w:rsidR="0057131B" w:rsidRDefault="00355A1C">
            <w:pPr>
              <w:pStyle w:val="P68B1DB1-Normal91"/>
            </w:pPr>
            <w:r>
              <w:t>ATHEX CSD</w:t>
            </w:r>
          </w:p>
        </w:tc>
      </w:tr>
      <w:tr w:rsidR="0057131B" w14:paraId="6C8DFF2B" w14:textId="77777777">
        <w:trPr>
          <w:trHeight w:val="300"/>
        </w:trPr>
        <w:tc>
          <w:tcPr>
            <w:tcW w:w="9072" w:type="dxa"/>
            <w:tcBorders>
              <w:top w:val="nil"/>
              <w:left w:val="nil"/>
              <w:bottom w:val="nil"/>
              <w:right w:val="nil"/>
            </w:tcBorders>
            <w:noWrap/>
            <w:vAlign w:val="bottom"/>
            <w:hideMark/>
          </w:tcPr>
          <w:p w14:paraId="2876B1C1" w14:textId="77777777" w:rsidR="0057131B" w:rsidRDefault="00355A1C">
            <w:pPr>
              <w:pStyle w:val="P68B1DB1-Normal91"/>
            </w:pPr>
            <w:r>
              <w:t>ATHEXClear SA</w:t>
            </w:r>
          </w:p>
        </w:tc>
      </w:tr>
      <w:tr w:rsidR="0057131B" w:rsidRPr="00914EB8" w14:paraId="24CE5F78" w14:textId="77777777">
        <w:trPr>
          <w:trHeight w:val="300"/>
        </w:trPr>
        <w:tc>
          <w:tcPr>
            <w:tcW w:w="9072" w:type="dxa"/>
            <w:tcBorders>
              <w:top w:val="nil"/>
              <w:left w:val="nil"/>
              <w:bottom w:val="nil"/>
              <w:right w:val="nil"/>
            </w:tcBorders>
            <w:noWrap/>
            <w:vAlign w:val="bottom"/>
            <w:hideMark/>
          </w:tcPr>
          <w:p w14:paraId="1E830E75" w14:textId="77777777" w:rsidR="0057131B" w:rsidRPr="003751AD" w:rsidRDefault="00355A1C">
            <w:pPr>
              <w:pStyle w:val="P68B1DB1-Normal91"/>
              <w:rPr>
                <w:lang w:val="en-US"/>
              </w:rPr>
            </w:pPr>
            <w:r w:rsidRPr="003751AD">
              <w:rPr>
                <w:lang w:val="en-US"/>
              </w:rPr>
              <w:t>Clearing House ACH (Clearing House ACH)</w:t>
            </w:r>
          </w:p>
        </w:tc>
      </w:tr>
      <w:tr w:rsidR="0057131B" w14:paraId="2920AE45" w14:textId="77777777">
        <w:trPr>
          <w:trHeight w:val="300"/>
        </w:trPr>
        <w:tc>
          <w:tcPr>
            <w:tcW w:w="9072" w:type="dxa"/>
            <w:tcBorders>
              <w:top w:val="nil"/>
              <w:left w:val="nil"/>
              <w:bottom w:val="nil"/>
              <w:right w:val="nil"/>
            </w:tcBorders>
            <w:noWrap/>
            <w:vAlign w:val="bottom"/>
            <w:hideMark/>
          </w:tcPr>
          <w:p w14:paraId="1C314494" w14:textId="77777777" w:rsidR="0057131B" w:rsidRDefault="00355A1C">
            <w:pPr>
              <w:pStyle w:val="P68B1DB1-Normal91"/>
            </w:pPr>
            <w:r>
              <w:t>Automatiskt clearingsystem (ACSS)</w:t>
            </w:r>
          </w:p>
        </w:tc>
      </w:tr>
      <w:tr w:rsidR="0057131B" w14:paraId="1DB8A80A" w14:textId="77777777">
        <w:trPr>
          <w:trHeight w:val="300"/>
        </w:trPr>
        <w:tc>
          <w:tcPr>
            <w:tcW w:w="9072" w:type="dxa"/>
            <w:tcBorders>
              <w:top w:val="nil"/>
              <w:left w:val="nil"/>
              <w:bottom w:val="nil"/>
              <w:right w:val="nil"/>
            </w:tcBorders>
            <w:noWrap/>
            <w:vAlign w:val="bottom"/>
            <w:hideMark/>
          </w:tcPr>
          <w:p w14:paraId="65CA5200" w14:textId="77777777" w:rsidR="0057131B" w:rsidRDefault="00355A1C">
            <w:pPr>
              <w:pStyle w:val="P68B1DB1-Normal91"/>
            </w:pPr>
            <w:r>
              <w:t>BACS (Bankers automatiska clearingtjänster)</w:t>
            </w:r>
          </w:p>
        </w:tc>
      </w:tr>
      <w:tr w:rsidR="0057131B" w14:paraId="0C931590" w14:textId="77777777">
        <w:trPr>
          <w:trHeight w:val="300"/>
        </w:trPr>
        <w:tc>
          <w:tcPr>
            <w:tcW w:w="9072" w:type="dxa"/>
            <w:tcBorders>
              <w:top w:val="nil"/>
              <w:left w:val="nil"/>
              <w:bottom w:val="nil"/>
              <w:right w:val="nil"/>
            </w:tcBorders>
            <w:noWrap/>
            <w:vAlign w:val="bottom"/>
            <w:hideMark/>
          </w:tcPr>
          <w:p w14:paraId="50133989" w14:textId="77777777" w:rsidR="0057131B" w:rsidRDefault="00355A1C">
            <w:pPr>
              <w:pStyle w:val="P68B1DB1-Normal91"/>
            </w:pPr>
            <w:r>
              <w:t>Bankgirot (Bankgirocentralen BGC AB)</w:t>
            </w:r>
          </w:p>
        </w:tc>
      </w:tr>
      <w:tr w:rsidR="0057131B" w14:paraId="2F8CAEE4" w14:textId="77777777">
        <w:trPr>
          <w:trHeight w:val="300"/>
        </w:trPr>
        <w:tc>
          <w:tcPr>
            <w:tcW w:w="9072" w:type="dxa"/>
            <w:tcBorders>
              <w:top w:val="nil"/>
              <w:left w:val="nil"/>
              <w:bottom w:val="nil"/>
              <w:right w:val="nil"/>
            </w:tcBorders>
            <w:noWrap/>
            <w:vAlign w:val="bottom"/>
            <w:hideMark/>
          </w:tcPr>
          <w:p w14:paraId="01AEF229" w14:textId="77777777" w:rsidR="0057131B" w:rsidRDefault="00355A1C">
            <w:pPr>
              <w:pStyle w:val="P68B1DB1-Normal91"/>
            </w:pPr>
            <w:r>
              <w:t>BI-COMP</w:t>
            </w:r>
          </w:p>
        </w:tc>
      </w:tr>
      <w:tr w:rsidR="0057131B" w14:paraId="7736D7E4" w14:textId="77777777">
        <w:trPr>
          <w:trHeight w:val="300"/>
        </w:trPr>
        <w:tc>
          <w:tcPr>
            <w:tcW w:w="9072" w:type="dxa"/>
            <w:tcBorders>
              <w:top w:val="nil"/>
              <w:left w:val="nil"/>
              <w:bottom w:val="nil"/>
              <w:right w:val="nil"/>
            </w:tcBorders>
            <w:noWrap/>
            <w:vAlign w:val="bottom"/>
            <w:hideMark/>
          </w:tcPr>
          <w:p w14:paraId="431E29D0" w14:textId="77777777" w:rsidR="0057131B" w:rsidRDefault="00355A1C">
            <w:pPr>
              <w:pStyle w:val="P68B1DB1-Normal91"/>
            </w:pPr>
            <w:r>
              <w:t>Bisera (bankintegrerat system för elektroniska betalningar)</w:t>
            </w:r>
          </w:p>
        </w:tc>
      </w:tr>
      <w:tr w:rsidR="0057131B" w14:paraId="7AE977D3" w14:textId="77777777">
        <w:trPr>
          <w:trHeight w:val="300"/>
        </w:trPr>
        <w:tc>
          <w:tcPr>
            <w:tcW w:w="9072" w:type="dxa"/>
            <w:tcBorders>
              <w:top w:val="nil"/>
              <w:left w:val="nil"/>
              <w:bottom w:val="nil"/>
              <w:right w:val="nil"/>
            </w:tcBorders>
            <w:noWrap/>
            <w:vAlign w:val="bottom"/>
            <w:hideMark/>
          </w:tcPr>
          <w:p w14:paraId="0E054309" w14:textId="77777777" w:rsidR="0057131B" w:rsidRDefault="00355A1C">
            <w:pPr>
              <w:pStyle w:val="P68B1DB1-Normal91"/>
            </w:pPr>
            <w:r>
              <w:t>Bloomberg Trade Repository Limited</w:t>
            </w:r>
          </w:p>
        </w:tc>
      </w:tr>
      <w:tr w:rsidR="0057131B" w14:paraId="3DEFBBB0" w14:textId="77777777">
        <w:trPr>
          <w:trHeight w:val="300"/>
        </w:trPr>
        <w:tc>
          <w:tcPr>
            <w:tcW w:w="9072" w:type="dxa"/>
            <w:tcBorders>
              <w:top w:val="nil"/>
              <w:left w:val="nil"/>
              <w:bottom w:val="nil"/>
              <w:right w:val="nil"/>
            </w:tcBorders>
            <w:noWrap/>
            <w:vAlign w:val="bottom"/>
            <w:hideMark/>
          </w:tcPr>
          <w:p w14:paraId="69A6C566" w14:textId="77777777" w:rsidR="0057131B" w:rsidRDefault="00355A1C">
            <w:pPr>
              <w:pStyle w:val="P68B1DB1-Normal91"/>
            </w:pPr>
            <w:r>
              <w:t>BME</w:t>
            </w:r>
          </w:p>
        </w:tc>
      </w:tr>
      <w:tr w:rsidR="0057131B" w14:paraId="6C4EE14D" w14:textId="77777777">
        <w:trPr>
          <w:trHeight w:val="300"/>
        </w:trPr>
        <w:tc>
          <w:tcPr>
            <w:tcW w:w="9072" w:type="dxa"/>
            <w:tcBorders>
              <w:top w:val="nil"/>
              <w:left w:val="nil"/>
              <w:bottom w:val="nil"/>
              <w:right w:val="nil"/>
            </w:tcBorders>
            <w:noWrap/>
            <w:vAlign w:val="bottom"/>
            <w:hideMark/>
          </w:tcPr>
          <w:p w14:paraId="31001C6A" w14:textId="77777777" w:rsidR="0057131B" w:rsidRDefault="00355A1C">
            <w:pPr>
              <w:pStyle w:val="P68B1DB1-Normal91"/>
            </w:pPr>
            <w:r>
              <w:t>BME Clearing</w:t>
            </w:r>
          </w:p>
        </w:tc>
      </w:tr>
      <w:tr w:rsidR="0057131B" w:rsidRPr="00914EB8" w14:paraId="3ADECE08" w14:textId="77777777">
        <w:trPr>
          <w:trHeight w:val="300"/>
        </w:trPr>
        <w:tc>
          <w:tcPr>
            <w:tcW w:w="9072" w:type="dxa"/>
            <w:tcBorders>
              <w:top w:val="nil"/>
              <w:left w:val="nil"/>
              <w:bottom w:val="nil"/>
              <w:right w:val="nil"/>
            </w:tcBorders>
            <w:noWrap/>
            <w:vAlign w:val="bottom"/>
            <w:hideMark/>
          </w:tcPr>
          <w:p w14:paraId="29263C2A" w14:textId="77777777" w:rsidR="0057131B" w:rsidRPr="003751AD" w:rsidRDefault="00355A1C">
            <w:pPr>
              <w:pStyle w:val="P68B1DB1-Normal91"/>
              <w:rPr>
                <w:lang w:val="en-US"/>
              </w:rPr>
            </w:pPr>
            <w:proofErr w:type="spellStart"/>
            <w:r w:rsidRPr="003751AD">
              <w:rPr>
                <w:lang w:val="en-US"/>
              </w:rPr>
              <w:t>Mossar</w:t>
            </w:r>
            <w:proofErr w:type="spellEnd"/>
            <w:r w:rsidRPr="003751AD">
              <w:rPr>
                <w:lang w:val="en-US"/>
              </w:rPr>
              <w:t xml:space="preserve"> (Bank of Greece Securities Settlement System)</w:t>
            </w:r>
          </w:p>
        </w:tc>
      </w:tr>
      <w:tr w:rsidR="0057131B" w14:paraId="6CCCB9AC" w14:textId="77777777">
        <w:trPr>
          <w:trHeight w:val="300"/>
        </w:trPr>
        <w:tc>
          <w:tcPr>
            <w:tcW w:w="9072" w:type="dxa"/>
            <w:tcBorders>
              <w:top w:val="nil"/>
              <w:left w:val="nil"/>
              <w:bottom w:val="nil"/>
              <w:right w:val="nil"/>
            </w:tcBorders>
            <w:noWrap/>
            <w:vAlign w:val="bottom"/>
            <w:hideMark/>
          </w:tcPr>
          <w:p w14:paraId="1092DA48" w14:textId="77777777" w:rsidR="0057131B" w:rsidRDefault="00355A1C">
            <w:pPr>
              <w:pStyle w:val="P68B1DB1-Normal91"/>
            </w:pPr>
            <w:r>
              <w:t>BOJ-NET</w:t>
            </w:r>
          </w:p>
        </w:tc>
      </w:tr>
      <w:tr w:rsidR="0057131B" w14:paraId="4CEE7A6B" w14:textId="77777777">
        <w:trPr>
          <w:trHeight w:val="300"/>
        </w:trPr>
        <w:tc>
          <w:tcPr>
            <w:tcW w:w="9072" w:type="dxa"/>
            <w:tcBorders>
              <w:top w:val="nil"/>
              <w:left w:val="nil"/>
              <w:bottom w:val="nil"/>
              <w:right w:val="nil"/>
            </w:tcBorders>
            <w:noWrap/>
            <w:vAlign w:val="bottom"/>
            <w:hideMark/>
          </w:tcPr>
          <w:p w14:paraId="04FBDA33" w14:textId="77777777" w:rsidR="0057131B" w:rsidRDefault="00355A1C">
            <w:pPr>
              <w:pStyle w:val="P68B1DB1-Normal91"/>
            </w:pPr>
            <w:r>
              <w:t>BondSpot SA.</w:t>
            </w:r>
          </w:p>
        </w:tc>
      </w:tr>
      <w:tr w:rsidR="0057131B" w14:paraId="3B8A9B67" w14:textId="77777777">
        <w:trPr>
          <w:trHeight w:val="300"/>
        </w:trPr>
        <w:tc>
          <w:tcPr>
            <w:tcW w:w="9072" w:type="dxa"/>
            <w:tcBorders>
              <w:top w:val="nil"/>
              <w:left w:val="nil"/>
              <w:bottom w:val="nil"/>
              <w:right w:val="nil"/>
            </w:tcBorders>
            <w:noWrap/>
            <w:vAlign w:val="bottom"/>
            <w:hideMark/>
          </w:tcPr>
          <w:p w14:paraId="73DB34EF" w14:textId="77777777" w:rsidR="0057131B" w:rsidRDefault="00355A1C">
            <w:pPr>
              <w:pStyle w:val="P68B1DB1-Normal91"/>
            </w:pPr>
            <w:r>
              <w:t>BORICA</w:t>
            </w:r>
          </w:p>
        </w:tc>
      </w:tr>
      <w:tr w:rsidR="0057131B" w14:paraId="5E8D43A2" w14:textId="77777777">
        <w:trPr>
          <w:trHeight w:val="300"/>
        </w:trPr>
        <w:tc>
          <w:tcPr>
            <w:tcW w:w="9072" w:type="dxa"/>
            <w:tcBorders>
              <w:top w:val="nil"/>
              <w:left w:val="nil"/>
              <w:bottom w:val="nil"/>
              <w:right w:val="nil"/>
            </w:tcBorders>
            <w:noWrap/>
            <w:vAlign w:val="bottom"/>
            <w:hideMark/>
          </w:tcPr>
          <w:p w14:paraId="4F788B85" w14:textId="77777777" w:rsidR="0057131B" w:rsidRDefault="00355A1C">
            <w:pPr>
              <w:pStyle w:val="P68B1DB1-Normal91"/>
            </w:pPr>
            <w:r>
              <w:t>(1–5) Borsa Italiana SpA</w:t>
            </w:r>
          </w:p>
        </w:tc>
      </w:tr>
      <w:tr w:rsidR="0057131B" w14:paraId="0034826C" w14:textId="77777777">
        <w:trPr>
          <w:trHeight w:val="300"/>
        </w:trPr>
        <w:tc>
          <w:tcPr>
            <w:tcW w:w="9072" w:type="dxa"/>
            <w:tcBorders>
              <w:top w:val="nil"/>
              <w:left w:val="nil"/>
              <w:bottom w:val="nil"/>
              <w:right w:val="nil"/>
            </w:tcBorders>
            <w:noWrap/>
            <w:vAlign w:val="bottom"/>
            <w:hideMark/>
          </w:tcPr>
          <w:p w14:paraId="6C688147" w14:textId="77777777" w:rsidR="0057131B" w:rsidRDefault="00355A1C">
            <w:pPr>
              <w:pStyle w:val="P68B1DB1-Normal91"/>
            </w:pPr>
            <w:r>
              <w:t>Bratislava Stock Exchange</w:t>
            </w:r>
          </w:p>
        </w:tc>
      </w:tr>
      <w:tr w:rsidR="0057131B" w14:paraId="2ACAB3C1" w14:textId="77777777">
        <w:trPr>
          <w:trHeight w:val="300"/>
        </w:trPr>
        <w:tc>
          <w:tcPr>
            <w:tcW w:w="9072" w:type="dxa"/>
            <w:tcBorders>
              <w:top w:val="nil"/>
              <w:left w:val="nil"/>
              <w:bottom w:val="nil"/>
              <w:right w:val="nil"/>
            </w:tcBorders>
            <w:noWrap/>
            <w:vAlign w:val="bottom"/>
            <w:hideMark/>
          </w:tcPr>
          <w:p w14:paraId="797C25FF" w14:textId="77777777" w:rsidR="0057131B" w:rsidRDefault="00355A1C">
            <w:pPr>
              <w:pStyle w:val="P68B1DB1-Normal91"/>
            </w:pPr>
            <w:r>
              <w:t>Budapests fondbörs</w:t>
            </w:r>
          </w:p>
        </w:tc>
      </w:tr>
      <w:tr w:rsidR="0057131B" w14:paraId="7928BB77" w14:textId="77777777">
        <w:trPr>
          <w:trHeight w:val="300"/>
        </w:trPr>
        <w:tc>
          <w:tcPr>
            <w:tcW w:w="9072" w:type="dxa"/>
            <w:tcBorders>
              <w:top w:val="nil"/>
              <w:left w:val="nil"/>
              <w:bottom w:val="nil"/>
              <w:right w:val="nil"/>
            </w:tcBorders>
            <w:noWrap/>
            <w:vAlign w:val="bottom"/>
            <w:hideMark/>
          </w:tcPr>
          <w:p w14:paraId="3D5ECE9A" w14:textId="77777777" w:rsidR="0057131B" w:rsidRDefault="00355A1C">
            <w:pPr>
              <w:pStyle w:val="P68B1DB1-Normal91"/>
            </w:pPr>
            <w:r>
              <w:t>Bulgariens fondbörs</w:t>
            </w:r>
          </w:p>
        </w:tc>
      </w:tr>
      <w:tr w:rsidR="0057131B" w14:paraId="3ED0C0E7" w14:textId="77777777">
        <w:trPr>
          <w:trHeight w:val="300"/>
        </w:trPr>
        <w:tc>
          <w:tcPr>
            <w:tcW w:w="9072" w:type="dxa"/>
            <w:tcBorders>
              <w:top w:val="nil"/>
              <w:left w:val="nil"/>
              <w:bottom w:val="nil"/>
              <w:right w:val="nil"/>
            </w:tcBorders>
            <w:noWrap/>
            <w:vAlign w:val="bottom"/>
            <w:hideMark/>
          </w:tcPr>
          <w:p w14:paraId="2AACB60C" w14:textId="77777777" w:rsidR="0057131B" w:rsidRDefault="00355A1C">
            <w:pPr>
              <w:pStyle w:val="P68B1DB1-Normal91"/>
            </w:pPr>
            <w:r>
              <w:t>Bursa de Valori Bucaresti</w:t>
            </w:r>
          </w:p>
        </w:tc>
      </w:tr>
      <w:tr w:rsidR="0057131B" w14:paraId="358B0CBB" w14:textId="77777777">
        <w:trPr>
          <w:trHeight w:val="300"/>
        </w:trPr>
        <w:tc>
          <w:tcPr>
            <w:tcW w:w="9072" w:type="dxa"/>
            <w:tcBorders>
              <w:top w:val="nil"/>
              <w:left w:val="nil"/>
              <w:bottom w:val="nil"/>
              <w:right w:val="nil"/>
            </w:tcBorders>
            <w:noWrap/>
            <w:vAlign w:val="bottom"/>
            <w:hideMark/>
          </w:tcPr>
          <w:p w14:paraId="69852FE3" w14:textId="77777777" w:rsidR="0057131B" w:rsidRDefault="00355A1C">
            <w:pPr>
              <w:pStyle w:val="P68B1DB1-Normal91"/>
            </w:pPr>
            <w:r>
              <w:t>Burza cenných papír-Praha, a.s. (Prags fondbörs)</w:t>
            </w:r>
          </w:p>
        </w:tc>
      </w:tr>
      <w:tr w:rsidR="0057131B" w14:paraId="2BEFFD1A" w14:textId="77777777">
        <w:trPr>
          <w:trHeight w:val="300"/>
        </w:trPr>
        <w:tc>
          <w:tcPr>
            <w:tcW w:w="9072" w:type="dxa"/>
            <w:tcBorders>
              <w:top w:val="nil"/>
              <w:left w:val="nil"/>
              <w:bottom w:val="nil"/>
              <w:right w:val="nil"/>
            </w:tcBorders>
            <w:noWrap/>
            <w:vAlign w:val="bottom"/>
            <w:hideMark/>
          </w:tcPr>
          <w:p w14:paraId="32741FAD" w14:textId="77777777" w:rsidR="0057131B" w:rsidRDefault="00355A1C">
            <w:pPr>
              <w:pStyle w:val="P68B1DB1-Normal91"/>
            </w:pPr>
            <w:r>
              <w:t>Kanadensisk depositarie för värdepapper (CDS)</w:t>
            </w:r>
          </w:p>
        </w:tc>
      </w:tr>
      <w:tr w:rsidR="0057131B" w14:paraId="588D9A6E" w14:textId="77777777">
        <w:trPr>
          <w:trHeight w:val="300"/>
        </w:trPr>
        <w:tc>
          <w:tcPr>
            <w:tcW w:w="9072" w:type="dxa"/>
            <w:tcBorders>
              <w:top w:val="nil"/>
              <w:left w:val="nil"/>
              <w:bottom w:val="nil"/>
              <w:right w:val="nil"/>
            </w:tcBorders>
            <w:noWrap/>
            <w:vAlign w:val="bottom"/>
            <w:hideMark/>
          </w:tcPr>
          <w:p w14:paraId="30CD8C56" w14:textId="77777777" w:rsidR="0057131B" w:rsidRDefault="00355A1C">
            <w:pPr>
              <w:pStyle w:val="P68B1DB1-Normal91"/>
            </w:pPr>
            <w:r>
              <w:t>Canadian Derivatives Clearing Corporation</w:t>
            </w:r>
          </w:p>
        </w:tc>
      </w:tr>
      <w:tr w:rsidR="0057131B" w14:paraId="47A4B165" w14:textId="77777777">
        <w:trPr>
          <w:trHeight w:val="300"/>
        </w:trPr>
        <w:tc>
          <w:tcPr>
            <w:tcW w:w="9072" w:type="dxa"/>
            <w:tcBorders>
              <w:top w:val="nil"/>
              <w:left w:val="nil"/>
              <w:bottom w:val="nil"/>
              <w:right w:val="nil"/>
            </w:tcBorders>
            <w:noWrap/>
            <w:vAlign w:val="bottom"/>
          </w:tcPr>
          <w:p w14:paraId="4B6A49F9" w14:textId="77777777" w:rsidR="0057131B" w:rsidRDefault="00355A1C">
            <w:pPr>
              <w:pStyle w:val="P68B1DB1-Normal91"/>
            </w:pPr>
            <w:r>
              <w:t>Cboe Clear Europe</w:t>
            </w:r>
          </w:p>
        </w:tc>
      </w:tr>
      <w:tr w:rsidR="0057131B" w14:paraId="00F4E07D" w14:textId="77777777">
        <w:trPr>
          <w:trHeight w:val="300"/>
        </w:trPr>
        <w:tc>
          <w:tcPr>
            <w:tcW w:w="9072" w:type="dxa"/>
            <w:tcBorders>
              <w:top w:val="nil"/>
              <w:left w:val="nil"/>
              <w:bottom w:val="nil"/>
              <w:right w:val="nil"/>
            </w:tcBorders>
            <w:noWrap/>
            <w:vAlign w:val="bottom"/>
            <w:hideMark/>
          </w:tcPr>
          <w:p w14:paraId="143644AA" w14:textId="77777777" w:rsidR="0057131B" w:rsidRDefault="00355A1C">
            <w:pPr>
              <w:pStyle w:val="P68B1DB1-Normal91"/>
            </w:pPr>
            <w:r>
              <w:t>CCP Österrike</w:t>
            </w:r>
          </w:p>
        </w:tc>
      </w:tr>
      <w:tr w:rsidR="0057131B" w14:paraId="49668E14" w14:textId="77777777">
        <w:trPr>
          <w:trHeight w:val="300"/>
        </w:trPr>
        <w:tc>
          <w:tcPr>
            <w:tcW w:w="9072" w:type="dxa"/>
            <w:tcBorders>
              <w:top w:val="nil"/>
              <w:left w:val="nil"/>
              <w:bottom w:val="nil"/>
              <w:right w:val="nil"/>
            </w:tcBorders>
            <w:noWrap/>
            <w:vAlign w:val="bottom"/>
            <w:hideMark/>
          </w:tcPr>
          <w:p w14:paraId="4D54CDC3" w14:textId="77777777" w:rsidR="0057131B" w:rsidRDefault="00355A1C">
            <w:pPr>
              <w:pStyle w:val="P68B1DB1-Normal91"/>
            </w:pPr>
            <w:r>
              <w:t>CEC/UCV</w:t>
            </w:r>
          </w:p>
        </w:tc>
      </w:tr>
      <w:tr w:rsidR="0057131B" w14:paraId="13CEB735" w14:textId="77777777">
        <w:trPr>
          <w:trHeight w:val="300"/>
        </w:trPr>
        <w:tc>
          <w:tcPr>
            <w:tcW w:w="9072" w:type="dxa"/>
            <w:tcBorders>
              <w:top w:val="nil"/>
              <w:left w:val="nil"/>
              <w:bottom w:val="nil"/>
              <w:right w:val="nil"/>
            </w:tcBorders>
            <w:noWrap/>
            <w:vAlign w:val="bottom"/>
            <w:hideMark/>
          </w:tcPr>
          <w:p w14:paraId="7E656B34" w14:textId="77777777" w:rsidR="0057131B" w:rsidRDefault="00355A1C">
            <w:pPr>
              <w:pStyle w:val="P68B1DB1-Normal91"/>
            </w:pPr>
            <w:r>
              <w:t>CEESEG AG (Wiener Borse)</w:t>
            </w:r>
          </w:p>
        </w:tc>
      </w:tr>
      <w:tr w:rsidR="0057131B" w14:paraId="38BBF453" w14:textId="77777777">
        <w:trPr>
          <w:trHeight w:val="300"/>
        </w:trPr>
        <w:tc>
          <w:tcPr>
            <w:tcW w:w="9072" w:type="dxa"/>
            <w:tcBorders>
              <w:top w:val="nil"/>
              <w:left w:val="nil"/>
              <w:bottom w:val="nil"/>
              <w:right w:val="nil"/>
            </w:tcBorders>
            <w:noWrap/>
            <w:vAlign w:val="bottom"/>
            <w:hideMark/>
          </w:tcPr>
          <w:p w14:paraId="7C5735E8" w14:textId="77777777" w:rsidR="0057131B" w:rsidRDefault="00355A1C">
            <w:pPr>
              <w:pStyle w:val="P68B1DB1-Normal91"/>
            </w:pPr>
            <w:r>
              <w:t>Central depositarie – clearingföretag</w:t>
            </w:r>
          </w:p>
        </w:tc>
      </w:tr>
      <w:tr w:rsidR="0057131B" w14:paraId="100E6E04" w14:textId="77777777">
        <w:trPr>
          <w:trHeight w:val="300"/>
        </w:trPr>
        <w:tc>
          <w:tcPr>
            <w:tcW w:w="9072" w:type="dxa"/>
            <w:tcBorders>
              <w:top w:val="nil"/>
              <w:left w:val="nil"/>
              <w:bottom w:val="nil"/>
              <w:right w:val="nil"/>
            </w:tcBorders>
            <w:noWrap/>
            <w:vAlign w:val="bottom"/>
            <w:hideMark/>
          </w:tcPr>
          <w:p w14:paraId="1D98F57D" w14:textId="77777777" w:rsidR="0057131B" w:rsidRDefault="00355A1C">
            <w:pPr>
              <w:pStyle w:val="P68B1DB1-Normal91"/>
            </w:pPr>
            <w:r>
              <w:t>Central depositarie AD</w:t>
            </w:r>
          </w:p>
        </w:tc>
      </w:tr>
      <w:tr w:rsidR="0057131B" w14:paraId="3E41A5D7" w14:textId="77777777">
        <w:trPr>
          <w:trHeight w:val="300"/>
        </w:trPr>
        <w:tc>
          <w:tcPr>
            <w:tcW w:w="9072" w:type="dxa"/>
            <w:tcBorders>
              <w:top w:val="nil"/>
              <w:left w:val="nil"/>
              <w:bottom w:val="nil"/>
              <w:right w:val="nil"/>
            </w:tcBorders>
            <w:noWrap/>
            <w:vAlign w:val="bottom"/>
            <w:hideMark/>
          </w:tcPr>
          <w:p w14:paraId="149F4C5F" w14:textId="77777777" w:rsidR="0057131B" w:rsidRDefault="00355A1C">
            <w:pPr>
              <w:pStyle w:val="P68B1DB1-Normal91"/>
            </w:pPr>
            <w:r>
              <w:t>Central depositarie och centralt register</w:t>
            </w:r>
          </w:p>
        </w:tc>
      </w:tr>
      <w:tr w:rsidR="0057131B" w14:paraId="1B4CF3CD" w14:textId="77777777">
        <w:trPr>
          <w:trHeight w:val="300"/>
        </w:trPr>
        <w:tc>
          <w:tcPr>
            <w:tcW w:w="9072" w:type="dxa"/>
            <w:tcBorders>
              <w:top w:val="nil"/>
              <w:left w:val="nil"/>
              <w:bottom w:val="nil"/>
              <w:right w:val="nil"/>
            </w:tcBorders>
            <w:noWrap/>
            <w:vAlign w:val="bottom"/>
            <w:hideMark/>
          </w:tcPr>
          <w:p w14:paraId="7783EDF6" w14:textId="77777777" w:rsidR="0057131B" w:rsidRDefault="00355A1C">
            <w:pPr>
              <w:pStyle w:val="P68B1DB1-Normal91"/>
            </w:pPr>
            <w:r>
              <w:t>Centralna klirinško depotna družba (KDD)</w:t>
            </w:r>
          </w:p>
        </w:tc>
      </w:tr>
      <w:tr w:rsidR="0057131B" w14:paraId="7812614A" w14:textId="77777777">
        <w:trPr>
          <w:trHeight w:val="300"/>
        </w:trPr>
        <w:tc>
          <w:tcPr>
            <w:tcW w:w="9072" w:type="dxa"/>
            <w:tcBorders>
              <w:top w:val="nil"/>
              <w:left w:val="nil"/>
              <w:bottom w:val="nil"/>
              <w:right w:val="nil"/>
            </w:tcBorders>
            <w:noWrap/>
            <w:vAlign w:val="bottom"/>
            <w:hideMark/>
          </w:tcPr>
          <w:p w14:paraId="7231B5A5" w14:textId="77777777" w:rsidR="0057131B" w:rsidRDefault="00355A1C">
            <w:pPr>
              <w:pStyle w:val="P68B1DB1-Normal91"/>
            </w:pPr>
            <w:r>
              <w:t>Centrální depozitár cenných papíru SR a.s. (CDCP)/Centrala värdepapperscentralen Prag</w:t>
            </w:r>
          </w:p>
        </w:tc>
      </w:tr>
      <w:tr w:rsidR="0057131B" w14:paraId="3DFD9976" w14:textId="77777777">
        <w:trPr>
          <w:trHeight w:val="300"/>
        </w:trPr>
        <w:tc>
          <w:tcPr>
            <w:tcW w:w="9072" w:type="dxa"/>
            <w:tcBorders>
              <w:top w:val="nil"/>
              <w:left w:val="nil"/>
              <w:bottom w:val="nil"/>
              <w:right w:val="nil"/>
            </w:tcBorders>
            <w:noWrap/>
            <w:vAlign w:val="bottom"/>
            <w:hideMark/>
          </w:tcPr>
          <w:p w14:paraId="742B58E1" w14:textId="77777777" w:rsidR="0057131B" w:rsidRDefault="00355A1C">
            <w:pPr>
              <w:pStyle w:val="P68B1DB1-Normal91"/>
            </w:pPr>
            <w:r>
              <w:t>Centrálny Depositár cenných Papierov (CDCP) SR</w:t>
            </w:r>
          </w:p>
        </w:tc>
      </w:tr>
      <w:tr w:rsidR="0057131B" w14:paraId="0C3666C6" w14:textId="77777777">
        <w:trPr>
          <w:trHeight w:val="300"/>
        </w:trPr>
        <w:tc>
          <w:tcPr>
            <w:tcW w:w="9072" w:type="dxa"/>
            <w:tcBorders>
              <w:top w:val="nil"/>
              <w:left w:val="nil"/>
              <w:bottom w:val="nil"/>
              <w:right w:val="nil"/>
            </w:tcBorders>
            <w:noWrap/>
            <w:vAlign w:val="bottom"/>
            <w:hideMark/>
          </w:tcPr>
          <w:p w14:paraId="44F52918" w14:textId="77777777" w:rsidR="0057131B" w:rsidRDefault="00355A1C">
            <w:pPr>
              <w:pStyle w:val="P68B1DB1-Normal91"/>
            </w:pPr>
            <w:r>
              <w:t>CENTROlink</w:t>
            </w:r>
          </w:p>
        </w:tc>
      </w:tr>
      <w:tr w:rsidR="0057131B" w:rsidRPr="00914EB8" w14:paraId="1BAAD6F5" w14:textId="77777777">
        <w:trPr>
          <w:trHeight w:val="300"/>
        </w:trPr>
        <w:tc>
          <w:tcPr>
            <w:tcW w:w="9072" w:type="dxa"/>
            <w:tcBorders>
              <w:top w:val="nil"/>
              <w:left w:val="nil"/>
              <w:bottom w:val="nil"/>
              <w:right w:val="nil"/>
            </w:tcBorders>
            <w:noWrap/>
            <w:vAlign w:val="bottom"/>
            <w:hideMark/>
          </w:tcPr>
          <w:p w14:paraId="1E11605F" w14:textId="77777777" w:rsidR="0057131B" w:rsidRPr="003751AD" w:rsidRDefault="00355A1C">
            <w:pPr>
              <w:pStyle w:val="P68B1DB1-Normal91"/>
              <w:rPr>
                <w:lang w:val="en-US"/>
              </w:rPr>
            </w:pPr>
            <w:proofErr w:type="spellStart"/>
            <w:r w:rsidRPr="003751AD">
              <w:rPr>
                <w:lang w:val="en-US"/>
              </w:rPr>
              <w:t>Certis</w:t>
            </w:r>
            <w:proofErr w:type="spellEnd"/>
            <w:r w:rsidRPr="003751AD">
              <w:rPr>
                <w:lang w:val="en-US"/>
              </w:rPr>
              <w:t xml:space="preserve"> (Czech Express Real Time Interbank Gross Settlement System)</w:t>
            </w:r>
          </w:p>
        </w:tc>
      </w:tr>
      <w:tr w:rsidR="0057131B" w:rsidRPr="00914EB8" w14:paraId="58D71B59" w14:textId="77777777">
        <w:trPr>
          <w:trHeight w:val="300"/>
        </w:trPr>
        <w:tc>
          <w:tcPr>
            <w:tcW w:w="9072" w:type="dxa"/>
            <w:tcBorders>
              <w:top w:val="nil"/>
              <w:left w:val="nil"/>
              <w:bottom w:val="nil"/>
              <w:right w:val="nil"/>
            </w:tcBorders>
            <w:noWrap/>
            <w:vAlign w:val="bottom"/>
            <w:hideMark/>
          </w:tcPr>
          <w:p w14:paraId="0405428F" w14:textId="77777777" w:rsidR="0057131B" w:rsidRPr="003751AD" w:rsidRDefault="00355A1C">
            <w:pPr>
              <w:pStyle w:val="P68B1DB1-Normal91"/>
              <w:rPr>
                <w:lang w:val="en-US"/>
              </w:rPr>
            </w:pPr>
            <w:r w:rsidRPr="003751AD">
              <w:rPr>
                <w:lang w:val="en-US"/>
              </w:rPr>
              <w:t>Chaps (Clearing House Automated Payment System)</w:t>
            </w:r>
          </w:p>
        </w:tc>
      </w:tr>
      <w:tr w:rsidR="0057131B" w:rsidRPr="00914EB8" w14:paraId="0F052492" w14:textId="77777777">
        <w:trPr>
          <w:trHeight w:val="300"/>
        </w:trPr>
        <w:tc>
          <w:tcPr>
            <w:tcW w:w="9072" w:type="dxa"/>
            <w:tcBorders>
              <w:top w:val="nil"/>
              <w:left w:val="nil"/>
              <w:bottom w:val="nil"/>
              <w:right w:val="nil"/>
            </w:tcBorders>
            <w:noWrap/>
            <w:vAlign w:val="bottom"/>
            <w:hideMark/>
          </w:tcPr>
          <w:p w14:paraId="4F411666" w14:textId="77777777" w:rsidR="0057131B" w:rsidRPr="003751AD" w:rsidRDefault="00355A1C">
            <w:pPr>
              <w:pStyle w:val="P68B1DB1-Normal91"/>
              <w:rPr>
                <w:lang w:val="en-US"/>
              </w:rPr>
            </w:pPr>
            <w:proofErr w:type="spellStart"/>
            <w:r w:rsidRPr="003751AD">
              <w:rPr>
                <w:lang w:val="en-US"/>
              </w:rPr>
              <w:t>Checkkupong</w:t>
            </w:r>
            <w:proofErr w:type="spellEnd"/>
            <w:r w:rsidRPr="003751AD">
              <w:rPr>
                <w:lang w:val="en-US"/>
              </w:rPr>
              <w:t xml:space="preserve"> – Credit Clearing System Ltd</w:t>
            </w:r>
          </w:p>
        </w:tc>
      </w:tr>
      <w:tr w:rsidR="0057131B" w14:paraId="0979B652" w14:textId="77777777">
        <w:trPr>
          <w:trHeight w:val="300"/>
        </w:trPr>
        <w:tc>
          <w:tcPr>
            <w:tcW w:w="9072" w:type="dxa"/>
            <w:tcBorders>
              <w:top w:val="nil"/>
              <w:left w:val="nil"/>
              <w:bottom w:val="nil"/>
              <w:right w:val="nil"/>
            </w:tcBorders>
            <w:noWrap/>
            <w:vAlign w:val="bottom"/>
            <w:hideMark/>
          </w:tcPr>
          <w:p w14:paraId="53589C87" w14:textId="77777777" w:rsidR="0057131B" w:rsidRDefault="00355A1C">
            <w:pPr>
              <w:pStyle w:val="P68B1DB1-Normal91"/>
            </w:pPr>
            <w:r>
              <w:lastRenderedPageBreak/>
              <w:t>CHIPS</w:t>
            </w:r>
          </w:p>
        </w:tc>
      </w:tr>
      <w:tr w:rsidR="0057131B" w14:paraId="3FA985BC" w14:textId="77777777">
        <w:trPr>
          <w:trHeight w:val="300"/>
        </w:trPr>
        <w:tc>
          <w:tcPr>
            <w:tcW w:w="9072" w:type="dxa"/>
            <w:tcBorders>
              <w:top w:val="nil"/>
              <w:left w:val="nil"/>
              <w:bottom w:val="nil"/>
              <w:right w:val="nil"/>
            </w:tcBorders>
            <w:noWrap/>
            <w:vAlign w:val="bottom"/>
            <w:hideMark/>
          </w:tcPr>
          <w:p w14:paraId="1D542203" w14:textId="77777777" w:rsidR="0057131B" w:rsidRDefault="00355A1C">
            <w:pPr>
              <w:pStyle w:val="P68B1DB1-Normal91"/>
            </w:pPr>
            <w:r>
              <w:t>Clearingtjänst Österrike (CSA)</w:t>
            </w:r>
          </w:p>
        </w:tc>
      </w:tr>
      <w:tr w:rsidR="0057131B" w14:paraId="6FFF162D" w14:textId="77777777">
        <w:trPr>
          <w:trHeight w:val="300"/>
        </w:trPr>
        <w:tc>
          <w:tcPr>
            <w:tcW w:w="9072" w:type="dxa"/>
            <w:tcBorders>
              <w:top w:val="nil"/>
              <w:left w:val="nil"/>
              <w:bottom w:val="nil"/>
              <w:right w:val="nil"/>
            </w:tcBorders>
            <w:noWrap/>
            <w:vAlign w:val="bottom"/>
            <w:hideMark/>
          </w:tcPr>
          <w:p w14:paraId="657C636C" w14:textId="77777777" w:rsidR="0057131B" w:rsidRDefault="00355A1C">
            <w:pPr>
              <w:pStyle w:val="P68B1DB1-Normal91"/>
            </w:pPr>
            <w:r>
              <w:t>Clearingtjänst International (CSI)</w:t>
            </w:r>
          </w:p>
        </w:tc>
      </w:tr>
      <w:tr w:rsidR="0057131B" w14:paraId="086AA89E" w14:textId="77777777">
        <w:trPr>
          <w:trHeight w:val="300"/>
        </w:trPr>
        <w:tc>
          <w:tcPr>
            <w:tcW w:w="9072" w:type="dxa"/>
            <w:tcBorders>
              <w:top w:val="nil"/>
              <w:left w:val="nil"/>
              <w:bottom w:val="nil"/>
              <w:right w:val="nil"/>
            </w:tcBorders>
            <w:noWrap/>
            <w:vAlign w:val="bottom"/>
            <w:hideMark/>
          </w:tcPr>
          <w:p w14:paraId="2802A46D" w14:textId="77777777" w:rsidR="0057131B" w:rsidRDefault="00355A1C">
            <w:pPr>
              <w:pStyle w:val="P68B1DB1-Normal91"/>
            </w:pPr>
            <w:r>
              <w:t>Clearstream Banking AG</w:t>
            </w:r>
          </w:p>
        </w:tc>
      </w:tr>
      <w:tr w:rsidR="0057131B" w14:paraId="0E099AF5" w14:textId="77777777">
        <w:trPr>
          <w:trHeight w:val="300"/>
        </w:trPr>
        <w:tc>
          <w:tcPr>
            <w:tcW w:w="9072" w:type="dxa"/>
            <w:tcBorders>
              <w:top w:val="nil"/>
              <w:left w:val="nil"/>
              <w:bottom w:val="nil"/>
              <w:right w:val="nil"/>
            </w:tcBorders>
            <w:noWrap/>
            <w:vAlign w:val="bottom"/>
            <w:hideMark/>
          </w:tcPr>
          <w:p w14:paraId="7ED35FA8" w14:textId="77777777" w:rsidR="0057131B" w:rsidRDefault="00355A1C">
            <w:pPr>
              <w:pStyle w:val="P68B1DB1-Normal91"/>
            </w:pPr>
            <w:r>
              <w:t>Clearstream Banking Luxembourg</w:t>
            </w:r>
          </w:p>
        </w:tc>
      </w:tr>
      <w:tr w:rsidR="0057131B" w14:paraId="55359EE8" w14:textId="77777777">
        <w:trPr>
          <w:trHeight w:val="300"/>
        </w:trPr>
        <w:tc>
          <w:tcPr>
            <w:tcW w:w="9072" w:type="dxa"/>
            <w:tcBorders>
              <w:top w:val="nil"/>
              <w:left w:val="nil"/>
              <w:bottom w:val="nil"/>
              <w:right w:val="nil"/>
            </w:tcBorders>
            <w:noWrap/>
            <w:vAlign w:val="bottom"/>
            <w:hideMark/>
          </w:tcPr>
          <w:p w14:paraId="218A6446" w14:textId="77777777" w:rsidR="0057131B" w:rsidRDefault="00355A1C">
            <w:pPr>
              <w:pStyle w:val="P68B1DB1-Normal91"/>
            </w:pPr>
            <w:r>
              <w:t>CLS</w:t>
            </w:r>
          </w:p>
        </w:tc>
      </w:tr>
      <w:tr w:rsidR="0057131B" w:rsidRPr="00914EB8" w14:paraId="6A82B717" w14:textId="77777777">
        <w:trPr>
          <w:trHeight w:val="300"/>
        </w:trPr>
        <w:tc>
          <w:tcPr>
            <w:tcW w:w="9072" w:type="dxa"/>
            <w:tcBorders>
              <w:top w:val="nil"/>
              <w:left w:val="nil"/>
              <w:bottom w:val="nil"/>
              <w:right w:val="nil"/>
            </w:tcBorders>
            <w:noWrap/>
            <w:vAlign w:val="bottom"/>
            <w:hideMark/>
          </w:tcPr>
          <w:p w14:paraId="051DFD15" w14:textId="77777777" w:rsidR="0057131B" w:rsidRPr="003751AD" w:rsidRDefault="00355A1C">
            <w:pPr>
              <w:pStyle w:val="P68B1DB1-Normal91"/>
              <w:rPr>
                <w:lang w:val="en-US"/>
              </w:rPr>
            </w:pPr>
            <w:r w:rsidRPr="003751AD">
              <w:rPr>
                <w:lang w:val="en-US"/>
              </w:rPr>
              <w:t>CME Trade Repository Ltd (CME TR)</w:t>
            </w:r>
          </w:p>
        </w:tc>
      </w:tr>
      <w:tr w:rsidR="0057131B" w14:paraId="06831526" w14:textId="77777777">
        <w:trPr>
          <w:trHeight w:val="300"/>
        </w:trPr>
        <w:tc>
          <w:tcPr>
            <w:tcW w:w="9072" w:type="dxa"/>
            <w:tcBorders>
              <w:top w:val="nil"/>
              <w:left w:val="nil"/>
              <w:bottom w:val="nil"/>
              <w:right w:val="nil"/>
            </w:tcBorders>
            <w:noWrap/>
            <w:vAlign w:val="bottom"/>
            <w:hideMark/>
          </w:tcPr>
          <w:p w14:paraId="33B6CA7E" w14:textId="77777777" w:rsidR="0057131B" w:rsidRDefault="00355A1C">
            <w:pPr>
              <w:pStyle w:val="P68B1DB1-Normal91"/>
            </w:pPr>
            <w:r>
              <w:t>Cyperns clearinghus</w:t>
            </w:r>
          </w:p>
        </w:tc>
      </w:tr>
      <w:tr w:rsidR="0057131B" w14:paraId="3BB1F880" w14:textId="77777777">
        <w:trPr>
          <w:trHeight w:val="300"/>
        </w:trPr>
        <w:tc>
          <w:tcPr>
            <w:tcW w:w="9072" w:type="dxa"/>
            <w:tcBorders>
              <w:top w:val="nil"/>
              <w:left w:val="nil"/>
              <w:bottom w:val="nil"/>
              <w:right w:val="nil"/>
            </w:tcBorders>
            <w:noWrap/>
            <w:vAlign w:val="bottom"/>
            <w:hideMark/>
          </w:tcPr>
          <w:p w14:paraId="6DCF1051" w14:textId="77777777" w:rsidR="0057131B" w:rsidRDefault="00355A1C">
            <w:pPr>
              <w:pStyle w:val="P68B1DB1-Normal91"/>
            </w:pPr>
            <w:r>
              <w:t>Cyprus Stock Exchange</w:t>
            </w:r>
          </w:p>
        </w:tc>
      </w:tr>
      <w:tr w:rsidR="0057131B" w14:paraId="7F6A962C" w14:textId="77777777">
        <w:trPr>
          <w:trHeight w:val="300"/>
        </w:trPr>
        <w:tc>
          <w:tcPr>
            <w:tcW w:w="9072" w:type="dxa"/>
            <w:tcBorders>
              <w:top w:val="nil"/>
              <w:left w:val="nil"/>
              <w:bottom w:val="nil"/>
              <w:right w:val="nil"/>
            </w:tcBorders>
            <w:noWrap/>
            <w:vAlign w:val="bottom"/>
            <w:hideMark/>
          </w:tcPr>
          <w:p w14:paraId="359710C1" w14:textId="77777777" w:rsidR="0057131B" w:rsidRDefault="00355A1C">
            <w:pPr>
              <w:pStyle w:val="P68B1DB1-Normal91"/>
            </w:pPr>
            <w:r>
              <w:t>Dataclearing</w:t>
            </w:r>
          </w:p>
        </w:tc>
      </w:tr>
      <w:tr w:rsidR="0057131B" w14:paraId="0118AB34" w14:textId="77777777">
        <w:trPr>
          <w:trHeight w:val="300"/>
        </w:trPr>
        <w:tc>
          <w:tcPr>
            <w:tcW w:w="9072" w:type="dxa"/>
            <w:tcBorders>
              <w:top w:val="nil"/>
              <w:left w:val="nil"/>
              <w:bottom w:val="nil"/>
              <w:right w:val="nil"/>
            </w:tcBorders>
            <w:noWrap/>
            <w:vAlign w:val="bottom"/>
            <w:hideMark/>
          </w:tcPr>
          <w:p w14:paraId="371022ED" w14:textId="77777777" w:rsidR="0057131B" w:rsidRDefault="00355A1C">
            <w:pPr>
              <w:pStyle w:val="P68B1DB1-Normal91"/>
            </w:pPr>
            <w:r>
              <w:t>Depozitarul Central S.A.</w:t>
            </w:r>
          </w:p>
        </w:tc>
      </w:tr>
      <w:tr w:rsidR="0057131B" w14:paraId="2356D6E7" w14:textId="77777777">
        <w:trPr>
          <w:trHeight w:val="300"/>
        </w:trPr>
        <w:tc>
          <w:tcPr>
            <w:tcW w:w="9072" w:type="dxa"/>
            <w:tcBorders>
              <w:top w:val="nil"/>
              <w:left w:val="nil"/>
              <w:bottom w:val="nil"/>
              <w:right w:val="nil"/>
            </w:tcBorders>
            <w:noWrap/>
            <w:vAlign w:val="bottom"/>
            <w:hideMark/>
          </w:tcPr>
          <w:p w14:paraId="2A6C99D9" w14:textId="77777777" w:rsidR="0057131B" w:rsidRDefault="00355A1C">
            <w:pPr>
              <w:pStyle w:val="P68B1DB1-Normal91"/>
            </w:pPr>
            <w:r>
              <w:t>Deutsche Börse AG</w:t>
            </w:r>
          </w:p>
        </w:tc>
      </w:tr>
      <w:tr w:rsidR="0057131B" w14:paraId="086E410F" w14:textId="77777777">
        <w:trPr>
          <w:trHeight w:val="300"/>
        </w:trPr>
        <w:tc>
          <w:tcPr>
            <w:tcW w:w="9072" w:type="dxa"/>
            <w:tcBorders>
              <w:top w:val="nil"/>
              <w:left w:val="nil"/>
              <w:bottom w:val="nil"/>
              <w:right w:val="nil"/>
            </w:tcBorders>
            <w:noWrap/>
            <w:vAlign w:val="bottom"/>
            <w:hideMark/>
          </w:tcPr>
          <w:p w14:paraId="557F1C51" w14:textId="77777777" w:rsidR="0057131B" w:rsidRDefault="00355A1C">
            <w:pPr>
              <w:pStyle w:val="P68B1DB1-Normal91"/>
            </w:pPr>
            <w:r>
              <w:t>Dias (Interbanking Systems S.A.)</w:t>
            </w:r>
          </w:p>
        </w:tc>
      </w:tr>
      <w:tr w:rsidR="0057131B" w14:paraId="2ADBEB7D" w14:textId="77777777">
        <w:trPr>
          <w:trHeight w:val="300"/>
        </w:trPr>
        <w:tc>
          <w:tcPr>
            <w:tcW w:w="9072" w:type="dxa"/>
            <w:tcBorders>
              <w:top w:val="nil"/>
              <w:left w:val="nil"/>
              <w:bottom w:val="nil"/>
              <w:right w:val="nil"/>
            </w:tcBorders>
            <w:noWrap/>
            <w:vAlign w:val="bottom"/>
            <w:hideMark/>
          </w:tcPr>
          <w:p w14:paraId="08C28E5B" w14:textId="77777777" w:rsidR="0057131B" w:rsidRDefault="00355A1C">
            <w:pPr>
              <w:pStyle w:val="P68B1DB1-Normal91"/>
            </w:pPr>
            <w:r>
              <w:t>DTC (Depository Trust Company)</w:t>
            </w:r>
          </w:p>
        </w:tc>
      </w:tr>
      <w:tr w:rsidR="0057131B" w14:paraId="797F9EF8" w14:textId="77777777">
        <w:trPr>
          <w:trHeight w:val="300"/>
        </w:trPr>
        <w:tc>
          <w:tcPr>
            <w:tcW w:w="9072" w:type="dxa"/>
            <w:tcBorders>
              <w:top w:val="nil"/>
              <w:left w:val="nil"/>
              <w:bottom w:val="nil"/>
              <w:right w:val="nil"/>
            </w:tcBorders>
            <w:noWrap/>
            <w:vAlign w:val="bottom"/>
            <w:hideMark/>
          </w:tcPr>
          <w:p w14:paraId="51E5D740" w14:textId="77777777" w:rsidR="0057131B" w:rsidRDefault="00355A1C">
            <w:pPr>
              <w:pStyle w:val="P68B1DB1-Normal91"/>
            </w:pPr>
            <w:r>
              <w:t>DTCC Derivatives Repository Plc</w:t>
            </w:r>
          </w:p>
        </w:tc>
      </w:tr>
      <w:tr w:rsidR="0057131B" w14:paraId="6ADFC287" w14:textId="77777777">
        <w:trPr>
          <w:trHeight w:val="300"/>
        </w:trPr>
        <w:tc>
          <w:tcPr>
            <w:tcW w:w="9072" w:type="dxa"/>
            <w:tcBorders>
              <w:top w:val="nil"/>
              <w:left w:val="nil"/>
              <w:bottom w:val="nil"/>
              <w:right w:val="nil"/>
            </w:tcBorders>
            <w:noWrap/>
            <w:vAlign w:val="bottom"/>
            <w:hideMark/>
          </w:tcPr>
          <w:p w14:paraId="30027F70" w14:textId="77777777" w:rsidR="0057131B" w:rsidRDefault="00355A1C">
            <w:pPr>
              <w:pStyle w:val="P68B1DB1-Normal91"/>
            </w:pPr>
            <w:r>
              <w:t>Elektroniskt clearingsystem (EKS)</w:t>
            </w:r>
          </w:p>
        </w:tc>
      </w:tr>
      <w:tr w:rsidR="0057131B" w14:paraId="3C13C365" w14:textId="77777777">
        <w:trPr>
          <w:trHeight w:val="300"/>
        </w:trPr>
        <w:tc>
          <w:tcPr>
            <w:tcW w:w="9072" w:type="dxa"/>
            <w:tcBorders>
              <w:top w:val="nil"/>
              <w:left w:val="nil"/>
              <w:bottom w:val="nil"/>
              <w:right w:val="nil"/>
            </w:tcBorders>
            <w:noWrap/>
            <w:vAlign w:val="bottom"/>
            <w:hideMark/>
          </w:tcPr>
          <w:p w14:paraId="2536A2E4" w14:textId="77777777" w:rsidR="0057131B" w:rsidRDefault="00355A1C">
            <w:pPr>
              <w:pStyle w:val="P68B1DB1-Normal91"/>
            </w:pPr>
            <w:r>
              <w:t>ELIXIR</w:t>
            </w:r>
          </w:p>
        </w:tc>
      </w:tr>
      <w:tr w:rsidR="0057131B" w14:paraId="59490FEF" w14:textId="77777777">
        <w:trPr>
          <w:trHeight w:val="300"/>
        </w:trPr>
        <w:tc>
          <w:tcPr>
            <w:tcW w:w="9072" w:type="dxa"/>
            <w:tcBorders>
              <w:top w:val="nil"/>
              <w:left w:val="nil"/>
              <w:bottom w:val="nil"/>
              <w:right w:val="nil"/>
            </w:tcBorders>
            <w:noWrap/>
            <w:vAlign w:val="bottom"/>
            <w:hideMark/>
          </w:tcPr>
          <w:p w14:paraId="5D3BC6DE" w14:textId="77777777" w:rsidR="0057131B" w:rsidRDefault="00355A1C">
            <w:pPr>
              <w:pStyle w:val="P68B1DB1-Normal91"/>
            </w:pPr>
            <w:r>
              <w:t>Ekvens</w:t>
            </w:r>
          </w:p>
        </w:tc>
      </w:tr>
      <w:tr w:rsidR="0057131B" w14:paraId="7151AAFC" w14:textId="77777777">
        <w:trPr>
          <w:trHeight w:val="300"/>
        </w:trPr>
        <w:tc>
          <w:tcPr>
            <w:tcW w:w="9072" w:type="dxa"/>
            <w:tcBorders>
              <w:top w:val="nil"/>
              <w:left w:val="nil"/>
              <w:bottom w:val="nil"/>
              <w:right w:val="nil"/>
            </w:tcBorders>
            <w:noWrap/>
            <w:vAlign w:val="bottom"/>
            <w:hideMark/>
          </w:tcPr>
          <w:p w14:paraId="62F52322" w14:textId="77777777" w:rsidR="0057131B" w:rsidRDefault="00355A1C">
            <w:pPr>
              <w:pStyle w:val="P68B1DB1-Normal91"/>
            </w:pPr>
            <w:r>
              <w:t>Eurex Clearing AG</w:t>
            </w:r>
          </w:p>
        </w:tc>
      </w:tr>
      <w:tr w:rsidR="0057131B" w14:paraId="20047EE0" w14:textId="77777777">
        <w:trPr>
          <w:trHeight w:val="300"/>
        </w:trPr>
        <w:tc>
          <w:tcPr>
            <w:tcW w:w="9072" w:type="dxa"/>
            <w:tcBorders>
              <w:top w:val="nil"/>
              <w:left w:val="nil"/>
              <w:bottom w:val="nil"/>
              <w:right w:val="nil"/>
            </w:tcBorders>
            <w:noWrap/>
            <w:vAlign w:val="bottom"/>
            <w:hideMark/>
          </w:tcPr>
          <w:p w14:paraId="65198B5E" w14:textId="77777777" w:rsidR="0057131B" w:rsidRDefault="00355A1C">
            <w:pPr>
              <w:pStyle w:val="P68B1DB1-Normal91"/>
            </w:pPr>
            <w:r>
              <w:t>EURO1</w:t>
            </w:r>
          </w:p>
        </w:tc>
      </w:tr>
      <w:tr w:rsidR="0057131B" w14:paraId="51532B57" w14:textId="77777777">
        <w:trPr>
          <w:trHeight w:val="300"/>
        </w:trPr>
        <w:tc>
          <w:tcPr>
            <w:tcW w:w="9072" w:type="dxa"/>
            <w:tcBorders>
              <w:top w:val="nil"/>
              <w:left w:val="nil"/>
              <w:bottom w:val="nil"/>
              <w:right w:val="nil"/>
            </w:tcBorders>
            <w:noWrap/>
            <w:vAlign w:val="bottom"/>
            <w:hideMark/>
          </w:tcPr>
          <w:p w14:paraId="6784162A" w14:textId="77777777" w:rsidR="0057131B" w:rsidRDefault="00355A1C">
            <w:pPr>
              <w:pStyle w:val="P68B1DB1-Normal91"/>
            </w:pPr>
            <w:r>
              <w:t>Euroclear Bank</w:t>
            </w:r>
          </w:p>
        </w:tc>
      </w:tr>
      <w:tr w:rsidR="0057131B" w14:paraId="1FED107A" w14:textId="77777777">
        <w:trPr>
          <w:trHeight w:val="300"/>
        </w:trPr>
        <w:tc>
          <w:tcPr>
            <w:tcW w:w="9072" w:type="dxa"/>
            <w:tcBorders>
              <w:top w:val="nil"/>
              <w:left w:val="nil"/>
              <w:bottom w:val="nil"/>
              <w:right w:val="nil"/>
            </w:tcBorders>
            <w:noWrap/>
            <w:vAlign w:val="bottom"/>
            <w:hideMark/>
          </w:tcPr>
          <w:p w14:paraId="7EB27986" w14:textId="77777777" w:rsidR="0057131B" w:rsidRDefault="00355A1C">
            <w:pPr>
              <w:pStyle w:val="P68B1DB1-Normal91"/>
            </w:pPr>
            <w:r>
              <w:t>Euroclear Belgien (ESES)</w:t>
            </w:r>
          </w:p>
        </w:tc>
      </w:tr>
      <w:tr w:rsidR="0057131B" w14:paraId="19126F92" w14:textId="77777777">
        <w:trPr>
          <w:trHeight w:val="300"/>
        </w:trPr>
        <w:tc>
          <w:tcPr>
            <w:tcW w:w="9072" w:type="dxa"/>
            <w:tcBorders>
              <w:top w:val="nil"/>
              <w:left w:val="nil"/>
              <w:bottom w:val="nil"/>
              <w:right w:val="nil"/>
            </w:tcBorders>
            <w:noWrap/>
            <w:vAlign w:val="bottom"/>
            <w:hideMark/>
          </w:tcPr>
          <w:p w14:paraId="649DE977" w14:textId="77777777" w:rsidR="0057131B" w:rsidRDefault="00355A1C">
            <w:pPr>
              <w:pStyle w:val="P68B1DB1-Normal91"/>
            </w:pPr>
            <w:r>
              <w:t>Euroclear Finland</w:t>
            </w:r>
          </w:p>
        </w:tc>
      </w:tr>
      <w:tr w:rsidR="0057131B" w14:paraId="37A9A6E1" w14:textId="77777777">
        <w:trPr>
          <w:trHeight w:val="300"/>
        </w:trPr>
        <w:tc>
          <w:tcPr>
            <w:tcW w:w="9072" w:type="dxa"/>
            <w:tcBorders>
              <w:top w:val="nil"/>
              <w:left w:val="nil"/>
              <w:bottom w:val="nil"/>
              <w:right w:val="nil"/>
            </w:tcBorders>
            <w:noWrap/>
            <w:vAlign w:val="bottom"/>
            <w:hideMark/>
          </w:tcPr>
          <w:p w14:paraId="734EF8BF" w14:textId="77777777" w:rsidR="0057131B" w:rsidRDefault="00355A1C">
            <w:pPr>
              <w:pStyle w:val="P68B1DB1-Normal91"/>
            </w:pPr>
            <w:r>
              <w:t>Euroclear France (ESES)</w:t>
            </w:r>
          </w:p>
        </w:tc>
      </w:tr>
      <w:tr w:rsidR="0057131B" w14:paraId="33F2EFD1" w14:textId="77777777">
        <w:trPr>
          <w:trHeight w:val="300"/>
        </w:trPr>
        <w:tc>
          <w:tcPr>
            <w:tcW w:w="9072" w:type="dxa"/>
            <w:tcBorders>
              <w:top w:val="nil"/>
              <w:left w:val="nil"/>
              <w:bottom w:val="nil"/>
              <w:right w:val="nil"/>
            </w:tcBorders>
            <w:noWrap/>
            <w:vAlign w:val="bottom"/>
            <w:hideMark/>
          </w:tcPr>
          <w:p w14:paraId="0273EA5F" w14:textId="77777777" w:rsidR="0057131B" w:rsidRDefault="00355A1C">
            <w:pPr>
              <w:pStyle w:val="P68B1DB1-Normal91"/>
            </w:pPr>
            <w:r>
              <w:t>Euroclear Nederländerna (ESES)</w:t>
            </w:r>
          </w:p>
        </w:tc>
      </w:tr>
      <w:tr w:rsidR="0057131B" w:rsidRPr="00914EB8" w14:paraId="7B056DB0" w14:textId="77777777">
        <w:trPr>
          <w:trHeight w:val="300"/>
        </w:trPr>
        <w:tc>
          <w:tcPr>
            <w:tcW w:w="9072" w:type="dxa"/>
            <w:tcBorders>
              <w:top w:val="nil"/>
              <w:left w:val="nil"/>
              <w:bottom w:val="nil"/>
              <w:right w:val="nil"/>
            </w:tcBorders>
            <w:noWrap/>
            <w:vAlign w:val="bottom"/>
            <w:hideMark/>
          </w:tcPr>
          <w:p w14:paraId="09E6EC57" w14:textId="77777777" w:rsidR="0057131B" w:rsidRPr="003751AD" w:rsidRDefault="00355A1C">
            <w:pPr>
              <w:pStyle w:val="P68B1DB1-Normal91"/>
              <w:rPr>
                <w:lang w:val="en-US"/>
              </w:rPr>
            </w:pPr>
            <w:r w:rsidRPr="003751AD">
              <w:rPr>
                <w:lang w:val="en-US"/>
              </w:rPr>
              <w:t>Euroclear Sweden AB (VPC-</w:t>
            </w:r>
            <w:proofErr w:type="spellStart"/>
            <w:r w:rsidRPr="003751AD">
              <w:rPr>
                <w:lang w:val="en-US"/>
              </w:rPr>
              <w:t>systemet</w:t>
            </w:r>
            <w:proofErr w:type="spellEnd"/>
            <w:r w:rsidRPr="003751AD">
              <w:rPr>
                <w:lang w:val="en-US"/>
              </w:rPr>
              <w:t>)</w:t>
            </w:r>
          </w:p>
        </w:tc>
      </w:tr>
      <w:tr w:rsidR="0057131B" w:rsidRPr="00914EB8" w14:paraId="3D614022" w14:textId="77777777">
        <w:trPr>
          <w:trHeight w:val="300"/>
        </w:trPr>
        <w:tc>
          <w:tcPr>
            <w:tcW w:w="9072" w:type="dxa"/>
            <w:tcBorders>
              <w:top w:val="nil"/>
              <w:left w:val="nil"/>
              <w:bottom w:val="nil"/>
              <w:right w:val="nil"/>
            </w:tcBorders>
            <w:noWrap/>
            <w:vAlign w:val="bottom"/>
            <w:hideMark/>
          </w:tcPr>
          <w:p w14:paraId="1A4DFFF6" w14:textId="77777777" w:rsidR="0057131B" w:rsidRPr="003751AD" w:rsidRDefault="00355A1C">
            <w:pPr>
              <w:pStyle w:val="P68B1DB1-Normal91"/>
              <w:rPr>
                <w:lang w:val="en-US"/>
              </w:rPr>
            </w:pPr>
            <w:r w:rsidRPr="003751AD">
              <w:rPr>
                <w:lang w:val="en-US"/>
              </w:rPr>
              <w:t>Euroclear UK -Ireland Limited (EUI) (CREST)</w:t>
            </w:r>
          </w:p>
        </w:tc>
      </w:tr>
      <w:tr w:rsidR="0057131B" w14:paraId="55B08F89" w14:textId="77777777">
        <w:trPr>
          <w:trHeight w:val="300"/>
        </w:trPr>
        <w:tc>
          <w:tcPr>
            <w:tcW w:w="9072" w:type="dxa"/>
            <w:tcBorders>
              <w:top w:val="nil"/>
              <w:left w:val="nil"/>
              <w:bottom w:val="nil"/>
              <w:right w:val="nil"/>
            </w:tcBorders>
            <w:noWrap/>
            <w:vAlign w:val="bottom"/>
            <w:hideMark/>
          </w:tcPr>
          <w:p w14:paraId="56E621EE" w14:textId="77777777" w:rsidR="0057131B" w:rsidRDefault="00355A1C">
            <w:pPr>
              <w:pStyle w:val="P68B1DB1-Normal91"/>
            </w:pPr>
            <w:r>
              <w:t>Euronext Amsterdam Cash Market</w:t>
            </w:r>
          </w:p>
        </w:tc>
      </w:tr>
      <w:tr w:rsidR="0057131B" w14:paraId="08BE70B5" w14:textId="77777777">
        <w:trPr>
          <w:trHeight w:val="300"/>
        </w:trPr>
        <w:tc>
          <w:tcPr>
            <w:tcW w:w="9072" w:type="dxa"/>
            <w:tcBorders>
              <w:top w:val="nil"/>
              <w:left w:val="nil"/>
              <w:bottom w:val="nil"/>
              <w:right w:val="nil"/>
            </w:tcBorders>
            <w:noWrap/>
            <w:vAlign w:val="bottom"/>
            <w:hideMark/>
          </w:tcPr>
          <w:p w14:paraId="717F6012" w14:textId="77777777" w:rsidR="0057131B" w:rsidRDefault="00355A1C">
            <w:pPr>
              <w:pStyle w:val="P68B1DB1-Normal91"/>
            </w:pPr>
            <w:r>
              <w:t>Euronext Brussels SA</w:t>
            </w:r>
          </w:p>
          <w:p w14:paraId="3E95828F" w14:textId="77777777" w:rsidR="0057131B" w:rsidRDefault="00355A1C">
            <w:pPr>
              <w:rPr>
                <w:rFonts w:eastAsia="Times New Roman" w:cs="Calibri"/>
                <w:color w:val="000000"/>
                <w:sz w:val="18"/>
                <w:szCs w:val="18"/>
              </w:rPr>
            </w:pPr>
            <w:r>
              <w:rPr>
                <w:rFonts w:eastAsia="Times New Roman" w:cs="Calibri"/>
                <w:color w:val="000000"/>
                <w:sz w:val="18"/>
                <w:szCs w:val="18"/>
              </w:rPr>
              <w:t>Euronext Clearing</w:t>
            </w:r>
            <w:r>
              <w:rPr>
                <w:rStyle w:val="FootnoteReference"/>
                <w:rFonts w:eastAsia="Times New Roman" w:cs="Calibri"/>
                <w:color w:val="000000"/>
                <w:sz w:val="18"/>
              </w:rPr>
              <w:footnoteReference w:id="37"/>
            </w:r>
          </w:p>
        </w:tc>
      </w:tr>
      <w:tr w:rsidR="0057131B" w14:paraId="6A3A4767" w14:textId="77777777">
        <w:trPr>
          <w:trHeight w:val="300"/>
        </w:trPr>
        <w:tc>
          <w:tcPr>
            <w:tcW w:w="9072" w:type="dxa"/>
            <w:tcBorders>
              <w:top w:val="nil"/>
              <w:left w:val="nil"/>
              <w:bottom w:val="nil"/>
              <w:right w:val="nil"/>
            </w:tcBorders>
            <w:noWrap/>
            <w:vAlign w:val="bottom"/>
            <w:hideMark/>
          </w:tcPr>
          <w:p w14:paraId="0CF6918B" w14:textId="77777777" w:rsidR="0057131B" w:rsidRDefault="00355A1C">
            <w:pPr>
              <w:pStyle w:val="P68B1DB1-Normal91"/>
            </w:pPr>
            <w:r>
              <w:t>Euronext Lissabon SA</w:t>
            </w:r>
          </w:p>
        </w:tc>
      </w:tr>
      <w:tr w:rsidR="0057131B" w14:paraId="1114BA7C" w14:textId="77777777">
        <w:trPr>
          <w:trHeight w:val="300"/>
        </w:trPr>
        <w:tc>
          <w:tcPr>
            <w:tcW w:w="9072" w:type="dxa"/>
            <w:tcBorders>
              <w:top w:val="nil"/>
              <w:left w:val="nil"/>
              <w:bottom w:val="nil"/>
              <w:right w:val="nil"/>
            </w:tcBorders>
            <w:noWrap/>
            <w:vAlign w:val="bottom"/>
            <w:hideMark/>
          </w:tcPr>
          <w:p w14:paraId="58D22650" w14:textId="77777777" w:rsidR="0057131B" w:rsidRDefault="00355A1C">
            <w:pPr>
              <w:pStyle w:val="P68B1DB1-Normal91"/>
            </w:pPr>
            <w:r>
              <w:t>Europeiska kommunistpartiets NV</w:t>
            </w:r>
          </w:p>
        </w:tc>
      </w:tr>
      <w:tr w:rsidR="0057131B" w14:paraId="1758B1C2" w14:textId="77777777">
        <w:trPr>
          <w:trHeight w:val="300"/>
        </w:trPr>
        <w:tc>
          <w:tcPr>
            <w:tcW w:w="9072" w:type="dxa"/>
            <w:tcBorders>
              <w:top w:val="nil"/>
              <w:left w:val="nil"/>
              <w:bottom w:val="nil"/>
              <w:right w:val="nil"/>
            </w:tcBorders>
            <w:noWrap/>
            <w:vAlign w:val="bottom"/>
            <w:hideMark/>
          </w:tcPr>
          <w:p w14:paraId="6342DE58" w14:textId="77777777" w:rsidR="0057131B" w:rsidRDefault="00355A1C">
            <w:pPr>
              <w:pStyle w:val="P68B1DB1-Normal91"/>
            </w:pPr>
            <w:r>
              <w:t>Europeisk råvaruclearing (ECC)</w:t>
            </w:r>
          </w:p>
        </w:tc>
      </w:tr>
      <w:tr w:rsidR="0057131B" w14:paraId="0DDA2A90" w14:textId="77777777">
        <w:trPr>
          <w:trHeight w:val="300"/>
        </w:trPr>
        <w:tc>
          <w:tcPr>
            <w:tcW w:w="9072" w:type="dxa"/>
            <w:tcBorders>
              <w:top w:val="nil"/>
              <w:left w:val="nil"/>
              <w:bottom w:val="nil"/>
              <w:right w:val="nil"/>
            </w:tcBorders>
            <w:noWrap/>
            <w:vAlign w:val="bottom"/>
            <w:hideMark/>
          </w:tcPr>
          <w:p w14:paraId="40A82682" w14:textId="77777777" w:rsidR="0057131B" w:rsidRDefault="00355A1C">
            <w:pPr>
              <w:pStyle w:val="P68B1DB1-Normal91"/>
            </w:pPr>
            <w:r>
              <w:t>Uttrycka Elixir</w:t>
            </w:r>
          </w:p>
        </w:tc>
      </w:tr>
      <w:tr w:rsidR="0057131B" w14:paraId="542DFF49" w14:textId="77777777">
        <w:trPr>
          <w:trHeight w:val="300"/>
        </w:trPr>
        <w:tc>
          <w:tcPr>
            <w:tcW w:w="9072" w:type="dxa"/>
            <w:tcBorders>
              <w:top w:val="nil"/>
              <w:left w:val="nil"/>
              <w:bottom w:val="nil"/>
              <w:right w:val="nil"/>
            </w:tcBorders>
            <w:noWrap/>
            <w:vAlign w:val="bottom"/>
            <w:hideMark/>
          </w:tcPr>
          <w:p w14:paraId="059F87EB" w14:textId="77777777" w:rsidR="0057131B" w:rsidRDefault="00355A1C">
            <w:pPr>
              <w:pStyle w:val="P68B1DB1-Normal91"/>
            </w:pPr>
            <w:r>
              <w:t>Snabbare betalningstjänst (FPS)</w:t>
            </w:r>
          </w:p>
        </w:tc>
      </w:tr>
      <w:tr w:rsidR="0057131B" w14:paraId="4CFAE77A" w14:textId="77777777">
        <w:trPr>
          <w:trHeight w:val="300"/>
        </w:trPr>
        <w:tc>
          <w:tcPr>
            <w:tcW w:w="9072" w:type="dxa"/>
            <w:tcBorders>
              <w:top w:val="nil"/>
              <w:left w:val="nil"/>
              <w:bottom w:val="nil"/>
              <w:right w:val="nil"/>
            </w:tcBorders>
            <w:noWrap/>
            <w:vAlign w:val="bottom"/>
            <w:hideMark/>
          </w:tcPr>
          <w:p w14:paraId="03A78736" w14:textId="77777777" w:rsidR="0057131B" w:rsidRDefault="00355A1C">
            <w:pPr>
              <w:pStyle w:val="P68B1DB1-Normal91"/>
            </w:pPr>
            <w:r>
              <w:t>FedACH-tjänster</w:t>
            </w:r>
          </w:p>
        </w:tc>
      </w:tr>
      <w:tr w:rsidR="0057131B" w:rsidRPr="00914EB8" w14:paraId="1A8E545B" w14:textId="77777777">
        <w:trPr>
          <w:trHeight w:val="300"/>
        </w:trPr>
        <w:tc>
          <w:tcPr>
            <w:tcW w:w="9072" w:type="dxa"/>
            <w:tcBorders>
              <w:top w:val="nil"/>
              <w:left w:val="nil"/>
              <w:bottom w:val="nil"/>
              <w:right w:val="nil"/>
            </w:tcBorders>
            <w:noWrap/>
            <w:vAlign w:val="bottom"/>
            <w:hideMark/>
          </w:tcPr>
          <w:p w14:paraId="508F0A63" w14:textId="77777777" w:rsidR="0057131B" w:rsidRPr="003751AD" w:rsidRDefault="00355A1C">
            <w:pPr>
              <w:pStyle w:val="P68B1DB1-Normal91"/>
              <w:rPr>
                <w:lang w:val="en-US"/>
              </w:rPr>
            </w:pPr>
            <w:r w:rsidRPr="003751AD">
              <w:rPr>
                <w:lang w:val="en-US"/>
              </w:rPr>
              <w:t>Fedwire Funds Service (Fedwire Funds Service)</w:t>
            </w:r>
          </w:p>
        </w:tc>
      </w:tr>
      <w:tr w:rsidR="0057131B" w14:paraId="7603EDE5" w14:textId="77777777">
        <w:trPr>
          <w:trHeight w:val="300"/>
        </w:trPr>
        <w:tc>
          <w:tcPr>
            <w:tcW w:w="9072" w:type="dxa"/>
            <w:tcBorders>
              <w:top w:val="nil"/>
              <w:left w:val="nil"/>
              <w:bottom w:val="nil"/>
              <w:right w:val="nil"/>
            </w:tcBorders>
            <w:noWrap/>
            <w:vAlign w:val="bottom"/>
            <w:hideMark/>
          </w:tcPr>
          <w:p w14:paraId="6146D91C" w14:textId="77777777" w:rsidR="0057131B" w:rsidRDefault="00355A1C">
            <w:pPr>
              <w:pStyle w:val="P68B1DB1-Normal91"/>
            </w:pPr>
            <w:r>
              <w:t>Fedwire Securities Services</w:t>
            </w:r>
          </w:p>
        </w:tc>
      </w:tr>
      <w:tr w:rsidR="0057131B" w14:paraId="638B9492" w14:textId="77777777">
        <w:trPr>
          <w:trHeight w:val="300"/>
        </w:trPr>
        <w:tc>
          <w:tcPr>
            <w:tcW w:w="9072" w:type="dxa"/>
            <w:tcBorders>
              <w:top w:val="nil"/>
              <w:left w:val="nil"/>
              <w:bottom w:val="nil"/>
              <w:right w:val="nil"/>
            </w:tcBorders>
            <w:noWrap/>
            <w:vAlign w:val="bottom"/>
            <w:hideMark/>
          </w:tcPr>
          <w:p w14:paraId="0FCA6B85" w14:textId="77777777" w:rsidR="0057131B" w:rsidRDefault="00355A1C">
            <w:pPr>
              <w:pStyle w:val="P68B1DB1-Normal91"/>
            </w:pPr>
            <w:r>
              <w:t>Clearing av fast inkomst (FICC)</w:t>
            </w:r>
          </w:p>
        </w:tc>
      </w:tr>
      <w:tr w:rsidR="0057131B" w:rsidRPr="00914EB8" w14:paraId="4384BE65" w14:textId="77777777">
        <w:trPr>
          <w:trHeight w:val="300"/>
        </w:trPr>
        <w:tc>
          <w:tcPr>
            <w:tcW w:w="9072" w:type="dxa"/>
            <w:tcBorders>
              <w:top w:val="nil"/>
              <w:left w:val="nil"/>
              <w:bottom w:val="nil"/>
              <w:right w:val="nil"/>
            </w:tcBorders>
            <w:noWrap/>
            <w:vAlign w:val="bottom"/>
            <w:hideMark/>
          </w:tcPr>
          <w:p w14:paraId="7CCF9B46" w14:textId="77777777" w:rsidR="0057131B" w:rsidRPr="003751AD" w:rsidRDefault="00355A1C">
            <w:pPr>
              <w:pStyle w:val="P68B1DB1-Normal91"/>
              <w:rPr>
                <w:lang w:val="en-US"/>
              </w:rPr>
            </w:pPr>
            <w:proofErr w:type="spellStart"/>
            <w:r w:rsidRPr="003751AD">
              <w:rPr>
                <w:lang w:val="en-US"/>
              </w:rPr>
              <w:t>Gielda</w:t>
            </w:r>
            <w:proofErr w:type="spellEnd"/>
            <w:r w:rsidRPr="003751AD">
              <w:rPr>
                <w:lang w:val="en-US"/>
              </w:rPr>
              <w:t xml:space="preserve"> </w:t>
            </w:r>
            <w:proofErr w:type="spellStart"/>
            <w:r w:rsidRPr="003751AD">
              <w:rPr>
                <w:lang w:val="en-US"/>
              </w:rPr>
              <w:t>Papierow</w:t>
            </w:r>
            <w:proofErr w:type="spellEnd"/>
            <w:r w:rsidRPr="003751AD">
              <w:rPr>
                <w:lang w:val="en-US"/>
              </w:rPr>
              <w:t xml:space="preserve"> </w:t>
            </w:r>
            <w:proofErr w:type="spellStart"/>
            <w:r w:rsidRPr="003751AD">
              <w:rPr>
                <w:lang w:val="en-US"/>
              </w:rPr>
              <w:t>Wartosciowych</w:t>
            </w:r>
            <w:proofErr w:type="spellEnd"/>
            <w:r w:rsidRPr="003751AD">
              <w:rPr>
                <w:lang w:val="en-US"/>
              </w:rPr>
              <w:t xml:space="preserve"> w Warszawie (</w:t>
            </w:r>
            <w:proofErr w:type="spellStart"/>
            <w:r w:rsidRPr="003751AD">
              <w:rPr>
                <w:lang w:val="en-US"/>
              </w:rPr>
              <w:t>Warszawabörsen</w:t>
            </w:r>
            <w:proofErr w:type="spellEnd"/>
            <w:r w:rsidRPr="003751AD">
              <w:rPr>
                <w:lang w:val="en-US"/>
              </w:rPr>
              <w:t>)</w:t>
            </w:r>
          </w:p>
        </w:tc>
      </w:tr>
      <w:tr w:rsidR="0057131B" w14:paraId="62CB1AB6" w14:textId="77777777">
        <w:trPr>
          <w:trHeight w:val="300"/>
        </w:trPr>
        <w:tc>
          <w:tcPr>
            <w:tcW w:w="9072" w:type="dxa"/>
            <w:tcBorders>
              <w:top w:val="nil"/>
              <w:left w:val="nil"/>
              <w:bottom w:val="nil"/>
              <w:right w:val="nil"/>
            </w:tcBorders>
            <w:noWrap/>
            <w:vAlign w:val="bottom"/>
            <w:hideMark/>
          </w:tcPr>
          <w:p w14:paraId="56890D2B" w14:textId="77777777" w:rsidR="0057131B" w:rsidRDefault="00355A1C">
            <w:pPr>
              <w:pStyle w:val="P68B1DB1-Normal91"/>
            </w:pPr>
            <w:r>
              <w:t>Statlig värdepapperscentral (GSD)</w:t>
            </w:r>
          </w:p>
        </w:tc>
      </w:tr>
      <w:tr w:rsidR="0057131B" w14:paraId="5B41050C" w14:textId="77777777">
        <w:trPr>
          <w:trHeight w:val="300"/>
        </w:trPr>
        <w:tc>
          <w:tcPr>
            <w:tcW w:w="9072" w:type="dxa"/>
            <w:tcBorders>
              <w:top w:val="nil"/>
              <w:left w:val="nil"/>
              <w:bottom w:val="nil"/>
              <w:right w:val="nil"/>
            </w:tcBorders>
            <w:noWrap/>
            <w:vAlign w:val="bottom"/>
            <w:hideMark/>
          </w:tcPr>
          <w:p w14:paraId="24CCAE22" w14:textId="77777777" w:rsidR="0057131B" w:rsidRDefault="00355A1C">
            <w:pPr>
              <w:pStyle w:val="P68B1DB1-Normal91"/>
            </w:pPr>
            <w:r>
              <w:t>HSVP (RTGS)</w:t>
            </w:r>
          </w:p>
        </w:tc>
      </w:tr>
      <w:tr w:rsidR="0057131B" w14:paraId="013849A1" w14:textId="77777777">
        <w:trPr>
          <w:trHeight w:val="300"/>
        </w:trPr>
        <w:tc>
          <w:tcPr>
            <w:tcW w:w="9072" w:type="dxa"/>
            <w:tcBorders>
              <w:top w:val="nil"/>
              <w:left w:val="nil"/>
              <w:bottom w:val="nil"/>
              <w:right w:val="nil"/>
            </w:tcBorders>
            <w:noWrap/>
            <w:vAlign w:val="bottom"/>
            <w:hideMark/>
          </w:tcPr>
          <w:p w14:paraId="686B8E20" w14:textId="77777777" w:rsidR="0057131B" w:rsidRDefault="00355A1C">
            <w:pPr>
              <w:pStyle w:val="P68B1DB1-Normal91"/>
            </w:pPr>
            <w:r>
              <w:t>Iberclear</w:t>
            </w:r>
          </w:p>
        </w:tc>
      </w:tr>
      <w:tr w:rsidR="0057131B" w14:paraId="69A745A4" w14:textId="77777777">
        <w:trPr>
          <w:trHeight w:val="300"/>
        </w:trPr>
        <w:tc>
          <w:tcPr>
            <w:tcW w:w="9072" w:type="dxa"/>
            <w:tcBorders>
              <w:top w:val="nil"/>
              <w:left w:val="nil"/>
              <w:bottom w:val="nil"/>
              <w:right w:val="nil"/>
            </w:tcBorders>
            <w:noWrap/>
            <w:vAlign w:val="bottom"/>
            <w:hideMark/>
          </w:tcPr>
          <w:p w14:paraId="676D5D75" w14:textId="77777777" w:rsidR="0057131B" w:rsidRDefault="00355A1C">
            <w:pPr>
              <w:pStyle w:val="P68B1DB1-Normal91"/>
            </w:pPr>
            <w:r>
              <w:t>Is Clear</w:t>
            </w:r>
          </w:p>
        </w:tc>
      </w:tr>
      <w:tr w:rsidR="0057131B" w14:paraId="780088CD" w14:textId="77777777">
        <w:trPr>
          <w:trHeight w:val="300"/>
        </w:trPr>
        <w:tc>
          <w:tcPr>
            <w:tcW w:w="9072" w:type="dxa"/>
            <w:tcBorders>
              <w:top w:val="nil"/>
              <w:left w:val="nil"/>
              <w:bottom w:val="nil"/>
              <w:right w:val="nil"/>
            </w:tcBorders>
            <w:noWrap/>
            <w:vAlign w:val="bottom"/>
            <w:hideMark/>
          </w:tcPr>
          <w:p w14:paraId="51279EB6" w14:textId="77777777" w:rsidR="0057131B" w:rsidRDefault="00355A1C">
            <w:pPr>
              <w:pStyle w:val="P68B1DB1-Normal91"/>
            </w:pPr>
            <w:r>
              <w:lastRenderedPageBreak/>
              <w:t>Ice Clear Europe Limited</w:t>
            </w:r>
          </w:p>
        </w:tc>
      </w:tr>
      <w:tr w:rsidR="0057131B" w14:paraId="0A625316" w14:textId="77777777">
        <w:trPr>
          <w:trHeight w:val="300"/>
        </w:trPr>
        <w:tc>
          <w:tcPr>
            <w:tcW w:w="9072" w:type="dxa"/>
            <w:tcBorders>
              <w:top w:val="nil"/>
              <w:left w:val="nil"/>
              <w:bottom w:val="nil"/>
              <w:right w:val="nil"/>
            </w:tcBorders>
            <w:noWrap/>
            <w:vAlign w:val="bottom"/>
            <w:hideMark/>
          </w:tcPr>
          <w:p w14:paraId="478D14C3" w14:textId="77777777" w:rsidR="0057131B" w:rsidRDefault="00355A1C">
            <w:pPr>
              <w:pStyle w:val="P68B1DB1-Normal91"/>
            </w:pPr>
            <w:r>
              <w:t>Ice Clear Nederländerna</w:t>
            </w:r>
          </w:p>
        </w:tc>
      </w:tr>
      <w:tr w:rsidR="0057131B" w:rsidRPr="00914EB8" w14:paraId="7BA736BC" w14:textId="77777777">
        <w:trPr>
          <w:trHeight w:val="300"/>
        </w:trPr>
        <w:tc>
          <w:tcPr>
            <w:tcW w:w="9072" w:type="dxa"/>
            <w:tcBorders>
              <w:top w:val="nil"/>
              <w:left w:val="nil"/>
              <w:bottom w:val="nil"/>
              <w:right w:val="nil"/>
            </w:tcBorders>
            <w:noWrap/>
            <w:vAlign w:val="bottom"/>
            <w:hideMark/>
          </w:tcPr>
          <w:p w14:paraId="791A2916" w14:textId="77777777" w:rsidR="0057131B" w:rsidRPr="003751AD" w:rsidRDefault="00355A1C">
            <w:pPr>
              <w:pStyle w:val="P68B1DB1-Normal91"/>
              <w:rPr>
                <w:lang w:val="en-US"/>
              </w:rPr>
            </w:pPr>
            <w:r w:rsidRPr="003751AD">
              <w:rPr>
                <w:lang w:val="en-US"/>
              </w:rPr>
              <w:t>Ice Trade Vault Europe Limited (ICE TVEL)</w:t>
            </w:r>
          </w:p>
        </w:tc>
      </w:tr>
      <w:tr w:rsidR="0057131B" w14:paraId="6A1792FC" w14:textId="77777777">
        <w:trPr>
          <w:trHeight w:val="300"/>
        </w:trPr>
        <w:tc>
          <w:tcPr>
            <w:tcW w:w="9072" w:type="dxa"/>
            <w:tcBorders>
              <w:top w:val="nil"/>
              <w:left w:val="nil"/>
              <w:bottom w:val="nil"/>
              <w:right w:val="nil"/>
            </w:tcBorders>
            <w:noWrap/>
            <w:vAlign w:val="bottom"/>
            <w:hideMark/>
          </w:tcPr>
          <w:p w14:paraId="58EBD357" w14:textId="77777777" w:rsidR="0057131B" w:rsidRDefault="00355A1C">
            <w:pPr>
              <w:pStyle w:val="P68B1DB1-Normal91"/>
            </w:pPr>
            <w:r>
              <w:t>ID2S/RSSS</w:t>
            </w:r>
          </w:p>
        </w:tc>
      </w:tr>
      <w:tr w:rsidR="0057131B" w14:paraId="23EF91EB" w14:textId="77777777">
        <w:trPr>
          <w:trHeight w:val="300"/>
        </w:trPr>
        <w:tc>
          <w:tcPr>
            <w:tcW w:w="9072" w:type="dxa"/>
            <w:tcBorders>
              <w:top w:val="nil"/>
              <w:left w:val="nil"/>
              <w:bottom w:val="nil"/>
              <w:right w:val="nil"/>
            </w:tcBorders>
            <w:noWrap/>
            <w:vAlign w:val="bottom"/>
            <w:hideMark/>
          </w:tcPr>
          <w:p w14:paraId="256EBA58" w14:textId="77777777" w:rsidR="0057131B" w:rsidRDefault="00355A1C">
            <w:pPr>
              <w:pStyle w:val="P68B1DB1-Normal91"/>
            </w:pPr>
            <w:r>
              <w:t>Clearingsystem mellan banker (ICS)</w:t>
            </w:r>
          </w:p>
        </w:tc>
      </w:tr>
      <w:tr w:rsidR="0057131B" w14:paraId="61201BD5" w14:textId="77777777">
        <w:trPr>
          <w:trHeight w:val="300"/>
        </w:trPr>
        <w:tc>
          <w:tcPr>
            <w:tcW w:w="9072" w:type="dxa"/>
            <w:tcBorders>
              <w:top w:val="nil"/>
              <w:left w:val="nil"/>
              <w:bottom w:val="nil"/>
              <w:right w:val="nil"/>
            </w:tcBorders>
            <w:noWrap/>
            <w:vAlign w:val="bottom"/>
            <w:hideMark/>
          </w:tcPr>
          <w:p w14:paraId="38BDB6F1" w14:textId="77777777" w:rsidR="0057131B" w:rsidRDefault="00355A1C">
            <w:pPr>
              <w:pStyle w:val="P68B1DB1-Normal91"/>
            </w:pPr>
            <w:r>
              <w:t>INTERBOLSA</w:t>
            </w:r>
          </w:p>
        </w:tc>
      </w:tr>
      <w:tr w:rsidR="0057131B" w14:paraId="3D13BEFD" w14:textId="77777777">
        <w:trPr>
          <w:trHeight w:val="300"/>
        </w:trPr>
        <w:tc>
          <w:tcPr>
            <w:tcW w:w="9072" w:type="dxa"/>
            <w:tcBorders>
              <w:top w:val="nil"/>
              <w:left w:val="nil"/>
              <w:bottom w:val="nil"/>
              <w:right w:val="nil"/>
            </w:tcBorders>
            <w:noWrap/>
            <w:vAlign w:val="bottom"/>
            <w:hideMark/>
          </w:tcPr>
          <w:p w14:paraId="27D8A3E1" w14:textId="77777777" w:rsidR="0057131B" w:rsidRDefault="00355A1C">
            <w:pPr>
              <w:pStyle w:val="P68B1DB1-Normal91"/>
            </w:pPr>
            <w:r>
              <w:t>IntradagClearing</w:t>
            </w:r>
          </w:p>
        </w:tc>
      </w:tr>
      <w:tr w:rsidR="0057131B" w:rsidRPr="00914EB8" w14:paraId="4CA95B12" w14:textId="77777777">
        <w:trPr>
          <w:trHeight w:val="300"/>
        </w:trPr>
        <w:tc>
          <w:tcPr>
            <w:tcW w:w="9072" w:type="dxa"/>
            <w:tcBorders>
              <w:top w:val="nil"/>
              <w:left w:val="nil"/>
              <w:bottom w:val="nil"/>
              <w:right w:val="nil"/>
            </w:tcBorders>
            <w:noWrap/>
            <w:vAlign w:val="bottom"/>
            <w:hideMark/>
          </w:tcPr>
          <w:p w14:paraId="3992B7FE" w14:textId="77777777" w:rsidR="0057131B" w:rsidRPr="003751AD" w:rsidRDefault="00355A1C">
            <w:pPr>
              <w:pStyle w:val="P68B1DB1-Normal91"/>
              <w:rPr>
                <w:lang w:val="en-US"/>
              </w:rPr>
            </w:pPr>
            <w:proofErr w:type="spellStart"/>
            <w:r w:rsidRPr="003751AD">
              <w:rPr>
                <w:lang w:val="en-US"/>
              </w:rPr>
              <w:t>IRGiT</w:t>
            </w:r>
            <w:proofErr w:type="spellEnd"/>
            <w:r w:rsidRPr="003751AD">
              <w:rPr>
                <w:lang w:val="en-US"/>
              </w:rPr>
              <w:t xml:space="preserve"> Izba </w:t>
            </w:r>
            <w:proofErr w:type="spellStart"/>
            <w:r w:rsidRPr="003751AD">
              <w:rPr>
                <w:lang w:val="en-US"/>
              </w:rPr>
              <w:t>Rozliczeniowa</w:t>
            </w:r>
            <w:proofErr w:type="spellEnd"/>
            <w:r w:rsidRPr="003751AD">
              <w:rPr>
                <w:lang w:val="en-US"/>
              </w:rPr>
              <w:t xml:space="preserve"> </w:t>
            </w:r>
            <w:proofErr w:type="spellStart"/>
            <w:r w:rsidRPr="003751AD">
              <w:rPr>
                <w:lang w:val="en-US"/>
              </w:rPr>
              <w:t>Giełd</w:t>
            </w:r>
            <w:proofErr w:type="spellEnd"/>
            <w:r w:rsidRPr="003751AD">
              <w:rPr>
                <w:lang w:val="en-US"/>
              </w:rPr>
              <w:t xml:space="preserve"> </w:t>
            </w:r>
            <w:proofErr w:type="spellStart"/>
            <w:r w:rsidRPr="003751AD">
              <w:rPr>
                <w:lang w:val="en-US"/>
              </w:rPr>
              <w:t>Towarowych</w:t>
            </w:r>
            <w:proofErr w:type="spellEnd"/>
            <w:r w:rsidRPr="003751AD">
              <w:rPr>
                <w:lang w:val="en-US"/>
              </w:rPr>
              <w:t xml:space="preserve"> S.A (Commodity Clearing House)</w:t>
            </w:r>
          </w:p>
        </w:tc>
      </w:tr>
      <w:tr w:rsidR="0057131B" w:rsidRPr="00914EB8" w14:paraId="5F42EC4B" w14:textId="77777777">
        <w:trPr>
          <w:trHeight w:val="300"/>
        </w:trPr>
        <w:tc>
          <w:tcPr>
            <w:tcW w:w="9072" w:type="dxa"/>
            <w:tcBorders>
              <w:top w:val="nil"/>
              <w:left w:val="nil"/>
              <w:bottom w:val="nil"/>
              <w:right w:val="nil"/>
            </w:tcBorders>
            <w:noWrap/>
            <w:vAlign w:val="bottom"/>
            <w:hideMark/>
          </w:tcPr>
          <w:p w14:paraId="1817AC8A" w14:textId="77777777" w:rsidR="0057131B" w:rsidRPr="003751AD" w:rsidRDefault="00355A1C">
            <w:pPr>
              <w:pStyle w:val="P68B1DB1-Normal91"/>
              <w:rPr>
                <w:lang w:val="en-US"/>
              </w:rPr>
            </w:pPr>
            <w:r w:rsidRPr="003751AD">
              <w:rPr>
                <w:lang w:val="en-US"/>
              </w:rPr>
              <w:t>Irish Paper Clearing Company (IPCC)</w:t>
            </w:r>
          </w:p>
        </w:tc>
      </w:tr>
      <w:tr w:rsidR="0057131B" w14:paraId="503DCAED" w14:textId="77777777">
        <w:trPr>
          <w:trHeight w:val="300"/>
        </w:trPr>
        <w:tc>
          <w:tcPr>
            <w:tcW w:w="9072" w:type="dxa"/>
            <w:tcBorders>
              <w:top w:val="nil"/>
              <w:left w:val="nil"/>
              <w:bottom w:val="nil"/>
              <w:right w:val="nil"/>
            </w:tcBorders>
            <w:noWrap/>
            <w:vAlign w:val="bottom"/>
            <w:hideMark/>
          </w:tcPr>
          <w:p w14:paraId="256FE1FF" w14:textId="77777777" w:rsidR="0057131B" w:rsidRDefault="00355A1C">
            <w:pPr>
              <w:pStyle w:val="P68B1DB1-Normal91"/>
            </w:pPr>
            <w:r>
              <w:t>Irish Stock Exchange Ltd. (Irländska fondbörsen)</w:t>
            </w:r>
          </w:p>
        </w:tc>
      </w:tr>
      <w:tr w:rsidR="0057131B" w14:paraId="01B9E362" w14:textId="77777777">
        <w:trPr>
          <w:trHeight w:val="300"/>
        </w:trPr>
        <w:tc>
          <w:tcPr>
            <w:tcW w:w="9072" w:type="dxa"/>
            <w:tcBorders>
              <w:top w:val="nil"/>
              <w:left w:val="nil"/>
              <w:bottom w:val="nil"/>
              <w:right w:val="nil"/>
            </w:tcBorders>
            <w:noWrap/>
            <w:vAlign w:val="bottom"/>
            <w:hideMark/>
          </w:tcPr>
          <w:p w14:paraId="6D9ED763" w14:textId="77777777" w:rsidR="0057131B" w:rsidRDefault="00355A1C">
            <w:pPr>
              <w:pStyle w:val="P68B1DB1-Normal91"/>
            </w:pPr>
            <w:r>
              <w:t>Japan Securities Clearing Corporation</w:t>
            </w:r>
          </w:p>
        </w:tc>
      </w:tr>
      <w:tr w:rsidR="0057131B" w14:paraId="7B5B6AA0" w14:textId="77777777">
        <w:trPr>
          <w:trHeight w:val="300"/>
        </w:trPr>
        <w:tc>
          <w:tcPr>
            <w:tcW w:w="9072" w:type="dxa"/>
            <w:tcBorders>
              <w:top w:val="nil"/>
              <w:left w:val="nil"/>
              <w:bottom w:val="nil"/>
              <w:right w:val="nil"/>
            </w:tcBorders>
            <w:noWrap/>
            <w:vAlign w:val="bottom"/>
            <w:hideMark/>
          </w:tcPr>
          <w:p w14:paraId="5354E82A" w14:textId="77777777" w:rsidR="0057131B" w:rsidRDefault="00355A1C">
            <w:pPr>
              <w:pStyle w:val="P68B1DB1-Normal91"/>
            </w:pPr>
            <w:r>
              <w:t>JASDEC</w:t>
            </w:r>
          </w:p>
        </w:tc>
      </w:tr>
      <w:tr w:rsidR="0057131B" w14:paraId="5F2E7C68" w14:textId="77777777">
        <w:trPr>
          <w:trHeight w:val="300"/>
        </w:trPr>
        <w:tc>
          <w:tcPr>
            <w:tcW w:w="9072" w:type="dxa"/>
            <w:tcBorders>
              <w:top w:val="nil"/>
              <w:left w:val="nil"/>
              <w:bottom w:val="nil"/>
              <w:right w:val="nil"/>
            </w:tcBorders>
            <w:noWrap/>
            <w:vAlign w:val="bottom"/>
            <w:hideMark/>
          </w:tcPr>
          <w:p w14:paraId="7D166505" w14:textId="77777777" w:rsidR="0057131B" w:rsidRDefault="00355A1C">
            <w:pPr>
              <w:pStyle w:val="P68B1DB1-Normal91"/>
            </w:pPr>
            <w:r>
              <w:t>JASDEC DVP</w:t>
            </w:r>
          </w:p>
        </w:tc>
      </w:tr>
      <w:tr w:rsidR="0057131B" w14:paraId="4048BA0D" w14:textId="77777777">
        <w:trPr>
          <w:trHeight w:val="300"/>
        </w:trPr>
        <w:tc>
          <w:tcPr>
            <w:tcW w:w="9072" w:type="dxa"/>
            <w:tcBorders>
              <w:top w:val="nil"/>
              <w:left w:val="nil"/>
              <w:bottom w:val="nil"/>
              <w:right w:val="nil"/>
            </w:tcBorders>
            <w:noWrap/>
            <w:vAlign w:val="bottom"/>
            <w:hideMark/>
          </w:tcPr>
          <w:p w14:paraId="15678AE9" w14:textId="77777777" w:rsidR="0057131B" w:rsidRDefault="00355A1C">
            <w:pPr>
              <w:pStyle w:val="P68B1DB1-Normal91"/>
            </w:pPr>
            <w:r>
              <w:t>GEMENSAMMA RÅDGIVANDE KOMMITTÉER</w:t>
            </w:r>
          </w:p>
        </w:tc>
      </w:tr>
      <w:tr w:rsidR="0057131B" w14:paraId="12A3C713" w14:textId="77777777">
        <w:trPr>
          <w:trHeight w:val="300"/>
        </w:trPr>
        <w:tc>
          <w:tcPr>
            <w:tcW w:w="9072" w:type="dxa"/>
            <w:tcBorders>
              <w:top w:val="nil"/>
              <w:left w:val="nil"/>
              <w:bottom w:val="nil"/>
              <w:right w:val="nil"/>
            </w:tcBorders>
            <w:noWrap/>
            <w:vAlign w:val="bottom"/>
            <w:hideMark/>
          </w:tcPr>
          <w:p w14:paraId="41166169" w14:textId="77777777" w:rsidR="0057131B" w:rsidRDefault="00355A1C">
            <w:pPr>
              <w:pStyle w:val="P68B1DB1-Normal91"/>
            </w:pPr>
            <w:r>
              <w:t>KDPW SA.</w:t>
            </w:r>
          </w:p>
        </w:tc>
      </w:tr>
      <w:tr w:rsidR="0057131B" w14:paraId="43817C1E" w14:textId="77777777">
        <w:trPr>
          <w:trHeight w:val="300"/>
        </w:trPr>
        <w:tc>
          <w:tcPr>
            <w:tcW w:w="9072" w:type="dxa"/>
            <w:tcBorders>
              <w:top w:val="nil"/>
              <w:left w:val="nil"/>
              <w:bottom w:val="nil"/>
              <w:right w:val="nil"/>
            </w:tcBorders>
            <w:noWrap/>
            <w:vAlign w:val="bottom"/>
            <w:hideMark/>
          </w:tcPr>
          <w:p w14:paraId="3018D3C8" w14:textId="77777777" w:rsidR="0057131B" w:rsidRDefault="00355A1C">
            <w:pPr>
              <w:pStyle w:val="P68B1DB1-Normal91"/>
            </w:pPr>
            <w:r>
              <w:t>KDPW_CCP S.A.</w:t>
            </w:r>
          </w:p>
        </w:tc>
      </w:tr>
      <w:tr w:rsidR="0057131B" w14:paraId="21912EC4" w14:textId="77777777">
        <w:trPr>
          <w:trHeight w:val="300"/>
        </w:trPr>
        <w:tc>
          <w:tcPr>
            <w:tcW w:w="9072" w:type="dxa"/>
            <w:tcBorders>
              <w:top w:val="nil"/>
              <w:left w:val="nil"/>
              <w:bottom w:val="nil"/>
              <w:right w:val="nil"/>
            </w:tcBorders>
            <w:noWrap/>
            <w:vAlign w:val="bottom"/>
            <w:hideMark/>
          </w:tcPr>
          <w:p w14:paraId="59836A48" w14:textId="77777777" w:rsidR="0057131B" w:rsidRDefault="00355A1C">
            <w:pPr>
              <w:pStyle w:val="P68B1DB1-Normal91"/>
            </w:pPr>
            <w:r>
              <w:t>KDPW-TR</w:t>
            </w:r>
          </w:p>
        </w:tc>
      </w:tr>
      <w:tr w:rsidR="0057131B" w14:paraId="14480A4D" w14:textId="77777777">
        <w:trPr>
          <w:trHeight w:val="300"/>
        </w:trPr>
        <w:tc>
          <w:tcPr>
            <w:tcW w:w="9072" w:type="dxa"/>
            <w:tcBorders>
              <w:top w:val="nil"/>
              <w:left w:val="nil"/>
              <w:bottom w:val="nil"/>
              <w:right w:val="nil"/>
            </w:tcBorders>
            <w:noWrap/>
            <w:vAlign w:val="bottom"/>
            <w:hideMark/>
          </w:tcPr>
          <w:p w14:paraId="59BBCA2D" w14:textId="77777777" w:rsidR="0057131B" w:rsidRDefault="00355A1C">
            <w:pPr>
              <w:pStyle w:val="P68B1DB1-Normal91"/>
            </w:pPr>
            <w:r>
              <w:t>KELER CCP</w:t>
            </w:r>
          </w:p>
        </w:tc>
      </w:tr>
      <w:tr w:rsidR="0057131B" w14:paraId="1D005B0E" w14:textId="77777777">
        <w:trPr>
          <w:trHeight w:val="300"/>
        </w:trPr>
        <w:tc>
          <w:tcPr>
            <w:tcW w:w="9072" w:type="dxa"/>
            <w:tcBorders>
              <w:top w:val="nil"/>
              <w:left w:val="nil"/>
              <w:bottom w:val="nil"/>
              <w:right w:val="nil"/>
            </w:tcBorders>
            <w:noWrap/>
            <w:vAlign w:val="bottom"/>
            <w:hideMark/>
          </w:tcPr>
          <w:p w14:paraId="2ABFD94E" w14:textId="77777777" w:rsidR="0057131B" w:rsidRDefault="00355A1C">
            <w:pPr>
              <w:pStyle w:val="P68B1DB1-Normal91"/>
            </w:pPr>
            <w:r>
              <w:t>KELER CSD</w:t>
            </w:r>
          </w:p>
        </w:tc>
      </w:tr>
      <w:tr w:rsidR="0057131B" w14:paraId="13D5C039" w14:textId="77777777">
        <w:trPr>
          <w:trHeight w:val="300"/>
        </w:trPr>
        <w:tc>
          <w:tcPr>
            <w:tcW w:w="9072" w:type="dxa"/>
            <w:tcBorders>
              <w:top w:val="nil"/>
              <w:left w:val="nil"/>
              <w:bottom w:val="nil"/>
              <w:right w:val="nil"/>
            </w:tcBorders>
            <w:noWrap/>
            <w:vAlign w:val="bottom"/>
            <w:hideMark/>
          </w:tcPr>
          <w:p w14:paraId="31B1FA22" w14:textId="77777777" w:rsidR="0057131B" w:rsidRDefault="00355A1C">
            <w:pPr>
              <w:pStyle w:val="P68B1DB1-Normal91"/>
            </w:pPr>
            <w:r>
              <w:t>KRONOS</w:t>
            </w:r>
          </w:p>
        </w:tc>
      </w:tr>
      <w:tr w:rsidR="0057131B" w14:paraId="3B7ED824" w14:textId="77777777">
        <w:trPr>
          <w:trHeight w:val="300"/>
        </w:trPr>
        <w:tc>
          <w:tcPr>
            <w:tcW w:w="9072" w:type="dxa"/>
            <w:tcBorders>
              <w:top w:val="nil"/>
              <w:left w:val="nil"/>
              <w:bottom w:val="nil"/>
              <w:right w:val="nil"/>
            </w:tcBorders>
            <w:noWrap/>
            <w:vAlign w:val="bottom"/>
            <w:hideMark/>
          </w:tcPr>
          <w:p w14:paraId="0A3C0455" w14:textId="77777777" w:rsidR="0057131B" w:rsidRDefault="00355A1C">
            <w:pPr>
              <w:pStyle w:val="P68B1DB1-Normal91"/>
            </w:pPr>
            <w:r>
              <w:t>KUBAS</w:t>
            </w:r>
          </w:p>
        </w:tc>
      </w:tr>
      <w:tr w:rsidR="0057131B" w14:paraId="2B1C9B26" w14:textId="77777777">
        <w:trPr>
          <w:trHeight w:val="300"/>
        </w:trPr>
        <w:tc>
          <w:tcPr>
            <w:tcW w:w="9072" w:type="dxa"/>
            <w:tcBorders>
              <w:top w:val="nil"/>
              <w:left w:val="nil"/>
              <w:bottom w:val="nil"/>
              <w:right w:val="nil"/>
            </w:tcBorders>
            <w:noWrap/>
            <w:vAlign w:val="bottom"/>
            <w:hideMark/>
          </w:tcPr>
          <w:p w14:paraId="0C36BDD0" w14:textId="77777777" w:rsidR="0057131B" w:rsidRDefault="00355A1C">
            <w:pPr>
              <w:pStyle w:val="P68B1DB1-Normal91"/>
            </w:pPr>
            <w:r>
              <w:t>System för överföring av stora värden (LVTS)</w:t>
            </w:r>
          </w:p>
        </w:tc>
      </w:tr>
      <w:tr w:rsidR="0057131B" w14:paraId="494438D8" w14:textId="77777777">
        <w:trPr>
          <w:trHeight w:val="300"/>
        </w:trPr>
        <w:tc>
          <w:tcPr>
            <w:tcW w:w="9072" w:type="dxa"/>
            <w:tcBorders>
              <w:top w:val="nil"/>
              <w:left w:val="nil"/>
              <w:bottom w:val="nil"/>
              <w:right w:val="nil"/>
            </w:tcBorders>
            <w:noWrap/>
            <w:vAlign w:val="bottom"/>
            <w:hideMark/>
          </w:tcPr>
          <w:p w14:paraId="0378B855" w14:textId="77777777" w:rsidR="0057131B" w:rsidRDefault="00355A1C">
            <w:pPr>
              <w:pStyle w:val="P68B1DB1-Normal91"/>
            </w:pPr>
            <w:r>
              <w:t>LCH Ltd</w:t>
            </w:r>
          </w:p>
        </w:tc>
      </w:tr>
      <w:tr w:rsidR="0057131B" w14:paraId="5DD1EBF4" w14:textId="77777777">
        <w:trPr>
          <w:trHeight w:val="300"/>
        </w:trPr>
        <w:tc>
          <w:tcPr>
            <w:tcW w:w="9072" w:type="dxa"/>
            <w:tcBorders>
              <w:top w:val="nil"/>
              <w:left w:val="nil"/>
              <w:bottom w:val="nil"/>
              <w:right w:val="nil"/>
            </w:tcBorders>
            <w:noWrap/>
            <w:vAlign w:val="bottom"/>
            <w:hideMark/>
          </w:tcPr>
          <w:p w14:paraId="59459780" w14:textId="77777777" w:rsidR="0057131B" w:rsidRDefault="00355A1C">
            <w:pPr>
              <w:pStyle w:val="P68B1DB1-Normal91"/>
            </w:pPr>
            <w:r>
              <w:t>LCH SA</w:t>
            </w:r>
          </w:p>
        </w:tc>
      </w:tr>
      <w:tr w:rsidR="0057131B" w14:paraId="4F01D89C" w14:textId="77777777">
        <w:trPr>
          <w:trHeight w:val="300"/>
        </w:trPr>
        <w:tc>
          <w:tcPr>
            <w:tcW w:w="9072" w:type="dxa"/>
            <w:tcBorders>
              <w:top w:val="nil"/>
              <w:left w:val="nil"/>
              <w:bottom w:val="nil"/>
              <w:right w:val="nil"/>
            </w:tcBorders>
            <w:noWrap/>
            <w:vAlign w:val="bottom"/>
            <w:hideMark/>
          </w:tcPr>
          <w:p w14:paraId="5955E367" w14:textId="77777777" w:rsidR="0057131B" w:rsidRDefault="00355A1C">
            <w:pPr>
              <w:pStyle w:val="P68B1DB1-Normal91"/>
            </w:pPr>
            <w:r>
              <w:t>Ljubljana Stock Exchange</w:t>
            </w:r>
          </w:p>
        </w:tc>
      </w:tr>
      <w:tr w:rsidR="0057131B" w14:paraId="63C7A928" w14:textId="77777777">
        <w:trPr>
          <w:trHeight w:val="300"/>
        </w:trPr>
        <w:tc>
          <w:tcPr>
            <w:tcW w:w="9072" w:type="dxa"/>
            <w:tcBorders>
              <w:top w:val="nil"/>
              <w:left w:val="nil"/>
              <w:bottom w:val="nil"/>
              <w:right w:val="nil"/>
            </w:tcBorders>
            <w:noWrap/>
            <w:vAlign w:val="bottom"/>
            <w:hideMark/>
          </w:tcPr>
          <w:p w14:paraId="14DFAB9F" w14:textId="77777777" w:rsidR="0057131B" w:rsidRDefault="00355A1C">
            <w:pPr>
              <w:pStyle w:val="P68B1DB1-Normal91"/>
            </w:pPr>
            <w:r>
              <w:t>LME Clear Limited</w:t>
            </w:r>
          </w:p>
        </w:tc>
      </w:tr>
      <w:tr w:rsidR="0057131B" w:rsidRPr="00914EB8" w14:paraId="188E3D82" w14:textId="77777777">
        <w:trPr>
          <w:trHeight w:val="300"/>
        </w:trPr>
        <w:tc>
          <w:tcPr>
            <w:tcW w:w="9072" w:type="dxa"/>
            <w:tcBorders>
              <w:top w:val="nil"/>
              <w:left w:val="nil"/>
              <w:bottom w:val="nil"/>
              <w:right w:val="nil"/>
            </w:tcBorders>
            <w:noWrap/>
            <w:vAlign w:val="bottom"/>
            <w:hideMark/>
          </w:tcPr>
          <w:p w14:paraId="7DB15EC9" w14:textId="77777777" w:rsidR="0057131B" w:rsidRPr="003751AD" w:rsidRDefault="00355A1C">
            <w:pPr>
              <w:pStyle w:val="P68B1DB1-Normal91"/>
              <w:rPr>
                <w:lang w:val="en-US"/>
              </w:rPr>
            </w:pPr>
            <w:r w:rsidRPr="003751AD">
              <w:rPr>
                <w:lang w:val="en-US"/>
              </w:rPr>
              <w:t>London Stock Exchange Ltd (LSE)</w:t>
            </w:r>
          </w:p>
        </w:tc>
      </w:tr>
      <w:tr w:rsidR="0057131B" w14:paraId="0AD660E5" w14:textId="77777777">
        <w:trPr>
          <w:trHeight w:val="300"/>
        </w:trPr>
        <w:tc>
          <w:tcPr>
            <w:tcW w:w="9072" w:type="dxa"/>
            <w:tcBorders>
              <w:top w:val="nil"/>
              <w:left w:val="nil"/>
              <w:bottom w:val="nil"/>
              <w:right w:val="nil"/>
            </w:tcBorders>
            <w:noWrap/>
            <w:vAlign w:val="bottom"/>
            <w:hideMark/>
          </w:tcPr>
          <w:p w14:paraId="23DA5AB4" w14:textId="77777777" w:rsidR="0057131B" w:rsidRDefault="00355A1C">
            <w:pPr>
              <w:pStyle w:val="P68B1DB1-Normal91"/>
            </w:pPr>
            <w:r>
              <w:t>LUX-VÄRDEPAPPERSCENTRALEN</w:t>
            </w:r>
          </w:p>
        </w:tc>
      </w:tr>
      <w:tr w:rsidR="0057131B" w14:paraId="5B3E1A3A" w14:textId="77777777">
        <w:trPr>
          <w:trHeight w:val="300"/>
        </w:trPr>
        <w:tc>
          <w:tcPr>
            <w:tcW w:w="9072" w:type="dxa"/>
            <w:tcBorders>
              <w:top w:val="nil"/>
              <w:left w:val="nil"/>
              <w:bottom w:val="nil"/>
              <w:right w:val="nil"/>
            </w:tcBorders>
            <w:noWrap/>
            <w:vAlign w:val="bottom"/>
            <w:hideMark/>
          </w:tcPr>
          <w:p w14:paraId="5D4FD8D4" w14:textId="77777777" w:rsidR="0057131B" w:rsidRDefault="00355A1C">
            <w:pPr>
              <w:pStyle w:val="P68B1DB1-Normal91"/>
            </w:pPr>
            <w:r>
              <w:t>Maltas clearinghus</w:t>
            </w:r>
          </w:p>
        </w:tc>
      </w:tr>
      <w:tr w:rsidR="0057131B" w14:paraId="0739CAE8" w14:textId="77777777">
        <w:trPr>
          <w:trHeight w:val="300"/>
        </w:trPr>
        <w:tc>
          <w:tcPr>
            <w:tcW w:w="9072" w:type="dxa"/>
            <w:tcBorders>
              <w:top w:val="nil"/>
              <w:left w:val="nil"/>
              <w:bottom w:val="nil"/>
              <w:right w:val="nil"/>
            </w:tcBorders>
            <w:noWrap/>
            <w:vAlign w:val="bottom"/>
            <w:hideMark/>
          </w:tcPr>
          <w:p w14:paraId="7880FB68" w14:textId="77777777" w:rsidR="0057131B" w:rsidRDefault="00355A1C">
            <w:pPr>
              <w:pStyle w:val="P68B1DB1-Normal91"/>
            </w:pPr>
            <w:r>
              <w:t>Malta Stock Exchange (Maltas fondbörs)</w:t>
            </w:r>
          </w:p>
        </w:tc>
      </w:tr>
      <w:tr w:rsidR="0057131B" w14:paraId="1462AFD7" w14:textId="77777777">
        <w:trPr>
          <w:trHeight w:val="300"/>
        </w:trPr>
        <w:tc>
          <w:tcPr>
            <w:tcW w:w="9072" w:type="dxa"/>
            <w:tcBorders>
              <w:top w:val="nil"/>
              <w:left w:val="nil"/>
              <w:bottom w:val="nil"/>
              <w:right w:val="nil"/>
            </w:tcBorders>
            <w:noWrap/>
            <w:vAlign w:val="bottom"/>
            <w:hideMark/>
          </w:tcPr>
          <w:p w14:paraId="4F29DF27" w14:textId="77777777" w:rsidR="0057131B" w:rsidRDefault="00355A1C">
            <w:pPr>
              <w:pStyle w:val="P68B1DB1-Normal91"/>
            </w:pPr>
            <w:r>
              <w:t>Malta Stock Exchange CSD</w:t>
            </w:r>
          </w:p>
        </w:tc>
      </w:tr>
      <w:tr w:rsidR="0057131B" w14:paraId="147A9AFE" w14:textId="77777777">
        <w:trPr>
          <w:trHeight w:val="300"/>
        </w:trPr>
        <w:tc>
          <w:tcPr>
            <w:tcW w:w="9072" w:type="dxa"/>
            <w:tcBorders>
              <w:top w:val="nil"/>
              <w:left w:val="nil"/>
              <w:bottom w:val="nil"/>
              <w:right w:val="nil"/>
            </w:tcBorders>
            <w:noWrap/>
            <w:vAlign w:val="bottom"/>
            <w:hideMark/>
          </w:tcPr>
          <w:p w14:paraId="29008853" w14:textId="77777777" w:rsidR="0057131B" w:rsidRDefault="00355A1C">
            <w:pPr>
              <w:pStyle w:val="P68B1DB1-Normal91"/>
            </w:pPr>
            <w:r>
              <w:t>MEFF Sociedad Rectora de Productos Derivados S. A.</w:t>
            </w:r>
          </w:p>
        </w:tc>
      </w:tr>
      <w:tr w:rsidR="0057131B" w14:paraId="03A3D6E0" w14:textId="77777777">
        <w:trPr>
          <w:trHeight w:val="300"/>
        </w:trPr>
        <w:tc>
          <w:tcPr>
            <w:tcW w:w="9072" w:type="dxa"/>
            <w:tcBorders>
              <w:top w:val="nil"/>
              <w:left w:val="nil"/>
              <w:bottom w:val="nil"/>
              <w:right w:val="nil"/>
            </w:tcBorders>
            <w:noWrap/>
            <w:vAlign w:val="bottom"/>
            <w:hideMark/>
          </w:tcPr>
          <w:p w14:paraId="3E98B6A6" w14:textId="77777777" w:rsidR="0057131B" w:rsidRDefault="00355A1C">
            <w:pPr>
              <w:pStyle w:val="P68B1DB1-Normal91"/>
            </w:pPr>
            <w:r>
              <w:t>Mercados de Deuda Pública en Anotaciones</w:t>
            </w:r>
          </w:p>
        </w:tc>
      </w:tr>
      <w:tr w:rsidR="0057131B" w14:paraId="51FA8AC8" w14:textId="77777777">
        <w:trPr>
          <w:trHeight w:val="300"/>
        </w:trPr>
        <w:tc>
          <w:tcPr>
            <w:tcW w:w="9072" w:type="dxa"/>
            <w:tcBorders>
              <w:top w:val="nil"/>
              <w:left w:val="nil"/>
              <w:bottom w:val="nil"/>
              <w:right w:val="nil"/>
            </w:tcBorders>
            <w:noWrap/>
            <w:vAlign w:val="bottom"/>
            <w:hideMark/>
          </w:tcPr>
          <w:p w14:paraId="3F76F750" w14:textId="77777777" w:rsidR="0057131B" w:rsidRDefault="00355A1C">
            <w:pPr>
              <w:pStyle w:val="P68B1DB1-Normal91"/>
            </w:pPr>
            <w:r>
              <w:t>Monte Titoli</w:t>
            </w:r>
          </w:p>
        </w:tc>
      </w:tr>
      <w:tr w:rsidR="0057131B" w14:paraId="23805AA2" w14:textId="77777777">
        <w:trPr>
          <w:trHeight w:val="300"/>
        </w:trPr>
        <w:tc>
          <w:tcPr>
            <w:tcW w:w="9072" w:type="dxa"/>
            <w:tcBorders>
              <w:top w:val="nil"/>
              <w:left w:val="nil"/>
              <w:bottom w:val="nil"/>
              <w:right w:val="nil"/>
            </w:tcBorders>
            <w:noWrap/>
            <w:vAlign w:val="bottom"/>
            <w:hideMark/>
          </w:tcPr>
          <w:p w14:paraId="13AB08E1" w14:textId="77777777" w:rsidR="0057131B" w:rsidRDefault="00355A1C">
            <w:pPr>
              <w:pStyle w:val="P68B1DB1-Normal91"/>
            </w:pPr>
            <w:r>
              <w:t>MTS</w:t>
            </w:r>
          </w:p>
        </w:tc>
      </w:tr>
      <w:tr w:rsidR="0057131B" w14:paraId="4149713C" w14:textId="77777777">
        <w:trPr>
          <w:trHeight w:val="300"/>
        </w:trPr>
        <w:tc>
          <w:tcPr>
            <w:tcW w:w="9072" w:type="dxa"/>
            <w:tcBorders>
              <w:top w:val="nil"/>
              <w:left w:val="nil"/>
              <w:bottom w:val="nil"/>
              <w:right w:val="nil"/>
            </w:tcBorders>
            <w:noWrap/>
            <w:vAlign w:val="bottom"/>
            <w:hideMark/>
          </w:tcPr>
          <w:p w14:paraId="0E21C9DA" w14:textId="77777777" w:rsidR="0057131B" w:rsidRDefault="00355A1C">
            <w:pPr>
              <w:pStyle w:val="P68B1DB1-Normal91"/>
            </w:pPr>
            <w:r>
              <w:t>Národný Centralny Depositar Cennych Papierov (nCDCP) som</w:t>
            </w:r>
          </w:p>
        </w:tc>
      </w:tr>
      <w:tr w:rsidR="0057131B" w14:paraId="7826A921" w14:textId="77777777">
        <w:trPr>
          <w:trHeight w:val="300"/>
        </w:trPr>
        <w:tc>
          <w:tcPr>
            <w:tcW w:w="9072" w:type="dxa"/>
            <w:tcBorders>
              <w:top w:val="nil"/>
              <w:left w:val="nil"/>
              <w:bottom w:val="nil"/>
              <w:right w:val="nil"/>
            </w:tcBorders>
            <w:noWrap/>
            <w:vAlign w:val="bottom"/>
            <w:hideMark/>
          </w:tcPr>
          <w:p w14:paraId="3989D7C0" w14:textId="77777777" w:rsidR="0057131B" w:rsidRDefault="00355A1C">
            <w:pPr>
              <w:pStyle w:val="P68B1DB1-Normal91"/>
            </w:pPr>
            <w:r>
              <w:t>Nasdaq CSD SE</w:t>
            </w:r>
          </w:p>
        </w:tc>
      </w:tr>
      <w:tr w:rsidR="0057131B" w14:paraId="0F9127FC" w14:textId="77777777">
        <w:trPr>
          <w:trHeight w:val="300"/>
        </w:trPr>
        <w:tc>
          <w:tcPr>
            <w:tcW w:w="9072" w:type="dxa"/>
            <w:tcBorders>
              <w:top w:val="nil"/>
              <w:left w:val="nil"/>
              <w:bottom w:val="nil"/>
              <w:right w:val="nil"/>
            </w:tcBorders>
            <w:noWrap/>
            <w:vAlign w:val="bottom"/>
            <w:hideMark/>
          </w:tcPr>
          <w:p w14:paraId="7E3342A8" w14:textId="77777777" w:rsidR="0057131B" w:rsidRDefault="00355A1C">
            <w:pPr>
              <w:pStyle w:val="P68B1DB1-Normal91"/>
            </w:pPr>
            <w:r>
              <w:t>Nasdaq Helsingfors</w:t>
            </w:r>
          </w:p>
        </w:tc>
      </w:tr>
      <w:tr w:rsidR="0057131B" w14:paraId="794AA9C2" w14:textId="77777777">
        <w:trPr>
          <w:trHeight w:val="300"/>
        </w:trPr>
        <w:tc>
          <w:tcPr>
            <w:tcW w:w="9072" w:type="dxa"/>
            <w:tcBorders>
              <w:top w:val="nil"/>
              <w:left w:val="nil"/>
              <w:bottom w:val="nil"/>
              <w:right w:val="nil"/>
            </w:tcBorders>
            <w:noWrap/>
            <w:vAlign w:val="bottom"/>
            <w:hideMark/>
          </w:tcPr>
          <w:p w14:paraId="4EB7B940" w14:textId="77777777" w:rsidR="0057131B" w:rsidRDefault="00355A1C">
            <w:pPr>
              <w:pStyle w:val="P68B1DB1-Normal91"/>
            </w:pPr>
            <w:r>
              <w:t>Nasdaq OMX Clearing</w:t>
            </w:r>
          </w:p>
        </w:tc>
      </w:tr>
      <w:tr w:rsidR="0057131B" w14:paraId="27B334A7" w14:textId="77777777">
        <w:trPr>
          <w:trHeight w:val="300"/>
        </w:trPr>
        <w:tc>
          <w:tcPr>
            <w:tcW w:w="9072" w:type="dxa"/>
            <w:tcBorders>
              <w:top w:val="nil"/>
              <w:left w:val="nil"/>
              <w:bottom w:val="nil"/>
              <w:right w:val="nil"/>
            </w:tcBorders>
            <w:noWrap/>
            <w:vAlign w:val="bottom"/>
            <w:hideMark/>
          </w:tcPr>
          <w:p w14:paraId="405F6BB1" w14:textId="77777777" w:rsidR="0057131B" w:rsidRDefault="00355A1C">
            <w:pPr>
              <w:pStyle w:val="P68B1DB1-Normal91"/>
            </w:pPr>
            <w:r>
              <w:t>Nasdaq OMX Stockholm</w:t>
            </w:r>
          </w:p>
        </w:tc>
      </w:tr>
      <w:tr w:rsidR="0057131B" w:rsidRPr="00914EB8" w14:paraId="5888CB72" w14:textId="77777777">
        <w:trPr>
          <w:trHeight w:val="300"/>
        </w:trPr>
        <w:tc>
          <w:tcPr>
            <w:tcW w:w="9072" w:type="dxa"/>
            <w:tcBorders>
              <w:top w:val="nil"/>
              <w:left w:val="nil"/>
              <w:bottom w:val="nil"/>
              <w:right w:val="nil"/>
            </w:tcBorders>
            <w:noWrap/>
            <w:vAlign w:val="bottom"/>
            <w:hideMark/>
          </w:tcPr>
          <w:p w14:paraId="20F7ABDC" w14:textId="77777777" w:rsidR="0057131B" w:rsidRPr="003751AD" w:rsidRDefault="00355A1C">
            <w:pPr>
              <w:pStyle w:val="P68B1DB1-Normal91"/>
              <w:rPr>
                <w:lang w:val="en-US"/>
              </w:rPr>
            </w:pPr>
            <w:r w:rsidRPr="003751AD">
              <w:rPr>
                <w:lang w:val="en-US"/>
              </w:rPr>
              <w:t>National Securities Clearing Corp. (NSCC)</w:t>
            </w:r>
          </w:p>
        </w:tc>
      </w:tr>
      <w:tr w:rsidR="0057131B" w14:paraId="5E9C8F6D" w14:textId="77777777">
        <w:trPr>
          <w:trHeight w:val="300"/>
        </w:trPr>
        <w:tc>
          <w:tcPr>
            <w:tcW w:w="9072" w:type="dxa"/>
            <w:tcBorders>
              <w:top w:val="nil"/>
              <w:left w:val="nil"/>
              <w:bottom w:val="nil"/>
              <w:right w:val="nil"/>
            </w:tcBorders>
            <w:noWrap/>
            <w:vAlign w:val="bottom"/>
            <w:hideMark/>
          </w:tcPr>
          <w:p w14:paraId="12F1BAEB" w14:textId="77777777" w:rsidR="0057131B" w:rsidRDefault="00355A1C">
            <w:pPr>
              <w:pStyle w:val="P68B1DB1-Normal91"/>
            </w:pPr>
            <w:r>
              <w:t>NBB SSS</w:t>
            </w:r>
          </w:p>
        </w:tc>
      </w:tr>
      <w:tr w:rsidR="0057131B" w14:paraId="5DFC5D23" w14:textId="77777777">
        <w:trPr>
          <w:trHeight w:val="300"/>
        </w:trPr>
        <w:tc>
          <w:tcPr>
            <w:tcW w:w="9072" w:type="dxa"/>
            <w:tcBorders>
              <w:top w:val="nil"/>
              <w:left w:val="nil"/>
              <w:bottom w:val="nil"/>
              <w:right w:val="nil"/>
            </w:tcBorders>
            <w:noWrap/>
            <w:vAlign w:val="bottom"/>
            <w:hideMark/>
          </w:tcPr>
          <w:p w14:paraId="3737426F" w14:textId="77777777" w:rsidR="0057131B" w:rsidRDefault="00355A1C">
            <w:pPr>
              <w:pStyle w:val="P68B1DB1-Normal91"/>
            </w:pPr>
            <w:r>
              <w:t>NBP-växlar och statsskuldväxlar</w:t>
            </w:r>
          </w:p>
        </w:tc>
      </w:tr>
      <w:tr w:rsidR="0057131B" w:rsidRPr="00914EB8" w14:paraId="1FC22E5F" w14:textId="77777777">
        <w:trPr>
          <w:trHeight w:val="300"/>
        </w:trPr>
        <w:tc>
          <w:tcPr>
            <w:tcW w:w="9072" w:type="dxa"/>
            <w:tcBorders>
              <w:top w:val="nil"/>
              <w:left w:val="nil"/>
              <w:bottom w:val="nil"/>
              <w:right w:val="nil"/>
            </w:tcBorders>
            <w:noWrap/>
            <w:vAlign w:val="bottom"/>
            <w:hideMark/>
          </w:tcPr>
          <w:p w14:paraId="358DE620" w14:textId="77777777" w:rsidR="0057131B" w:rsidRPr="003751AD" w:rsidRDefault="00355A1C">
            <w:pPr>
              <w:pStyle w:val="P68B1DB1-Normal91"/>
              <w:rPr>
                <w:lang w:val="en-US"/>
              </w:rPr>
            </w:pPr>
            <w:r w:rsidRPr="003751AD">
              <w:rPr>
                <w:lang w:val="en-US"/>
              </w:rPr>
              <w:t>NEX Abide Trade Repository AB</w:t>
            </w:r>
          </w:p>
        </w:tc>
      </w:tr>
      <w:tr w:rsidR="0057131B" w:rsidRPr="00914EB8" w14:paraId="1362AFBF" w14:textId="77777777">
        <w:trPr>
          <w:trHeight w:val="300"/>
        </w:trPr>
        <w:tc>
          <w:tcPr>
            <w:tcW w:w="9072" w:type="dxa"/>
            <w:tcBorders>
              <w:top w:val="nil"/>
              <w:left w:val="nil"/>
              <w:bottom w:val="nil"/>
              <w:right w:val="nil"/>
            </w:tcBorders>
            <w:noWrap/>
            <w:vAlign w:val="bottom"/>
            <w:hideMark/>
          </w:tcPr>
          <w:p w14:paraId="7779B6B2" w14:textId="77777777" w:rsidR="0057131B" w:rsidRPr="003751AD" w:rsidRDefault="00355A1C">
            <w:pPr>
              <w:pStyle w:val="P68B1DB1-Normal91"/>
              <w:rPr>
                <w:lang w:val="en-US"/>
              </w:rPr>
            </w:pPr>
            <w:r w:rsidRPr="003751AD">
              <w:rPr>
                <w:lang w:val="en-US"/>
              </w:rPr>
              <w:t>NIC (Norwegian Inter Bank Clearing System)</w:t>
            </w:r>
          </w:p>
        </w:tc>
      </w:tr>
      <w:tr w:rsidR="0057131B" w14:paraId="403EDEA1" w14:textId="77777777">
        <w:trPr>
          <w:trHeight w:val="300"/>
        </w:trPr>
        <w:tc>
          <w:tcPr>
            <w:tcW w:w="9072" w:type="dxa"/>
            <w:tcBorders>
              <w:top w:val="nil"/>
              <w:left w:val="nil"/>
              <w:bottom w:val="nil"/>
              <w:right w:val="nil"/>
            </w:tcBorders>
            <w:noWrap/>
            <w:vAlign w:val="bottom"/>
            <w:hideMark/>
          </w:tcPr>
          <w:p w14:paraId="4BFCE736" w14:textId="77777777" w:rsidR="0057131B" w:rsidRDefault="00355A1C">
            <w:pPr>
              <w:pStyle w:val="P68B1DB1-Normal91"/>
            </w:pPr>
            <w:r>
              <w:lastRenderedPageBreak/>
              <w:t>NKS (nationellt clearingsystem)/EuroNKS</w:t>
            </w:r>
          </w:p>
        </w:tc>
      </w:tr>
      <w:tr w:rsidR="0057131B" w14:paraId="72370490" w14:textId="77777777">
        <w:trPr>
          <w:trHeight w:val="300"/>
        </w:trPr>
        <w:tc>
          <w:tcPr>
            <w:tcW w:w="9072" w:type="dxa"/>
            <w:tcBorders>
              <w:top w:val="nil"/>
              <w:left w:val="nil"/>
              <w:bottom w:val="nil"/>
              <w:right w:val="nil"/>
            </w:tcBorders>
            <w:noWrap/>
            <w:vAlign w:val="bottom"/>
            <w:hideMark/>
          </w:tcPr>
          <w:p w14:paraId="46EFA26D" w14:textId="77777777" w:rsidR="0057131B" w:rsidRDefault="00355A1C">
            <w:pPr>
              <w:pStyle w:val="P68B1DB1-Normal91"/>
            </w:pPr>
            <w:r>
              <w:t>NYSE Euronext Paris</w:t>
            </w:r>
          </w:p>
        </w:tc>
      </w:tr>
      <w:tr w:rsidR="0057131B" w14:paraId="5FB1C2FE" w14:textId="77777777">
        <w:trPr>
          <w:trHeight w:val="300"/>
        </w:trPr>
        <w:tc>
          <w:tcPr>
            <w:tcW w:w="9072" w:type="dxa"/>
            <w:tcBorders>
              <w:top w:val="nil"/>
              <w:left w:val="nil"/>
              <w:bottom w:val="nil"/>
              <w:right w:val="nil"/>
            </w:tcBorders>
            <w:noWrap/>
            <w:vAlign w:val="bottom"/>
            <w:hideMark/>
          </w:tcPr>
          <w:p w14:paraId="43B707C4" w14:textId="77777777" w:rsidR="0057131B" w:rsidRDefault="00355A1C">
            <w:pPr>
              <w:pStyle w:val="P68B1DB1-Normal91"/>
            </w:pPr>
            <w:r>
              <w:t>OeKB CSD GmbH (WSB-systemet)</w:t>
            </w:r>
          </w:p>
        </w:tc>
      </w:tr>
      <w:tr w:rsidR="0057131B" w14:paraId="297ECE0B" w14:textId="77777777">
        <w:trPr>
          <w:trHeight w:val="300"/>
        </w:trPr>
        <w:tc>
          <w:tcPr>
            <w:tcW w:w="9072" w:type="dxa"/>
            <w:tcBorders>
              <w:top w:val="nil"/>
              <w:left w:val="nil"/>
              <w:bottom w:val="nil"/>
              <w:right w:val="nil"/>
            </w:tcBorders>
            <w:noWrap/>
            <w:vAlign w:val="bottom"/>
            <w:hideMark/>
          </w:tcPr>
          <w:p w14:paraId="41926D7B" w14:textId="77777777" w:rsidR="0057131B" w:rsidRDefault="00355A1C">
            <w:pPr>
              <w:pStyle w:val="P68B1DB1-Normal91"/>
            </w:pPr>
            <w:r>
              <w:t>OMI Clear</w:t>
            </w:r>
          </w:p>
        </w:tc>
      </w:tr>
      <w:tr w:rsidR="0057131B" w14:paraId="786A0182" w14:textId="77777777">
        <w:trPr>
          <w:trHeight w:val="300"/>
        </w:trPr>
        <w:tc>
          <w:tcPr>
            <w:tcW w:w="9072" w:type="dxa"/>
            <w:tcBorders>
              <w:top w:val="nil"/>
              <w:left w:val="nil"/>
              <w:bottom w:val="nil"/>
              <w:right w:val="nil"/>
            </w:tcBorders>
            <w:noWrap/>
            <w:vAlign w:val="bottom"/>
            <w:hideMark/>
          </w:tcPr>
          <w:p w14:paraId="00B344FB" w14:textId="77777777" w:rsidR="0057131B" w:rsidRDefault="00355A1C">
            <w:pPr>
              <w:pStyle w:val="P68B1DB1-Normal91"/>
            </w:pPr>
            <w:r>
              <w:t>POP</w:t>
            </w:r>
          </w:p>
        </w:tc>
      </w:tr>
      <w:tr w:rsidR="0057131B" w14:paraId="560CA6B2" w14:textId="77777777">
        <w:trPr>
          <w:trHeight w:val="300"/>
        </w:trPr>
        <w:tc>
          <w:tcPr>
            <w:tcW w:w="9072" w:type="dxa"/>
            <w:tcBorders>
              <w:top w:val="nil"/>
              <w:left w:val="nil"/>
              <w:bottom w:val="nil"/>
              <w:right w:val="nil"/>
            </w:tcBorders>
            <w:noWrap/>
            <w:vAlign w:val="bottom"/>
            <w:hideMark/>
          </w:tcPr>
          <w:p w14:paraId="15C8DE81" w14:textId="77777777" w:rsidR="0057131B" w:rsidRDefault="00355A1C">
            <w:pPr>
              <w:pStyle w:val="P68B1DB1-Normal91"/>
            </w:pPr>
            <w:r>
              <w:t>REGIS</w:t>
            </w:r>
          </w:p>
        </w:tc>
      </w:tr>
      <w:tr w:rsidR="0057131B" w14:paraId="185A7956" w14:textId="77777777">
        <w:trPr>
          <w:trHeight w:val="300"/>
        </w:trPr>
        <w:tc>
          <w:tcPr>
            <w:tcW w:w="9072" w:type="dxa"/>
            <w:tcBorders>
              <w:top w:val="nil"/>
              <w:left w:val="nil"/>
              <w:bottom w:val="nil"/>
              <w:right w:val="nil"/>
            </w:tcBorders>
            <w:noWrap/>
            <w:vAlign w:val="bottom"/>
            <w:hideMark/>
          </w:tcPr>
          <w:p w14:paraId="3E63DE78" w14:textId="77777777" w:rsidR="0057131B" w:rsidRDefault="00355A1C">
            <w:pPr>
              <w:pStyle w:val="P68B1DB1-Normal91"/>
            </w:pPr>
            <w:r>
              <w:t>Regis-TR</w:t>
            </w:r>
          </w:p>
        </w:tc>
      </w:tr>
      <w:tr w:rsidR="0057131B" w14:paraId="751DD516" w14:textId="77777777">
        <w:trPr>
          <w:trHeight w:val="300"/>
        </w:trPr>
        <w:tc>
          <w:tcPr>
            <w:tcW w:w="9072" w:type="dxa"/>
            <w:tcBorders>
              <w:top w:val="nil"/>
              <w:left w:val="nil"/>
              <w:bottom w:val="nil"/>
              <w:right w:val="nil"/>
            </w:tcBorders>
            <w:noWrap/>
            <w:vAlign w:val="bottom"/>
            <w:hideMark/>
          </w:tcPr>
          <w:p w14:paraId="61EDA69E" w14:textId="77777777" w:rsidR="0057131B" w:rsidRDefault="00355A1C">
            <w:pPr>
              <w:pStyle w:val="P68B1DB1-Normal91"/>
            </w:pPr>
            <w:r>
              <w:t>Ringar (system för bruttoavveckling i realtid mellan banker)</w:t>
            </w:r>
          </w:p>
        </w:tc>
      </w:tr>
      <w:tr w:rsidR="0057131B" w14:paraId="3DA52EFD" w14:textId="77777777">
        <w:trPr>
          <w:trHeight w:val="300"/>
        </w:trPr>
        <w:tc>
          <w:tcPr>
            <w:tcW w:w="9072" w:type="dxa"/>
            <w:tcBorders>
              <w:top w:val="nil"/>
              <w:left w:val="nil"/>
              <w:bottom w:val="nil"/>
              <w:right w:val="nil"/>
            </w:tcBorders>
            <w:noWrap/>
            <w:vAlign w:val="bottom"/>
            <w:hideMark/>
          </w:tcPr>
          <w:p w14:paraId="14849718" w14:textId="77777777" w:rsidR="0057131B" w:rsidRDefault="00355A1C">
            <w:pPr>
              <w:pStyle w:val="P68B1DB1-Normal91"/>
            </w:pPr>
            <w:r>
              <w:t>RIX</w:t>
            </w:r>
          </w:p>
        </w:tc>
      </w:tr>
      <w:tr w:rsidR="0057131B" w14:paraId="2F5941C3" w14:textId="77777777">
        <w:trPr>
          <w:trHeight w:val="300"/>
        </w:trPr>
        <w:tc>
          <w:tcPr>
            <w:tcW w:w="9072" w:type="dxa"/>
            <w:tcBorders>
              <w:top w:val="nil"/>
              <w:left w:val="nil"/>
              <w:bottom w:val="nil"/>
              <w:right w:val="nil"/>
            </w:tcBorders>
            <w:noWrap/>
            <w:vAlign w:val="bottom"/>
            <w:hideMark/>
          </w:tcPr>
          <w:p w14:paraId="05086D64" w14:textId="77777777" w:rsidR="0057131B" w:rsidRDefault="00355A1C">
            <w:pPr>
              <w:pStyle w:val="P68B1DB1-Normal91"/>
            </w:pPr>
            <w:r>
              <w:t>RM-systemet Czech Stock Exchange (RM-systemet Czech Stock Exchange)</w:t>
            </w:r>
          </w:p>
        </w:tc>
      </w:tr>
      <w:tr w:rsidR="0057131B" w14:paraId="4785EAE5" w14:textId="77777777">
        <w:trPr>
          <w:trHeight w:val="300"/>
        </w:trPr>
        <w:tc>
          <w:tcPr>
            <w:tcW w:w="9072" w:type="dxa"/>
            <w:tcBorders>
              <w:top w:val="nil"/>
              <w:left w:val="nil"/>
              <w:bottom w:val="nil"/>
              <w:right w:val="nil"/>
            </w:tcBorders>
            <w:noWrap/>
            <w:vAlign w:val="bottom"/>
            <w:hideMark/>
          </w:tcPr>
          <w:p w14:paraId="0E3CA4AB" w14:textId="77777777" w:rsidR="0057131B" w:rsidRDefault="00355A1C">
            <w:pPr>
              <w:pStyle w:val="P68B1DB1-Normal91"/>
            </w:pPr>
            <w:r>
              <w:t>RoClear</w:t>
            </w:r>
          </w:p>
        </w:tc>
      </w:tr>
      <w:tr w:rsidR="0057131B" w14:paraId="16348C32" w14:textId="77777777">
        <w:trPr>
          <w:trHeight w:val="300"/>
        </w:trPr>
        <w:tc>
          <w:tcPr>
            <w:tcW w:w="9072" w:type="dxa"/>
            <w:tcBorders>
              <w:top w:val="nil"/>
              <w:left w:val="nil"/>
              <w:bottom w:val="nil"/>
              <w:right w:val="nil"/>
            </w:tcBorders>
            <w:noWrap/>
            <w:vAlign w:val="bottom"/>
            <w:hideMark/>
          </w:tcPr>
          <w:p w14:paraId="7791248F" w14:textId="77777777" w:rsidR="0057131B" w:rsidRDefault="00355A1C">
            <w:pPr>
              <w:pStyle w:val="P68B1DB1-Normal91"/>
            </w:pPr>
            <w:r>
              <w:t>RPS</w:t>
            </w:r>
          </w:p>
        </w:tc>
      </w:tr>
      <w:tr w:rsidR="0057131B" w14:paraId="201CD5B7" w14:textId="77777777">
        <w:trPr>
          <w:trHeight w:val="300"/>
        </w:trPr>
        <w:tc>
          <w:tcPr>
            <w:tcW w:w="9072" w:type="dxa"/>
            <w:tcBorders>
              <w:top w:val="nil"/>
              <w:left w:val="nil"/>
              <w:bottom w:val="nil"/>
              <w:right w:val="nil"/>
            </w:tcBorders>
            <w:noWrap/>
            <w:vAlign w:val="bottom"/>
            <w:hideMark/>
          </w:tcPr>
          <w:p w14:paraId="78F31295" w14:textId="77777777" w:rsidR="0057131B" w:rsidRDefault="00355A1C">
            <w:pPr>
              <w:pStyle w:val="P68B1DB1-Normal91"/>
            </w:pPr>
            <w:r>
              <w:t>RT1</w:t>
            </w:r>
          </w:p>
        </w:tc>
      </w:tr>
      <w:tr w:rsidR="0057131B" w14:paraId="5D6D4D2F" w14:textId="77777777">
        <w:trPr>
          <w:trHeight w:val="300"/>
        </w:trPr>
        <w:tc>
          <w:tcPr>
            <w:tcW w:w="9072" w:type="dxa"/>
            <w:tcBorders>
              <w:top w:val="nil"/>
              <w:left w:val="nil"/>
              <w:bottom w:val="nil"/>
              <w:right w:val="nil"/>
            </w:tcBorders>
            <w:noWrap/>
            <w:vAlign w:val="bottom"/>
            <w:hideMark/>
          </w:tcPr>
          <w:p w14:paraId="0D3FA36D" w14:textId="77777777" w:rsidR="0057131B" w:rsidRDefault="00355A1C">
            <w:pPr>
              <w:pStyle w:val="P68B1DB1-Normal91"/>
            </w:pPr>
            <w:r>
              <w:t>SAFIR</w:t>
            </w:r>
          </w:p>
        </w:tc>
      </w:tr>
      <w:tr w:rsidR="0057131B" w14:paraId="683945A8" w14:textId="77777777">
        <w:trPr>
          <w:trHeight w:val="300"/>
        </w:trPr>
        <w:tc>
          <w:tcPr>
            <w:tcW w:w="9072" w:type="dxa"/>
            <w:tcBorders>
              <w:top w:val="nil"/>
              <w:left w:val="nil"/>
              <w:bottom w:val="nil"/>
              <w:right w:val="nil"/>
            </w:tcBorders>
            <w:noWrap/>
            <w:vAlign w:val="bottom"/>
            <w:hideMark/>
          </w:tcPr>
          <w:p w14:paraId="4536F3F1" w14:textId="77777777" w:rsidR="0057131B" w:rsidRDefault="00355A1C">
            <w:pPr>
              <w:pStyle w:val="P68B1DB1-Normal91"/>
            </w:pPr>
            <w:r>
              <w:t>SKICKAD</w:t>
            </w:r>
          </w:p>
        </w:tc>
      </w:tr>
      <w:tr w:rsidR="0057131B" w14:paraId="37207CC9" w14:textId="77777777">
        <w:trPr>
          <w:trHeight w:val="300"/>
        </w:trPr>
        <w:tc>
          <w:tcPr>
            <w:tcW w:w="9072" w:type="dxa"/>
            <w:tcBorders>
              <w:top w:val="nil"/>
              <w:left w:val="nil"/>
              <w:bottom w:val="nil"/>
              <w:right w:val="nil"/>
            </w:tcBorders>
            <w:noWrap/>
            <w:vAlign w:val="bottom"/>
            <w:hideMark/>
          </w:tcPr>
          <w:p w14:paraId="78322774" w14:textId="77777777" w:rsidR="0057131B" w:rsidRDefault="00355A1C">
            <w:pPr>
              <w:pStyle w:val="P68B1DB1-Normal91"/>
            </w:pPr>
            <w:r>
              <w:t>SICOI</w:t>
            </w:r>
          </w:p>
        </w:tc>
      </w:tr>
      <w:tr w:rsidR="0057131B" w14:paraId="20A1D4E0" w14:textId="77777777">
        <w:trPr>
          <w:trHeight w:val="300"/>
        </w:trPr>
        <w:tc>
          <w:tcPr>
            <w:tcW w:w="9072" w:type="dxa"/>
            <w:tcBorders>
              <w:top w:val="nil"/>
              <w:left w:val="nil"/>
              <w:bottom w:val="nil"/>
              <w:right w:val="nil"/>
            </w:tcBorders>
            <w:noWrap/>
            <w:vAlign w:val="bottom"/>
            <w:hideMark/>
          </w:tcPr>
          <w:p w14:paraId="745FF75E" w14:textId="77777777" w:rsidR="0057131B" w:rsidRDefault="00355A1C">
            <w:pPr>
              <w:pStyle w:val="P68B1DB1-Normal91"/>
            </w:pPr>
            <w:r>
              <w:t>SIMP – PS</w:t>
            </w:r>
          </w:p>
        </w:tc>
      </w:tr>
      <w:tr w:rsidR="0057131B" w14:paraId="1F8A8F25" w14:textId="77777777">
        <w:trPr>
          <w:trHeight w:val="300"/>
        </w:trPr>
        <w:tc>
          <w:tcPr>
            <w:tcW w:w="9072" w:type="dxa"/>
            <w:tcBorders>
              <w:top w:val="nil"/>
              <w:left w:val="nil"/>
              <w:bottom w:val="nil"/>
              <w:right w:val="nil"/>
            </w:tcBorders>
            <w:noWrap/>
            <w:vAlign w:val="bottom"/>
            <w:hideMark/>
          </w:tcPr>
          <w:p w14:paraId="7B70556F" w14:textId="77777777" w:rsidR="0057131B" w:rsidRDefault="00355A1C">
            <w:pPr>
              <w:pStyle w:val="P68B1DB1-Normal91"/>
            </w:pPr>
            <w:r>
              <w:t>SIP SPlatobný systém</w:t>
            </w:r>
          </w:p>
        </w:tc>
      </w:tr>
      <w:tr w:rsidR="0057131B" w14:paraId="661159A9" w14:textId="77777777">
        <w:trPr>
          <w:trHeight w:val="300"/>
        </w:trPr>
        <w:tc>
          <w:tcPr>
            <w:tcW w:w="9072" w:type="dxa"/>
            <w:tcBorders>
              <w:top w:val="nil"/>
              <w:left w:val="nil"/>
              <w:bottom w:val="nil"/>
              <w:right w:val="nil"/>
            </w:tcBorders>
            <w:noWrap/>
            <w:vAlign w:val="bottom"/>
            <w:hideMark/>
          </w:tcPr>
          <w:p w14:paraId="21A22FD2" w14:textId="77777777" w:rsidR="0057131B" w:rsidRDefault="00355A1C">
            <w:pPr>
              <w:pStyle w:val="P68B1DB1-Normal91"/>
            </w:pPr>
            <w:r>
              <w:t>PIA</w:t>
            </w:r>
          </w:p>
        </w:tc>
      </w:tr>
      <w:tr w:rsidR="0057131B" w14:paraId="01B00784" w14:textId="77777777">
        <w:trPr>
          <w:trHeight w:val="300"/>
        </w:trPr>
        <w:tc>
          <w:tcPr>
            <w:tcW w:w="9072" w:type="dxa"/>
            <w:tcBorders>
              <w:top w:val="nil"/>
              <w:left w:val="nil"/>
              <w:bottom w:val="nil"/>
              <w:right w:val="nil"/>
            </w:tcBorders>
            <w:noWrap/>
            <w:vAlign w:val="bottom"/>
            <w:hideMark/>
          </w:tcPr>
          <w:p w14:paraId="42A9A872" w14:textId="77777777" w:rsidR="0057131B" w:rsidRDefault="00355A1C">
            <w:pPr>
              <w:pStyle w:val="P68B1DB1-Normal91"/>
            </w:pPr>
            <w:r>
              <w:t>Sex interbankclearing (SIC)/EuroSIC</w:t>
            </w:r>
          </w:p>
        </w:tc>
      </w:tr>
      <w:tr w:rsidR="0057131B" w14:paraId="4AB76E2F" w14:textId="77777777">
        <w:trPr>
          <w:trHeight w:val="300"/>
        </w:trPr>
        <w:tc>
          <w:tcPr>
            <w:tcW w:w="9072" w:type="dxa"/>
            <w:tcBorders>
              <w:top w:val="nil"/>
              <w:left w:val="nil"/>
              <w:bottom w:val="nil"/>
              <w:right w:val="nil"/>
            </w:tcBorders>
            <w:noWrap/>
            <w:vAlign w:val="bottom"/>
            <w:hideMark/>
          </w:tcPr>
          <w:p w14:paraId="591D0E38" w14:textId="77777777" w:rsidR="0057131B" w:rsidRDefault="00355A1C">
            <w:pPr>
              <w:pStyle w:val="P68B1DB1-Normal91"/>
            </w:pPr>
            <w:r>
              <w:t>SIX Swiss Exchange</w:t>
            </w:r>
          </w:p>
        </w:tc>
      </w:tr>
      <w:tr w:rsidR="0057131B" w14:paraId="0FE15923" w14:textId="77777777">
        <w:trPr>
          <w:trHeight w:val="300"/>
        </w:trPr>
        <w:tc>
          <w:tcPr>
            <w:tcW w:w="9072" w:type="dxa"/>
            <w:tcBorders>
              <w:top w:val="nil"/>
              <w:left w:val="nil"/>
              <w:bottom w:val="nil"/>
              <w:right w:val="nil"/>
            </w:tcBorders>
            <w:noWrap/>
            <w:vAlign w:val="bottom"/>
            <w:hideMark/>
          </w:tcPr>
          <w:p w14:paraId="7A0AEADF" w14:textId="77777777" w:rsidR="0057131B" w:rsidRDefault="00355A1C">
            <w:pPr>
              <w:pStyle w:val="P68B1DB1-Normal91"/>
            </w:pPr>
            <w:r>
              <w:t>Sex x-klara</w:t>
            </w:r>
          </w:p>
        </w:tc>
      </w:tr>
      <w:tr w:rsidR="0057131B" w14:paraId="58C9ED3B" w14:textId="77777777">
        <w:trPr>
          <w:trHeight w:val="300"/>
        </w:trPr>
        <w:tc>
          <w:tcPr>
            <w:tcW w:w="9072" w:type="dxa"/>
            <w:tcBorders>
              <w:top w:val="nil"/>
              <w:left w:val="nil"/>
              <w:bottom w:val="nil"/>
              <w:right w:val="nil"/>
            </w:tcBorders>
            <w:noWrap/>
            <w:vAlign w:val="bottom"/>
            <w:hideMark/>
          </w:tcPr>
          <w:p w14:paraId="53254B63" w14:textId="77777777" w:rsidR="0057131B" w:rsidRDefault="00355A1C">
            <w:pPr>
              <w:pStyle w:val="P68B1DB1-Normal91"/>
            </w:pPr>
            <w:r>
              <w:t>SKD (kortfristigt obligationssystem)</w:t>
            </w:r>
          </w:p>
        </w:tc>
      </w:tr>
      <w:tr w:rsidR="0057131B" w14:paraId="479A72E9" w14:textId="77777777">
        <w:trPr>
          <w:trHeight w:val="300"/>
        </w:trPr>
        <w:tc>
          <w:tcPr>
            <w:tcW w:w="9072" w:type="dxa"/>
            <w:tcBorders>
              <w:top w:val="nil"/>
              <w:left w:val="nil"/>
              <w:bottom w:val="nil"/>
              <w:right w:val="nil"/>
            </w:tcBorders>
            <w:noWrap/>
            <w:vAlign w:val="bottom"/>
            <w:hideMark/>
          </w:tcPr>
          <w:p w14:paraId="559EC939" w14:textId="77777777" w:rsidR="0057131B" w:rsidRDefault="00355A1C">
            <w:pPr>
              <w:pStyle w:val="P68B1DB1-Normal91"/>
            </w:pPr>
            <w:r>
              <w:t>SNCE (Sistema Nacional de Compensación Electrónica)</w:t>
            </w:r>
          </w:p>
        </w:tc>
      </w:tr>
      <w:tr w:rsidR="0057131B" w14:paraId="61D37C20" w14:textId="77777777">
        <w:trPr>
          <w:trHeight w:val="300"/>
        </w:trPr>
        <w:tc>
          <w:tcPr>
            <w:tcW w:w="9072" w:type="dxa"/>
            <w:tcBorders>
              <w:top w:val="nil"/>
              <w:left w:val="nil"/>
              <w:bottom w:val="nil"/>
              <w:right w:val="nil"/>
            </w:tcBorders>
            <w:noWrap/>
            <w:vAlign w:val="bottom"/>
            <w:hideMark/>
          </w:tcPr>
          <w:p w14:paraId="0B37415E" w14:textId="77777777" w:rsidR="0057131B" w:rsidRDefault="00355A1C">
            <w:pPr>
              <w:pStyle w:val="P68B1DB1-Normal91"/>
            </w:pPr>
            <w:r>
              <w:t>Société de la Bourse du Luxembourg SA</w:t>
            </w:r>
          </w:p>
        </w:tc>
      </w:tr>
      <w:tr w:rsidR="0057131B" w14:paraId="09E4F71F" w14:textId="77777777">
        <w:trPr>
          <w:trHeight w:val="300"/>
        </w:trPr>
        <w:tc>
          <w:tcPr>
            <w:tcW w:w="9072" w:type="dxa"/>
            <w:tcBorders>
              <w:top w:val="nil"/>
              <w:left w:val="nil"/>
              <w:bottom w:val="nil"/>
              <w:right w:val="nil"/>
            </w:tcBorders>
            <w:noWrap/>
            <w:vAlign w:val="bottom"/>
            <w:hideMark/>
          </w:tcPr>
          <w:p w14:paraId="094DD4AF" w14:textId="77777777" w:rsidR="0057131B" w:rsidRDefault="00355A1C">
            <w:pPr>
              <w:pStyle w:val="P68B1DB1-Normal91"/>
            </w:pPr>
            <w:r>
              <w:t>SORBNET2</w:t>
            </w:r>
          </w:p>
        </w:tc>
      </w:tr>
      <w:tr w:rsidR="0057131B" w14:paraId="1E86EA3A" w14:textId="77777777">
        <w:trPr>
          <w:trHeight w:val="300"/>
        </w:trPr>
        <w:tc>
          <w:tcPr>
            <w:tcW w:w="9072" w:type="dxa"/>
            <w:tcBorders>
              <w:top w:val="nil"/>
              <w:left w:val="nil"/>
              <w:bottom w:val="nil"/>
              <w:right w:val="nil"/>
            </w:tcBorders>
            <w:noWrap/>
            <w:vAlign w:val="bottom"/>
            <w:hideMark/>
          </w:tcPr>
          <w:p w14:paraId="2FE926EC" w14:textId="77777777" w:rsidR="0057131B" w:rsidRDefault="00355A1C">
            <w:pPr>
              <w:pStyle w:val="P68B1DB1-Normal91"/>
            </w:pPr>
            <w:r>
              <w:t>STEG 1</w:t>
            </w:r>
          </w:p>
        </w:tc>
      </w:tr>
      <w:tr w:rsidR="0057131B" w14:paraId="4A3D7A33" w14:textId="77777777">
        <w:trPr>
          <w:trHeight w:val="300"/>
        </w:trPr>
        <w:tc>
          <w:tcPr>
            <w:tcW w:w="9072" w:type="dxa"/>
            <w:tcBorders>
              <w:top w:val="nil"/>
              <w:left w:val="nil"/>
              <w:bottom w:val="nil"/>
              <w:right w:val="nil"/>
            </w:tcBorders>
            <w:noWrap/>
            <w:vAlign w:val="bottom"/>
            <w:hideMark/>
          </w:tcPr>
          <w:p w14:paraId="38D47947" w14:textId="77777777" w:rsidR="0057131B" w:rsidRDefault="00355A1C">
            <w:pPr>
              <w:pStyle w:val="P68B1DB1-Normal91"/>
            </w:pPr>
            <w:r>
              <w:t>STEG 2</w:t>
            </w:r>
          </w:p>
        </w:tc>
      </w:tr>
      <w:tr w:rsidR="0057131B" w14:paraId="305AEF07" w14:textId="77777777">
        <w:trPr>
          <w:trHeight w:val="300"/>
        </w:trPr>
        <w:tc>
          <w:tcPr>
            <w:tcW w:w="9072" w:type="dxa"/>
            <w:tcBorders>
              <w:top w:val="nil"/>
              <w:left w:val="nil"/>
              <w:bottom w:val="nil"/>
              <w:right w:val="nil"/>
            </w:tcBorders>
            <w:noWrap/>
            <w:vAlign w:val="bottom"/>
            <w:hideMark/>
          </w:tcPr>
          <w:p w14:paraId="3385D576" w14:textId="77777777" w:rsidR="0057131B" w:rsidRDefault="00355A1C">
            <w:pPr>
              <w:pStyle w:val="P68B1DB1-Normal91"/>
            </w:pPr>
            <w:r>
              <w:t>STET/KÄRNA</w:t>
            </w:r>
          </w:p>
        </w:tc>
      </w:tr>
      <w:tr w:rsidR="0057131B" w14:paraId="68530B39" w14:textId="77777777">
        <w:trPr>
          <w:trHeight w:val="300"/>
        </w:trPr>
        <w:tc>
          <w:tcPr>
            <w:tcW w:w="9072" w:type="dxa"/>
            <w:tcBorders>
              <w:top w:val="nil"/>
              <w:left w:val="nil"/>
              <w:bottom w:val="nil"/>
              <w:right w:val="nil"/>
            </w:tcBorders>
            <w:noWrap/>
            <w:vAlign w:val="bottom"/>
            <w:hideMark/>
          </w:tcPr>
          <w:p w14:paraId="2B90AD3F" w14:textId="77777777" w:rsidR="0057131B" w:rsidRDefault="00355A1C">
            <w:pPr>
              <w:pStyle w:val="P68B1DB1-Normal91"/>
            </w:pPr>
            <w:r>
              <w:t>Straksclearingen</w:t>
            </w:r>
          </w:p>
        </w:tc>
      </w:tr>
      <w:tr w:rsidR="0057131B" w14:paraId="0E50A9AB" w14:textId="77777777">
        <w:trPr>
          <w:trHeight w:val="300"/>
        </w:trPr>
        <w:tc>
          <w:tcPr>
            <w:tcW w:w="9072" w:type="dxa"/>
            <w:tcBorders>
              <w:top w:val="nil"/>
              <w:left w:val="nil"/>
              <w:bottom w:val="nil"/>
              <w:right w:val="nil"/>
            </w:tcBorders>
            <w:noWrap/>
            <w:vAlign w:val="bottom"/>
            <w:hideMark/>
          </w:tcPr>
          <w:p w14:paraId="54E27288" w14:textId="77777777" w:rsidR="0057131B" w:rsidRDefault="00355A1C">
            <w:pPr>
              <w:pStyle w:val="P68B1DB1-Normal91"/>
            </w:pPr>
            <w:r>
              <w:t>Sumclearingen</w:t>
            </w:r>
          </w:p>
        </w:tc>
      </w:tr>
      <w:tr w:rsidR="0057131B" w14:paraId="0C6135E4" w14:textId="77777777">
        <w:trPr>
          <w:trHeight w:val="300"/>
        </w:trPr>
        <w:tc>
          <w:tcPr>
            <w:tcW w:w="9072" w:type="dxa"/>
            <w:tcBorders>
              <w:top w:val="nil"/>
              <w:left w:val="nil"/>
              <w:bottom w:val="nil"/>
              <w:right w:val="nil"/>
            </w:tcBorders>
            <w:noWrap/>
            <w:vAlign w:val="bottom"/>
            <w:hideMark/>
          </w:tcPr>
          <w:p w14:paraId="4789CBEE" w14:textId="77777777" w:rsidR="0057131B" w:rsidRDefault="00355A1C">
            <w:pPr>
              <w:pStyle w:val="P68B1DB1-Normal91"/>
            </w:pPr>
            <w:r>
              <w:t>T2S (SSS – endast för direkt konnektivitet)</w:t>
            </w:r>
          </w:p>
        </w:tc>
      </w:tr>
      <w:tr w:rsidR="0057131B" w14:paraId="791932E6" w14:textId="77777777">
        <w:trPr>
          <w:trHeight w:val="300"/>
        </w:trPr>
        <w:tc>
          <w:tcPr>
            <w:tcW w:w="9072" w:type="dxa"/>
            <w:tcBorders>
              <w:top w:val="nil"/>
              <w:left w:val="nil"/>
              <w:bottom w:val="nil"/>
              <w:right w:val="nil"/>
            </w:tcBorders>
            <w:noWrap/>
            <w:vAlign w:val="bottom"/>
            <w:hideMark/>
          </w:tcPr>
          <w:p w14:paraId="085D29CC" w14:textId="77777777" w:rsidR="0057131B" w:rsidRDefault="00355A1C">
            <w:pPr>
              <w:pStyle w:val="P68B1DB1-Normal91"/>
            </w:pPr>
            <w:r>
              <w:t>TARGET2</w:t>
            </w:r>
          </w:p>
        </w:tc>
      </w:tr>
      <w:tr w:rsidR="0057131B" w14:paraId="0379A497" w14:textId="77777777">
        <w:trPr>
          <w:trHeight w:val="300"/>
        </w:trPr>
        <w:tc>
          <w:tcPr>
            <w:tcW w:w="9072" w:type="dxa"/>
            <w:tcBorders>
              <w:top w:val="nil"/>
              <w:left w:val="nil"/>
              <w:bottom w:val="nil"/>
              <w:right w:val="nil"/>
            </w:tcBorders>
            <w:noWrap/>
            <w:vAlign w:val="bottom"/>
            <w:hideMark/>
          </w:tcPr>
          <w:p w14:paraId="56C29FCF" w14:textId="77777777" w:rsidR="0057131B" w:rsidRDefault="00355A1C">
            <w:pPr>
              <w:pStyle w:val="P68B1DB1-Normal91"/>
            </w:pPr>
            <w:r>
              <w:t>TIPS (TIPS)</w:t>
            </w:r>
          </w:p>
        </w:tc>
      </w:tr>
      <w:tr w:rsidR="0057131B" w14:paraId="19C63903" w14:textId="77777777">
        <w:trPr>
          <w:trHeight w:val="300"/>
        </w:trPr>
        <w:tc>
          <w:tcPr>
            <w:tcW w:w="9072" w:type="dxa"/>
            <w:tcBorders>
              <w:top w:val="nil"/>
              <w:left w:val="nil"/>
              <w:bottom w:val="nil"/>
              <w:right w:val="nil"/>
            </w:tcBorders>
            <w:noWrap/>
            <w:vAlign w:val="bottom"/>
            <w:hideMark/>
          </w:tcPr>
          <w:p w14:paraId="6CABE6E8" w14:textId="77777777" w:rsidR="0057131B" w:rsidRDefault="00355A1C">
            <w:pPr>
              <w:pStyle w:val="P68B1DB1-Normal91"/>
            </w:pPr>
            <w:r>
              <w:t>UnaVista Limited</w:t>
            </w:r>
          </w:p>
        </w:tc>
      </w:tr>
      <w:tr w:rsidR="0057131B" w14:paraId="7E731946" w14:textId="77777777">
        <w:trPr>
          <w:trHeight w:val="300"/>
        </w:trPr>
        <w:tc>
          <w:tcPr>
            <w:tcW w:w="9072" w:type="dxa"/>
            <w:tcBorders>
              <w:top w:val="nil"/>
              <w:left w:val="nil"/>
              <w:bottom w:val="nil"/>
              <w:right w:val="nil"/>
            </w:tcBorders>
            <w:noWrap/>
            <w:vAlign w:val="bottom"/>
            <w:hideMark/>
          </w:tcPr>
          <w:p w14:paraId="6485DCC3" w14:textId="77777777" w:rsidR="0057131B" w:rsidRDefault="00355A1C">
            <w:pPr>
              <w:pStyle w:val="P68B1DB1-Normal91"/>
            </w:pPr>
            <w:r>
              <w:t>Verdipapirsentralen (VPS)</w:t>
            </w:r>
          </w:p>
        </w:tc>
      </w:tr>
      <w:tr w:rsidR="0057131B" w14:paraId="599BD0C0" w14:textId="77777777">
        <w:trPr>
          <w:trHeight w:val="300"/>
        </w:trPr>
        <w:tc>
          <w:tcPr>
            <w:tcW w:w="9072" w:type="dxa"/>
            <w:tcBorders>
              <w:top w:val="nil"/>
              <w:left w:val="nil"/>
              <w:bottom w:val="nil"/>
              <w:right w:val="nil"/>
            </w:tcBorders>
            <w:noWrap/>
            <w:vAlign w:val="bottom"/>
            <w:hideMark/>
          </w:tcPr>
          <w:p w14:paraId="209D9CF9" w14:textId="77777777" w:rsidR="0057131B" w:rsidRDefault="00355A1C">
            <w:pPr>
              <w:pStyle w:val="P68B1DB1-Normal91"/>
            </w:pPr>
            <w:r>
              <w:t>VIBER</w:t>
            </w:r>
          </w:p>
        </w:tc>
      </w:tr>
      <w:tr w:rsidR="0057131B" w14:paraId="3CBF4EA3" w14:textId="77777777">
        <w:trPr>
          <w:trHeight w:val="300"/>
        </w:trPr>
        <w:tc>
          <w:tcPr>
            <w:tcW w:w="9072" w:type="dxa"/>
            <w:tcBorders>
              <w:top w:val="nil"/>
              <w:left w:val="nil"/>
              <w:bottom w:val="nil"/>
              <w:right w:val="nil"/>
            </w:tcBorders>
            <w:noWrap/>
            <w:vAlign w:val="bottom"/>
            <w:hideMark/>
          </w:tcPr>
          <w:p w14:paraId="49A43CDA" w14:textId="77777777" w:rsidR="0057131B" w:rsidRDefault="00355A1C">
            <w:pPr>
              <w:pStyle w:val="P68B1DB1-Normal91"/>
            </w:pPr>
            <w:r>
              <w:t>Vice ordförande Lux</w:t>
            </w:r>
          </w:p>
        </w:tc>
      </w:tr>
      <w:tr w:rsidR="0057131B" w14:paraId="20C89571" w14:textId="77777777">
        <w:trPr>
          <w:trHeight w:val="300"/>
        </w:trPr>
        <w:tc>
          <w:tcPr>
            <w:tcW w:w="9072" w:type="dxa"/>
            <w:tcBorders>
              <w:top w:val="nil"/>
              <w:left w:val="nil"/>
              <w:bottom w:val="nil"/>
              <w:right w:val="nil"/>
            </w:tcBorders>
            <w:noWrap/>
            <w:vAlign w:val="bottom"/>
            <w:hideMark/>
          </w:tcPr>
          <w:p w14:paraId="12389C15" w14:textId="77777777" w:rsidR="0057131B" w:rsidRDefault="00355A1C">
            <w:pPr>
              <w:pStyle w:val="P68B1DB1-Normal91"/>
            </w:pPr>
            <w:r>
              <w:t>VP Värdepapper A/S</w:t>
            </w:r>
          </w:p>
        </w:tc>
      </w:tr>
    </w:tbl>
    <w:p w14:paraId="1E4D7216" w14:textId="77777777" w:rsidR="0057131B" w:rsidRDefault="0057131B">
      <w:pPr>
        <w:pStyle w:val="body"/>
        <w:rPr>
          <w:rFonts w:ascii="Times New Roman" w:hAnsi="Times New Roman" w:cs="Times New Roman"/>
          <w:sz w:val="20"/>
          <w:szCs w:val="20"/>
        </w:rPr>
      </w:pPr>
    </w:p>
    <w:sectPr w:rsidR="0057131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57131B" w:rsidRDefault="00355A1C">
      <w:r>
        <w:separator/>
      </w:r>
    </w:p>
  </w:endnote>
  <w:endnote w:type="continuationSeparator" w:id="0">
    <w:p w14:paraId="6597FB1C" w14:textId="77777777" w:rsidR="0057131B" w:rsidRDefault="00355A1C">
      <w:r>
        <w:continuationSeparator/>
      </w:r>
    </w:p>
  </w:endnote>
  <w:endnote w:type="continuationNotice" w:id="1">
    <w:p w14:paraId="3A49FE7B" w14:textId="77777777" w:rsidR="0057131B" w:rsidRDefault="00571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FA0" w14:textId="77777777" w:rsidR="00A628C6" w:rsidRDefault="00A62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57131B" w:rsidRDefault="00355A1C">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57131B" w:rsidRDefault="00571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57131B" w:rsidRDefault="00355A1C">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xtruta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57131B" w:rsidRDefault="00355A1C">
                          <w:pPr>
                            <w:pStyle w:val="P68B1DB1-Normal92"/>
                            <w:rPr>
                              <w:bCs/>
                            </w:rPr>
                          </w:pPr>
                          <w:r>
                            <w:t xml:space="preserve">Dessa </w:t>
                          </w:r>
                          <w:r>
                            <w:t>instruktioner var ursprungligen skrivna på engelska. Översättningen till EU:s övriga officiella språk sker via eTranslation – EU-kommissionens maskinöversättningstjänst efter bästa förmåga.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xtruta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" fillcolor="white [3201]" strokeweight=".5pt">
              <v:textbox>
                <w:txbxContent>
                  <w:p w14:paraId="59008DEE" w14:textId="3CBD8109" w:rsidR="0057131B" w:rsidRDefault="00355A1C">
                    <w:pPr>
                      <w:pStyle w:val="P68B1DB1-Normal92"/>
                      <w:rPr>
                        <w:bCs/>
                      </w:rPr>
                    </w:pPr>
                    <w:r>
                      <w:t>Dessa instruktioner var ursprungligen skrivna på engelska. Översättningen till EU:s övriga officiella språk sker via eTranslation – EU-kommissionens maskinöversättningstjänst efter bästa förmåga.</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57131B" w:rsidRDefault="00355A1C">
      <w:r>
        <w:separator/>
      </w:r>
    </w:p>
  </w:footnote>
  <w:footnote w:type="continuationSeparator" w:id="0">
    <w:p w14:paraId="1BFD6958" w14:textId="77777777" w:rsidR="0057131B" w:rsidRDefault="00355A1C">
      <w:r>
        <w:continuationSeparator/>
      </w:r>
    </w:p>
  </w:footnote>
  <w:footnote w:type="continuationNotice" w:id="1">
    <w:p w14:paraId="34EA159C" w14:textId="77777777" w:rsidR="0057131B" w:rsidRDefault="0057131B"/>
  </w:footnote>
  <w:footnote w:id="2">
    <w:p w14:paraId="0A3F5404" w14:textId="77777777" w:rsidR="0057131B" w:rsidRDefault="00355A1C">
      <w:pPr>
        <w:pStyle w:val="FootnoteText"/>
      </w:pPr>
      <w:r>
        <w:rPr>
          <w:rStyle w:val="FootnoteReference"/>
        </w:rPr>
        <w:footnoteRef/>
      </w:r>
      <w:r>
        <w:t xml:space="preserve"> KOMMISSIONENS GENOMFÖRANDEFÖRORDNING (EU) 2024/3117 av den 29 november 2024 om tekniska genomförandestandarder för tillämpningen av Europaparlamentets och rådets förordning (EU) nr 575/2013 vad gäller instituts tillsynsrapportering och om upphävande av kommissionens genomförandeförordning (EU) 2021/451 (</w:t>
      </w:r>
      <w:r>
        <w:rPr>
          <w:i/>
        </w:rPr>
        <w:t>EUT L, 2024/3117, 27.12.2024, ELI: </w:t>
      </w:r>
      <w:hyperlink r:id="rId1" w:tgtFrame="_blank" w:tooltip="Gives access to this document through its ELI URI." w:history="1">
        <w:r>
          <w:rPr>
            <w:rStyle w:val="Hyperlink"/>
            <w:i/>
          </w:rPr>
          <w:t>http://data.europa.eu/eli/reg_impl/2024/3117/oj?locale=sv</w:t>
        </w:r>
      </w:hyperlink>
      <w:r>
        <w:t>).</w:t>
      </w:r>
    </w:p>
  </w:footnote>
  <w:footnote w:id="3">
    <w:p w14:paraId="7FE1D258" w14:textId="77777777" w:rsidR="0057131B" w:rsidRDefault="00355A1C">
      <w:pPr>
        <w:pStyle w:val="FootnoteText"/>
      </w:pPr>
      <w:r>
        <w:rPr>
          <w:rStyle w:val="FootnoteReference"/>
          <w:rFonts w:ascii="Times New Roman" w:hAnsi="Times New Roman"/>
        </w:rPr>
        <w:footnoteRef/>
      </w:r>
      <w:r>
        <w:t xml:space="preserve"> Europaparlamentets och rådets förordning (EG) nr 1606/2002 av den 19 juli 2002 om tillämpning av internationella redovisningsstandarder (EGT L 243, 11.9.2002, s. 1).</w:t>
      </w:r>
    </w:p>
  </w:footnote>
  <w:footnote w:id="4">
    <w:p w14:paraId="7FE1D259" w14:textId="77777777" w:rsidR="0057131B" w:rsidRDefault="00355A1C">
      <w:pPr>
        <w:pStyle w:val="FootnoteText"/>
      </w:pPr>
      <w:r>
        <w:rPr>
          <w:rStyle w:val="FootnoteReference"/>
          <w:rFonts w:ascii="Times New Roman" w:hAnsi="Times New Roman"/>
        </w:rPr>
        <w:footnoteRef/>
      </w:r>
      <w:r>
        <w:t xml:space="preserve"> Europaparlamentets och rådets förordning (EG) nr 1606/2002 av den 19 juli 2002 om tillämpning av internationella redovisningsstandarder (EGT L 243, 11.9.2002, s. 1).</w:t>
      </w:r>
    </w:p>
  </w:footnote>
  <w:footnote w:id="5">
    <w:p w14:paraId="7FE1D25A" w14:textId="77777777" w:rsidR="0057131B" w:rsidRDefault="00355A1C">
      <w:pPr>
        <w:pStyle w:val="FootnoteText"/>
      </w:pPr>
      <w:r>
        <w:rPr>
          <w:rStyle w:val="FootnoteReference"/>
          <w:rFonts w:ascii="Times New Roman" w:hAnsi="Times New Roman"/>
        </w:rPr>
        <w:footnoteRef/>
      </w:r>
      <w:r>
        <w:t xml:space="preserve"> Rådets direktiv 86/635/EEG av den 8 december 1986 om årsbokslut och sammanställd redovisning för banker och andra finansiella institut (EGT L 372, 31.12.1986, s. 1).</w:t>
      </w:r>
    </w:p>
  </w:footnote>
  <w:footnote w:id="6">
    <w:p w14:paraId="48AB2086" w14:textId="3BC9E384" w:rsidR="00B344D8" w:rsidRPr="00121970" w:rsidRDefault="00B344D8">
      <w:pPr>
        <w:pStyle w:val="FootnoteText"/>
      </w:pPr>
      <w:r>
        <w:rPr>
          <w:rStyle w:val="FootnoteReference"/>
        </w:rPr>
        <w:footnoteRef/>
      </w:r>
      <w:r>
        <w:t xml:space="preserve"> </w:t>
      </w:r>
      <w:r>
        <w:t>Europaparlamentets och rådets förordning (EU) nr 575/2013 av den 26 juni 2013 om tillsynskrav för kreditinstitut och värdepappersföretag och om ändring av förordning (EU) nr 648/2012 (EUT L 176, 27.6.2013, s. 1).</w:t>
      </w:r>
    </w:p>
  </w:footnote>
  <w:footnote w:id="7">
    <w:p w14:paraId="7FE1D25C" w14:textId="77777777" w:rsidR="0057131B" w:rsidRDefault="00355A1C">
      <w:pPr>
        <w:pStyle w:val="FootnoteText"/>
      </w:pPr>
      <w:r>
        <w:rPr>
          <w:rStyle w:val="FootnoteReference"/>
        </w:rPr>
        <w:footnoteRef/>
      </w:r>
      <w:r>
        <w:t xml:space="preserve"> Europaparlamentets och rådets direktiv 2013/36/EU av den 26 juni 2013 om behörighet att utöva verksamhet i kreditinstitut och om tillsyn av kreditinstitut och värdepappersföretag, om ändring av direktiv 2002/87/EG och om upphävande av direktiv 2006/48/EG och 2006/49/EG (EUT L 176, 27.6.2013, s. 338).</w:t>
      </w:r>
    </w:p>
  </w:footnote>
  <w:footnote w:id="8">
    <w:p w14:paraId="7FE1D25D" w14:textId="77777777" w:rsidR="0057131B" w:rsidRDefault="00355A1C">
      <w:pPr>
        <w:pStyle w:val="FootnoteText"/>
      </w:pPr>
      <w:r>
        <w:rPr>
          <w:rStyle w:val="FootnoteReference"/>
        </w:rPr>
        <w:footnoteRef/>
      </w:r>
      <w:r>
        <w:t xml:space="preserve"> Europaparlamentets och rådets förordning (EU) 2019/2033 av den 27 november 2019 om tillsynskrav för värdepappersföretag och om ändring av förordningarna (EU) nr 1093/2010, (EU) nr 575/2013, (EU) nr 600/2014 och (EU) nr 806/2014 (EUT L 314, 5.12.2019, s. 1).</w:t>
      </w:r>
    </w:p>
  </w:footnote>
  <w:footnote w:id="9">
    <w:p w14:paraId="7FE1D25E" w14:textId="77777777" w:rsidR="0057131B" w:rsidRDefault="00355A1C">
      <w:pPr>
        <w:pStyle w:val="FootnoteText"/>
      </w:pPr>
      <w:r>
        <w:rPr>
          <w:rStyle w:val="FootnoteReference"/>
        </w:rPr>
        <w:footnoteRef/>
      </w:r>
      <w:r>
        <w:t xml:space="preserve"> Europaparlamentets och rådets direktiv (EU) 2019/2034 av den 27 november 2019 om tillsyn av värdepappersföretag och om ändring av direktiven 2002/87/EG, 2009/65/EG, 2011/61/EU, 2013/36/EU, 2014/59/EU och 2014/65/EU (EUT L 314, 5.12.2019, s. 64)</w:t>
      </w:r>
    </w:p>
  </w:footnote>
  <w:footnote w:id="10">
    <w:p w14:paraId="7FE1D25F" w14:textId="77777777" w:rsidR="0057131B" w:rsidRDefault="00355A1C">
      <w:pPr>
        <w:pStyle w:val="FootnoteText"/>
      </w:pPr>
      <w:r>
        <w:rPr>
          <w:rStyle w:val="FootnoteReference"/>
          <w:rFonts w:ascii="Times New Roman" w:hAnsi="Times New Roman"/>
        </w:rPr>
        <w:footnoteRef/>
      </w:r>
      <w:r>
        <w:t xml:space="preserve"> Europaparlamentets och rådets direktiv 2009/138/EG av den 25 november 2009 om upptagande och utövande av försäkrings- och återförsäkringsverksamhet (Solvens II) (EUT L 335, 17.12.2009, s. 1).</w:t>
      </w:r>
    </w:p>
  </w:footnote>
  <w:footnote w:id="11">
    <w:p w14:paraId="7FE1D260" w14:textId="2ADC4F18" w:rsidR="0057131B" w:rsidRDefault="00355A1C">
      <w:pPr>
        <w:pStyle w:val="FootnoteText"/>
      </w:pPr>
      <w:r>
        <w:rPr>
          <w:rStyle w:val="FootnoteReference"/>
          <w:rFonts w:ascii="Times New Roman" w:hAnsi="Times New Roman"/>
        </w:rPr>
        <w:footnoteRef/>
      </w:r>
      <w:r>
        <w:t xml:space="preserve"> Europeiska centralbankens förordning (EU) 2021/379 om de monetära finansinstitutetens balansräkningar (EUT L 297, 7.11.2013, s. 1)</w:t>
      </w:r>
    </w:p>
  </w:footnote>
  <w:footnote w:id="12">
    <w:p w14:paraId="7FE1D261" w14:textId="77777777" w:rsidR="0057131B" w:rsidRDefault="00355A1C">
      <w:pPr>
        <w:pStyle w:val="FootnoteText"/>
      </w:pPr>
      <w:r>
        <w:rPr>
          <w:rStyle w:val="FootnoteReference"/>
          <w:rFonts w:ascii="Times New Roman" w:hAnsi="Times New Roman"/>
        </w:rPr>
        <w:footnoteRef/>
      </w:r>
      <w:r>
        <w:t xml:space="preserve"> Kommissionens rekommendation av den 6 maj 2003 om definitionen av mikroföretag samt små och medelstora företag (delgivet med nr K(2003) 1422) (EUT L 124, 20.5.2003, s. 36).</w:t>
      </w:r>
    </w:p>
  </w:footnote>
  <w:footnote w:id="13">
    <w:p w14:paraId="74BC1C09" w14:textId="2C5E1052" w:rsidR="0057131B" w:rsidRDefault="00355A1C">
      <w:pPr>
        <w:pStyle w:val="FootnoteText"/>
      </w:pPr>
      <w:r>
        <w:rPr>
          <w:rStyle w:val="FootnoteReference"/>
        </w:rPr>
        <w:footnoteRef/>
      </w:r>
      <w:r>
        <w:t xml:space="preserve"> Europaparlamentets och rådets direktiv 2014/65/EU av den 15 maj 2014 om marknader för finansiella instrument ( </w:t>
      </w:r>
      <w:r>
        <w:rPr>
          <w:rFonts w:hint="eastAsia"/>
        </w:rPr>
        <w:t>EUT L 173, 12.6.2014, s. 349)</w:t>
      </w:r>
      <w:r>
        <w:t>.</w:t>
      </w:r>
    </w:p>
  </w:footnote>
  <w:footnote w:id="14">
    <w:p w14:paraId="7FE1D263" w14:textId="77777777" w:rsidR="0057131B" w:rsidRDefault="00355A1C">
      <w:pPr>
        <w:pStyle w:val="FootnoteText"/>
      </w:pPr>
      <w:r>
        <w:rPr>
          <w:rStyle w:val="FootnoteReference"/>
        </w:rPr>
        <w:footnoteRef/>
      </w:r>
      <w:r>
        <w:t xml:space="preserve"> Europaparlamentets och rådets direktiv 2014/59/EU av den 15 maj 2014 om inrättande av en ram för återhämtning och resolution av kreditinstitut och värdepappersföretag och om ändring av rådets direktiv 82/891/EEG och Europaparlamentets och rådets direktiv 2001/24/EG, 2002/47/EG, 2004/25/EG, 2005/56/EG, 2007/36/EG, 2011/35/EU, 2012/30/EU och 2013/36/EU samt Europaparlamentets och rådets förordningar (EU) nr 1093/2010 och (EU) nr 648/2012 (EUT L 173, 12.6.2014, s. 190).</w:t>
      </w:r>
    </w:p>
  </w:footnote>
  <w:footnote w:id="15">
    <w:p w14:paraId="7FE1D264" w14:textId="77777777" w:rsidR="0057131B" w:rsidRDefault="00355A1C">
      <w:pPr>
        <w:pStyle w:val="FootnoteText"/>
      </w:pPr>
      <w:r>
        <w:rPr>
          <w:rStyle w:val="FootnoteReference"/>
        </w:rPr>
        <w:footnoteRef/>
      </w:r>
      <w:r>
        <w:t xml:space="preserve"> Europaparlamentets och rådets direktiv 2014/49/EU av den 16 april 2014 om insättningsgarantisystem (EUT L 173, 12.6.2014, s. 149).</w:t>
      </w:r>
    </w:p>
  </w:footnote>
  <w:footnote w:id="16">
    <w:p w14:paraId="7FE1D267" w14:textId="77777777" w:rsidR="0057131B" w:rsidRDefault="00355A1C">
      <w:pPr>
        <w:pStyle w:val="FootnoteText"/>
      </w:pPr>
      <w:r>
        <w:rPr>
          <w:rStyle w:val="FootnoteReference"/>
        </w:rPr>
        <w:footnoteRef/>
      </w:r>
      <w:r>
        <w:t xml:space="preserve"> Kommissionens delegerade förordning (EU) 2016/1401 av den 23 maj 2016 om komplettering av Europaparlamentets och rådets direktiv 2014/59/EU om inrättande av en ram för återhämtning och resolution av kreditinstitut och värdepappersföretag med avseende på tekniska tillsynsstandarder för metoder och principer för värdering av skulder som hänför sig till derivat (EUT L, L 228, 23.8.2016, s. 7).</w:t>
      </w:r>
    </w:p>
  </w:footnote>
  <w:footnote w:id="17">
    <w:p w14:paraId="7FE1D268" w14:textId="77777777" w:rsidR="0057131B" w:rsidRDefault="00355A1C">
      <w:pPr>
        <w:pStyle w:val="FootnoteText"/>
      </w:pPr>
      <w:r>
        <w:rPr>
          <w:rStyle w:val="FootnoteReference"/>
        </w:rPr>
        <w:footnoteRef/>
      </w:r>
      <w:r>
        <w:t xml:space="preserve"> Nivån på den kapitalkonserveringsbuffert som anges i artikel 129 i direktiv 2013/36/EU,</w:t>
      </w:r>
    </w:p>
  </w:footnote>
  <w:footnote w:id="18">
    <w:p w14:paraId="7FE1D269" w14:textId="77777777" w:rsidR="0057131B" w:rsidRDefault="00355A1C">
      <w:pPr>
        <w:pStyle w:val="FootnoteText"/>
      </w:pPr>
      <w:r>
        <w:rPr>
          <w:rStyle w:val="FootnoteReference"/>
        </w:rPr>
        <w:footnoteRef/>
      </w:r>
      <w:r>
        <w:t xml:space="preserve"> Kommissionens delegerade förordning (EU) 2016/778 av den 2 februari 2016 om komplettering av Europaparlamentets och rådets direktiv 2014/59/EU vad gäller de omständigheter och villkor under vilka betalning av extraordinära efterhandsbidrag får skjutas upp helt eller delvis, och om kriterierna för fastställande av aktiviteter, tjänster och transaktioner avseende kritiska funktioner och för fastställande av affärsområden och kringtjänster avseende kärnaffärsområden (EUT L 131, 20.5.2016, s. 41).</w:t>
      </w:r>
    </w:p>
  </w:footnote>
  <w:footnote w:id="19">
    <w:p w14:paraId="7FE1D26D" w14:textId="77777777" w:rsidR="0057131B" w:rsidRDefault="00355A1C">
      <w:pPr>
        <w:pStyle w:val="FootnoteText"/>
      </w:pPr>
      <w:r>
        <w:rPr>
          <w:rStyle w:val="FootnoteReference"/>
        </w:rPr>
        <w:footnoteRef/>
      </w:r>
      <w:r>
        <w:t xml:space="preserve"> 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footnote>
  <w:footnote w:id="20">
    <w:p w14:paraId="7FE1D26E" w14:textId="77777777" w:rsidR="0057131B" w:rsidRDefault="00355A1C">
      <w:pPr>
        <w:pStyle w:val="FootnoteText"/>
      </w:pPr>
      <w:r>
        <w:rPr>
          <w:rStyle w:val="FootnoteReference"/>
        </w:rPr>
        <w:footnoteRef/>
      </w:r>
      <w:r>
        <w:t xml:space="preserve"> Europaparlamentets och rådets förordning (EU) nr 648/2012 av den 4 juli 2012 om OTC-derivat, centrala motparter och transaktionsregister (EUT L 201, 27.7.2012, s. 1).</w:t>
      </w:r>
    </w:p>
  </w:footnote>
  <w:footnote w:id="21">
    <w:p w14:paraId="4F37B111" w14:textId="77777777" w:rsidR="0057131B" w:rsidRDefault="00355A1C">
      <w:pPr>
        <w:pStyle w:val="FootnoteText"/>
      </w:pPr>
      <w:r>
        <w:rPr>
          <w:rStyle w:val="FootnoteReference"/>
        </w:rPr>
        <w:footnoteRef/>
      </w:r>
      <w:r>
        <w:t xml:space="preserve"> Enligt artikel 1.2 i Europeiska centralbankens riktlinje (EU) 2021/835 av den 26 mars 2021 om upphävande av riktlinje ECB/2014/15 om monetär och finansiell statistik (ECB/2021/16) ska hänvisningar till den upphävda riktlinjen anses som hänvisningar till riktlinje (EU) 2021/830 (ECB/2021/11), riktlinje (EU) 2021/831 (ECB/2021/12), riktlinje (EU) 2021/833 (ECB/2021/14), riktlinje (EU) 2021/832 (ECB/2021/13) och riktlinje (EU) 2021/834 (ECB/2021/15) beroende på vad som är tillämpligt och i enlighet med jämförelsetabellerna i bilagorna II-VI.</w:t>
      </w:r>
    </w:p>
    <w:p w14:paraId="2690BEDB" w14:textId="77777777" w:rsidR="0057131B" w:rsidRDefault="0057131B">
      <w:pPr>
        <w:pStyle w:val="FootnoteText"/>
      </w:pPr>
    </w:p>
  </w:footnote>
  <w:footnote w:id="22">
    <w:p w14:paraId="7FE1D272" w14:textId="77777777" w:rsidR="0057131B" w:rsidRDefault="00355A1C">
      <w:pPr>
        <w:pStyle w:val="FootnoteText"/>
      </w:pPr>
      <w:r>
        <w:footnoteRef/>
      </w:r>
      <w:r>
        <w:t xml:space="preserve"> Enligt definitionen i punkt 13 i EBA:s riktlinjer för tvistlösning.</w:t>
      </w:r>
    </w:p>
  </w:footnote>
  <w:footnote w:id="23">
    <w:p w14:paraId="7FE1D273" w14:textId="60D312AD" w:rsidR="0057131B" w:rsidRDefault="00355A1C">
      <w:pPr>
        <w:pStyle w:val="FootnoteText"/>
      </w:pPr>
      <w:r>
        <w:rPr>
          <w:rStyle w:val="FootnoteReference"/>
          <w:rFonts w:ascii="Verdana" w:hAnsi="Verdana"/>
          <w:sz w:val="16"/>
          <w:szCs w:val="16"/>
        </w:rPr>
        <w:footnoteRef/>
      </w:r>
      <w:r>
        <w:t xml:space="preserve"> Kommissionens delegerade förordning (EU) 2016/778, artikel 6 och skäl (8).</w:t>
      </w:r>
    </w:p>
  </w:footnote>
  <w:footnote w:id="24">
    <w:p w14:paraId="7FE1D274" w14:textId="1C805137" w:rsidR="0057131B" w:rsidRDefault="00355A1C">
      <w:pPr>
        <w:pStyle w:val="FootnoteText"/>
      </w:pPr>
      <w:r>
        <w:rPr>
          <w:rStyle w:val="FootnoteReference"/>
          <w:rFonts w:ascii="Verdana" w:hAnsi="Verdana"/>
          <w:sz w:val="16"/>
          <w:szCs w:val="16"/>
        </w:rPr>
        <w:footnoteRef/>
      </w:r>
      <w:r>
        <w:t xml:space="preserve"> Artikel 7 i kommissionens delegerade förordning (EU) 2016/778. </w:t>
      </w:r>
    </w:p>
  </w:footnote>
  <w:footnote w:id="25">
    <w:p w14:paraId="7FE1D275" w14:textId="77777777" w:rsidR="0057131B" w:rsidRDefault="00355A1C">
      <w:pPr>
        <w:pStyle w:val="FootnoteText"/>
      </w:pPr>
      <w:r>
        <w:footnoteRef/>
      </w:r>
      <w:r>
        <w:t xml:space="preserve"> Kontinuiteten i samhällsviktiga tjänster kan vara nödvändig för att uppnå andra resolutionsmål än upprätthållande av kritiska funktioner (t.ex. finansiell stabilitet genom att säkerställa bärkraften hos enheten efter resolution). </w:t>
      </w:r>
    </w:p>
    <w:p w14:paraId="7FE1D276" w14:textId="77777777" w:rsidR="0057131B" w:rsidRDefault="0057131B">
      <w:pPr>
        <w:pStyle w:val="FootnoteText"/>
      </w:pPr>
    </w:p>
  </w:footnote>
  <w:footnote w:id="26">
    <w:p w14:paraId="7FE1D27C" w14:textId="77777777" w:rsidR="0057131B" w:rsidRDefault="00355A1C">
      <w:pPr>
        <w:pStyle w:val="FootnoteText"/>
        <w:rPr>
          <w:rFonts w:ascii="Segoe UI" w:hAnsi="Segoe UI" w:cs="Segoe UI"/>
        </w:rPr>
      </w:pPr>
      <w:r>
        <w:footnoteRef/>
      </w:r>
      <w:r>
        <w:t xml:space="preserve"> Bestämmelserna i avdelning IV kapitel VI i BRRD föreskriver resolutionsresiliens, särskilt i samband med resolutionsmyndighetens utövande av befogenheter, med undantag för genomförandet av omstruktureringsplanerna för verksamheten.</w:t>
      </w:r>
    </w:p>
  </w:footnote>
  <w:footnote w:id="27">
    <w:p w14:paraId="3F998E2E" w14:textId="7BDE8075" w:rsidR="0057131B" w:rsidRDefault="00355A1C">
      <w:pPr>
        <w:pStyle w:val="FootnoteText"/>
      </w:pPr>
      <w:r>
        <w:rPr>
          <w:rStyle w:val="FootnoteReference"/>
        </w:rPr>
        <w:footnoteRef/>
      </w:r>
      <w:r>
        <w:t xml:space="preserve"> Europaparlamentets och rådets förordning (EU) 2022/2554 av den 14 december 2022 om digital operativ motståndskraft för finanssektorn och om ändring av förordningarna (EG) nr 1060/2009, (EU) nr 648/2012, (EU) nr 600/2014, (EU) nr 909/2014 och (EU) 2016/1011.</w:t>
      </w:r>
    </w:p>
    <w:p w14:paraId="3A2C28B9" w14:textId="00F04738" w:rsidR="0057131B" w:rsidRDefault="0057131B">
      <w:pPr>
        <w:pStyle w:val="FootnoteText"/>
      </w:pPr>
    </w:p>
  </w:footnote>
  <w:footnote w:id="28">
    <w:p w14:paraId="7FE1D27F" w14:textId="77777777" w:rsidR="0057131B" w:rsidRDefault="00355A1C">
      <w:pPr>
        <w:pStyle w:val="FootnoteText"/>
        <w:rPr>
          <w:rFonts w:ascii="Segoe UI" w:hAnsi="Segoe UI" w:cs="Segoe UI"/>
        </w:rPr>
      </w:pPr>
      <w:r>
        <w:footnoteRef/>
      </w:r>
      <w:r>
        <w:t xml:space="preserve"> Bestämmelserna i avdelning IV kapitel VI i BRRD föreskriver resolutionsresiliens, särskilt i samband med resolutionsmyndighetens utövande av befogenheter, med undantag för genomförandet av omstruktureringsplanerna för verksamheten.</w:t>
      </w:r>
    </w:p>
  </w:footnote>
  <w:footnote w:id="29">
    <w:p w14:paraId="7FE1D280" w14:textId="77777777" w:rsidR="0057131B" w:rsidRDefault="00355A1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Skuldebrev, aktier och andra värdepapper, repor.</w:t>
      </w:r>
    </w:p>
  </w:footnote>
  <w:footnote w:id="30">
    <w:p w14:paraId="7FE1D281" w14:textId="77777777" w:rsidR="0057131B" w:rsidRDefault="00355A1C">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Multilaterala system eller faciliteter där flera tredje parters köp- och säljintressen i finansiella instrument kan interagera inom systemet. För system belägna inom EES omfattar denna definition reglerade marknader, MTF-plattformar och OTF-plattformar.</w:t>
      </w:r>
    </w:p>
  </w:footnote>
  <w:footnote w:id="31">
    <w:p w14:paraId="7FE1D282" w14:textId="77777777" w:rsidR="0057131B" w:rsidRDefault="00355A1C">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Jfr ECB:s ordlista över betalningar och marknader: Direkt deltagare: ”en deltagare i ett [...] system som kan utföra all verksamhet som är tillåten i systemet utan att använda en mellanhand (särskilt direkt inmatning av order i systemet och genomförande av avvecklingstransaktioner).” Indirekt deltagare: ”en deltagare i ett [...] system med nivåindelning, där en direkt deltagare används som mellanhand för att utföra en del av de aktiviteter som kan utföras inom systemet (framför allt avveckling)”.</w:t>
      </w:r>
    </w:p>
    <w:p w14:paraId="7FE1D283" w14:textId="77777777" w:rsidR="0057131B" w:rsidRDefault="0057131B">
      <w:pPr>
        <w:pStyle w:val="FootnoteText"/>
      </w:pPr>
    </w:p>
  </w:footnote>
  <w:footnote w:id="32">
    <w:p w14:paraId="7FE1D284" w14:textId="77777777" w:rsidR="0057131B" w:rsidRDefault="00355A1C">
      <w:pPr>
        <w:pStyle w:val="FootnoteText"/>
      </w:pPr>
      <w:r>
        <w:rPr>
          <w:rStyle w:val="FootnoteReference"/>
        </w:rPr>
        <w:footnoteRef/>
      </w:r>
      <w:r>
        <w:t xml:space="preserve"> För definitionen av resolutionsresiliens i denna rapport, se kolumn 08.01 i Z.150.</w:t>
      </w:r>
    </w:p>
  </w:footnote>
  <w:footnote w:id="33">
    <w:p w14:paraId="7FE1D285" w14:textId="50A26E27" w:rsidR="0057131B" w:rsidRDefault="00355A1C">
      <w:pPr>
        <w:pStyle w:val="FootnoteText"/>
      </w:pPr>
      <w:r>
        <w:rPr>
          <w:rStyle w:val="FootnoteReference"/>
        </w:rPr>
        <w:footnoteRef/>
      </w:r>
      <w:r>
        <w:t xml:space="preserve"> När det gäller relevanta mått för rapportering jämställs ”kortsystem” med ”betaltjänster”. ”NA” jämställs med ”värdepapperscentraler” om de hanterar värdepapper och ”betalningssystem” om de hanterar kontanttjänster.</w:t>
      </w:r>
    </w:p>
  </w:footnote>
  <w:footnote w:id="34">
    <w:p w14:paraId="7FE1D286" w14:textId="77777777" w:rsidR="0057131B" w:rsidRDefault="00355A1C">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I denna rapport bör betydelsen av kontotyper tolkas i enlighet med artikel 39 (4) och (5) i Emirförordningen. Positionens betydelse bör tolkas i enlighet med artikel 2 (3), 39 (4) och 39 (5) i Emirförordningen. Kundkonton: endast rapportera om den juridiska enheten ger indirekt tillgång till finansmarknadsinfrastrukturer.</w:t>
      </w:r>
    </w:p>
  </w:footnote>
  <w:footnote w:id="35">
    <w:p w14:paraId="7FE1D287" w14:textId="21F2F8F9" w:rsidR="0057131B" w:rsidRDefault="00355A1C">
      <w:pPr>
        <w:pStyle w:val="FootnoteText"/>
      </w:pPr>
      <w:r>
        <w:rPr>
          <w:rStyle w:val="FootnoteReference"/>
        </w:rPr>
        <w:footnoteRef/>
      </w:r>
      <w:r>
        <w:t xml:space="preserve"> Jfr ECB:s metodnoter om statistik över värdepappershandel, clearing och avveckling.</w:t>
      </w:r>
    </w:p>
  </w:footnote>
  <w:footnote w:id="36">
    <w:p w14:paraId="7FE1D289" w14:textId="77777777" w:rsidR="0057131B" w:rsidRDefault="00355A1C">
      <w:pPr>
        <w:pStyle w:val="FootnoteText"/>
      </w:pPr>
      <w:r>
        <w:rPr>
          <w:rStyle w:val="FootnoteReference"/>
        </w:rPr>
        <w:footnoteRef/>
      </w:r>
      <w:r>
        <w:t xml:space="preserve"> Vissa egetkapitalinstrument, såsom kooperativa andelar, omfattas inte av definitionen av värdepapper, men bör fortfarande rapporteras här.</w:t>
      </w:r>
    </w:p>
  </w:footnote>
  <w:footnote w:id="37">
    <w:p w14:paraId="4A19D249" w14:textId="77777777" w:rsidR="0057131B" w:rsidRDefault="00355A1C">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är Cassa Compensazione e Garanzias nya firmanamn.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57131B" w:rsidRDefault="00355A1C">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ruta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57131B" w:rsidRDefault="00355A1C">
                          <w:pPr>
                            <w:pStyle w:val="P68B1DB1-Normal93"/>
                          </w:pPr>
                          <w:r>
                            <w:t>EBA Ordinarie användning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ruta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gaHoNC0CAABRBAAADgAAAAAAAAAAAAAAAAAuAgAAZHJzL2Uy&#10;b0RvYy54bWxQSwECLQAUAAYACAAAACEANIE6FtoAAAADAQAADwAAAAAAAAAAAAAAAACHBAAAZHJz&#10;L2Rvd25yZXYueG1sUEsFBgAAAAAEAAQA8wAAAI4FAAAAAA==&#10;" filled="f" stroked="f">
              <v:textbox style="mso-fit-shape-to-text:t" inset="5pt,0,0,0">
                <w:txbxContent>
                  <w:p w14:paraId="7FE1D28A" w14:textId="77777777" w:rsidR="0057131B" w:rsidRDefault="00355A1C">
                    <w:pPr>
                      <w:pStyle w:val="P68B1DB1-Normal93"/>
                    </w:pPr>
                    <w:r>
                      <w:t>EBA Ordinarie användning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57131B" w:rsidRDefault="00355A1C">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ruta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57131B" w:rsidRDefault="0057131B">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ruta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Qx60cLwIAAFgEAAAOAAAAAAAAAAAAAAAAAC4CAABkcnMv&#10;ZTJvRG9jLnhtbFBLAQItABQABgAIAAAAIQA0gToW2gAAAAMBAAAPAAAAAAAAAAAAAAAAAIkEAABk&#10;cnMvZG93bnJldi54bWxQSwUGAAAAAAQABADzAAAAkAUAAAAA&#10;" filled="f" stroked="f">
              <v:textbox style="mso-fit-shape-to-text:t" inset="5pt,0,0,0">
                <w:txbxContent>
                  <w:p w14:paraId="7FE1D28B" w14:textId="43485C18" w:rsidR="0057131B" w:rsidRDefault="0057131B">
                    <w:pPr>
                      <w:rPr>
                        <w:rFonts w:ascii="Calibri" w:eastAsia="Calibri" w:hAnsi="Calibri" w:cs="Calibri"/>
                        <w:color w:val="000000"/>
                        <w:sz w:val="24"/>
                      </w:rPr>
                    </w:pPr>
                  </w:p>
                </w:txbxContent>
              </v:textbox>
              <w10:wrap type="square" anchorx="margin"/>
            </v:shape>
          </w:pict>
        </mc:Fallback>
      </mc:AlternateContent>
    </w:r>
    <w:r>
      <w:t>SV</w:t>
    </w:r>
  </w:p>
  <w:p w14:paraId="7FE1D24D" w14:textId="77777777" w:rsidR="0057131B" w:rsidRDefault="00355A1C">
    <w:pPr>
      <w:pStyle w:val="P68B1DB1-Header94"/>
      <w:jc w:val="center"/>
    </w:pPr>
    <w:r>
      <w:t>BILAGA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57131B" w:rsidRDefault="00355A1C">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xtruta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57131B" w:rsidRDefault="0057131B">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xtruta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B0dmStLwIAAFgEAAAOAAAAAAAAAAAAAAAAAC4CAABkcnMv&#10;ZTJvRG9jLnhtbFBLAQItABQABgAIAAAAIQA0gToW2gAAAAMBAAAPAAAAAAAAAAAAAAAAAIkEAABk&#10;cnMvZG93bnJldi54bWxQSwUGAAAAAAQABADzAAAAkAUAAAAA&#10;" filled="f" stroked="f">
              <v:textbox style="mso-fit-shape-to-text:t" inset="5pt,0,0,0">
                <w:txbxContent>
                  <w:p w14:paraId="7FE1D28C" w14:textId="15FD35FB" w:rsidR="0057131B" w:rsidRDefault="0057131B">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631410">
    <w:abstractNumId w:val="4"/>
  </w:num>
  <w:num w:numId="2" w16cid:durableId="1762407132">
    <w:abstractNumId w:val="47"/>
  </w:num>
  <w:num w:numId="3" w16cid:durableId="1781027705">
    <w:abstractNumId w:val="148"/>
  </w:num>
  <w:num w:numId="4" w16cid:durableId="668555933">
    <w:abstractNumId w:val="227"/>
  </w:num>
  <w:num w:numId="5" w16cid:durableId="1312753300">
    <w:abstractNumId w:val="83"/>
  </w:num>
  <w:num w:numId="6" w16cid:durableId="1726030966">
    <w:abstractNumId w:val="139"/>
  </w:num>
  <w:num w:numId="7" w16cid:durableId="1985620008">
    <w:abstractNumId w:val="226"/>
  </w:num>
  <w:num w:numId="8" w16cid:durableId="619266714">
    <w:abstractNumId w:val="63"/>
  </w:num>
  <w:num w:numId="9" w16cid:durableId="1217467788">
    <w:abstractNumId w:val="100"/>
  </w:num>
  <w:num w:numId="10" w16cid:durableId="850295389">
    <w:abstractNumId w:val="37"/>
  </w:num>
  <w:num w:numId="11" w16cid:durableId="241569113">
    <w:abstractNumId w:val="111"/>
  </w:num>
  <w:num w:numId="12" w16cid:durableId="1374843615">
    <w:abstractNumId w:val="230"/>
  </w:num>
  <w:num w:numId="13" w16cid:durableId="1988704592">
    <w:abstractNumId w:val="224"/>
  </w:num>
  <w:num w:numId="14" w16cid:durableId="1495486805">
    <w:abstractNumId w:val="95"/>
  </w:num>
  <w:num w:numId="15" w16cid:durableId="128474035">
    <w:abstractNumId w:val="174"/>
  </w:num>
  <w:num w:numId="16" w16cid:durableId="667051937">
    <w:abstractNumId w:val="205"/>
  </w:num>
  <w:num w:numId="17" w16cid:durableId="1937706789">
    <w:abstractNumId w:val="56"/>
  </w:num>
  <w:num w:numId="18" w16cid:durableId="1505363705">
    <w:abstractNumId w:val="187"/>
  </w:num>
  <w:num w:numId="19" w16cid:durableId="764107341">
    <w:abstractNumId w:val="127"/>
  </w:num>
  <w:num w:numId="20" w16cid:durableId="1000427160">
    <w:abstractNumId w:val="38"/>
  </w:num>
  <w:num w:numId="21" w16cid:durableId="1189223300">
    <w:abstractNumId w:val="229"/>
  </w:num>
  <w:num w:numId="22" w16cid:durableId="1588537690">
    <w:abstractNumId w:val="101"/>
  </w:num>
  <w:num w:numId="23" w16cid:durableId="444229840">
    <w:abstractNumId w:val="13"/>
  </w:num>
  <w:num w:numId="24" w16cid:durableId="749543539">
    <w:abstractNumId w:val="97"/>
  </w:num>
  <w:num w:numId="25" w16cid:durableId="1018966993">
    <w:abstractNumId w:val="15"/>
  </w:num>
  <w:num w:numId="26" w16cid:durableId="805398008">
    <w:abstractNumId w:val="176"/>
  </w:num>
  <w:num w:numId="27" w16cid:durableId="1979869890">
    <w:abstractNumId w:val="208"/>
  </w:num>
  <w:num w:numId="28" w16cid:durableId="1818720869">
    <w:abstractNumId w:val="210"/>
  </w:num>
  <w:num w:numId="29" w16cid:durableId="242110540">
    <w:abstractNumId w:val="203"/>
  </w:num>
  <w:num w:numId="30" w16cid:durableId="384987215">
    <w:abstractNumId w:val="75"/>
  </w:num>
  <w:num w:numId="31" w16cid:durableId="1498957854">
    <w:abstractNumId w:val="54"/>
  </w:num>
  <w:num w:numId="32" w16cid:durableId="187989900">
    <w:abstractNumId w:val="153"/>
  </w:num>
  <w:num w:numId="33" w16cid:durableId="25713941">
    <w:abstractNumId w:val="116"/>
  </w:num>
  <w:num w:numId="34" w16cid:durableId="1033728015">
    <w:abstractNumId w:val="24"/>
  </w:num>
  <w:num w:numId="35" w16cid:durableId="1018967908">
    <w:abstractNumId w:val="93"/>
  </w:num>
  <w:num w:numId="36" w16cid:durableId="1922788585">
    <w:abstractNumId w:val="160"/>
  </w:num>
  <w:num w:numId="37" w16cid:durableId="1637487461">
    <w:abstractNumId w:val="36"/>
  </w:num>
  <w:num w:numId="38" w16cid:durableId="372850991">
    <w:abstractNumId w:val="42"/>
  </w:num>
  <w:num w:numId="39" w16cid:durableId="406535509">
    <w:abstractNumId w:val="64"/>
  </w:num>
  <w:num w:numId="40" w16cid:durableId="1240479049">
    <w:abstractNumId w:val="173"/>
  </w:num>
  <w:num w:numId="41" w16cid:durableId="78912670">
    <w:abstractNumId w:val="135"/>
  </w:num>
  <w:num w:numId="42" w16cid:durableId="1173911791">
    <w:abstractNumId w:val="29"/>
  </w:num>
  <w:num w:numId="43" w16cid:durableId="83694816">
    <w:abstractNumId w:val="133"/>
  </w:num>
  <w:num w:numId="44" w16cid:durableId="867984135">
    <w:abstractNumId w:val="11"/>
  </w:num>
  <w:num w:numId="45" w16cid:durableId="1124271563">
    <w:abstractNumId w:val="92"/>
  </w:num>
  <w:num w:numId="46" w16cid:durableId="590236300">
    <w:abstractNumId w:val="112"/>
  </w:num>
  <w:num w:numId="47" w16cid:durableId="671375350">
    <w:abstractNumId w:val="212"/>
  </w:num>
  <w:num w:numId="48" w16cid:durableId="417212373">
    <w:abstractNumId w:val="3"/>
  </w:num>
  <w:num w:numId="49" w16cid:durableId="1703440707">
    <w:abstractNumId w:val="198"/>
  </w:num>
  <w:num w:numId="50" w16cid:durableId="1236207205">
    <w:abstractNumId w:val="0"/>
  </w:num>
  <w:num w:numId="51" w16cid:durableId="1902397361">
    <w:abstractNumId w:val="87"/>
  </w:num>
  <w:num w:numId="52" w16cid:durableId="1873495507">
    <w:abstractNumId w:val="52"/>
  </w:num>
  <w:num w:numId="53" w16cid:durableId="1839072395">
    <w:abstractNumId w:val="59"/>
  </w:num>
  <w:num w:numId="54" w16cid:durableId="833716142">
    <w:abstractNumId w:val="209"/>
  </w:num>
  <w:num w:numId="55" w16cid:durableId="1735472287">
    <w:abstractNumId w:val="106"/>
  </w:num>
  <w:num w:numId="56" w16cid:durableId="1712068126">
    <w:abstractNumId w:val="202"/>
  </w:num>
  <w:num w:numId="57" w16cid:durableId="962538345">
    <w:abstractNumId w:val="198"/>
  </w:num>
  <w:num w:numId="58" w16cid:durableId="1060979488">
    <w:abstractNumId w:val="198"/>
  </w:num>
  <w:num w:numId="59" w16cid:durableId="332101745">
    <w:abstractNumId w:val="44"/>
  </w:num>
  <w:num w:numId="60" w16cid:durableId="1228104889">
    <w:abstractNumId w:val="188"/>
  </w:num>
  <w:num w:numId="61" w16cid:durableId="1635404859">
    <w:abstractNumId w:val="81"/>
  </w:num>
  <w:num w:numId="62" w16cid:durableId="659190425">
    <w:abstractNumId w:val="164"/>
  </w:num>
  <w:num w:numId="63" w16cid:durableId="1748502567">
    <w:abstractNumId w:val="35"/>
  </w:num>
  <w:num w:numId="64" w16cid:durableId="1276718072">
    <w:abstractNumId w:val="143"/>
  </w:num>
  <w:num w:numId="65" w16cid:durableId="1276716029">
    <w:abstractNumId w:val="172"/>
  </w:num>
  <w:num w:numId="66" w16cid:durableId="1607083429">
    <w:abstractNumId w:val="67"/>
  </w:num>
  <w:num w:numId="67" w16cid:durableId="652493700">
    <w:abstractNumId w:val="228"/>
  </w:num>
  <w:num w:numId="68" w16cid:durableId="1838378128">
    <w:abstractNumId w:val="21"/>
  </w:num>
  <w:num w:numId="69" w16cid:durableId="2049643167">
    <w:abstractNumId w:val="140"/>
  </w:num>
  <w:num w:numId="70" w16cid:durableId="1065185765">
    <w:abstractNumId w:val="96"/>
  </w:num>
  <w:num w:numId="71" w16cid:durableId="1084456194">
    <w:abstractNumId w:val="138"/>
  </w:num>
  <w:num w:numId="72" w16cid:durableId="780304341">
    <w:abstractNumId w:val="58"/>
  </w:num>
  <w:num w:numId="73" w16cid:durableId="549414421">
    <w:abstractNumId w:val="136"/>
  </w:num>
  <w:num w:numId="74" w16cid:durableId="641009063">
    <w:abstractNumId w:val="165"/>
  </w:num>
  <w:num w:numId="75" w16cid:durableId="727145552">
    <w:abstractNumId w:val="197"/>
  </w:num>
  <w:num w:numId="76" w16cid:durableId="16929208">
    <w:abstractNumId w:val="62"/>
  </w:num>
  <w:num w:numId="77" w16cid:durableId="757874576">
    <w:abstractNumId w:val="128"/>
  </w:num>
  <w:num w:numId="78" w16cid:durableId="1972057912">
    <w:abstractNumId w:val="154"/>
  </w:num>
  <w:num w:numId="79" w16cid:durableId="1532524105">
    <w:abstractNumId w:val="45"/>
  </w:num>
  <w:num w:numId="80" w16cid:durableId="1880967597">
    <w:abstractNumId w:val="68"/>
  </w:num>
  <w:num w:numId="81" w16cid:durableId="1162038780">
    <w:abstractNumId w:val="161"/>
  </w:num>
  <w:num w:numId="82" w16cid:durableId="626739308">
    <w:abstractNumId w:val="198"/>
  </w:num>
  <w:num w:numId="83" w16cid:durableId="341587554">
    <w:abstractNumId w:val="198"/>
  </w:num>
  <w:num w:numId="84" w16cid:durableId="550271942">
    <w:abstractNumId w:val="198"/>
  </w:num>
  <w:num w:numId="85" w16cid:durableId="2012290595">
    <w:abstractNumId w:val="198"/>
  </w:num>
  <w:num w:numId="86" w16cid:durableId="159197607">
    <w:abstractNumId w:val="198"/>
  </w:num>
  <w:num w:numId="87" w16cid:durableId="362705983">
    <w:abstractNumId w:val="198"/>
  </w:num>
  <w:num w:numId="88" w16cid:durableId="122351965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60901514">
    <w:abstractNumId w:val="104"/>
  </w:num>
  <w:num w:numId="90" w16cid:durableId="295574109">
    <w:abstractNumId w:val="58"/>
  </w:num>
  <w:num w:numId="91" w16cid:durableId="116069454">
    <w:abstractNumId w:val="198"/>
  </w:num>
  <w:num w:numId="92" w16cid:durableId="1763991493">
    <w:abstractNumId w:val="198"/>
  </w:num>
  <w:num w:numId="93" w16cid:durableId="1332248179">
    <w:abstractNumId w:val="58"/>
  </w:num>
  <w:num w:numId="94" w16cid:durableId="163478356">
    <w:abstractNumId w:val="58"/>
  </w:num>
  <w:num w:numId="95" w16cid:durableId="989864489">
    <w:abstractNumId w:val="58"/>
  </w:num>
  <w:num w:numId="96" w16cid:durableId="116409330">
    <w:abstractNumId w:val="58"/>
  </w:num>
  <w:num w:numId="97" w16cid:durableId="1519387453">
    <w:abstractNumId w:val="58"/>
  </w:num>
  <w:num w:numId="98" w16cid:durableId="73282427">
    <w:abstractNumId w:val="58"/>
  </w:num>
  <w:num w:numId="99" w16cid:durableId="109323500">
    <w:abstractNumId w:val="138"/>
  </w:num>
  <w:num w:numId="100" w16cid:durableId="557204406">
    <w:abstractNumId w:val="58"/>
  </w:num>
  <w:num w:numId="101" w16cid:durableId="559755588">
    <w:abstractNumId w:val="216"/>
  </w:num>
  <w:num w:numId="102" w16cid:durableId="1700929863">
    <w:abstractNumId w:val="79"/>
  </w:num>
  <w:num w:numId="103" w16cid:durableId="392048241">
    <w:abstractNumId w:val="190"/>
  </w:num>
  <w:num w:numId="104" w16cid:durableId="988360731">
    <w:abstractNumId w:val="207"/>
  </w:num>
  <w:num w:numId="105" w16cid:durableId="1504125267">
    <w:abstractNumId w:val="86"/>
  </w:num>
  <w:num w:numId="106" w16cid:durableId="1372805798">
    <w:abstractNumId w:val="17"/>
  </w:num>
  <w:num w:numId="107" w16cid:durableId="1267272848">
    <w:abstractNumId w:val="129"/>
  </w:num>
  <w:num w:numId="108" w16cid:durableId="1148863823">
    <w:abstractNumId w:val="43"/>
  </w:num>
  <w:num w:numId="109" w16cid:durableId="808284017">
    <w:abstractNumId w:val="194"/>
  </w:num>
  <w:num w:numId="110" w16cid:durableId="545794498">
    <w:abstractNumId w:val="177"/>
  </w:num>
  <w:num w:numId="111" w16cid:durableId="1004360429">
    <w:abstractNumId w:val="48"/>
  </w:num>
  <w:num w:numId="112" w16cid:durableId="1397584331">
    <w:abstractNumId w:val="84"/>
  </w:num>
  <w:num w:numId="113" w16cid:durableId="1243486040">
    <w:abstractNumId w:val="34"/>
  </w:num>
  <w:num w:numId="114" w16cid:durableId="1804544917">
    <w:abstractNumId w:val="23"/>
  </w:num>
  <w:num w:numId="115" w16cid:durableId="1101805697">
    <w:abstractNumId w:val="131"/>
  </w:num>
  <w:num w:numId="116" w16cid:durableId="1642684692">
    <w:abstractNumId w:val="25"/>
  </w:num>
  <w:num w:numId="117" w16cid:durableId="1582519577">
    <w:abstractNumId w:val="117"/>
  </w:num>
  <w:num w:numId="118" w16cid:durableId="1616058943">
    <w:abstractNumId w:val="73"/>
  </w:num>
  <w:num w:numId="119" w16cid:durableId="2011374469">
    <w:abstractNumId w:val="155"/>
  </w:num>
  <w:num w:numId="120" w16cid:durableId="1868906732">
    <w:abstractNumId w:val="9"/>
  </w:num>
  <w:num w:numId="121" w16cid:durableId="1249584006">
    <w:abstractNumId w:val="215"/>
  </w:num>
  <w:num w:numId="122" w16cid:durableId="876161031">
    <w:abstractNumId w:val="157"/>
  </w:num>
  <w:num w:numId="123" w16cid:durableId="233201812">
    <w:abstractNumId w:val="88"/>
  </w:num>
  <w:num w:numId="124" w16cid:durableId="1256983643">
    <w:abstractNumId w:val="20"/>
  </w:num>
  <w:num w:numId="125" w16cid:durableId="1438329312">
    <w:abstractNumId w:val="196"/>
  </w:num>
  <w:num w:numId="126" w16cid:durableId="434327077">
    <w:abstractNumId w:val="150"/>
  </w:num>
  <w:num w:numId="127" w16cid:durableId="727916952">
    <w:abstractNumId w:val="6"/>
  </w:num>
  <w:num w:numId="128" w16cid:durableId="2144929370">
    <w:abstractNumId w:val="183"/>
  </w:num>
  <w:num w:numId="129" w16cid:durableId="1515072181">
    <w:abstractNumId w:val="94"/>
  </w:num>
  <w:num w:numId="130" w16cid:durableId="88969">
    <w:abstractNumId w:val="1"/>
  </w:num>
  <w:num w:numId="131" w16cid:durableId="1121194640">
    <w:abstractNumId w:val="137"/>
  </w:num>
  <w:num w:numId="132" w16cid:durableId="1720058422">
    <w:abstractNumId w:val="168"/>
  </w:num>
  <w:num w:numId="133" w16cid:durableId="311327854">
    <w:abstractNumId w:val="69"/>
  </w:num>
  <w:num w:numId="134" w16cid:durableId="1270940421">
    <w:abstractNumId w:val="74"/>
  </w:num>
  <w:num w:numId="135" w16cid:durableId="270867675">
    <w:abstractNumId w:val="151"/>
  </w:num>
  <w:num w:numId="136" w16cid:durableId="1745950591">
    <w:abstractNumId w:val="152"/>
  </w:num>
  <w:num w:numId="137" w16cid:durableId="1682275405">
    <w:abstractNumId w:val="149"/>
  </w:num>
  <w:num w:numId="138" w16cid:durableId="1564019730">
    <w:abstractNumId w:val="2"/>
  </w:num>
  <w:num w:numId="139" w16cid:durableId="1446079852">
    <w:abstractNumId w:val="130"/>
  </w:num>
  <w:num w:numId="140" w16cid:durableId="1594433419">
    <w:abstractNumId w:val="58"/>
  </w:num>
  <w:num w:numId="141" w16cid:durableId="1539471607">
    <w:abstractNumId w:val="122"/>
  </w:num>
  <w:num w:numId="142" w16cid:durableId="1878934069">
    <w:abstractNumId w:val="58"/>
  </w:num>
  <w:num w:numId="143" w16cid:durableId="379980208">
    <w:abstractNumId w:val="58"/>
  </w:num>
  <w:num w:numId="144" w16cid:durableId="201987026">
    <w:abstractNumId w:val="58"/>
  </w:num>
  <w:num w:numId="145" w16cid:durableId="713188617">
    <w:abstractNumId w:val="58"/>
  </w:num>
  <w:num w:numId="146" w16cid:durableId="548108436">
    <w:abstractNumId w:val="58"/>
  </w:num>
  <w:num w:numId="147" w16cid:durableId="810295320">
    <w:abstractNumId w:val="58"/>
  </w:num>
  <w:num w:numId="148" w16cid:durableId="1181122204">
    <w:abstractNumId w:val="58"/>
  </w:num>
  <w:num w:numId="149" w16cid:durableId="1143736931">
    <w:abstractNumId w:val="138"/>
  </w:num>
  <w:num w:numId="150" w16cid:durableId="857231505">
    <w:abstractNumId w:val="138"/>
  </w:num>
  <w:num w:numId="151" w16cid:durableId="1537885282">
    <w:abstractNumId w:val="138"/>
  </w:num>
  <w:num w:numId="152" w16cid:durableId="1996255116">
    <w:abstractNumId w:val="58"/>
  </w:num>
  <w:num w:numId="153" w16cid:durableId="1200581362">
    <w:abstractNumId w:val="181"/>
  </w:num>
  <w:num w:numId="154" w16cid:durableId="1358848889">
    <w:abstractNumId w:val="219"/>
  </w:num>
  <w:num w:numId="155" w16cid:durableId="338389610">
    <w:abstractNumId w:val="58"/>
  </w:num>
  <w:num w:numId="156" w16cid:durableId="632515519">
    <w:abstractNumId w:val="58"/>
  </w:num>
  <w:num w:numId="157" w16cid:durableId="862089304">
    <w:abstractNumId w:val="58"/>
  </w:num>
  <w:num w:numId="158" w16cid:durableId="1078481686">
    <w:abstractNumId w:val="198"/>
  </w:num>
  <w:num w:numId="159" w16cid:durableId="736050770">
    <w:abstractNumId w:val="58"/>
  </w:num>
  <w:num w:numId="160" w16cid:durableId="109980834">
    <w:abstractNumId w:val="198"/>
  </w:num>
  <w:num w:numId="161" w16cid:durableId="762072947">
    <w:abstractNumId w:val="138"/>
  </w:num>
  <w:num w:numId="162" w16cid:durableId="16733203">
    <w:abstractNumId w:val="58"/>
  </w:num>
  <w:num w:numId="163" w16cid:durableId="485242256">
    <w:abstractNumId w:val="58"/>
  </w:num>
  <w:num w:numId="164" w16cid:durableId="1703706563">
    <w:abstractNumId w:val="145"/>
  </w:num>
  <w:num w:numId="165" w16cid:durableId="2090302239">
    <w:abstractNumId w:val="40"/>
  </w:num>
  <w:num w:numId="166" w16cid:durableId="408189109">
    <w:abstractNumId w:val="55"/>
  </w:num>
  <w:num w:numId="167" w16cid:durableId="890270572">
    <w:abstractNumId w:val="163"/>
  </w:num>
  <w:num w:numId="168" w16cid:durableId="273441951">
    <w:abstractNumId w:val="76"/>
  </w:num>
  <w:num w:numId="169" w16cid:durableId="1522356862">
    <w:abstractNumId w:val="115"/>
  </w:num>
  <w:num w:numId="170" w16cid:durableId="1025210590">
    <w:abstractNumId w:val="211"/>
  </w:num>
  <w:num w:numId="171" w16cid:durableId="1583484392">
    <w:abstractNumId w:val="58"/>
  </w:num>
  <w:num w:numId="172" w16cid:durableId="2129468051">
    <w:abstractNumId w:val="58"/>
  </w:num>
  <w:num w:numId="173" w16cid:durableId="514924241">
    <w:abstractNumId w:val="198"/>
  </w:num>
  <w:num w:numId="174" w16cid:durableId="864102587">
    <w:abstractNumId w:val="162"/>
  </w:num>
  <w:num w:numId="175" w16cid:durableId="1026103125">
    <w:abstractNumId w:val="27"/>
  </w:num>
  <w:num w:numId="176" w16cid:durableId="1640841830">
    <w:abstractNumId w:val="58"/>
  </w:num>
  <w:num w:numId="177" w16cid:durableId="1553229881">
    <w:abstractNumId w:val="58"/>
  </w:num>
  <w:num w:numId="178" w16cid:durableId="375786831">
    <w:abstractNumId w:val="198"/>
  </w:num>
  <w:num w:numId="179" w16cid:durableId="853299286">
    <w:abstractNumId w:val="198"/>
  </w:num>
  <w:num w:numId="180" w16cid:durableId="1613586416">
    <w:abstractNumId w:val="61"/>
  </w:num>
  <w:num w:numId="181" w16cid:durableId="1546868109">
    <w:abstractNumId w:val="18"/>
  </w:num>
  <w:num w:numId="182" w16cid:durableId="1680499495">
    <w:abstractNumId w:val="12"/>
  </w:num>
  <w:num w:numId="183" w16cid:durableId="59523469">
    <w:abstractNumId w:val="16"/>
  </w:num>
  <w:num w:numId="184" w16cid:durableId="921716541">
    <w:abstractNumId w:val="72"/>
  </w:num>
  <w:num w:numId="185" w16cid:durableId="982000582">
    <w:abstractNumId w:val="170"/>
  </w:num>
  <w:num w:numId="186" w16cid:durableId="1080297956">
    <w:abstractNumId w:val="58"/>
  </w:num>
  <w:num w:numId="187" w16cid:durableId="1364867748">
    <w:abstractNumId w:val="206"/>
  </w:num>
  <w:num w:numId="188" w16cid:durableId="1677002225">
    <w:abstractNumId w:val="50"/>
  </w:num>
  <w:num w:numId="189" w16cid:durableId="1603146008">
    <w:abstractNumId w:val="201"/>
  </w:num>
  <w:num w:numId="190" w16cid:durableId="1848715761">
    <w:abstractNumId w:val="158"/>
  </w:num>
  <w:num w:numId="191" w16cid:durableId="1431504330">
    <w:abstractNumId w:val="58"/>
  </w:num>
  <w:num w:numId="192" w16cid:durableId="19363395">
    <w:abstractNumId w:val="70"/>
  </w:num>
  <w:num w:numId="193" w16cid:durableId="2042434245">
    <w:abstractNumId w:val="110"/>
  </w:num>
  <w:num w:numId="194" w16cid:durableId="1293092301">
    <w:abstractNumId w:val="180"/>
  </w:num>
  <w:num w:numId="195" w16cid:durableId="632753048">
    <w:abstractNumId w:val="58"/>
  </w:num>
  <w:num w:numId="196" w16cid:durableId="990333911">
    <w:abstractNumId w:val="58"/>
  </w:num>
  <w:num w:numId="197" w16cid:durableId="649409121">
    <w:abstractNumId w:val="58"/>
  </w:num>
  <w:num w:numId="198" w16cid:durableId="1703748486">
    <w:abstractNumId w:val="58"/>
  </w:num>
  <w:num w:numId="199" w16cid:durableId="1185705249">
    <w:abstractNumId w:val="58"/>
  </w:num>
  <w:num w:numId="200" w16cid:durableId="27071667">
    <w:abstractNumId w:val="220"/>
  </w:num>
  <w:num w:numId="201" w16cid:durableId="1971402182">
    <w:abstractNumId w:val="113"/>
  </w:num>
  <w:num w:numId="202" w16cid:durableId="1495023206">
    <w:abstractNumId w:val="31"/>
  </w:num>
  <w:num w:numId="203" w16cid:durableId="1962374464">
    <w:abstractNumId w:val="58"/>
  </w:num>
  <w:num w:numId="204" w16cid:durableId="380981187">
    <w:abstractNumId w:val="58"/>
  </w:num>
  <w:num w:numId="205" w16cid:durableId="1444693778">
    <w:abstractNumId w:val="58"/>
  </w:num>
  <w:num w:numId="206" w16cid:durableId="384792949">
    <w:abstractNumId w:val="89"/>
  </w:num>
  <w:num w:numId="207" w16cid:durableId="679700153">
    <w:abstractNumId w:val="14"/>
  </w:num>
  <w:num w:numId="208" w16cid:durableId="1810590290">
    <w:abstractNumId w:val="123"/>
  </w:num>
  <w:num w:numId="209" w16cid:durableId="982583811">
    <w:abstractNumId w:val="142"/>
  </w:num>
  <w:num w:numId="210" w16cid:durableId="798500634">
    <w:abstractNumId w:val="217"/>
  </w:num>
  <w:num w:numId="211" w16cid:durableId="1826042235">
    <w:abstractNumId w:val="191"/>
  </w:num>
  <w:num w:numId="212" w16cid:durableId="2006663431">
    <w:abstractNumId w:val="184"/>
  </w:num>
  <w:num w:numId="213" w16cid:durableId="734855443">
    <w:abstractNumId w:val="156"/>
  </w:num>
  <w:num w:numId="214" w16cid:durableId="1565097466">
    <w:abstractNumId w:val="98"/>
  </w:num>
  <w:num w:numId="215" w16cid:durableId="204029370">
    <w:abstractNumId w:val="103"/>
  </w:num>
  <w:num w:numId="216" w16cid:durableId="60384881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2096391226">
    <w:abstractNumId w:val="5"/>
  </w:num>
  <w:num w:numId="218" w16cid:durableId="988704258">
    <w:abstractNumId w:val="119"/>
  </w:num>
  <w:num w:numId="219" w16cid:durableId="1128278582">
    <w:abstractNumId w:val="218"/>
  </w:num>
  <w:num w:numId="220" w16cid:durableId="474372352">
    <w:abstractNumId w:val="19"/>
  </w:num>
  <w:num w:numId="221" w16cid:durableId="1643579080">
    <w:abstractNumId w:val="221"/>
  </w:num>
  <w:num w:numId="222" w16cid:durableId="928001134">
    <w:abstractNumId w:val="223"/>
  </w:num>
  <w:num w:numId="223" w16cid:durableId="5452096">
    <w:abstractNumId w:val="39"/>
  </w:num>
  <w:num w:numId="224" w16cid:durableId="734933761">
    <w:abstractNumId w:val="182"/>
  </w:num>
  <w:num w:numId="225" w16cid:durableId="616722674">
    <w:abstractNumId w:val="65"/>
  </w:num>
  <w:num w:numId="226" w16cid:durableId="2012097534">
    <w:abstractNumId w:val="58"/>
  </w:num>
  <w:num w:numId="227" w16cid:durableId="766773822">
    <w:abstractNumId w:val="77"/>
  </w:num>
  <w:num w:numId="228" w16cid:durableId="868643713">
    <w:abstractNumId w:val="80"/>
  </w:num>
  <w:num w:numId="229" w16cid:durableId="395396191">
    <w:abstractNumId w:val="109"/>
  </w:num>
  <w:num w:numId="230" w16cid:durableId="1156191541">
    <w:abstractNumId w:val="107"/>
  </w:num>
  <w:num w:numId="231" w16cid:durableId="565797734">
    <w:abstractNumId w:val="82"/>
  </w:num>
  <w:num w:numId="232" w16cid:durableId="1898709290">
    <w:abstractNumId w:val="102"/>
  </w:num>
  <w:num w:numId="233" w16cid:durableId="744642399">
    <w:abstractNumId w:val="171"/>
  </w:num>
  <w:num w:numId="234" w16cid:durableId="590969154">
    <w:abstractNumId w:val="32"/>
  </w:num>
  <w:num w:numId="235" w16cid:durableId="585647192">
    <w:abstractNumId w:val="118"/>
  </w:num>
  <w:num w:numId="236" w16cid:durableId="1555770651">
    <w:abstractNumId w:val="199"/>
  </w:num>
  <w:num w:numId="237" w16cid:durableId="217519581">
    <w:abstractNumId w:val="66"/>
  </w:num>
  <w:num w:numId="238" w16cid:durableId="980233254">
    <w:abstractNumId w:val="146"/>
  </w:num>
  <w:num w:numId="239" w16cid:durableId="1609316519">
    <w:abstractNumId w:val="178"/>
  </w:num>
  <w:num w:numId="240" w16cid:durableId="19746425">
    <w:abstractNumId w:val="22"/>
  </w:num>
  <w:num w:numId="241" w16cid:durableId="637612658">
    <w:abstractNumId w:val="175"/>
  </w:num>
  <w:num w:numId="242" w16cid:durableId="1882785625">
    <w:abstractNumId w:val="91"/>
  </w:num>
  <w:num w:numId="243" w16cid:durableId="344283558">
    <w:abstractNumId w:val="186"/>
  </w:num>
  <w:num w:numId="244" w16cid:durableId="335694221">
    <w:abstractNumId w:val="192"/>
  </w:num>
  <w:num w:numId="245" w16cid:durableId="902913948">
    <w:abstractNumId w:val="85"/>
  </w:num>
  <w:num w:numId="246" w16cid:durableId="1719163635">
    <w:abstractNumId w:val="121"/>
  </w:num>
  <w:num w:numId="247" w16cid:durableId="1389299897">
    <w:abstractNumId w:val="78"/>
  </w:num>
  <w:num w:numId="248" w16cid:durableId="1219631746">
    <w:abstractNumId w:val="167"/>
  </w:num>
  <w:num w:numId="249" w16cid:durableId="1704095141">
    <w:abstractNumId w:val="166"/>
  </w:num>
  <w:num w:numId="250" w16cid:durableId="1402408137">
    <w:abstractNumId w:val="144"/>
  </w:num>
  <w:num w:numId="251" w16cid:durableId="1589342967">
    <w:abstractNumId w:val="33"/>
  </w:num>
  <w:num w:numId="252" w16cid:durableId="901983130">
    <w:abstractNumId w:val="92"/>
  </w:num>
  <w:num w:numId="253" w16cid:durableId="1662153139">
    <w:abstractNumId w:val="92"/>
  </w:num>
  <w:num w:numId="254" w16cid:durableId="1070154111">
    <w:abstractNumId w:val="92"/>
  </w:num>
  <w:num w:numId="255" w16cid:durableId="1356955134">
    <w:abstractNumId w:val="132"/>
  </w:num>
  <w:num w:numId="256" w16cid:durableId="259870877">
    <w:abstractNumId w:val="179"/>
  </w:num>
  <w:num w:numId="257" w16cid:durableId="1496409235">
    <w:abstractNumId w:val="169"/>
  </w:num>
  <w:num w:numId="258" w16cid:durableId="520320397">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803693285">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496070591">
    <w:abstractNumId w:val="198"/>
  </w:num>
  <w:num w:numId="261" w16cid:durableId="15873644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87186866">
    <w:abstractNumId w:val="225"/>
  </w:num>
  <w:num w:numId="263" w16cid:durableId="408617867">
    <w:abstractNumId w:val="28"/>
  </w:num>
  <w:num w:numId="264" w16cid:durableId="835262330">
    <w:abstractNumId w:val="46"/>
  </w:num>
  <w:num w:numId="265" w16cid:durableId="1835610576">
    <w:abstractNumId w:val="26"/>
  </w:num>
  <w:num w:numId="266" w16cid:durableId="889539196">
    <w:abstractNumId w:val="90"/>
  </w:num>
  <w:num w:numId="267" w16cid:durableId="1892575374">
    <w:abstractNumId w:val="124"/>
  </w:num>
  <w:num w:numId="268" w16cid:durableId="1026712404">
    <w:abstractNumId w:val="10"/>
  </w:num>
  <w:num w:numId="269" w16cid:durableId="449589980">
    <w:abstractNumId w:val="30"/>
  </w:num>
  <w:num w:numId="270" w16cid:durableId="2021157015">
    <w:abstractNumId w:val="7"/>
  </w:num>
  <w:num w:numId="271" w16cid:durableId="1547445978">
    <w:abstractNumId w:val="141"/>
  </w:num>
  <w:num w:numId="272" w16cid:durableId="2065566185">
    <w:abstractNumId w:val="159"/>
  </w:num>
  <w:num w:numId="273" w16cid:durableId="237256223">
    <w:abstractNumId w:val="214"/>
  </w:num>
  <w:num w:numId="274" w16cid:durableId="551038932">
    <w:abstractNumId w:val="49"/>
  </w:num>
  <w:num w:numId="275" w16cid:durableId="466244015">
    <w:abstractNumId w:val="147"/>
  </w:num>
  <w:num w:numId="276" w16cid:durableId="220748649">
    <w:abstractNumId w:val="125"/>
  </w:num>
  <w:num w:numId="277" w16cid:durableId="645471508">
    <w:abstractNumId w:val="231"/>
  </w:num>
  <w:num w:numId="278" w16cid:durableId="2049914">
    <w:abstractNumId w:val="51"/>
  </w:num>
  <w:num w:numId="279" w16cid:durableId="1999648535">
    <w:abstractNumId w:val="193"/>
  </w:num>
  <w:num w:numId="280" w16cid:durableId="930118629">
    <w:abstractNumId w:val="41"/>
  </w:num>
  <w:num w:numId="281" w16cid:durableId="702940775">
    <w:abstractNumId w:val="8"/>
  </w:num>
  <w:num w:numId="282" w16cid:durableId="1739554029">
    <w:abstractNumId w:val="222"/>
  </w:num>
  <w:num w:numId="283" w16cid:durableId="1885170230">
    <w:abstractNumId w:val="213"/>
  </w:num>
  <w:num w:numId="284" w16cid:durableId="88159698">
    <w:abstractNumId w:val="105"/>
  </w:num>
  <w:num w:numId="285" w16cid:durableId="1074354646">
    <w:abstractNumId w:val="53"/>
  </w:num>
  <w:num w:numId="286" w16cid:durableId="1386835097">
    <w:abstractNumId w:val="57"/>
  </w:num>
  <w:num w:numId="287" w16cid:durableId="1332878534">
    <w:abstractNumId w:val="120"/>
  </w:num>
  <w:num w:numId="288" w16cid:durableId="296616485">
    <w:abstractNumId w:val="114"/>
  </w:num>
  <w:num w:numId="289" w16cid:durableId="1782384482">
    <w:abstractNumId w:val="108"/>
  </w:num>
  <w:num w:numId="290" w16cid:durableId="342516787">
    <w:abstractNumId w:val="60"/>
  </w:num>
  <w:num w:numId="291" w16cid:durableId="1882814768">
    <w:abstractNumId w:val="134"/>
  </w:num>
  <w:num w:numId="292" w16cid:durableId="1467972048">
    <w:abstractNumId w:val="200"/>
  </w:num>
  <w:num w:numId="293" w16cid:durableId="1529560077">
    <w:abstractNumId w:val="185"/>
  </w:num>
  <w:num w:numId="294" w16cid:durableId="1955094838">
    <w:abstractNumId w:val="189"/>
  </w:num>
  <w:num w:numId="295" w16cid:durableId="578443043">
    <w:abstractNumId w:val="71"/>
  </w:num>
  <w:num w:numId="296" w16cid:durableId="597906013">
    <w:abstractNumId w:val="204"/>
  </w:num>
  <w:num w:numId="297" w16cid:durableId="1205143617">
    <w:abstractNumId w:val="99"/>
  </w:num>
  <w:num w:numId="298" w16cid:durableId="1833640357">
    <w:abstractNumId w:val="195"/>
  </w:num>
  <w:num w:numId="299" w16cid:durableId="1561556732">
    <w:abstractNumId w:val="126"/>
  </w:num>
  <w:num w:numId="300" w16cid:durableId="505631718">
    <w:abstractNumId w:val="150"/>
    <w:lvlOverride w:ilvl="0"/>
    <w:lvlOverride w:ilvl="1">
      <w:startOverride w:val="1"/>
    </w:lvlOverride>
    <w:lvlOverride w:ilvl="2"/>
    <w:lvlOverride w:ilvl="3"/>
    <w:lvlOverride w:ilvl="4"/>
    <w:lvlOverride w:ilvl="5"/>
    <w:lvlOverride w:ilvl="6"/>
    <w:lvlOverride w:ilvl="7"/>
    <w:lvlOverride w:ilvl="8"/>
  </w:num>
  <w:num w:numId="301" w16cid:durableId="1486505191">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10"/>
    <w:rsid w:val="00002E32"/>
    <w:rsid w:val="00012EF3"/>
    <w:rsid w:val="0003338C"/>
    <w:rsid w:val="00052532"/>
    <w:rsid w:val="0007729C"/>
    <w:rsid w:val="00081A0B"/>
    <w:rsid w:val="00086C16"/>
    <w:rsid w:val="00095408"/>
    <w:rsid w:val="00096E2F"/>
    <w:rsid w:val="000A2AD8"/>
    <w:rsid w:val="000B3390"/>
    <w:rsid w:val="000B3ECD"/>
    <w:rsid w:val="000B45B0"/>
    <w:rsid w:val="000C0E67"/>
    <w:rsid w:val="000C51EB"/>
    <w:rsid w:val="000D2CC5"/>
    <w:rsid w:val="000E083F"/>
    <w:rsid w:val="000E4953"/>
    <w:rsid w:val="000E50C4"/>
    <w:rsid w:val="00111672"/>
    <w:rsid w:val="00116C78"/>
    <w:rsid w:val="00121970"/>
    <w:rsid w:val="00124735"/>
    <w:rsid w:val="001310BC"/>
    <w:rsid w:val="00151BE4"/>
    <w:rsid w:val="0016454D"/>
    <w:rsid w:val="00164AB4"/>
    <w:rsid w:val="0017419A"/>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42A4"/>
    <w:rsid w:val="002C5CD1"/>
    <w:rsid w:val="002D6061"/>
    <w:rsid w:val="002F61BB"/>
    <w:rsid w:val="00304D62"/>
    <w:rsid w:val="00321F61"/>
    <w:rsid w:val="0032366B"/>
    <w:rsid w:val="0032589B"/>
    <w:rsid w:val="00326754"/>
    <w:rsid w:val="0033772D"/>
    <w:rsid w:val="00355A1C"/>
    <w:rsid w:val="00357A4E"/>
    <w:rsid w:val="0036700A"/>
    <w:rsid w:val="00372DFC"/>
    <w:rsid w:val="003751AD"/>
    <w:rsid w:val="00376C55"/>
    <w:rsid w:val="003932C1"/>
    <w:rsid w:val="00393D7F"/>
    <w:rsid w:val="003A172A"/>
    <w:rsid w:val="003E102B"/>
    <w:rsid w:val="003E4C28"/>
    <w:rsid w:val="003F6FD2"/>
    <w:rsid w:val="003F79E6"/>
    <w:rsid w:val="0040096A"/>
    <w:rsid w:val="00405D90"/>
    <w:rsid w:val="004157F3"/>
    <w:rsid w:val="00417791"/>
    <w:rsid w:val="00425EF9"/>
    <w:rsid w:val="00434529"/>
    <w:rsid w:val="0043723E"/>
    <w:rsid w:val="00443273"/>
    <w:rsid w:val="0046145A"/>
    <w:rsid w:val="0047448E"/>
    <w:rsid w:val="00474B54"/>
    <w:rsid w:val="00475F09"/>
    <w:rsid w:val="00483AA9"/>
    <w:rsid w:val="004949AC"/>
    <w:rsid w:val="00496767"/>
    <w:rsid w:val="004A3B3B"/>
    <w:rsid w:val="004B5F95"/>
    <w:rsid w:val="004B735F"/>
    <w:rsid w:val="004C3C09"/>
    <w:rsid w:val="004D0716"/>
    <w:rsid w:val="004E1A73"/>
    <w:rsid w:val="004E372E"/>
    <w:rsid w:val="005020C0"/>
    <w:rsid w:val="0050242D"/>
    <w:rsid w:val="00531F46"/>
    <w:rsid w:val="005327AD"/>
    <w:rsid w:val="00541BD5"/>
    <w:rsid w:val="00546099"/>
    <w:rsid w:val="00555315"/>
    <w:rsid w:val="00570897"/>
    <w:rsid w:val="0057131B"/>
    <w:rsid w:val="0057400F"/>
    <w:rsid w:val="00577491"/>
    <w:rsid w:val="00580EEB"/>
    <w:rsid w:val="00584116"/>
    <w:rsid w:val="00591328"/>
    <w:rsid w:val="005A126D"/>
    <w:rsid w:val="005B2566"/>
    <w:rsid w:val="005C5279"/>
    <w:rsid w:val="005D3243"/>
    <w:rsid w:val="005D5AB8"/>
    <w:rsid w:val="005E4C5E"/>
    <w:rsid w:val="005F4AB9"/>
    <w:rsid w:val="005F7477"/>
    <w:rsid w:val="006277CC"/>
    <w:rsid w:val="00632077"/>
    <w:rsid w:val="00642CE2"/>
    <w:rsid w:val="00665F4E"/>
    <w:rsid w:val="00681B11"/>
    <w:rsid w:val="006827D4"/>
    <w:rsid w:val="00683AE8"/>
    <w:rsid w:val="00695A00"/>
    <w:rsid w:val="006A352F"/>
    <w:rsid w:val="006C1571"/>
    <w:rsid w:val="006C57D3"/>
    <w:rsid w:val="006C5E0F"/>
    <w:rsid w:val="006C5EF9"/>
    <w:rsid w:val="006D2EEF"/>
    <w:rsid w:val="006D4B64"/>
    <w:rsid w:val="006E1646"/>
    <w:rsid w:val="006F00E1"/>
    <w:rsid w:val="006F3A6F"/>
    <w:rsid w:val="006F7F01"/>
    <w:rsid w:val="00725BF8"/>
    <w:rsid w:val="00730DE1"/>
    <w:rsid w:val="00737DF9"/>
    <w:rsid w:val="007505CF"/>
    <w:rsid w:val="00771445"/>
    <w:rsid w:val="00783C45"/>
    <w:rsid w:val="00785F50"/>
    <w:rsid w:val="00793939"/>
    <w:rsid w:val="007956E0"/>
    <w:rsid w:val="007B0136"/>
    <w:rsid w:val="007C03B1"/>
    <w:rsid w:val="007C64F6"/>
    <w:rsid w:val="007F1F01"/>
    <w:rsid w:val="00821FB1"/>
    <w:rsid w:val="008254D2"/>
    <w:rsid w:val="00875E09"/>
    <w:rsid w:val="008827A2"/>
    <w:rsid w:val="00884A0A"/>
    <w:rsid w:val="00884A63"/>
    <w:rsid w:val="00885882"/>
    <w:rsid w:val="00887021"/>
    <w:rsid w:val="008959FF"/>
    <w:rsid w:val="008A017A"/>
    <w:rsid w:val="008A0CAD"/>
    <w:rsid w:val="008A683F"/>
    <w:rsid w:val="008B0FBE"/>
    <w:rsid w:val="008B4771"/>
    <w:rsid w:val="008C6287"/>
    <w:rsid w:val="008D2A6E"/>
    <w:rsid w:val="00904640"/>
    <w:rsid w:val="00911BEF"/>
    <w:rsid w:val="00914EB8"/>
    <w:rsid w:val="0092703F"/>
    <w:rsid w:val="009401C8"/>
    <w:rsid w:val="00942CB0"/>
    <w:rsid w:val="009524DD"/>
    <w:rsid w:val="00956AFD"/>
    <w:rsid w:val="0097610C"/>
    <w:rsid w:val="009825D6"/>
    <w:rsid w:val="00990404"/>
    <w:rsid w:val="009A5C0C"/>
    <w:rsid w:val="009B3317"/>
    <w:rsid w:val="009B5BE4"/>
    <w:rsid w:val="009D3404"/>
    <w:rsid w:val="009E0F71"/>
    <w:rsid w:val="009E5123"/>
    <w:rsid w:val="009F3EBB"/>
    <w:rsid w:val="009F5B93"/>
    <w:rsid w:val="00A22012"/>
    <w:rsid w:val="00A23095"/>
    <w:rsid w:val="00A23AD2"/>
    <w:rsid w:val="00A23F4B"/>
    <w:rsid w:val="00A2751A"/>
    <w:rsid w:val="00A4142A"/>
    <w:rsid w:val="00A533D8"/>
    <w:rsid w:val="00A5354C"/>
    <w:rsid w:val="00A628C6"/>
    <w:rsid w:val="00A953AC"/>
    <w:rsid w:val="00A968A9"/>
    <w:rsid w:val="00AB2A14"/>
    <w:rsid w:val="00AB3A47"/>
    <w:rsid w:val="00AB7545"/>
    <w:rsid w:val="00AD694F"/>
    <w:rsid w:val="00AE4741"/>
    <w:rsid w:val="00AE5C82"/>
    <w:rsid w:val="00AE75AC"/>
    <w:rsid w:val="00AE774B"/>
    <w:rsid w:val="00B10ED3"/>
    <w:rsid w:val="00B11DF8"/>
    <w:rsid w:val="00B344D8"/>
    <w:rsid w:val="00B4276B"/>
    <w:rsid w:val="00B47AF2"/>
    <w:rsid w:val="00B549AA"/>
    <w:rsid w:val="00B71AD4"/>
    <w:rsid w:val="00B72EA2"/>
    <w:rsid w:val="00B82609"/>
    <w:rsid w:val="00B87DBC"/>
    <w:rsid w:val="00B9253F"/>
    <w:rsid w:val="00BA3D59"/>
    <w:rsid w:val="00BA3F68"/>
    <w:rsid w:val="00BB7638"/>
    <w:rsid w:val="00BC4FE7"/>
    <w:rsid w:val="00BD4B57"/>
    <w:rsid w:val="00BDE510"/>
    <w:rsid w:val="00BE3D00"/>
    <w:rsid w:val="00C16DB1"/>
    <w:rsid w:val="00C175F1"/>
    <w:rsid w:val="00C22F1A"/>
    <w:rsid w:val="00C27BAD"/>
    <w:rsid w:val="00C37F49"/>
    <w:rsid w:val="00C431E3"/>
    <w:rsid w:val="00C718D3"/>
    <w:rsid w:val="00C937F1"/>
    <w:rsid w:val="00C94070"/>
    <w:rsid w:val="00CA03F1"/>
    <w:rsid w:val="00CA24E9"/>
    <w:rsid w:val="00CB2A05"/>
    <w:rsid w:val="00CB5771"/>
    <w:rsid w:val="00CC0A94"/>
    <w:rsid w:val="00CC3175"/>
    <w:rsid w:val="00CC359C"/>
    <w:rsid w:val="00CE06F0"/>
    <w:rsid w:val="00CE3480"/>
    <w:rsid w:val="00CE3C84"/>
    <w:rsid w:val="00CE7459"/>
    <w:rsid w:val="00CF6F31"/>
    <w:rsid w:val="00CF774B"/>
    <w:rsid w:val="00D15A3F"/>
    <w:rsid w:val="00D31247"/>
    <w:rsid w:val="00D3361A"/>
    <w:rsid w:val="00D34E5E"/>
    <w:rsid w:val="00D609F8"/>
    <w:rsid w:val="00D614E0"/>
    <w:rsid w:val="00D641C3"/>
    <w:rsid w:val="00D64B10"/>
    <w:rsid w:val="00D86983"/>
    <w:rsid w:val="00D87DFB"/>
    <w:rsid w:val="00D90C9C"/>
    <w:rsid w:val="00D91C51"/>
    <w:rsid w:val="00DB167B"/>
    <w:rsid w:val="00DB2112"/>
    <w:rsid w:val="00DD34EA"/>
    <w:rsid w:val="00DD4447"/>
    <w:rsid w:val="00DE2291"/>
    <w:rsid w:val="00DE5715"/>
    <w:rsid w:val="00DF1BA2"/>
    <w:rsid w:val="00DF2D99"/>
    <w:rsid w:val="00E03DC5"/>
    <w:rsid w:val="00E0411D"/>
    <w:rsid w:val="00E11B70"/>
    <w:rsid w:val="00E1268F"/>
    <w:rsid w:val="00E12A97"/>
    <w:rsid w:val="00E13912"/>
    <w:rsid w:val="00E15E6E"/>
    <w:rsid w:val="00E16021"/>
    <w:rsid w:val="00E16374"/>
    <w:rsid w:val="00E22C47"/>
    <w:rsid w:val="00E376B0"/>
    <w:rsid w:val="00EC156B"/>
    <w:rsid w:val="00ED6B02"/>
    <w:rsid w:val="00EE30B2"/>
    <w:rsid w:val="00EF1EFE"/>
    <w:rsid w:val="00EF5B83"/>
    <w:rsid w:val="00F04D9A"/>
    <w:rsid w:val="00F074E5"/>
    <w:rsid w:val="00F1645C"/>
    <w:rsid w:val="00F406E1"/>
    <w:rsid w:val="00F55061"/>
    <w:rsid w:val="00F61ED3"/>
    <w:rsid w:val="00F70BE6"/>
    <w:rsid w:val="00F83180"/>
    <w:rsid w:val="00F8598D"/>
    <w:rsid w:val="00F86B79"/>
    <w:rsid w:val="00F87AA6"/>
    <w:rsid w:val="00FB1DE9"/>
    <w:rsid w:val="00FB425E"/>
    <w:rsid w:val="00FB6BAE"/>
    <w:rsid w:val="00FC49FC"/>
    <w:rsid w:val="00FD00F2"/>
    <w:rsid w:val="00FD0421"/>
    <w:rsid w:val="00FD67E1"/>
    <w:rsid w:val="00FE208B"/>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sv-SE"/>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958948352">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107</Pages>
  <Words>37348</Words>
  <Characters>212889</Characters>
  <Application>Microsoft Office Word</Application>
  <DocSecurity>4</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 Erik</dc:creator>
  <cp:keywords/>
  <cp:lastModifiedBy>Kornelia Wilinska</cp:lastModifiedBy>
  <cp:revision>2</cp:revision>
  <dcterms:created xsi:type="dcterms:W3CDTF">2025-10-10T13:06:00Z</dcterms:created>
  <dcterms:modified xsi:type="dcterms:W3CDTF">2025-10-10T13:06:00Z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