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1B2AE" w14:textId="77777777" w:rsidR="00534D9A" w:rsidRDefault="00534D9A">
      <w:pPr>
        <w:pStyle w:val="abbreviation"/>
      </w:pPr>
    </w:p>
    <w:p w14:paraId="7FE1B2AF" w14:textId="77777777" w:rsidR="00534D9A" w:rsidRDefault="003243B2">
      <w:pPr>
        <w:pStyle w:val="P68B1DB1-ListParagraph1"/>
        <w:jc w:val="center"/>
        <w:rPr>
          <w:bCs/>
        </w:rPr>
      </w:pPr>
      <w:r>
        <w:t>Anness II: Struzzjonijiet</w:t>
      </w:r>
    </w:p>
    <w:p w14:paraId="7FE1B2B0" w14:textId="77777777" w:rsidR="00534D9A" w:rsidRDefault="00534D9A">
      <w:pPr>
        <w:rPr>
          <w:rFonts w:ascii="Times New Roman" w:hAnsi="Times New Roman" w:cs="Times New Roman"/>
          <w:b/>
          <w:color w:val="000000" w:themeColor="text1"/>
          <w:sz w:val="20"/>
          <w:szCs w:val="20"/>
        </w:rPr>
      </w:pPr>
    </w:p>
    <w:p w14:paraId="7FE1B2B1" w14:textId="77777777" w:rsidR="00534D9A" w:rsidRDefault="00534D9A">
      <w:pPr>
        <w:rPr>
          <w:rFonts w:ascii="Times New Roman" w:hAnsi="Times New Roman" w:cs="Times New Roman"/>
          <w:b/>
          <w:color w:val="000000" w:themeColor="text1"/>
          <w:sz w:val="20"/>
          <w:szCs w:val="20"/>
        </w:rPr>
      </w:pPr>
    </w:p>
    <w:p w14:paraId="0406A04B" w14:textId="49B1880D" w:rsidR="003243B2" w:rsidRDefault="003243B2">
      <w:pPr>
        <w:pStyle w:val="TOC2"/>
        <w:rPr>
          <w:noProof/>
          <w:kern w:val="2"/>
          <w:sz w:val="24"/>
          <w:szCs w:val="24"/>
          <w:lang w:val="en-GB"/>
          <w14:ligatures w14:val="standardContextual"/>
        </w:rPr>
      </w:pPr>
      <w:r>
        <w:fldChar w:fldCharType="begin"/>
      </w:r>
      <w:r>
        <w:rPr>
          <w:bCs/>
          <w:sz w:val="20"/>
          <w:szCs w:val="20"/>
        </w:rPr>
        <w:instrText xml:space="preserve"> TOC \o "1-3" \h \z \t "Numbered tile level 1,1,Numbered title level 2,2" </w:instrText>
      </w:r>
      <w:r>
        <w:fldChar w:fldCharType="separate"/>
      </w:r>
      <w:hyperlink w:anchor="_Toc208244984" w:history="1">
        <w:r w:rsidRPr="00FF76E2">
          <w:rPr>
            <w:rStyle w:val="Hyperlink"/>
            <w:noProof/>
          </w:rPr>
          <w:t>I.</w:t>
        </w:r>
        <w:r>
          <w:rPr>
            <w:noProof/>
            <w:kern w:val="2"/>
            <w:sz w:val="24"/>
            <w:szCs w:val="24"/>
            <w:lang w:val="en-GB"/>
            <w14:ligatures w14:val="standardContextual"/>
          </w:rPr>
          <w:tab/>
        </w:r>
        <w:r w:rsidRPr="00FF76E2">
          <w:rPr>
            <w:rStyle w:val="Hyperlink"/>
            <w:noProof/>
          </w:rPr>
          <w:t>Istruzzjonijiet ġenerali</w:t>
        </w:r>
        <w:r>
          <w:rPr>
            <w:noProof/>
            <w:webHidden/>
          </w:rPr>
          <w:tab/>
        </w:r>
        <w:r>
          <w:rPr>
            <w:noProof/>
            <w:webHidden/>
          </w:rPr>
          <w:fldChar w:fldCharType="begin"/>
        </w:r>
        <w:r>
          <w:rPr>
            <w:noProof/>
            <w:webHidden/>
          </w:rPr>
          <w:instrText xml:space="preserve"> PAGEREF _Toc208244984 \h </w:instrText>
        </w:r>
        <w:r>
          <w:rPr>
            <w:noProof/>
            <w:webHidden/>
          </w:rPr>
        </w:r>
        <w:r>
          <w:rPr>
            <w:noProof/>
            <w:webHidden/>
          </w:rPr>
          <w:fldChar w:fldCharType="separate"/>
        </w:r>
        <w:r>
          <w:rPr>
            <w:noProof/>
            <w:webHidden/>
          </w:rPr>
          <w:t>3</w:t>
        </w:r>
        <w:r>
          <w:rPr>
            <w:noProof/>
            <w:webHidden/>
          </w:rPr>
          <w:fldChar w:fldCharType="end"/>
        </w:r>
      </w:hyperlink>
    </w:p>
    <w:p w14:paraId="0D400124" w14:textId="06ECB19E" w:rsidR="003243B2" w:rsidRDefault="003243B2">
      <w:pPr>
        <w:pStyle w:val="TOC2"/>
        <w:rPr>
          <w:noProof/>
          <w:kern w:val="2"/>
          <w:sz w:val="24"/>
          <w:szCs w:val="24"/>
          <w:lang w:val="en-GB"/>
          <w14:ligatures w14:val="standardContextual"/>
        </w:rPr>
      </w:pPr>
      <w:hyperlink w:anchor="_Toc208244985" w:history="1">
        <w:r w:rsidRPr="00FF76E2">
          <w:rPr>
            <w:rStyle w:val="Hyperlink"/>
            <w:noProof/>
          </w:rPr>
          <w:t>I.1</w:t>
        </w:r>
        <w:r>
          <w:rPr>
            <w:noProof/>
            <w:kern w:val="2"/>
            <w:sz w:val="24"/>
            <w:szCs w:val="24"/>
            <w:lang w:val="en-GB"/>
            <w14:ligatures w14:val="standardContextual"/>
          </w:rPr>
          <w:tab/>
        </w:r>
        <w:r w:rsidRPr="00FF76E2">
          <w:rPr>
            <w:rStyle w:val="Hyperlink"/>
            <w:noProof/>
          </w:rPr>
          <w:t>Struttura</w:t>
        </w:r>
        <w:r>
          <w:rPr>
            <w:noProof/>
            <w:webHidden/>
          </w:rPr>
          <w:tab/>
        </w:r>
        <w:r>
          <w:rPr>
            <w:noProof/>
            <w:webHidden/>
          </w:rPr>
          <w:fldChar w:fldCharType="begin"/>
        </w:r>
        <w:r>
          <w:rPr>
            <w:noProof/>
            <w:webHidden/>
          </w:rPr>
          <w:instrText xml:space="preserve"> PAGEREF _Toc208244985 \h </w:instrText>
        </w:r>
        <w:r>
          <w:rPr>
            <w:noProof/>
            <w:webHidden/>
          </w:rPr>
        </w:r>
        <w:r>
          <w:rPr>
            <w:noProof/>
            <w:webHidden/>
          </w:rPr>
          <w:fldChar w:fldCharType="separate"/>
        </w:r>
        <w:r>
          <w:rPr>
            <w:noProof/>
            <w:webHidden/>
          </w:rPr>
          <w:t>3</w:t>
        </w:r>
        <w:r>
          <w:rPr>
            <w:noProof/>
            <w:webHidden/>
          </w:rPr>
          <w:fldChar w:fldCharType="end"/>
        </w:r>
      </w:hyperlink>
    </w:p>
    <w:p w14:paraId="6B7875C7" w14:textId="1D094674" w:rsidR="003243B2" w:rsidRDefault="003243B2">
      <w:pPr>
        <w:pStyle w:val="TOC2"/>
        <w:rPr>
          <w:noProof/>
          <w:kern w:val="2"/>
          <w:sz w:val="24"/>
          <w:szCs w:val="24"/>
          <w:lang w:val="en-GB"/>
          <w14:ligatures w14:val="standardContextual"/>
        </w:rPr>
      </w:pPr>
      <w:hyperlink w:anchor="_Toc208244986" w:history="1">
        <w:r w:rsidRPr="00FF76E2">
          <w:rPr>
            <w:rStyle w:val="Hyperlink"/>
            <w:noProof/>
          </w:rPr>
          <w:t>I.2</w:t>
        </w:r>
        <w:r>
          <w:rPr>
            <w:noProof/>
            <w:kern w:val="2"/>
            <w:sz w:val="24"/>
            <w:szCs w:val="24"/>
            <w:lang w:val="en-GB"/>
            <w14:ligatures w14:val="standardContextual"/>
          </w:rPr>
          <w:tab/>
        </w:r>
        <w:r w:rsidRPr="00FF76E2">
          <w:rPr>
            <w:rStyle w:val="Hyperlink"/>
            <w:noProof/>
          </w:rPr>
          <w:t>Referenzi</w:t>
        </w:r>
        <w:r>
          <w:rPr>
            <w:noProof/>
            <w:webHidden/>
          </w:rPr>
          <w:tab/>
        </w:r>
        <w:r>
          <w:rPr>
            <w:noProof/>
            <w:webHidden/>
          </w:rPr>
          <w:fldChar w:fldCharType="begin"/>
        </w:r>
        <w:r>
          <w:rPr>
            <w:noProof/>
            <w:webHidden/>
          </w:rPr>
          <w:instrText xml:space="preserve"> PAGEREF _Toc208244986 \h </w:instrText>
        </w:r>
        <w:r>
          <w:rPr>
            <w:noProof/>
            <w:webHidden/>
          </w:rPr>
        </w:r>
        <w:r>
          <w:rPr>
            <w:noProof/>
            <w:webHidden/>
          </w:rPr>
          <w:fldChar w:fldCharType="separate"/>
        </w:r>
        <w:r>
          <w:rPr>
            <w:noProof/>
            <w:webHidden/>
          </w:rPr>
          <w:t>4</w:t>
        </w:r>
        <w:r>
          <w:rPr>
            <w:noProof/>
            <w:webHidden/>
          </w:rPr>
          <w:fldChar w:fldCharType="end"/>
        </w:r>
      </w:hyperlink>
    </w:p>
    <w:p w14:paraId="074B39E0" w14:textId="4B6DF2D6" w:rsidR="003243B2" w:rsidRDefault="003243B2">
      <w:pPr>
        <w:pStyle w:val="TOC2"/>
        <w:rPr>
          <w:noProof/>
          <w:kern w:val="2"/>
          <w:sz w:val="24"/>
          <w:szCs w:val="24"/>
          <w:lang w:val="en-GB"/>
          <w14:ligatures w14:val="standardContextual"/>
        </w:rPr>
      </w:pPr>
      <w:hyperlink w:anchor="_Toc208244987" w:history="1">
        <w:r w:rsidRPr="00FF76E2">
          <w:rPr>
            <w:rStyle w:val="Hyperlink"/>
            <w:noProof/>
          </w:rPr>
          <w:t>I.3</w:t>
        </w:r>
        <w:r>
          <w:rPr>
            <w:noProof/>
            <w:kern w:val="2"/>
            <w:sz w:val="24"/>
            <w:szCs w:val="24"/>
            <w:lang w:val="en-GB"/>
            <w14:ligatures w14:val="standardContextual"/>
          </w:rPr>
          <w:tab/>
        </w:r>
        <w:r w:rsidRPr="00FF76E2">
          <w:rPr>
            <w:rStyle w:val="Hyperlink"/>
            <w:noProof/>
          </w:rPr>
          <w:t>Standards kontabilistiċi</w:t>
        </w:r>
        <w:r>
          <w:rPr>
            <w:noProof/>
            <w:webHidden/>
          </w:rPr>
          <w:tab/>
        </w:r>
        <w:r>
          <w:rPr>
            <w:noProof/>
            <w:webHidden/>
          </w:rPr>
          <w:fldChar w:fldCharType="begin"/>
        </w:r>
        <w:r>
          <w:rPr>
            <w:noProof/>
            <w:webHidden/>
          </w:rPr>
          <w:instrText xml:space="preserve"> PAGEREF _Toc208244987 \h </w:instrText>
        </w:r>
        <w:r>
          <w:rPr>
            <w:noProof/>
            <w:webHidden/>
          </w:rPr>
        </w:r>
        <w:r>
          <w:rPr>
            <w:noProof/>
            <w:webHidden/>
          </w:rPr>
          <w:fldChar w:fldCharType="separate"/>
        </w:r>
        <w:r>
          <w:rPr>
            <w:noProof/>
            <w:webHidden/>
          </w:rPr>
          <w:t>5</w:t>
        </w:r>
        <w:r>
          <w:rPr>
            <w:noProof/>
            <w:webHidden/>
          </w:rPr>
          <w:fldChar w:fldCharType="end"/>
        </w:r>
      </w:hyperlink>
    </w:p>
    <w:p w14:paraId="6BF7ED1C" w14:textId="1A1112C2" w:rsidR="003243B2" w:rsidRDefault="003243B2">
      <w:pPr>
        <w:pStyle w:val="TOC2"/>
        <w:rPr>
          <w:noProof/>
          <w:kern w:val="2"/>
          <w:sz w:val="24"/>
          <w:szCs w:val="24"/>
          <w:lang w:val="en-GB"/>
          <w14:ligatures w14:val="standardContextual"/>
        </w:rPr>
      </w:pPr>
      <w:hyperlink w:anchor="_Toc208244988" w:history="1">
        <w:r w:rsidRPr="00FF76E2">
          <w:rPr>
            <w:rStyle w:val="Hyperlink"/>
            <w:noProof/>
          </w:rPr>
          <w:t>I.4</w:t>
        </w:r>
        <w:r>
          <w:rPr>
            <w:noProof/>
            <w:kern w:val="2"/>
            <w:sz w:val="24"/>
            <w:szCs w:val="24"/>
            <w:lang w:val="en-GB"/>
            <w14:ligatures w14:val="standardContextual"/>
          </w:rPr>
          <w:tab/>
        </w:r>
        <w:r w:rsidRPr="00FF76E2">
          <w:rPr>
            <w:rStyle w:val="Hyperlink"/>
            <w:noProof/>
          </w:rPr>
          <w:t>Rapportar ta’ data superviżorja</w:t>
        </w:r>
        <w:r>
          <w:rPr>
            <w:noProof/>
            <w:webHidden/>
          </w:rPr>
          <w:tab/>
        </w:r>
        <w:r>
          <w:rPr>
            <w:noProof/>
            <w:webHidden/>
          </w:rPr>
          <w:fldChar w:fldCharType="begin"/>
        </w:r>
        <w:r>
          <w:rPr>
            <w:noProof/>
            <w:webHidden/>
          </w:rPr>
          <w:instrText xml:space="preserve"> PAGEREF _Toc208244988 \h </w:instrText>
        </w:r>
        <w:r>
          <w:rPr>
            <w:noProof/>
            <w:webHidden/>
          </w:rPr>
        </w:r>
        <w:r>
          <w:rPr>
            <w:noProof/>
            <w:webHidden/>
          </w:rPr>
          <w:fldChar w:fldCharType="separate"/>
        </w:r>
        <w:r>
          <w:rPr>
            <w:noProof/>
            <w:webHidden/>
          </w:rPr>
          <w:t>5</w:t>
        </w:r>
        <w:r>
          <w:rPr>
            <w:noProof/>
            <w:webHidden/>
          </w:rPr>
          <w:fldChar w:fldCharType="end"/>
        </w:r>
      </w:hyperlink>
    </w:p>
    <w:p w14:paraId="215047DB" w14:textId="2E3E5EF1" w:rsidR="003243B2" w:rsidRDefault="003243B2">
      <w:pPr>
        <w:pStyle w:val="TOC2"/>
        <w:rPr>
          <w:noProof/>
          <w:kern w:val="2"/>
          <w:sz w:val="24"/>
          <w:szCs w:val="24"/>
          <w:lang w:val="en-GB"/>
          <w14:ligatures w14:val="standardContextual"/>
        </w:rPr>
      </w:pPr>
      <w:hyperlink w:anchor="_Toc208244989" w:history="1">
        <w:r w:rsidRPr="00FF76E2">
          <w:rPr>
            <w:rStyle w:val="Hyperlink"/>
            <w:noProof/>
          </w:rPr>
          <w:t>I.5</w:t>
        </w:r>
        <w:r>
          <w:rPr>
            <w:noProof/>
            <w:kern w:val="2"/>
            <w:sz w:val="24"/>
            <w:szCs w:val="24"/>
            <w:lang w:val="en-GB"/>
            <w14:ligatures w14:val="standardContextual"/>
          </w:rPr>
          <w:tab/>
        </w:r>
        <w:r w:rsidRPr="00FF76E2">
          <w:rPr>
            <w:rStyle w:val="Hyperlink"/>
            <w:noProof/>
          </w:rPr>
          <w:t>Ambitu tal-konsolidament</w:t>
        </w:r>
        <w:r>
          <w:rPr>
            <w:noProof/>
            <w:webHidden/>
          </w:rPr>
          <w:tab/>
        </w:r>
        <w:r>
          <w:rPr>
            <w:noProof/>
            <w:webHidden/>
          </w:rPr>
          <w:fldChar w:fldCharType="begin"/>
        </w:r>
        <w:r>
          <w:rPr>
            <w:noProof/>
            <w:webHidden/>
          </w:rPr>
          <w:instrText xml:space="preserve"> PAGEREF _Toc208244989 \h </w:instrText>
        </w:r>
        <w:r>
          <w:rPr>
            <w:noProof/>
            <w:webHidden/>
          </w:rPr>
        </w:r>
        <w:r>
          <w:rPr>
            <w:noProof/>
            <w:webHidden/>
          </w:rPr>
          <w:fldChar w:fldCharType="separate"/>
        </w:r>
        <w:r>
          <w:rPr>
            <w:noProof/>
            <w:webHidden/>
          </w:rPr>
          <w:t>6</w:t>
        </w:r>
        <w:r>
          <w:rPr>
            <w:noProof/>
            <w:webHidden/>
          </w:rPr>
          <w:fldChar w:fldCharType="end"/>
        </w:r>
      </w:hyperlink>
    </w:p>
    <w:p w14:paraId="1FE159A1" w14:textId="39809E72" w:rsidR="003243B2" w:rsidRDefault="003243B2">
      <w:pPr>
        <w:pStyle w:val="TOC2"/>
        <w:rPr>
          <w:noProof/>
          <w:kern w:val="2"/>
          <w:sz w:val="24"/>
          <w:szCs w:val="24"/>
          <w:lang w:val="en-GB"/>
          <w14:ligatures w14:val="standardContextual"/>
        </w:rPr>
      </w:pPr>
      <w:hyperlink w:anchor="_Toc208244990" w:history="1">
        <w:r w:rsidRPr="00FF76E2">
          <w:rPr>
            <w:rStyle w:val="Hyperlink"/>
            <w:noProof/>
          </w:rPr>
          <w:t>I.6</w:t>
        </w:r>
        <w:r>
          <w:rPr>
            <w:noProof/>
            <w:kern w:val="2"/>
            <w:sz w:val="24"/>
            <w:szCs w:val="24"/>
            <w:lang w:val="en-GB"/>
            <w14:ligatures w14:val="standardContextual"/>
          </w:rPr>
          <w:tab/>
        </w:r>
        <w:r w:rsidRPr="00FF76E2">
          <w:rPr>
            <w:rStyle w:val="Hyperlink"/>
            <w:noProof/>
          </w:rPr>
          <w:t>Numerazzjoni u konvenzjonijiet oħra</w:t>
        </w:r>
        <w:r>
          <w:rPr>
            <w:noProof/>
            <w:webHidden/>
          </w:rPr>
          <w:tab/>
        </w:r>
        <w:r>
          <w:rPr>
            <w:noProof/>
            <w:webHidden/>
          </w:rPr>
          <w:fldChar w:fldCharType="begin"/>
        </w:r>
        <w:r>
          <w:rPr>
            <w:noProof/>
            <w:webHidden/>
          </w:rPr>
          <w:instrText xml:space="preserve"> PAGEREF _Toc208244990 \h </w:instrText>
        </w:r>
        <w:r>
          <w:rPr>
            <w:noProof/>
            <w:webHidden/>
          </w:rPr>
        </w:r>
        <w:r>
          <w:rPr>
            <w:noProof/>
            <w:webHidden/>
          </w:rPr>
          <w:fldChar w:fldCharType="separate"/>
        </w:r>
        <w:r>
          <w:rPr>
            <w:noProof/>
            <w:webHidden/>
          </w:rPr>
          <w:t>6</w:t>
        </w:r>
        <w:r>
          <w:rPr>
            <w:noProof/>
            <w:webHidden/>
          </w:rPr>
          <w:fldChar w:fldCharType="end"/>
        </w:r>
      </w:hyperlink>
    </w:p>
    <w:p w14:paraId="23382A64" w14:textId="61A560B5" w:rsidR="003243B2" w:rsidRDefault="003243B2">
      <w:pPr>
        <w:pStyle w:val="TOC2"/>
        <w:rPr>
          <w:noProof/>
          <w:kern w:val="2"/>
          <w:sz w:val="24"/>
          <w:szCs w:val="24"/>
          <w:lang w:val="en-GB"/>
          <w14:ligatures w14:val="standardContextual"/>
        </w:rPr>
      </w:pPr>
      <w:hyperlink w:anchor="_Toc208244991" w:history="1">
        <w:r w:rsidRPr="00FF76E2">
          <w:rPr>
            <w:rStyle w:val="Hyperlink"/>
            <w:noProof/>
          </w:rPr>
          <w:t>II.</w:t>
        </w:r>
        <w:r>
          <w:rPr>
            <w:noProof/>
            <w:kern w:val="2"/>
            <w:sz w:val="24"/>
            <w:szCs w:val="24"/>
            <w:lang w:val="en-GB"/>
            <w14:ligatures w14:val="standardContextual"/>
          </w:rPr>
          <w:tab/>
        </w:r>
        <w:r w:rsidRPr="00FF76E2">
          <w:rPr>
            <w:rStyle w:val="Hyperlink"/>
            <w:noProof/>
          </w:rPr>
          <w:t>Struzzjonijiet relatati mal-mudell</w:t>
        </w:r>
        <w:r>
          <w:rPr>
            <w:noProof/>
            <w:webHidden/>
          </w:rPr>
          <w:tab/>
        </w:r>
        <w:r>
          <w:rPr>
            <w:noProof/>
            <w:webHidden/>
          </w:rPr>
          <w:fldChar w:fldCharType="begin"/>
        </w:r>
        <w:r>
          <w:rPr>
            <w:noProof/>
            <w:webHidden/>
          </w:rPr>
          <w:instrText xml:space="preserve"> PAGEREF _Toc208244991 \h </w:instrText>
        </w:r>
        <w:r>
          <w:rPr>
            <w:noProof/>
            <w:webHidden/>
          </w:rPr>
        </w:r>
        <w:r>
          <w:rPr>
            <w:noProof/>
            <w:webHidden/>
          </w:rPr>
          <w:fldChar w:fldCharType="separate"/>
        </w:r>
        <w:r>
          <w:rPr>
            <w:noProof/>
            <w:webHidden/>
          </w:rPr>
          <w:t>6</w:t>
        </w:r>
        <w:r>
          <w:rPr>
            <w:noProof/>
            <w:webHidden/>
          </w:rPr>
          <w:fldChar w:fldCharType="end"/>
        </w:r>
      </w:hyperlink>
    </w:p>
    <w:p w14:paraId="3CBEFAF2" w14:textId="4DF7E41E" w:rsidR="003243B2" w:rsidRDefault="003243B2">
      <w:pPr>
        <w:pStyle w:val="TOC2"/>
        <w:rPr>
          <w:noProof/>
          <w:kern w:val="2"/>
          <w:sz w:val="24"/>
          <w:szCs w:val="24"/>
          <w:lang w:val="en-GB"/>
          <w14:ligatures w14:val="standardContextual"/>
        </w:rPr>
      </w:pPr>
      <w:hyperlink w:anchor="_Toc208244992" w:history="1">
        <w:r w:rsidRPr="00FF76E2">
          <w:rPr>
            <w:rStyle w:val="Hyperlink"/>
            <w:noProof/>
          </w:rPr>
          <w:t>II.1</w:t>
        </w:r>
        <w:r>
          <w:rPr>
            <w:noProof/>
            <w:kern w:val="2"/>
            <w:sz w:val="24"/>
            <w:szCs w:val="24"/>
            <w:lang w:val="en-GB"/>
            <w14:ligatures w14:val="standardContextual"/>
          </w:rPr>
          <w:tab/>
        </w:r>
        <w:r w:rsidRPr="00FF76E2">
          <w:rPr>
            <w:rStyle w:val="Hyperlink"/>
            <w:noProof/>
          </w:rPr>
          <w:t>Z 01.01 — Entitajiet ġuridiċi (ORG 1)</w:t>
        </w:r>
        <w:r>
          <w:rPr>
            <w:noProof/>
            <w:webHidden/>
          </w:rPr>
          <w:tab/>
        </w:r>
        <w:r>
          <w:rPr>
            <w:noProof/>
            <w:webHidden/>
          </w:rPr>
          <w:fldChar w:fldCharType="begin"/>
        </w:r>
        <w:r>
          <w:rPr>
            <w:noProof/>
            <w:webHidden/>
          </w:rPr>
          <w:instrText xml:space="preserve"> PAGEREF _Toc208244992 \h </w:instrText>
        </w:r>
        <w:r>
          <w:rPr>
            <w:noProof/>
            <w:webHidden/>
          </w:rPr>
        </w:r>
        <w:r>
          <w:rPr>
            <w:noProof/>
            <w:webHidden/>
          </w:rPr>
          <w:fldChar w:fldCharType="separate"/>
        </w:r>
        <w:r>
          <w:rPr>
            <w:noProof/>
            <w:webHidden/>
          </w:rPr>
          <w:t>6</w:t>
        </w:r>
        <w:r>
          <w:rPr>
            <w:noProof/>
            <w:webHidden/>
          </w:rPr>
          <w:fldChar w:fldCharType="end"/>
        </w:r>
      </w:hyperlink>
    </w:p>
    <w:p w14:paraId="05ADEDBC" w14:textId="5C286D10" w:rsidR="003243B2" w:rsidRDefault="003243B2">
      <w:pPr>
        <w:pStyle w:val="TOC2"/>
        <w:rPr>
          <w:noProof/>
          <w:kern w:val="2"/>
          <w:sz w:val="24"/>
          <w:szCs w:val="24"/>
          <w:lang w:val="en-GB"/>
          <w14:ligatures w14:val="standardContextual"/>
        </w:rPr>
      </w:pPr>
      <w:hyperlink w:anchor="_Toc208244993" w:history="1">
        <w:r w:rsidRPr="00FF76E2">
          <w:rPr>
            <w:rStyle w:val="Hyperlink"/>
            <w:noProof/>
          </w:rPr>
          <w:t>II.2</w:t>
        </w:r>
        <w:r>
          <w:rPr>
            <w:noProof/>
            <w:kern w:val="2"/>
            <w:sz w:val="24"/>
            <w:szCs w:val="24"/>
            <w:lang w:val="en-GB"/>
            <w14:ligatures w14:val="standardContextual"/>
          </w:rPr>
          <w:tab/>
        </w:r>
        <w:r w:rsidRPr="00FF76E2">
          <w:rPr>
            <w:rStyle w:val="Hyperlink"/>
            <w:noProof/>
          </w:rPr>
          <w:t>Z 01.02 — Struttura tas-sjieda (ORG 2)</w:t>
        </w:r>
        <w:r>
          <w:rPr>
            <w:noProof/>
            <w:webHidden/>
          </w:rPr>
          <w:tab/>
        </w:r>
        <w:r>
          <w:rPr>
            <w:noProof/>
            <w:webHidden/>
          </w:rPr>
          <w:fldChar w:fldCharType="begin"/>
        </w:r>
        <w:r>
          <w:rPr>
            <w:noProof/>
            <w:webHidden/>
          </w:rPr>
          <w:instrText xml:space="preserve"> PAGEREF _Toc208244993 \h </w:instrText>
        </w:r>
        <w:r>
          <w:rPr>
            <w:noProof/>
            <w:webHidden/>
          </w:rPr>
        </w:r>
        <w:r>
          <w:rPr>
            <w:noProof/>
            <w:webHidden/>
          </w:rPr>
          <w:fldChar w:fldCharType="separate"/>
        </w:r>
        <w:r>
          <w:rPr>
            <w:noProof/>
            <w:webHidden/>
          </w:rPr>
          <w:t>10</w:t>
        </w:r>
        <w:r>
          <w:rPr>
            <w:noProof/>
            <w:webHidden/>
          </w:rPr>
          <w:fldChar w:fldCharType="end"/>
        </w:r>
      </w:hyperlink>
    </w:p>
    <w:p w14:paraId="7C85F446" w14:textId="3A267181" w:rsidR="003243B2" w:rsidRDefault="003243B2">
      <w:pPr>
        <w:pStyle w:val="TOC2"/>
        <w:rPr>
          <w:noProof/>
          <w:kern w:val="2"/>
          <w:sz w:val="24"/>
          <w:szCs w:val="24"/>
          <w:lang w:val="en-GB"/>
          <w14:ligatures w14:val="standardContextual"/>
        </w:rPr>
      </w:pPr>
      <w:hyperlink w:anchor="_Toc208244994" w:history="1">
        <w:r w:rsidRPr="00FF76E2">
          <w:rPr>
            <w:rStyle w:val="Hyperlink"/>
            <w:noProof/>
          </w:rPr>
          <w:t>II.3</w:t>
        </w:r>
        <w:r>
          <w:rPr>
            <w:noProof/>
            <w:kern w:val="2"/>
            <w:sz w:val="24"/>
            <w:szCs w:val="24"/>
            <w:lang w:val="en-GB"/>
            <w14:ligatures w14:val="standardContextual"/>
          </w:rPr>
          <w:tab/>
        </w:r>
        <w:r w:rsidRPr="00FF76E2">
          <w:rPr>
            <w:rStyle w:val="Hyperlink"/>
            <w:noProof/>
          </w:rPr>
          <w:t>Z 02.00 — Struttura tal-Obbligazzjonijiet (LIAB 1)</w:t>
        </w:r>
        <w:r>
          <w:rPr>
            <w:noProof/>
            <w:webHidden/>
          </w:rPr>
          <w:tab/>
        </w:r>
        <w:r>
          <w:rPr>
            <w:noProof/>
            <w:webHidden/>
          </w:rPr>
          <w:fldChar w:fldCharType="begin"/>
        </w:r>
        <w:r>
          <w:rPr>
            <w:noProof/>
            <w:webHidden/>
          </w:rPr>
          <w:instrText xml:space="preserve"> PAGEREF _Toc208244994 \h </w:instrText>
        </w:r>
        <w:r>
          <w:rPr>
            <w:noProof/>
            <w:webHidden/>
          </w:rPr>
        </w:r>
        <w:r>
          <w:rPr>
            <w:noProof/>
            <w:webHidden/>
          </w:rPr>
          <w:fldChar w:fldCharType="separate"/>
        </w:r>
        <w:r>
          <w:rPr>
            <w:noProof/>
            <w:webHidden/>
          </w:rPr>
          <w:t>12</w:t>
        </w:r>
        <w:r>
          <w:rPr>
            <w:noProof/>
            <w:webHidden/>
          </w:rPr>
          <w:fldChar w:fldCharType="end"/>
        </w:r>
      </w:hyperlink>
    </w:p>
    <w:p w14:paraId="39F91D5D" w14:textId="15061D0A" w:rsidR="003243B2" w:rsidRDefault="003243B2">
      <w:pPr>
        <w:pStyle w:val="TOC2"/>
        <w:rPr>
          <w:noProof/>
          <w:kern w:val="2"/>
          <w:sz w:val="24"/>
          <w:szCs w:val="24"/>
          <w:lang w:val="en-GB"/>
          <w14:ligatures w14:val="standardContextual"/>
        </w:rPr>
      </w:pPr>
      <w:hyperlink w:anchor="_Toc208244995" w:history="1">
        <w:r w:rsidRPr="00FF76E2">
          <w:rPr>
            <w:rStyle w:val="Hyperlink"/>
            <w:noProof/>
          </w:rPr>
          <w:t>II.4</w:t>
        </w:r>
        <w:r>
          <w:rPr>
            <w:noProof/>
            <w:kern w:val="2"/>
            <w:sz w:val="24"/>
            <w:szCs w:val="24"/>
            <w:lang w:val="en-GB"/>
            <w14:ligatures w14:val="standardContextual"/>
          </w:rPr>
          <w:tab/>
        </w:r>
        <w:r w:rsidRPr="00FF76E2">
          <w:rPr>
            <w:rStyle w:val="Hyperlink"/>
            <w:noProof/>
          </w:rPr>
          <w:t>Z 03.01 — Rekwiżiti ta’ fondi proprji — Istituzzjonijiet ta’ Kreditu (LIAB 2)</w:t>
        </w:r>
        <w:r>
          <w:rPr>
            <w:noProof/>
            <w:webHidden/>
          </w:rPr>
          <w:tab/>
        </w:r>
        <w:r>
          <w:rPr>
            <w:noProof/>
            <w:webHidden/>
          </w:rPr>
          <w:fldChar w:fldCharType="begin"/>
        </w:r>
        <w:r>
          <w:rPr>
            <w:noProof/>
            <w:webHidden/>
          </w:rPr>
          <w:instrText xml:space="preserve"> PAGEREF _Toc208244995 \h </w:instrText>
        </w:r>
        <w:r>
          <w:rPr>
            <w:noProof/>
            <w:webHidden/>
          </w:rPr>
        </w:r>
        <w:r>
          <w:rPr>
            <w:noProof/>
            <w:webHidden/>
          </w:rPr>
          <w:fldChar w:fldCharType="separate"/>
        </w:r>
        <w:r>
          <w:rPr>
            <w:noProof/>
            <w:webHidden/>
          </w:rPr>
          <w:t>20</w:t>
        </w:r>
        <w:r>
          <w:rPr>
            <w:noProof/>
            <w:webHidden/>
          </w:rPr>
          <w:fldChar w:fldCharType="end"/>
        </w:r>
      </w:hyperlink>
    </w:p>
    <w:p w14:paraId="24E83D0C" w14:textId="35A7B153" w:rsidR="003243B2" w:rsidRDefault="003243B2">
      <w:pPr>
        <w:pStyle w:val="TOC2"/>
        <w:rPr>
          <w:noProof/>
          <w:kern w:val="2"/>
          <w:sz w:val="24"/>
          <w:szCs w:val="24"/>
          <w:lang w:val="en-GB"/>
          <w14:ligatures w14:val="standardContextual"/>
        </w:rPr>
      </w:pPr>
      <w:hyperlink w:anchor="_Toc208244996" w:history="1">
        <w:r w:rsidRPr="00FF76E2">
          <w:rPr>
            <w:rStyle w:val="Hyperlink"/>
            <w:noProof/>
          </w:rPr>
          <w:t>II.5</w:t>
        </w:r>
        <w:r>
          <w:rPr>
            <w:noProof/>
            <w:kern w:val="2"/>
            <w:sz w:val="24"/>
            <w:szCs w:val="24"/>
            <w:lang w:val="en-GB"/>
            <w14:ligatures w14:val="standardContextual"/>
          </w:rPr>
          <w:tab/>
        </w:r>
        <w:r w:rsidRPr="00FF76E2">
          <w:rPr>
            <w:rStyle w:val="Hyperlink"/>
            <w:noProof/>
          </w:rPr>
          <w:t>Z 03.02 — Rekwiżiti ta’ fondi proprji — Ditti ta’ Investiment (LIAB 3)</w:t>
        </w:r>
        <w:r>
          <w:rPr>
            <w:noProof/>
            <w:webHidden/>
          </w:rPr>
          <w:tab/>
        </w:r>
        <w:r>
          <w:rPr>
            <w:noProof/>
            <w:webHidden/>
          </w:rPr>
          <w:fldChar w:fldCharType="begin"/>
        </w:r>
        <w:r>
          <w:rPr>
            <w:noProof/>
            <w:webHidden/>
          </w:rPr>
          <w:instrText xml:space="preserve"> PAGEREF _Toc208244996 \h </w:instrText>
        </w:r>
        <w:r>
          <w:rPr>
            <w:noProof/>
            <w:webHidden/>
          </w:rPr>
        </w:r>
        <w:r>
          <w:rPr>
            <w:noProof/>
            <w:webHidden/>
          </w:rPr>
          <w:fldChar w:fldCharType="separate"/>
        </w:r>
        <w:r>
          <w:rPr>
            <w:noProof/>
            <w:webHidden/>
          </w:rPr>
          <w:t>23</w:t>
        </w:r>
        <w:r>
          <w:rPr>
            <w:noProof/>
            <w:webHidden/>
          </w:rPr>
          <w:fldChar w:fldCharType="end"/>
        </w:r>
      </w:hyperlink>
    </w:p>
    <w:p w14:paraId="7C7ABB0A" w14:textId="2F78B800" w:rsidR="003243B2" w:rsidRDefault="003243B2">
      <w:pPr>
        <w:pStyle w:val="TOC2"/>
        <w:rPr>
          <w:noProof/>
          <w:kern w:val="2"/>
          <w:sz w:val="24"/>
          <w:szCs w:val="24"/>
          <w:lang w:val="en-GB"/>
          <w14:ligatures w14:val="standardContextual"/>
        </w:rPr>
      </w:pPr>
      <w:hyperlink w:anchor="_Toc208244997" w:history="1">
        <w:r w:rsidRPr="00FF76E2">
          <w:rPr>
            <w:rStyle w:val="Hyperlink"/>
            <w:noProof/>
          </w:rPr>
          <w:t>II.6</w:t>
        </w:r>
        <w:r>
          <w:rPr>
            <w:noProof/>
            <w:kern w:val="2"/>
            <w:sz w:val="24"/>
            <w:szCs w:val="24"/>
            <w:lang w:val="en-GB"/>
            <w14:ligatures w14:val="standardContextual"/>
          </w:rPr>
          <w:tab/>
        </w:r>
        <w:r w:rsidRPr="00FF76E2">
          <w:rPr>
            <w:rStyle w:val="Hyperlink"/>
            <w:noProof/>
          </w:rPr>
          <w:t>Z 04.00 — Interkonnessjonijiet finanzjarji intragrupp (LIAB 4)</w:t>
        </w:r>
        <w:r>
          <w:rPr>
            <w:noProof/>
            <w:webHidden/>
          </w:rPr>
          <w:tab/>
        </w:r>
        <w:r>
          <w:rPr>
            <w:noProof/>
            <w:webHidden/>
          </w:rPr>
          <w:fldChar w:fldCharType="begin"/>
        </w:r>
        <w:r>
          <w:rPr>
            <w:noProof/>
            <w:webHidden/>
          </w:rPr>
          <w:instrText xml:space="preserve"> PAGEREF _Toc208244997 \h </w:instrText>
        </w:r>
        <w:r>
          <w:rPr>
            <w:noProof/>
            <w:webHidden/>
          </w:rPr>
        </w:r>
        <w:r>
          <w:rPr>
            <w:noProof/>
            <w:webHidden/>
          </w:rPr>
          <w:fldChar w:fldCharType="separate"/>
        </w:r>
        <w:r>
          <w:rPr>
            <w:noProof/>
            <w:webHidden/>
          </w:rPr>
          <w:t>24</w:t>
        </w:r>
        <w:r>
          <w:rPr>
            <w:noProof/>
            <w:webHidden/>
          </w:rPr>
          <w:fldChar w:fldCharType="end"/>
        </w:r>
      </w:hyperlink>
    </w:p>
    <w:p w14:paraId="0B666BFE" w14:textId="048058DA" w:rsidR="003243B2" w:rsidRDefault="003243B2">
      <w:pPr>
        <w:pStyle w:val="TOC2"/>
        <w:rPr>
          <w:noProof/>
          <w:kern w:val="2"/>
          <w:sz w:val="24"/>
          <w:szCs w:val="24"/>
          <w:lang w:val="en-GB"/>
          <w14:ligatures w14:val="standardContextual"/>
        </w:rPr>
      </w:pPr>
      <w:hyperlink w:anchor="_Toc208244998" w:history="1">
        <w:r w:rsidRPr="00FF76E2">
          <w:rPr>
            <w:rStyle w:val="Hyperlink"/>
            <w:noProof/>
          </w:rPr>
          <w:t>II.7</w:t>
        </w:r>
        <w:r>
          <w:rPr>
            <w:noProof/>
            <w:kern w:val="2"/>
            <w:sz w:val="24"/>
            <w:szCs w:val="24"/>
            <w:lang w:val="en-GB"/>
            <w14:ligatures w14:val="standardContextual"/>
          </w:rPr>
          <w:tab/>
        </w:r>
        <w:r w:rsidRPr="00FF76E2">
          <w:rPr>
            <w:rStyle w:val="Hyperlink"/>
            <w:noProof/>
          </w:rPr>
          <w:t>Kontropartijiet Maġġuri (LIAB 5 &amp;6)</w:t>
        </w:r>
        <w:r>
          <w:rPr>
            <w:noProof/>
            <w:webHidden/>
          </w:rPr>
          <w:tab/>
        </w:r>
        <w:r>
          <w:rPr>
            <w:noProof/>
            <w:webHidden/>
          </w:rPr>
          <w:fldChar w:fldCharType="begin"/>
        </w:r>
        <w:r>
          <w:rPr>
            <w:noProof/>
            <w:webHidden/>
          </w:rPr>
          <w:instrText xml:space="preserve"> PAGEREF _Toc208244998 \h </w:instrText>
        </w:r>
        <w:r>
          <w:rPr>
            <w:noProof/>
            <w:webHidden/>
          </w:rPr>
        </w:r>
        <w:r>
          <w:rPr>
            <w:noProof/>
            <w:webHidden/>
          </w:rPr>
          <w:fldChar w:fldCharType="separate"/>
        </w:r>
        <w:r>
          <w:rPr>
            <w:noProof/>
            <w:webHidden/>
          </w:rPr>
          <w:t>26</w:t>
        </w:r>
        <w:r>
          <w:rPr>
            <w:noProof/>
            <w:webHidden/>
          </w:rPr>
          <w:fldChar w:fldCharType="end"/>
        </w:r>
      </w:hyperlink>
    </w:p>
    <w:p w14:paraId="73499E67" w14:textId="26A3A98F" w:rsidR="003243B2" w:rsidRDefault="003243B2">
      <w:pPr>
        <w:pStyle w:val="TOC2"/>
        <w:rPr>
          <w:noProof/>
          <w:kern w:val="2"/>
          <w:sz w:val="24"/>
          <w:szCs w:val="24"/>
          <w:lang w:val="en-GB"/>
          <w14:ligatures w14:val="standardContextual"/>
        </w:rPr>
      </w:pPr>
      <w:hyperlink w:anchor="_Toc208244999" w:history="1">
        <w:r w:rsidRPr="00FF76E2">
          <w:rPr>
            <w:rStyle w:val="Hyperlink"/>
            <w:noProof/>
          </w:rPr>
          <w:t>II.8</w:t>
        </w:r>
        <w:r>
          <w:rPr>
            <w:noProof/>
            <w:kern w:val="2"/>
            <w:sz w:val="24"/>
            <w:szCs w:val="24"/>
            <w:lang w:val="en-GB"/>
            <w14:ligatures w14:val="standardContextual"/>
          </w:rPr>
          <w:tab/>
        </w:r>
        <w:r w:rsidRPr="00FF76E2">
          <w:rPr>
            <w:rStyle w:val="Hyperlink"/>
            <w:noProof/>
          </w:rPr>
          <w:t>Z 05.01 — Kontropartijiet ewlenin tal-obbligazzjonijiet (LIAB 5)</w:t>
        </w:r>
        <w:r>
          <w:rPr>
            <w:noProof/>
            <w:webHidden/>
          </w:rPr>
          <w:tab/>
        </w:r>
        <w:r>
          <w:rPr>
            <w:noProof/>
            <w:webHidden/>
          </w:rPr>
          <w:fldChar w:fldCharType="begin"/>
        </w:r>
        <w:r>
          <w:rPr>
            <w:noProof/>
            <w:webHidden/>
          </w:rPr>
          <w:instrText xml:space="preserve"> PAGEREF _Toc208244999 \h </w:instrText>
        </w:r>
        <w:r>
          <w:rPr>
            <w:noProof/>
            <w:webHidden/>
          </w:rPr>
        </w:r>
        <w:r>
          <w:rPr>
            <w:noProof/>
            <w:webHidden/>
          </w:rPr>
          <w:fldChar w:fldCharType="separate"/>
        </w:r>
        <w:r>
          <w:rPr>
            <w:noProof/>
            <w:webHidden/>
          </w:rPr>
          <w:t>27</w:t>
        </w:r>
        <w:r>
          <w:rPr>
            <w:noProof/>
            <w:webHidden/>
          </w:rPr>
          <w:fldChar w:fldCharType="end"/>
        </w:r>
      </w:hyperlink>
    </w:p>
    <w:p w14:paraId="6A4EB8EC" w14:textId="49434E8B" w:rsidR="003243B2" w:rsidRDefault="003243B2">
      <w:pPr>
        <w:pStyle w:val="TOC2"/>
        <w:rPr>
          <w:noProof/>
          <w:kern w:val="2"/>
          <w:sz w:val="24"/>
          <w:szCs w:val="24"/>
          <w:lang w:val="en-GB"/>
          <w14:ligatures w14:val="standardContextual"/>
        </w:rPr>
      </w:pPr>
      <w:hyperlink w:anchor="_Toc208245000" w:history="1">
        <w:r w:rsidRPr="00FF76E2">
          <w:rPr>
            <w:rStyle w:val="Hyperlink"/>
            <w:noProof/>
          </w:rPr>
          <w:t>II.9</w:t>
        </w:r>
        <w:r>
          <w:rPr>
            <w:noProof/>
            <w:kern w:val="2"/>
            <w:sz w:val="24"/>
            <w:szCs w:val="24"/>
            <w:lang w:val="en-GB"/>
            <w14:ligatures w14:val="standardContextual"/>
          </w:rPr>
          <w:tab/>
        </w:r>
        <w:r w:rsidRPr="00FF76E2">
          <w:rPr>
            <w:rStyle w:val="Hyperlink"/>
            <w:noProof/>
          </w:rPr>
          <w:t>Z 05.02 — Kontropartijiet ewlenin li ma jidhrux fil-karta bilanċjali (LIAB 6)</w:t>
        </w:r>
        <w:r>
          <w:rPr>
            <w:noProof/>
            <w:webHidden/>
          </w:rPr>
          <w:tab/>
        </w:r>
        <w:r>
          <w:rPr>
            <w:noProof/>
            <w:webHidden/>
          </w:rPr>
          <w:fldChar w:fldCharType="begin"/>
        </w:r>
        <w:r>
          <w:rPr>
            <w:noProof/>
            <w:webHidden/>
          </w:rPr>
          <w:instrText xml:space="preserve"> PAGEREF _Toc208245000 \h </w:instrText>
        </w:r>
        <w:r>
          <w:rPr>
            <w:noProof/>
            <w:webHidden/>
          </w:rPr>
        </w:r>
        <w:r>
          <w:rPr>
            <w:noProof/>
            <w:webHidden/>
          </w:rPr>
          <w:fldChar w:fldCharType="separate"/>
        </w:r>
        <w:r>
          <w:rPr>
            <w:noProof/>
            <w:webHidden/>
          </w:rPr>
          <w:t>28</w:t>
        </w:r>
        <w:r>
          <w:rPr>
            <w:noProof/>
            <w:webHidden/>
          </w:rPr>
          <w:fldChar w:fldCharType="end"/>
        </w:r>
      </w:hyperlink>
    </w:p>
    <w:p w14:paraId="691917F7" w14:textId="60EE0E03" w:rsidR="003243B2" w:rsidRDefault="003243B2">
      <w:pPr>
        <w:pStyle w:val="TOC2"/>
        <w:rPr>
          <w:noProof/>
          <w:kern w:val="2"/>
          <w:sz w:val="24"/>
          <w:szCs w:val="24"/>
          <w:lang w:val="en-GB"/>
          <w14:ligatures w14:val="standardContextual"/>
        </w:rPr>
      </w:pPr>
      <w:hyperlink w:anchor="_Toc208245001" w:history="1">
        <w:r w:rsidRPr="00FF76E2">
          <w:rPr>
            <w:rStyle w:val="Hyperlink"/>
            <w:noProof/>
          </w:rPr>
          <w:t>II.10</w:t>
        </w:r>
        <w:r>
          <w:rPr>
            <w:noProof/>
            <w:kern w:val="2"/>
            <w:sz w:val="24"/>
            <w:szCs w:val="24"/>
            <w:lang w:val="en-GB"/>
            <w14:ligatures w14:val="standardContextual"/>
          </w:rPr>
          <w:tab/>
        </w:r>
        <w:r w:rsidRPr="00FF76E2">
          <w:rPr>
            <w:rStyle w:val="Hyperlink"/>
            <w:noProof/>
          </w:rPr>
          <w:t>Z 06.00 — Assigurazzjoni ta’ depożitu (LIAB 7)</w:t>
        </w:r>
        <w:r>
          <w:rPr>
            <w:noProof/>
            <w:webHidden/>
          </w:rPr>
          <w:tab/>
        </w:r>
        <w:r>
          <w:rPr>
            <w:noProof/>
            <w:webHidden/>
          </w:rPr>
          <w:fldChar w:fldCharType="begin"/>
        </w:r>
        <w:r>
          <w:rPr>
            <w:noProof/>
            <w:webHidden/>
          </w:rPr>
          <w:instrText xml:space="preserve"> PAGEREF _Toc208245001 \h </w:instrText>
        </w:r>
        <w:r>
          <w:rPr>
            <w:noProof/>
            <w:webHidden/>
          </w:rPr>
        </w:r>
        <w:r>
          <w:rPr>
            <w:noProof/>
            <w:webHidden/>
          </w:rPr>
          <w:fldChar w:fldCharType="separate"/>
        </w:r>
        <w:r>
          <w:rPr>
            <w:noProof/>
            <w:webHidden/>
          </w:rPr>
          <w:t>30</w:t>
        </w:r>
        <w:r>
          <w:rPr>
            <w:noProof/>
            <w:webHidden/>
          </w:rPr>
          <w:fldChar w:fldCharType="end"/>
        </w:r>
      </w:hyperlink>
    </w:p>
    <w:p w14:paraId="02B93D98" w14:textId="3940AB75" w:rsidR="003243B2" w:rsidRDefault="003243B2">
      <w:pPr>
        <w:pStyle w:val="TOC2"/>
        <w:rPr>
          <w:noProof/>
          <w:kern w:val="2"/>
          <w:sz w:val="24"/>
          <w:szCs w:val="24"/>
          <w:lang w:val="en-GB"/>
          <w14:ligatures w14:val="standardContextual"/>
        </w:rPr>
      </w:pPr>
      <w:hyperlink w:anchor="_Toc208245002" w:history="1">
        <w:r w:rsidRPr="00FF76E2">
          <w:rPr>
            <w:rStyle w:val="Hyperlink"/>
            <w:noProof/>
          </w:rPr>
          <w:t>II.11</w:t>
        </w:r>
        <w:r>
          <w:rPr>
            <w:noProof/>
            <w:kern w:val="2"/>
            <w:sz w:val="24"/>
            <w:szCs w:val="24"/>
            <w:lang w:val="en-GB"/>
            <w14:ligatures w14:val="standardContextual"/>
          </w:rPr>
          <w:tab/>
        </w:r>
        <w:r w:rsidRPr="00FF76E2">
          <w:rPr>
            <w:rStyle w:val="Hyperlink"/>
            <w:noProof/>
          </w:rPr>
          <w:t>Il-funzjonijiet kritiċi u l-linji ta’ negozju ewlenin</w:t>
        </w:r>
        <w:r>
          <w:rPr>
            <w:noProof/>
            <w:webHidden/>
          </w:rPr>
          <w:tab/>
        </w:r>
        <w:r>
          <w:rPr>
            <w:noProof/>
            <w:webHidden/>
          </w:rPr>
          <w:fldChar w:fldCharType="begin"/>
        </w:r>
        <w:r>
          <w:rPr>
            <w:noProof/>
            <w:webHidden/>
          </w:rPr>
          <w:instrText xml:space="preserve"> PAGEREF _Toc208245002 \h </w:instrText>
        </w:r>
        <w:r>
          <w:rPr>
            <w:noProof/>
            <w:webHidden/>
          </w:rPr>
        </w:r>
        <w:r>
          <w:rPr>
            <w:noProof/>
            <w:webHidden/>
          </w:rPr>
          <w:fldChar w:fldCharType="separate"/>
        </w:r>
        <w:r>
          <w:rPr>
            <w:noProof/>
            <w:webHidden/>
          </w:rPr>
          <w:t>33</w:t>
        </w:r>
        <w:r>
          <w:rPr>
            <w:noProof/>
            <w:webHidden/>
          </w:rPr>
          <w:fldChar w:fldCharType="end"/>
        </w:r>
      </w:hyperlink>
    </w:p>
    <w:p w14:paraId="177CA20D" w14:textId="3C0E7D29" w:rsidR="003243B2" w:rsidRDefault="003243B2">
      <w:pPr>
        <w:pStyle w:val="TOC2"/>
        <w:rPr>
          <w:noProof/>
          <w:kern w:val="2"/>
          <w:sz w:val="24"/>
          <w:szCs w:val="24"/>
          <w:lang w:val="en-GB"/>
          <w14:ligatures w14:val="standardContextual"/>
        </w:rPr>
      </w:pPr>
      <w:hyperlink w:anchor="_Toc208245003" w:history="1">
        <w:r w:rsidRPr="00FF76E2">
          <w:rPr>
            <w:rStyle w:val="Hyperlink"/>
            <w:noProof/>
          </w:rPr>
          <w:t>II.12</w:t>
        </w:r>
        <w:r>
          <w:rPr>
            <w:noProof/>
            <w:kern w:val="2"/>
            <w:sz w:val="24"/>
            <w:szCs w:val="24"/>
            <w:lang w:val="en-GB"/>
            <w14:ligatures w14:val="standardContextual"/>
          </w:rPr>
          <w:tab/>
        </w:r>
        <w:r w:rsidRPr="00FF76E2">
          <w:rPr>
            <w:rStyle w:val="Hyperlink"/>
            <w:noProof/>
          </w:rPr>
          <w:t>Z 07.01 — Valutazzjoni tal-kritiċità tal-funzjonijiet ekonomiċi (FUNC 1)</w:t>
        </w:r>
        <w:r>
          <w:rPr>
            <w:noProof/>
            <w:webHidden/>
          </w:rPr>
          <w:tab/>
        </w:r>
        <w:r>
          <w:rPr>
            <w:noProof/>
            <w:webHidden/>
          </w:rPr>
          <w:fldChar w:fldCharType="begin"/>
        </w:r>
        <w:r>
          <w:rPr>
            <w:noProof/>
            <w:webHidden/>
          </w:rPr>
          <w:instrText xml:space="preserve"> PAGEREF _Toc208245003 \h </w:instrText>
        </w:r>
        <w:r>
          <w:rPr>
            <w:noProof/>
            <w:webHidden/>
          </w:rPr>
        </w:r>
        <w:r>
          <w:rPr>
            <w:noProof/>
            <w:webHidden/>
          </w:rPr>
          <w:fldChar w:fldCharType="separate"/>
        </w:r>
        <w:r>
          <w:rPr>
            <w:noProof/>
            <w:webHidden/>
          </w:rPr>
          <w:t>35</w:t>
        </w:r>
        <w:r>
          <w:rPr>
            <w:noProof/>
            <w:webHidden/>
          </w:rPr>
          <w:fldChar w:fldCharType="end"/>
        </w:r>
      </w:hyperlink>
    </w:p>
    <w:p w14:paraId="2361782F" w14:textId="61609DEE" w:rsidR="003243B2" w:rsidRDefault="003243B2">
      <w:pPr>
        <w:pStyle w:val="TOC2"/>
        <w:rPr>
          <w:noProof/>
          <w:kern w:val="2"/>
          <w:sz w:val="24"/>
          <w:szCs w:val="24"/>
          <w:lang w:val="en-GB"/>
          <w14:ligatures w14:val="standardContextual"/>
        </w:rPr>
      </w:pPr>
      <w:hyperlink w:anchor="_Toc208245004" w:history="1">
        <w:r w:rsidRPr="00FF76E2">
          <w:rPr>
            <w:rStyle w:val="Hyperlink"/>
            <w:noProof/>
          </w:rPr>
          <w:t>II.13</w:t>
        </w:r>
        <w:r>
          <w:rPr>
            <w:noProof/>
            <w:kern w:val="2"/>
            <w:sz w:val="24"/>
            <w:szCs w:val="24"/>
            <w:lang w:val="en-GB"/>
            <w14:ligatures w14:val="standardContextual"/>
          </w:rPr>
          <w:tab/>
        </w:r>
        <w:r w:rsidRPr="00FF76E2">
          <w:rPr>
            <w:rStyle w:val="Hyperlink"/>
            <w:noProof/>
          </w:rPr>
          <w:t>Z 07.01.1 FUNC 1 DEP</w:t>
        </w:r>
        <w:r>
          <w:rPr>
            <w:noProof/>
            <w:webHidden/>
          </w:rPr>
          <w:tab/>
        </w:r>
        <w:r>
          <w:rPr>
            <w:noProof/>
            <w:webHidden/>
          </w:rPr>
          <w:fldChar w:fldCharType="begin"/>
        </w:r>
        <w:r>
          <w:rPr>
            <w:noProof/>
            <w:webHidden/>
          </w:rPr>
          <w:instrText xml:space="preserve"> PAGEREF _Toc208245004 \h </w:instrText>
        </w:r>
        <w:r>
          <w:rPr>
            <w:noProof/>
            <w:webHidden/>
          </w:rPr>
        </w:r>
        <w:r>
          <w:rPr>
            <w:noProof/>
            <w:webHidden/>
          </w:rPr>
          <w:fldChar w:fldCharType="separate"/>
        </w:r>
        <w:r>
          <w:rPr>
            <w:noProof/>
            <w:webHidden/>
          </w:rPr>
          <w:t>38</w:t>
        </w:r>
        <w:r>
          <w:rPr>
            <w:noProof/>
            <w:webHidden/>
          </w:rPr>
          <w:fldChar w:fldCharType="end"/>
        </w:r>
      </w:hyperlink>
    </w:p>
    <w:p w14:paraId="6D4C7B0A" w14:textId="1B95EED4" w:rsidR="003243B2" w:rsidRDefault="003243B2">
      <w:pPr>
        <w:pStyle w:val="TOC2"/>
        <w:rPr>
          <w:noProof/>
          <w:kern w:val="2"/>
          <w:sz w:val="24"/>
          <w:szCs w:val="24"/>
          <w:lang w:val="en-GB"/>
          <w14:ligatures w14:val="standardContextual"/>
        </w:rPr>
      </w:pPr>
      <w:hyperlink w:anchor="_Toc208245005" w:history="1">
        <w:r w:rsidRPr="00FF76E2">
          <w:rPr>
            <w:rStyle w:val="Hyperlink"/>
            <w:noProof/>
          </w:rPr>
          <w:t>II.14</w:t>
        </w:r>
        <w:r>
          <w:rPr>
            <w:noProof/>
            <w:kern w:val="2"/>
            <w:sz w:val="24"/>
            <w:szCs w:val="24"/>
            <w:lang w:val="en-GB"/>
            <w14:ligatures w14:val="standardContextual"/>
          </w:rPr>
          <w:tab/>
        </w:r>
        <w:r w:rsidRPr="00FF76E2">
          <w:rPr>
            <w:rStyle w:val="Hyperlink"/>
            <w:noProof/>
          </w:rPr>
          <w:t>Z 07.01.2 FUNC 1 LEN</w:t>
        </w:r>
        <w:r>
          <w:rPr>
            <w:noProof/>
            <w:webHidden/>
          </w:rPr>
          <w:tab/>
        </w:r>
        <w:r>
          <w:rPr>
            <w:noProof/>
            <w:webHidden/>
          </w:rPr>
          <w:fldChar w:fldCharType="begin"/>
        </w:r>
        <w:r>
          <w:rPr>
            <w:noProof/>
            <w:webHidden/>
          </w:rPr>
          <w:instrText xml:space="preserve"> PAGEREF _Toc208245005 \h </w:instrText>
        </w:r>
        <w:r>
          <w:rPr>
            <w:noProof/>
            <w:webHidden/>
          </w:rPr>
        </w:r>
        <w:r>
          <w:rPr>
            <w:noProof/>
            <w:webHidden/>
          </w:rPr>
          <w:fldChar w:fldCharType="separate"/>
        </w:r>
        <w:r>
          <w:rPr>
            <w:noProof/>
            <w:webHidden/>
          </w:rPr>
          <w:t>44</w:t>
        </w:r>
        <w:r>
          <w:rPr>
            <w:noProof/>
            <w:webHidden/>
          </w:rPr>
          <w:fldChar w:fldCharType="end"/>
        </w:r>
      </w:hyperlink>
    </w:p>
    <w:p w14:paraId="2A1911EA" w14:textId="00683F3C" w:rsidR="003243B2" w:rsidRDefault="003243B2">
      <w:pPr>
        <w:pStyle w:val="TOC2"/>
        <w:rPr>
          <w:noProof/>
          <w:kern w:val="2"/>
          <w:sz w:val="24"/>
          <w:szCs w:val="24"/>
          <w:lang w:val="en-GB"/>
          <w14:ligatures w14:val="standardContextual"/>
        </w:rPr>
      </w:pPr>
      <w:hyperlink w:anchor="_Toc208245006" w:history="1">
        <w:r w:rsidRPr="00FF76E2">
          <w:rPr>
            <w:rStyle w:val="Hyperlink"/>
            <w:noProof/>
          </w:rPr>
          <w:t>II.15</w:t>
        </w:r>
        <w:r>
          <w:rPr>
            <w:noProof/>
            <w:kern w:val="2"/>
            <w:sz w:val="24"/>
            <w:szCs w:val="24"/>
            <w:lang w:val="en-GB"/>
            <w14:ligatures w14:val="standardContextual"/>
          </w:rPr>
          <w:tab/>
        </w:r>
        <w:r w:rsidRPr="00FF76E2">
          <w:rPr>
            <w:rStyle w:val="Hyperlink"/>
            <w:noProof/>
          </w:rPr>
          <w:t>Z 07.01.3 FUNC 1 PAGA</w:t>
        </w:r>
        <w:r>
          <w:rPr>
            <w:noProof/>
            <w:webHidden/>
          </w:rPr>
          <w:tab/>
        </w:r>
        <w:r>
          <w:rPr>
            <w:noProof/>
            <w:webHidden/>
          </w:rPr>
          <w:fldChar w:fldCharType="begin"/>
        </w:r>
        <w:r>
          <w:rPr>
            <w:noProof/>
            <w:webHidden/>
          </w:rPr>
          <w:instrText xml:space="preserve"> PAGEREF _Toc208245006 \h </w:instrText>
        </w:r>
        <w:r>
          <w:rPr>
            <w:noProof/>
            <w:webHidden/>
          </w:rPr>
        </w:r>
        <w:r>
          <w:rPr>
            <w:noProof/>
            <w:webHidden/>
          </w:rPr>
          <w:fldChar w:fldCharType="separate"/>
        </w:r>
        <w:r>
          <w:rPr>
            <w:noProof/>
            <w:webHidden/>
          </w:rPr>
          <w:t>48</w:t>
        </w:r>
        <w:r>
          <w:rPr>
            <w:noProof/>
            <w:webHidden/>
          </w:rPr>
          <w:fldChar w:fldCharType="end"/>
        </w:r>
      </w:hyperlink>
    </w:p>
    <w:p w14:paraId="1ED10B69" w14:textId="70BE1414" w:rsidR="003243B2" w:rsidRDefault="003243B2">
      <w:pPr>
        <w:pStyle w:val="TOC2"/>
        <w:rPr>
          <w:noProof/>
          <w:kern w:val="2"/>
          <w:sz w:val="24"/>
          <w:szCs w:val="24"/>
          <w:lang w:val="en-GB"/>
          <w14:ligatures w14:val="standardContextual"/>
        </w:rPr>
      </w:pPr>
      <w:hyperlink w:anchor="_Toc208245007" w:history="1">
        <w:r w:rsidRPr="00FF76E2">
          <w:rPr>
            <w:rStyle w:val="Hyperlink"/>
            <w:noProof/>
          </w:rPr>
          <w:t>II.13</w:t>
        </w:r>
        <w:r>
          <w:rPr>
            <w:noProof/>
            <w:kern w:val="2"/>
            <w:sz w:val="24"/>
            <w:szCs w:val="24"/>
            <w:lang w:val="en-GB"/>
            <w14:ligatures w14:val="standardContextual"/>
          </w:rPr>
          <w:tab/>
        </w:r>
        <w:r w:rsidRPr="00FF76E2">
          <w:rPr>
            <w:rStyle w:val="Hyperlink"/>
            <w:noProof/>
          </w:rPr>
          <w:t>Z 07.01.4 FUNC 1 CM</w:t>
        </w:r>
        <w:r>
          <w:rPr>
            <w:noProof/>
            <w:webHidden/>
          </w:rPr>
          <w:tab/>
        </w:r>
        <w:r>
          <w:rPr>
            <w:noProof/>
            <w:webHidden/>
          </w:rPr>
          <w:fldChar w:fldCharType="begin"/>
        </w:r>
        <w:r>
          <w:rPr>
            <w:noProof/>
            <w:webHidden/>
          </w:rPr>
          <w:instrText xml:space="preserve"> PAGEREF _Toc208245007 \h </w:instrText>
        </w:r>
        <w:r>
          <w:rPr>
            <w:noProof/>
            <w:webHidden/>
          </w:rPr>
        </w:r>
        <w:r>
          <w:rPr>
            <w:noProof/>
            <w:webHidden/>
          </w:rPr>
          <w:fldChar w:fldCharType="separate"/>
        </w:r>
        <w:r>
          <w:rPr>
            <w:noProof/>
            <w:webHidden/>
          </w:rPr>
          <w:t>55</w:t>
        </w:r>
        <w:r>
          <w:rPr>
            <w:noProof/>
            <w:webHidden/>
          </w:rPr>
          <w:fldChar w:fldCharType="end"/>
        </w:r>
      </w:hyperlink>
    </w:p>
    <w:p w14:paraId="54AF86F9" w14:textId="1462D496" w:rsidR="003243B2" w:rsidRDefault="003243B2">
      <w:pPr>
        <w:pStyle w:val="TOC2"/>
        <w:rPr>
          <w:noProof/>
          <w:kern w:val="2"/>
          <w:sz w:val="24"/>
          <w:szCs w:val="24"/>
          <w:lang w:val="en-GB"/>
          <w14:ligatures w14:val="standardContextual"/>
        </w:rPr>
      </w:pPr>
      <w:hyperlink w:anchor="_Toc208245008" w:history="1">
        <w:r w:rsidRPr="00FF76E2">
          <w:rPr>
            <w:rStyle w:val="Hyperlink"/>
            <w:noProof/>
          </w:rPr>
          <w:t>II.13</w:t>
        </w:r>
        <w:r>
          <w:rPr>
            <w:noProof/>
            <w:kern w:val="2"/>
            <w:sz w:val="24"/>
            <w:szCs w:val="24"/>
            <w:lang w:val="en-GB"/>
            <w14:ligatures w14:val="standardContextual"/>
          </w:rPr>
          <w:tab/>
        </w:r>
        <w:r w:rsidRPr="00FF76E2">
          <w:rPr>
            <w:rStyle w:val="Hyperlink"/>
            <w:noProof/>
          </w:rPr>
          <w:t>Z 07.01.5 FUNC 1 WF</w:t>
        </w:r>
        <w:r>
          <w:rPr>
            <w:noProof/>
            <w:webHidden/>
          </w:rPr>
          <w:tab/>
        </w:r>
        <w:r>
          <w:rPr>
            <w:noProof/>
            <w:webHidden/>
          </w:rPr>
          <w:fldChar w:fldCharType="begin"/>
        </w:r>
        <w:r>
          <w:rPr>
            <w:noProof/>
            <w:webHidden/>
          </w:rPr>
          <w:instrText xml:space="preserve"> PAGEREF _Toc208245008 \h </w:instrText>
        </w:r>
        <w:r>
          <w:rPr>
            <w:noProof/>
            <w:webHidden/>
          </w:rPr>
        </w:r>
        <w:r>
          <w:rPr>
            <w:noProof/>
            <w:webHidden/>
          </w:rPr>
          <w:fldChar w:fldCharType="separate"/>
        </w:r>
        <w:r>
          <w:rPr>
            <w:noProof/>
            <w:webHidden/>
          </w:rPr>
          <w:t>60</w:t>
        </w:r>
        <w:r>
          <w:rPr>
            <w:noProof/>
            <w:webHidden/>
          </w:rPr>
          <w:fldChar w:fldCharType="end"/>
        </w:r>
      </w:hyperlink>
    </w:p>
    <w:p w14:paraId="6CD9D166" w14:textId="527EF761" w:rsidR="003243B2" w:rsidRDefault="003243B2">
      <w:pPr>
        <w:pStyle w:val="TOC2"/>
        <w:rPr>
          <w:noProof/>
          <w:kern w:val="2"/>
          <w:sz w:val="24"/>
          <w:szCs w:val="24"/>
          <w:lang w:val="en-GB"/>
          <w14:ligatures w14:val="standardContextual"/>
        </w:rPr>
      </w:pPr>
      <w:hyperlink w:anchor="_Toc208245009" w:history="1">
        <w:r w:rsidRPr="00FF76E2">
          <w:rPr>
            <w:rStyle w:val="Hyperlink"/>
            <w:noProof/>
          </w:rPr>
          <w:t>II.16</w:t>
        </w:r>
        <w:r>
          <w:rPr>
            <w:noProof/>
            <w:kern w:val="2"/>
            <w:sz w:val="24"/>
            <w:szCs w:val="24"/>
            <w:lang w:val="en-GB"/>
            <w14:ligatures w14:val="standardContextual"/>
          </w:rPr>
          <w:tab/>
        </w:r>
        <w:r w:rsidRPr="00FF76E2">
          <w:rPr>
            <w:rStyle w:val="Hyperlink"/>
            <w:noProof/>
          </w:rPr>
          <w:t>Z 07.02 — Immappjar tal-funzjonijiet ekonomika skont l-entità ġuridika (FUNC 2)</w:t>
        </w:r>
        <w:r>
          <w:rPr>
            <w:noProof/>
            <w:webHidden/>
          </w:rPr>
          <w:tab/>
        </w:r>
        <w:r>
          <w:rPr>
            <w:noProof/>
            <w:webHidden/>
          </w:rPr>
          <w:fldChar w:fldCharType="begin"/>
        </w:r>
        <w:r>
          <w:rPr>
            <w:noProof/>
            <w:webHidden/>
          </w:rPr>
          <w:instrText xml:space="preserve"> PAGEREF _Toc208245009 \h </w:instrText>
        </w:r>
        <w:r>
          <w:rPr>
            <w:noProof/>
            <w:webHidden/>
          </w:rPr>
        </w:r>
        <w:r>
          <w:rPr>
            <w:noProof/>
            <w:webHidden/>
          </w:rPr>
          <w:fldChar w:fldCharType="separate"/>
        </w:r>
        <w:r>
          <w:rPr>
            <w:noProof/>
            <w:webHidden/>
          </w:rPr>
          <w:t>64</w:t>
        </w:r>
        <w:r>
          <w:rPr>
            <w:noProof/>
            <w:webHidden/>
          </w:rPr>
          <w:fldChar w:fldCharType="end"/>
        </w:r>
      </w:hyperlink>
    </w:p>
    <w:p w14:paraId="7B43392D" w14:textId="507A8E88" w:rsidR="003243B2" w:rsidRDefault="003243B2">
      <w:pPr>
        <w:pStyle w:val="TOC2"/>
        <w:rPr>
          <w:noProof/>
          <w:kern w:val="2"/>
          <w:sz w:val="24"/>
          <w:szCs w:val="24"/>
          <w:lang w:val="en-GB"/>
          <w14:ligatures w14:val="standardContextual"/>
        </w:rPr>
      </w:pPr>
      <w:hyperlink w:anchor="_Toc208245010" w:history="1">
        <w:r w:rsidRPr="00FF76E2">
          <w:rPr>
            <w:rStyle w:val="Hyperlink"/>
            <w:noProof/>
          </w:rPr>
          <w:t>II.17</w:t>
        </w:r>
        <w:r>
          <w:rPr>
            <w:noProof/>
            <w:kern w:val="2"/>
            <w:sz w:val="24"/>
            <w:szCs w:val="24"/>
            <w:lang w:val="en-GB"/>
            <w14:ligatures w14:val="standardContextual"/>
          </w:rPr>
          <w:tab/>
        </w:r>
        <w:r w:rsidRPr="00FF76E2">
          <w:rPr>
            <w:rStyle w:val="Hyperlink"/>
            <w:noProof/>
          </w:rPr>
          <w:t>Z 07.03 — Immappjar tal-Linji ta’ Negozju Ewlenin mal-entitajiet ġuridiċi (FUNC 3)</w:t>
        </w:r>
        <w:r>
          <w:rPr>
            <w:noProof/>
            <w:webHidden/>
          </w:rPr>
          <w:tab/>
        </w:r>
        <w:r>
          <w:rPr>
            <w:noProof/>
            <w:webHidden/>
          </w:rPr>
          <w:fldChar w:fldCharType="begin"/>
        </w:r>
        <w:r>
          <w:rPr>
            <w:noProof/>
            <w:webHidden/>
          </w:rPr>
          <w:instrText xml:space="preserve"> PAGEREF _Toc208245010 \h </w:instrText>
        </w:r>
        <w:r>
          <w:rPr>
            <w:noProof/>
            <w:webHidden/>
          </w:rPr>
        </w:r>
        <w:r>
          <w:rPr>
            <w:noProof/>
            <w:webHidden/>
          </w:rPr>
          <w:fldChar w:fldCharType="separate"/>
        </w:r>
        <w:r>
          <w:rPr>
            <w:noProof/>
            <w:webHidden/>
          </w:rPr>
          <w:t>65</w:t>
        </w:r>
        <w:r>
          <w:rPr>
            <w:noProof/>
            <w:webHidden/>
          </w:rPr>
          <w:fldChar w:fldCharType="end"/>
        </w:r>
      </w:hyperlink>
    </w:p>
    <w:p w14:paraId="5CF56EC1" w14:textId="0205AF0C" w:rsidR="003243B2" w:rsidRDefault="003243B2">
      <w:pPr>
        <w:pStyle w:val="TOC2"/>
        <w:rPr>
          <w:noProof/>
          <w:kern w:val="2"/>
          <w:sz w:val="24"/>
          <w:szCs w:val="24"/>
          <w:lang w:val="en-GB"/>
          <w14:ligatures w14:val="standardContextual"/>
        </w:rPr>
      </w:pPr>
      <w:hyperlink w:anchor="_Toc208245011" w:history="1">
        <w:r w:rsidRPr="00FF76E2">
          <w:rPr>
            <w:rStyle w:val="Hyperlink"/>
            <w:noProof/>
          </w:rPr>
          <w:t>II.18</w:t>
        </w:r>
        <w:r>
          <w:rPr>
            <w:noProof/>
            <w:kern w:val="2"/>
            <w:sz w:val="24"/>
            <w:szCs w:val="24"/>
            <w:lang w:val="en-GB"/>
            <w14:ligatures w14:val="standardContextual"/>
          </w:rPr>
          <w:tab/>
        </w:r>
        <w:r w:rsidRPr="00FF76E2">
          <w:rPr>
            <w:rStyle w:val="Hyperlink"/>
            <w:noProof/>
          </w:rPr>
          <w:t>Z 07.04 — Immappjar tal-funzjonijiet ekonomik mal-linji ta’ negozju ewlenin (FUNC 4)</w:t>
        </w:r>
        <w:r>
          <w:rPr>
            <w:noProof/>
            <w:webHidden/>
          </w:rPr>
          <w:tab/>
        </w:r>
        <w:r>
          <w:rPr>
            <w:noProof/>
            <w:webHidden/>
          </w:rPr>
          <w:fldChar w:fldCharType="begin"/>
        </w:r>
        <w:r>
          <w:rPr>
            <w:noProof/>
            <w:webHidden/>
          </w:rPr>
          <w:instrText xml:space="preserve"> PAGEREF _Toc208245011 \h </w:instrText>
        </w:r>
        <w:r>
          <w:rPr>
            <w:noProof/>
            <w:webHidden/>
          </w:rPr>
        </w:r>
        <w:r>
          <w:rPr>
            <w:noProof/>
            <w:webHidden/>
          </w:rPr>
          <w:fldChar w:fldCharType="separate"/>
        </w:r>
        <w:r>
          <w:rPr>
            <w:noProof/>
            <w:webHidden/>
          </w:rPr>
          <w:t>66</w:t>
        </w:r>
        <w:r>
          <w:rPr>
            <w:noProof/>
            <w:webHidden/>
          </w:rPr>
          <w:fldChar w:fldCharType="end"/>
        </w:r>
      </w:hyperlink>
    </w:p>
    <w:p w14:paraId="4EA6C23F" w14:textId="6D6ACAA4" w:rsidR="003243B2" w:rsidRDefault="003243B2">
      <w:pPr>
        <w:pStyle w:val="TOC2"/>
        <w:rPr>
          <w:noProof/>
          <w:kern w:val="2"/>
          <w:sz w:val="24"/>
          <w:szCs w:val="24"/>
          <w:lang w:val="en-GB"/>
          <w14:ligatures w14:val="standardContextual"/>
        </w:rPr>
      </w:pPr>
      <w:hyperlink w:anchor="_Toc208245012" w:history="1">
        <w:r w:rsidRPr="00FF76E2">
          <w:rPr>
            <w:rStyle w:val="Hyperlink"/>
            <w:noProof/>
          </w:rPr>
          <w:t>II.19</w:t>
        </w:r>
        <w:r>
          <w:rPr>
            <w:noProof/>
            <w:kern w:val="2"/>
            <w:sz w:val="24"/>
            <w:szCs w:val="24"/>
            <w:lang w:val="en-GB"/>
            <w14:ligatures w14:val="standardContextual"/>
          </w:rPr>
          <w:tab/>
        </w:r>
        <w:r w:rsidRPr="00FF76E2">
          <w:rPr>
            <w:rStyle w:val="Hyperlink"/>
            <w:noProof/>
          </w:rPr>
          <w:t>Servizzi rilevanti</w:t>
        </w:r>
        <w:r>
          <w:rPr>
            <w:noProof/>
            <w:webHidden/>
          </w:rPr>
          <w:tab/>
        </w:r>
        <w:r>
          <w:rPr>
            <w:noProof/>
            <w:webHidden/>
          </w:rPr>
          <w:fldChar w:fldCharType="begin"/>
        </w:r>
        <w:r>
          <w:rPr>
            <w:noProof/>
            <w:webHidden/>
          </w:rPr>
          <w:instrText xml:space="preserve"> PAGEREF _Toc208245012 \h </w:instrText>
        </w:r>
        <w:r>
          <w:rPr>
            <w:noProof/>
            <w:webHidden/>
          </w:rPr>
        </w:r>
        <w:r>
          <w:rPr>
            <w:noProof/>
            <w:webHidden/>
          </w:rPr>
          <w:fldChar w:fldCharType="separate"/>
        </w:r>
        <w:r>
          <w:rPr>
            <w:noProof/>
            <w:webHidden/>
          </w:rPr>
          <w:t>67</w:t>
        </w:r>
        <w:r>
          <w:rPr>
            <w:noProof/>
            <w:webHidden/>
          </w:rPr>
          <w:fldChar w:fldCharType="end"/>
        </w:r>
      </w:hyperlink>
    </w:p>
    <w:p w14:paraId="6E76C672" w14:textId="00D77468" w:rsidR="003243B2" w:rsidRDefault="003243B2">
      <w:pPr>
        <w:pStyle w:val="TOC2"/>
        <w:rPr>
          <w:noProof/>
          <w:kern w:val="2"/>
          <w:sz w:val="24"/>
          <w:szCs w:val="24"/>
          <w:lang w:val="en-GB"/>
          <w14:ligatures w14:val="standardContextual"/>
        </w:rPr>
      </w:pPr>
      <w:hyperlink w:anchor="_Toc208245013" w:history="1">
        <w:r w:rsidRPr="00FF76E2">
          <w:rPr>
            <w:rStyle w:val="Hyperlink"/>
            <w:rFonts w:eastAsia="Calibri"/>
            <w:noProof/>
          </w:rPr>
          <w:t>II.20</w:t>
        </w:r>
        <w:r>
          <w:rPr>
            <w:noProof/>
            <w:kern w:val="2"/>
            <w:sz w:val="24"/>
            <w:szCs w:val="24"/>
            <w:lang w:val="en-GB"/>
            <w14:ligatures w14:val="standardContextual"/>
          </w:rPr>
          <w:tab/>
        </w:r>
        <w:r w:rsidRPr="00FF76E2">
          <w:rPr>
            <w:rStyle w:val="Hyperlink"/>
            <w:noProof/>
          </w:rPr>
          <w:t>Z 08.01 — Servizzi rilevanti (SERV 1)</w:t>
        </w:r>
        <w:r>
          <w:rPr>
            <w:noProof/>
            <w:webHidden/>
          </w:rPr>
          <w:tab/>
        </w:r>
        <w:r>
          <w:rPr>
            <w:noProof/>
            <w:webHidden/>
          </w:rPr>
          <w:fldChar w:fldCharType="begin"/>
        </w:r>
        <w:r>
          <w:rPr>
            <w:noProof/>
            <w:webHidden/>
          </w:rPr>
          <w:instrText xml:space="preserve"> PAGEREF _Toc208245013 \h </w:instrText>
        </w:r>
        <w:r>
          <w:rPr>
            <w:noProof/>
            <w:webHidden/>
          </w:rPr>
        </w:r>
        <w:r>
          <w:rPr>
            <w:noProof/>
            <w:webHidden/>
          </w:rPr>
          <w:fldChar w:fldCharType="separate"/>
        </w:r>
        <w:r>
          <w:rPr>
            <w:noProof/>
            <w:webHidden/>
          </w:rPr>
          <w:t>67</w:t>
        </w:r>
        <w:r>
          <w:rPr>
            <w:noProof/>
            <w:webHidden/>
          </w:rPr>
          <w:fldChar w:fldCharType="end"/>
        </w:r>
      </w:hyperlink>
    </w:p>
    <w:p w14:paraId="5DA80244" w14:textId="6BA57E4C" w:rsidR="003243B2" w:rsidRDefault="003243B2">
      <w:pPr>
        <w:pStyle w:val="TOC2"/>
        <w:rPr>
          <w:noProof/>
          <w:kern w:val="2"/>
          <w:sz w:val="24"/>
          <w:szCs w:val="24"/>
          <w:lang w:val="en-GB"/>
          <w14:ligatures w14:val="standardContextual"/>
        </w:rPr>
      </w:pPr>
      <w:hyperlink w:anchor="_Toc208245014" w:history="1">
        <w:r w:rsidRPr="00FF76E2">
          <w:rPr>
            <w:rStyle w:val="Hyperlink"/>
            <w:noProof/>
          </w:rPr>
          <w:t>II.21</w:t>
        </w:r>
        <w:r>
          <w:rPr>
            <w:noProof/>
            <w:kern w:val="2"/>
            <w:sz w:val="24"/>
            <w:szCs w:val="24"/>
            <w:lang w:val="en-GB"/>
            <w14:ligatures w14:val="standardContextual"/>
          </w:rPr>
          <w:tab/>
        </w:r>
        <w:r w:rsidRPr="00FF76E2">
          <w:rPr>
            <w:rStyle w:val="Hyperlink"/>
            <w:noProof/>
          </w:rPr>
          <w:t>Z 08.02 — Servizzi rilevanti — immappjar għall-assi operazzjonali (SERV 2)</w:t>
        </w:r>
        <w:r>
          <w:rPr>
            <w:noProof/>
            <w:webHidden/>
          </w:rPr>
          <w:tab/>
        </w:r>
        <w:r>
          <w:rPr>
            <w:noProof/>
            <w:webHidden/>
          </w:rPr>
          <w:fldChar w:fldCharType="begin"/>
        </w:r>
        <w:r>
          <w:rPr>
            <w:noProof/>
            <w:webHidden/>
          </w:rPr>
          <w:instrText xml:space="preserve"> PAGEREF _Toc208245014 \h </w:instrText>
        </w:r>
        <w:r>
          <w:rPr>
            <w:noProof/>
            <w:webHidden/>
          </w:rPr>
        </w:r>
        <w:r>
          <w:rPr>
            <w:noProof/>
            <w:webHidden/>
          </w:rPr>
          <w:fldChar w:fldCharType="separate"/>
        </w:r>
        <w:r>
          <w:rPr>
            <w:noProof/>
            <w:webHidden/>
          </w:rPr>
          <w:t>74</w:t>
        </w:r>
        <w:r>
          <w:rPr>
            <w:noProof/>
            <w:webHidden/>
          </w:rPr>
          <w:fldChar w:fldCharType="end"/>
        </w:r>
      </w:hyperlink>
    </w:p>
    <w:p w14:paraId="116BD87A" w14:textId="4293D1A5" w:rsidR="003243B2" w:rsidRDefault="003243B2">
      <w:pPr>
        <w:pStyle w:val="TOC2"/>
        <w:rPr>
          <w:noProof/>
          <w:kern w:val="2"/>
          <w:sz w:val="24"/>
          <w:szCs w:val="24"/>
          <w:lang w:val="en-GB"/>
          <w14:ligatures w14:val="standardContextual"/>
        </w:rPr>
      </w:pPr>
      <w:hyperlink w:anchor="_Toc208245015" w:history="1">
        <w:r w:rsidRPr="00FF76E2">
          <w:rPr>
            <w:rStyle w:val="Hyperlink"/>
            <w:rFonts w:eastAsia="Calibri"/>
            <w:noProof/>
          </w:rPr>
          <w:t>II.22</w:t>
        </w:r>
        <w:r>
          <w:rPr>
            <w:noProof/>
            <w:kern w:val="2"/>
            <w:sz w:val="24"/>
            <w:szCs w:val="24"/>
            <w:lang w:val="en-GB"/>
            <w14:ligatures w14:val="standardContextual"/>
          </w:rPr>
          <w:tab/>
        </w:r>
        <w:r w:rsidRPr="00FF76E2">
          <w:rPr>
            <w:rStyle w:val="Hyperlink"/>
            <w:noProof/>
          </w:rPr>
          <w:t>Z 08.03 — Servizzi rilevanti — immappjar tar-rwoli (SERV 3)</w:t>
        </w:r>
        <w:r>
          <w:rPr>
            <w:noProof/>
            <w:webHidden/>
          </w:rPr>
          <w:tab/>
        </w:r>
        <w:r>
          <w:rPr>
            <w:noProof/>
            <w:webHidden/>
          </w:rPr>
          <w:fldChar w:fldCharType="begin"/>
        </w:r>
        <w:r>
          <w:rPr>
            <w:noProof/>
            <w:webHidden/>
          </w:rPr>
          <w:instrText xml:space="preserve"> PAGEREF _Toc208245015 \h </w:instrText>
        </w:r>
        <w:r>
          <w:rPr>
            <w:noProof/>
            <w:webHidden/>
          </w:rPr>
        </w:r>
        <w:r>
          <w:rPr>
            <w:noProof/>
            <w:webHidden/>
          </w:rPr>
          <w:fldChar w:fldCharType="separate"/>
        </w:r>
        <w:r>
          <w:rPr>
            <w:noProof/>
            <w:webHidden/>
          </w:rPr>
          <w:t>77</w:t>
        </w:r>
        <w:r>
          <w:rPr>
            <w:noProof/>
            <w:webHidden/>
          </w:rPr>
          <w:fldChar w:fldCharType="end"/>
        </w:r>
      </w:hyperlink>
    </w:p>
    <w:p w14:paraId="715C77C4" w14:textId="5F0B4C57" w:rsidR="003243B2" w:rsidRDefault="003243B2">
      <w:pPr>
        <w:pStyle w:val="TOC2"/>
        <w:rPr>
          <w:noProof/>
          <w:kern w:val="2"/>
          <w:sz w:val="24"/>
          <w:szCs w:val="24"/>
          <w:lang w:val="en-GB"/>
          <w14:ligatures w14:val="standardContextual"/>
        </w:rPr>
      </w:pPr>
      <w:hyperlink w:anchor="_Toc208245016" w:history="1">
        <w:r w:rsidRPr="00FF76E2">
          <w:rPr>
            <w:rStyle w:val="Hyperlink"/>
            <w:rFonts w:eastAsia="Calibri"/>
            <w:noProof/>
          </w:rPr>
          <w:t>II.23</w:t>
        </w:r>
        <w:r>
          <w:rPr>
            <w:noProof/>
            <w:kern w:val="2"/>
            <w:sz w:val="24"/>
            <w:szCs w:val="24"/>
            <w:lang w:val="en-GB"/>
            <w14:ligatures w14:val="standardContextual"/>
          </w:rPr>
          <w:tab/>
        </w:r>
        <w:r w:rsidRPr="00FF76E2">
          <w:rPr>
            <w:rStyle w:val="Hyperlink"/>
            <w:noProof/>
          </w:rPr>
          <w:t>Z 08.04 — Servizzi kritiċi — immappjar għal funzjonijiet kritiċi (SERV 4)</w:t>
        </w:r>
        <w:r>
          <w:rPr>
            <w:noProof/>
            <w:webHidden/>
          </w:rPr>
          <w:tab/>
        </w:r>
        <w:r>
          <w:rPr>
            <w:noProof/>
            <w:webHidden/>
          </w:rPr>
          <w:fldChar w:fldCharType="begin"/>
        </w:r>
        <w:r>
          <w:rPr>
            <w:noProof/>
            <w:webHidden/>
          </w:rPr>
          <w:instrText xml:space="preserve"> PAGEREF _Toc208245016 \h </w:instrText>
        </w:r>
        <w:r>
          <w:rPr>
            <w:noProof/>
            <w:webHidden/>
          </w:rPr>
        </w:r>
        <w:r>
          <w:rPr>
            <w:noProof/>
            <w:webHidden/>
          </w:rPr>
          <w:fldChar w:fldCharType="separate"/>
        </w:r>
        <w:r>
          <w:rPr>
            <w:noProof/>
            <w:webHidden/>
          </w:rPr>
          <w:t>78</w:t>
        </w:r>
        <w:r>
          <w:rPr>
            <w:noProof/>
            <w:webHidden/>
          </w:rPr>
          <w:fldChar w:fldCharType="end"/>
        </w:r>
      </w:hyperlink>
    </w:p>
    <w:p w14:paraId="036B83EE" w14:textId="77939A2D" w:rsidR="003243B2" w:rsidRDefault="003243B2">
      <w:pPr>
        <w:pStyle w:val="TOC2"/>
        <w:rPr>
          <w:noProof/>
          <w:kern w:val="2"/>
          <w:sz w:val="24"/>
          <w:szCs w:val="24"/>
          <w:lang w:val="en-GB"/>
          <w14:ligatures w14:val="standardContextual"/>
        </w:rPr>
      </w:pPr>
      <w:hyperlink w:anchor="_Toc208245017" w:history="1">
        <w:r w:rsidRPr="00FF76E2">
          <w:rPr>
            <w:rStyle w:val="Hyperlink"/>
            <w:noProof/>
          </w:rPr>
          <w:t>Istruzzjonijiet ġenerali</w:t>
        </w:r>
        <w:r>
          <w:rPr>
            <w:noProof/>
            <w:webHidden/>
          </w:rPr>
          <w:tab/>
        </w:r>
        <w:r>
          <w:rPr>
            <w:noProof/>
            <w:webHidden/>
          </w:rPr>
          <w:fldChar w:fldCharType="begin"/>
        </w:r>
        <w:r>
          <w:rPr>
            <w:noProof/>
            <w:webHidden/>
          </w:rPr>
          <w:instrText xml:space="preserve"> PAGEREF _Toc208245017 \h </w:instrText>
        </w:r>
        <w:r>
          <w:rPr>
            <w:noProof/>
            <w:webHidden/>
          </w:rPr>
        </w:r>
        <w:r>
          <w:rPr>
            <w:noProof/>
            <w:webHidden/>
          </w:rPr>
          <w:fldChar w:fldCharType="separate"/>
        </w:r>
        <w:r>
          <w:rPr>
            <w:noProof/>
            <w:webHidden/>
          </w:rPr>
          <w:t>78</w:t>
        </w:r>
        <w:r>
          <w:rPr>
            <w:noProof/>
            <w:webHidden/>
          </w:rPr>
          <w:fldChar w:fldCharType="end"/>
        </w:r>
      </w:hyperlink>
    </w:p>
    <w:p w14:paraId="4EB10053" w14:textId="1FCD51C5" w:rsidR="003243B2" w:rsidRDefault="003243B2">
      <w:pPr>
        <w:pStyle w:val="TOC2"/>
        <w:rPr>
          <w:noProof/>
          <w:kern w:val="2"/>
          <w:sz w:val="24"/>
          <w:szCs w:val="24"/>
          <w:lang w:val="en-GB"/>
          <w14:ligatures w14:val="standardContextual"/>
        </w:rPr>
      </w:pPr>
      <w:hyperlink w:anchor="_Toc208245018" w:history="1">
        <w:r w:rsidRPr="00FF76E2">
          <w:rPr>
            <w:rStyle w:val="Hyperlink"/>
            <w:rFonts w:eastAsia="Calibri"/>
            <w:noProof/>
          </w:rPr>
          <w:t>II.24</w:t>
        </w:r>
        <w:r>
          <w:rPr>
            <w:noProof/>
            <w:kern w:val="2"/>
            <w:sz w:val="24"/>
            <w:szCs w:val="24"/>
            <w:lang w:val="en-GB"/>
            <w14:ligatures w14:val="standardContextual"/>
          </w:rPr>
          <w:tab/>
        </w:r>
        <w:r w:rsidRPr="00FF76E2">
          <w:rPr>
            <w:rStyle w:val="Hyperlink"/>
            <w:noProof/>
          </w:rPr>
          <w:t>Z 08.05 — Servizzi essenzjali — immappjar mal-linji tan-negozju ewlenin (SERV 5)</w:t>
        </w:r>
        <w:r>
          <w:rPr>
            <w:noProof/>
            <w:webHidden/>
          </w:rPr>
          <w:tab/>
        </w:r>
        <w:r>
          <w:rPr>
            <w:noProof/>
            <w:webHidden/>
          </w:rPr>
          <w:fldChar w:fldCharType="begin"/>
        </w:r>
        <w:r>
          <w:rPr>
            <w:noProof/>
            <w:webHidden/>
          </w:rPr>
          <w:instrText xml:space="preserve"> PAGEREF _Toc208245018 \h </w:instrText>
        </w:r>
        <w:r>
          <w:rPr>
            <w:noProof/>
            <w:webHidden/>
          </w:rPr>
        </w:r>
        <w:r>
          <w:rPr>
            <w:noProof/>
            <w:webHidden/>
          </w:rPr>
          <w:fldChar w:fldCharType="separate"/>
        </w:r>
        <w:r>
          <w:rPr>
            <w:noProof/>
            <w:webHidden/>
          </w:rPr>
          <w:t>79</w:t>
        </w:r>
        <w:r>
          <w:rPr>
            <w:noProof/>
            <w:webHidden/>
          </w:rPr>
          <w:fldChar w:fldCharType="end"/>
        </w:r>
      </w:hyperlink>
    </w:p>
    <w:p w14:paraId="77665933" w14:textId="3BD6AEE8" w:rsidR="003243B2" w:rsidRDefault="003243B2">
      <w:pPr>
        <w:pStyle w:val="TOC2"/>
        <w:rPr>
          <w:noProof/>
          <w:kern w:val="2"/>
          <w:sz w:val="24"/>
          <w:szCs w:val="24"/>
          <w:lang w:val="en-GB"/>
          <w14:ligatures w14:val="standardContextual"/>
        </w:rPr>
      </w:pPr>
      <w:hyperlink w:anchor="_Toc208245019" w:history="1">
        <w:r w:rsidRPr="00FF76E2">
          <w:rPr>
            <w:rStyle w:val="Hyperlink"/>
            <w:noProof/>
          </w:rPr>
          <w:t>II.25</w:t>
        </w:r>
        <w:r>
          <w:rPr>
            <w:noProof/>
            <w:kern w:val="2"/>
            <w:sz w:val="24"/>
            <w:szCs w:val="24"/>
            <w:lang w:val="en-GB"/>
            <w14:ligatures w14:val="standardContextual"/>
          </w:rPr>
          <w:tab/>
        </w:r>
        <w:r w:rsidRPr="00FF76E2">
          <w:rPr>
            <w:rStyle w:val="Hyperlink"/>
            <w:noProof/>
          </w:rPr>
          <w:t>Servizzi tal-FMI</w:t>
        </w:r>
        <w:r>
          <w:rPr>
            <w:noProof/>
            <w:webHidden/>
          </w:rPr>
          <w:tab/>
        </w:r>
        <w:r>
          <w:rPr>
            <w:noProof/>
            <w:webHidden/>
          </w:rPr>
          <w:fldChar w:fldCharType="begin"/>
        </w:r>
        <w:r>
          <w:rPr>
            <w:noProof/>
            <w:webHidden/>
          </w:rPr>
          <w:instrText xml:space="preserve"> PAGEREF _Toc208245019 \h </w:instrText>
        </w:r>
        <w:r>
          <w:rPr>
            <w:noProof/>
            <w:webHidden/>
          </w:rPr>
        </w:r>
        <w:r>
          <w:rPr>
            <w:noProof/>
            <w:webHidden/>
          </w:rPr>
          <w:fldChar w:fldCharType="separate"/>
        </w:r>
        <w:r>
          <w:rPr>
            <w:noProof/>
            <w:webHidden/>
          </w:rPr>
          <w:t>80</w:t>
        </w:r>
        <w:r>
          <w:rPr>
            <w:noProof/>
            <w:webHidden/>
          </w:rPr>
          <w:fldChar w:fldCharType="end"/>
        </w:r>
      </w:hyperlink>
    </w:p>
    <w:p w14:paraId="2C78ECB2" w14:textId="594F3580" w:rsidR="003243B2" w:rsidRDefault="003243B2">
      <w:pPr>
        <w:pStyle w:val="TOC2"/>
        <w:rPr>
          <w:noProof/>
          <w:kern w:val="2"/>
          <w:sz w:val="24"/>
          <w:szCs w:val="24"/>
          <w:lang w:val="en-GB"/>
          <w14:ligatures w14:val="standardContextual"/>
        </w:rPr>
      </w:pPr>
      <w:hyperlink w:anchor="_Toc208245020" w:history="1">
        <w:r w:rsidRPr="00FF76E2">
          <w:rPr>
            <w:rStyle w:val="Hyperlink"/>
            <w:noProof/>
          </w:rPr>
          <w:t>II.26</w:t>
        </w:r>
        <w:r>
          <w:rPr>
            <w:noProof/>
            <w:kern w:val="2"/>
            <w:sz w:val="24"/>
            <w:szCs w:val="24"/>
            <w:lang w:val="en-GB"/>
            <w14:ligatures w14:val="standardContextual"/>
          </w:rPr>
          <w:tab/>
        </w:r>
        <w:r w:rsidRPr="00FF76E2">
          <w:rPr>
            <w:rStyle w:val="Hyperlink"/>
            <w:noProof/>
          </w:rPr>
          <w:t>Z 09.01 — Servizzi FMI — Fornituri u Utenti (FMI 1)</w:t>
        </w:r>
        <w:r>
          <w:rPr>
            <w:noProof/>
            <w:webHidden/>
          </w:rPr>
          <w:tab/>
        </w:r>
        <w:r>
          <w:rPr>
            <w:noProof/>
            <w:webHidden/>
          </w:rPr>
          <w:fldChar w:fldCharType="begin"/>
        </w:r>
        <w:r>
          <w:rPr>
            <w:noProof/>
            <w:webHidden/>
          </w:rPr>
          <w:instrText xml:space="preserve"> PAGEREF _Toc208245020 \h </w:instrText>
        </w:r>
        <w:r>
          <w:rPr>
            <w:noProof/>
            <w:webHidden/>
          </w:rPr>
        </w:r>
        <w:r>
          <w:rPr>
            <w:noProof/>
            <w:webHidden/>
          </w:rPr>
          <w:fldChar w:fldCharType="separate"/>
        </w:r>
        <w:r>
          <w:rPr>
            <w:noProof/>
            <w:webHidden/>
          </w:rPr>
          <w:t>80</w:t>
        </w:r>
        <w:r>
          <w:rPr>
            <w:noProof/>
            <w:webHidden/>
          </w:rPr>
          <w:fldChar w:fldCharType="end"/>
        </w:r>
      </w:hyperlink>
    </w:p>
    <w:p w14:paraId="361D232F" w14:textId="5DFBC0B8" w:rsidR="003243B2" w:rsidRDefault="003243B2">
      <w:pPr>
        <w:pStyle w:val="TOC2"/>
        <w:rPr>
          <w:noProof/>
          <w:kern w:val="2"/>
          <w:sz w:val="24"/>
          <w:szCs w:val="24"/>
          <w:lang w:val="en-GB"/>
          <w14:ligatures w14:val="standardContextual"/>
        </w:rPr>
      </w:pPr>
      <w:hyperlink w:anchor="_Toc208245021" w:history="1">
        <w:r w:rsidRPr="00FF76E2">
          <w:rPr>
            <w:rStyle w:val="Hyperlink"/>
            <w:rFonts w:eastAsia="Calibri"/>
            <w:noProof/>
          </w:rPr>
          <w:t>II.27</w:t>
        </w:r>
        <w:r>
          <w:rPr>
            <w:noProof/>
            <w:kern w:val="2"/>
            <w:sz w:val="24"/>
            <w:szCs w:val="24"/>
            <w:lang w:val="en-GB"/>
            <w14:ligatures w14:val="standardContextual"/>
          </w:rPr>
          <w:tab/>
        </w:r>
        <w:r w:rsidRPr="00FF76E2">
          <w:rPr>
            <w:rStyle w:val="Hyperlink"/>
            <w:noProof/>
          </w:rPr>
          <w:t>Z 09.02 — Immappjar ma’ FMIs Kritiċi u Essenzjali (FMI 2)</w:t>
        </w:r>
        <w:r>
          <w:rPr>
            <w:noProof/>
            <w:webHidden/>
          </w:rPr>
          <w:tab/>
        </w:r>
        <w:r>
          <w:rPr>
            <w:noProof/>
            <w:webHidden/>
          </w:rPr>
          <w:fldChar w:fldCharType="begin"/>
        </w:r>
        <w:r>
          <w:rPr>
            <w:noProof/>
            <w:webHidden/>
          </w:rPr>
          <w:instrText xml:space="preserve"> PAGEREF _Toc208245021 \h </w:instrText>
        </w:r>
        <w:r>
          <w:rPr>
            <w:noProof/>
            <w:webHidden/>
          </w:rPr>
        </w:r>
        <w:r>
          <w:rPr>
            <w:noProof/>
            <w:webHidden/>
          </w:rPr>
          <w:fldChar w:fldCharType="separate"/>
        </w:r>
        <w:r>
          <w:rPr>
            <w:noProof/>
            <w:webHidden/>
          </w:rPr>
          <w:t>83</w:t>
        </w:r>
        <w:r>
          <w:rPr>
            <w:noProof/>
            <w:webHidden/>
          </w:rPr>
          <w:fldChar w:fldCharType="end"/>
        </w:r>
      </w:hyperlink>
    </w:p>
    <w:p w14:paraId="16DB9699" w14:textId="64C013C6" w:rsidR="003243B2" w:rsidRDefault="003243B2">
      <w:pPr>
        <w:pStyle w:val="TOC2"/>
        <w:rPr>
          <w:noProof/>
          <w:kern w:val="2"/>
          <w:sz w:val="24"/>
          <w:szCs w:val="24"/>
          <w:lang w:val="en-GB"/>
          <w14:ligatures w14:val="standardContextual"/>
        </w:rPr>
      </w:pPr>
      <w:hyperlink w:anchor="_Toc208245022" w:history="1">
        <w:r w:rsidRPr="00FF76E2">
          <w:rPr>
            <w:rStyle w:val="Hyperlink"/>
            <w:noProof/>
          </w:rPr>
          <w:t>II.28</w:t>
        </w:r>
        <w:r>
          <w:rPr>
            <w:noProof/>
            <w:kern w:val="2"/>
            <w:sz w:val="24"/>
            <w:szCs w:val="24"/>
            <w:lang w:val="en-GB"/>
            <w14:ligatures w14:val="standardContextual"/>
          </w:rPr>
          <w:tab/>
        </w:r>
        <w:r w:rsidRPr="00FF76E2">
          <w:rPr>
            <w:rStyle w:val="Hyperlink"/>
            <w:noProof/>
          </w:rPr>
          <w:t>Z 09.03 — Servizzi FMI — Metriċi Ewlenin (FMI 3)</w:t>
        </w:r>
        <w:r>
          <w:rPr>
            <w:noProof/>
            <w:webHidden/>
          </w:rPr>
          <w:tab/>
        </w:r>
        <w:r>
          <w:rPr>
            <w:noProof/>
            <w:webHidden/>
          </w:rPr>
          <w:fldChar w:fldCharType="begin"/>
        </w:r>
        <w:r>
          <w:rPr>
            <w:noProof/>
            <w:webHidden/>
          </w:rPr>
          <w:instrText xml:space="preserve"> PAGEREF _Toc208245022 \h </w:instrText>
        </w:r>
        <w:r>
          <w:rPr>
            <w:noProof/>
            <w:webHidden/>
          </w:rPr>
        </w:r>
        <w:r>
          <w:rPr>
            <w:noProof/>
            <w:webHidden/>
          </w:rPr>
          <w:fldChar w:fldCharType="separate"/>
        </w:r>
        <w:r>
          <w:rPr>
            <w:noProof/>
            <w:webHidden/>
          </w:rPr>
          <w:t>85</w:t>
        </w:r>
        <w:r>
          <w:rPr>
            <w:noProof/>
            <w:webHidden/>
          </w:rPr>
          <w:fldChar w:fldCharType="end"/>
        </w:r>
      </w:hyperlink>
    </w:p>
    <w:p w14:paraId="012D1ADE" w14:textId="608983B8" w:rsidR="003243B2" w:rsidRDefault="003243B2">
      <w:pPr>
        <w:pStyle w:val="TOC2"/>
        <w:rPr>
          <w:noProof/>
          <w:kern w:val="2"/>
          <w:sz w:val="24"/>
          <w:szCs w:val="24"/>
          <w:lang w:val="en-GB"/>
          <w14:ligatures w14:val="standardContextual"/>
        </w:rPr>
      </w:pPr>
      <w:hyperlink w:anchor="_Toc208245023" w:history="1">
        <w:r w:rsidRPr="00FF76E2">
          <w:rPr>
            <w:rStyle w:val="Hyperlink"/>
            <w:noProof/>
          </w:rPr>
          <w:t>II.29</w:t>
        </w:r>
        <w:r>
          <w:rPr>
            <w:noProof/>
            <w:kern w:val="2"/>
            <w:sz w:val="24"/>
            <w:szCs w:val="24"/>
            <w:lang w:val="en-GB"/>
            <w14:ligatures w14:val="standardContextual"/>
          </w:rPr>
          <w:tab/>
        </w:r>
        <w:r w:rsidRPr="00FF76E2">
          <w:rPr>
            <w:rStyle w:val="Hyperlink"/>
            <w:noProof/>
          </w:rPr>
          <w:t>Z 09.04 — Servizzi FMI — CCPs — Fornituri Alternattivi (FMI 4)</w:t>
        </w:r>
        <w:r>
          <w:rPr>
            <w:noProof/>
            <w:webHidden/>
          </w:rPr>
          <w:tab/>
        </w:r>
        <w:r>
          <w:rPr>
            <w:noProof/>
            <w:webHidden/>
          </w:rPr>
          <w:fldChar w:fldCharType="begin"/>
        </w:r>
        <w:r>
          <w:rPr>
            <w:noProof/>
            <w:webHidden/>
          </w:rPr>
          <w:instrText xml:space="preserve"> PAGEREF _Toc208245023 \h </w:instrText>
        </w:r>
        <w:r>
          <w:rPr>
            <w:noProof/>
            <w:webHidden/>
          </w:rPr>
        </w:r>
        <w:r>
          <w:rPr>
            <w:noProof/>
            <w:webHidden/>
          </w:rPr>
          <w:fldChar w:fldCharType="separate"/>
        </w:r>
        <w:r>
          <w:rPr>
            <w:noProof/>
            <w:webHidden/>
          </w:rPr>
          <w:t>87</w:t>
        </w:r>
        <w:r>
          <w:rPr>
            <w:noProof/>
            <w:webHidden/>
          </w:rPr>
          <w:fldChar w:fldCharType="end"/>
        </w:r>
      </w:hyperlink>
    </w:p>
    <w:p w14:paraId="3A6C5B5D" w14:textId="081CDBC9" w:rsidR="003243B2" w:rsidRDefault="003243B2">
      <w:pPr>
        <w:pStyle w:val="TOC2"/>
        <w:rPr>
          <w:noProof/>
          <w:kern w:val="2"/>
          <w:sz w:val="24"/>
          <w:szCs w:val="24"/>
          <w:lang w:val="en-GB"/>
          <w14:ligatures w14:val="standardContextual"/>
        </w:rPr>
      </w:pPr>
      <w:hyperlink w:anchor="_Toc208245024" w:history="1">
        <w:r w:rsidRPr="00FF76E2">
          <w:rPr>
            <w:rStyle w:val="Hyperlink"/>
            <w:noProof/>
          </w:rPr>
          <w:t>II.30</w:t>
        </w:r>
        <w:r>
          <w:rPr>
            <w:noProof/>
            <w:kern w:val="2"/>
            <w:sz w:val="24"/>
            <w:szCs w:val="24"/>
            <w:lang w:val="en-GB"/>
            <w14:ligatures w14:val="standardContextual"/>
          </w:rPr>
          <w:tab/>
        </w:r>
        <w:r w:rsidRPr="00FF76E2">
          <w:rPr>
            <w:rStyle w:val="Hyperlink"/>
            <w:noProof/>
          </w:rPr>
          <w:t>Analiżi tar-Responsabbiltà</w:t>
        </w:r>
        <w:r>
          <w:rPr>
            <w:noProof/>
            <w:webHidden/>
          </w:rPr>
          <w:tab/>
        </w:r>
        <w:r>
          <w:rPr>
            <w:noProof/>
            <w:webHidden/>
          </w:rPr>
          <w:fldChar w:fldCharType="begin"/>
        </w:r>
        <w:r>
          <w:rPr>
            <w:noProof/>
            <w:webHidden/>
          </w:rPr>
          <w:instrText xml:space="preserve"> PAGEREF _Toc208245024 \h </w:instrText>
        </w:r>
        <w:r>
          <w:rPr>
            <w:noProof/>
            <w:webHidden/>
          </w:rPr>
        </w:r>
        <w:r>
          <w:rPr>
            <w:noProof/>
            <w:webHidden/>
          </w:rPr>
          <w:fldChar w:fldCharType="separate"/>
        </w:r>
        <w:r>
          <w:rPr>
            <w:noProof/>
            <w:webHidden/>
          </w:rPr>
          <w:t>88</w:t>
        </w:r>
        <w:r>
          <w:rPr>
            <w:noProof/>
            <w:webHidden/>
          </w:rPr>
          <w:fldChar w:fldCharType="end"/>
        </w:r>
      </w:hyperlink>
    </w:p>
    <w:p w14:paraId="69F9D8C6" w14:textId="63FDB028" w:rsidR="003243B2" w:rsidRDefault="003243B2">
      <w:pPr>
        <w:pStyle w:val="TOC2"/>
        <w:rPr>
          <w:noProof/>
          <w:kern w:val="2"/>
          <w:sz w:val="24"/>
          <w:szCs w:val="24"/>
          <w:lang w:val="en-GB"/>
          <w14:ligatures w14:val="standardContextual"/>
        </w:rPr>
      </w:pPr>
      <w:hyperlink w:anchor="_Toc208245025" w:history="1">
        <w:r w:rsidRPr="00FF76E2">
          <w:rPr>
            <w:rStyle w:val="Hyperlink"/>
            <w:rFonts w:ascii="Times New Roman" w:hAnsi="Times New Roman" w:cs="Times New Roman"/>
            <w:noProof/>
          </w:rPr>
          <w:t>II.31</w:t>
        </w:r>
        <w:r>
          <w:rPr>
            <w:noProof/>
            <w:kern w:val="2"/>
            <w:sz w:val="24"/>
            <w:szCs w:val="24"/>
            <w:lang w:val="en-GB"/>
            <w14:ligatures w14:val="standardContextual"/>
          </w:rPr>
          <w:tab/>
        </w:r>
        <w:r w:rsidRPr="00FF76E2">
          <w:rPr>
            <w:rStyle w:val="Hyperlink"/>
            <w:rFonts w:ascii="Times New Roman" w:hAnsi="Times New Roman" w:cs="Times New Roman"/>
            <w:noProof/>
          </w:rPr>
          <w:t>Z 11.00 Obbligazzjonijiet intragrupp</w:t>
        </w:r>
        <w:r w:rsidRPr="00FF76E2">
          <w:rPr>
            <w:rStyle w:val="Hyperlink"/>
            <w:rFonts w:ascii="Times New Roman" w:eastAsia="Calibri" w:hAnsi="Times New Roman" w:cs="Times New Roman"/>
            <w:noProof/>
          </w:rPr>
          <w:t xml:space="preserve"> (LIAB-G-1)</w:t>
        </w:r>
        <w:r>
          <w:rPr>
            <w:noProof/>
            <w:webHidden/>
          </w:rPr>
          <w:tab/>
        </w:r>
        <w:r>
          <w:rPr>
            <w:noProof/>
            <w:webHidden/>
          </w:rPr>
          <w:fldChar w:fldCharType="begin"/>
        </w:r>
        <w:r>
          <w:rPr>
            <w:noProof/>
            <w:webHidden/>
          </w:rPr>
          <w:instrText xml:space="preserve"> PAGEREF _Toc208245025 \h </w:instrText>
        </w:r>
        <w:r>
          <w:rPr>
            <w:noProof/>
            <w:webHidden/>
          </w:rPr>
        </w:r>
        <w:r>
          <w:rPr>
            <w:noProof/>
            <w:webHidden/>
          </w:rPr>
          <w:fldChar w:fldCharType="separate"/>
        </w:r>
        <w:r>
          <w:rPr>
            <w:noProof/>
            <w:webHidden/>
          </w:rPr>
          <w:t>88</w:t>
        </w:r>
        <w:r>
          <w:rPr>
            <w:noProof/>
            <w:webHidden/>
          </w:rPr>
          <w:fldChar w:fldCharType="end"/>
        </w:r>
      </w:hyperlink>
    </w:p>
    <w:p w14:paraId="30FE0F01" w14:textId="5A61F356" w:rsidR="003243B2" w:rsidRDefault="003243B2">
      <w:pPr>
        <w:pStyle w:val="TOC2"/>
        <w:rPr>
          <w:noProof/>
          <w:kern w:val="2"/>
          <w:sz w:val="24"/>
          <w:szCs w:val="24"/>
          <w:lang w:val="en-GB"/>
          <w14:ligatures w14:val="standardContextual"/>
        </w:rPr>
      </w:pPr>
      <w:hyperlink w:anchor="_Toc208245026" w:history="1">
        <w:r w:rsidRPr="00FF76E2">
          <w:rPr>
            <w:rStyle w:val="Hyperlink"/>
            <w:rFonts w:ascii="Times New Roman" w:hAnsi="Times New Roman" w:cs="Times New Roman"/>
            <w:noProof/>
          </w:rPr>
          <w:t>II.32</w:t>
        </w:r>
        <w:r>
          <w:rPr>
            <w:noProof/>
            <w:kern w:val="2"/>
            <w:sz w:val="24"/>
            <w:szCs w:val="24"/>
            <w:lang w:val="en-GB"/>
            <w14:ligatures w14:val="standardContextual"/>
          </w:rPr>
          <w:tab/>
        </w:r>
        <w:r w:rsidRPr="00FF76E2">
          <w:rPr>
            <w:rStyle w:val="Hyperlink"/>
            <w:rFonts w:ascii="Times New Roman" w:hAnsi="Times New Roman" w:cs="Times New Roman"/>
            <w:noProof/>
          </w:rPr>
          <w:t xml:space="preserve">Z 12.00 — </w:t>
        </w:r>
        <w:r w:rsidRPr="00FF76E2">
          <w:rPr>
            <w:rStyle w:val="Hyperlink"/>
            <w:rFonts w:ascii="Times New Roman" w:eastAsia="Cambria" w:hAnsi="Times New Roman" w:cs="Times New Roman"/>
            <w:noProof/>
          </w:rPr>
          <w:t xml:space="preserve">Titoli (inklużi strumenti CET1, AT1 &amp; ampGrad 2; esklużi intragrupp) </w:t>
        </w:r>
        <w:r w:rsidRPr="00FF76E2">
          <w:rPr>
            <w:rStyle w:val="Hyperlink"/>
            <w:rFonts w:ascii="Times New Roman" w:eastAsia="Calibri" w:hAnsi="Times New Roman" w:cs="Times New Roman"/>
            <w:noProof/>
          </w:rPr>
          <w:t>(LIAB-G-2)</w:t>
        </w:r>
        <w:r>
          <w:rPr>
            <w:noProof/>
            <w:webHidden/>
          </w:rPr>
          <w:tab/>
        </w:r>
        <w:r>
          <w:rPr>
            <w:noProof/>
            <w:webHidden/>
          </w:rPr>
          <w:fldChar w:fldCharType="begin"/>
        </w:r>
        <w:r>
          <w:rPr>
            <w:noProof/>
            <w:webHidden/>
          </w:rPr>
          <w:instrText xml:space="preserve"> PAGEREF _Toc208245026 \h </w:instrText>
        </w:r>
        <w:r>
          <w:rPr>
            <w:noProof/>
            <w:webHidden/>
          </w:rPr>
        </w:r>
        <w:r>
          <w:rPr>
            <w:noProof/>
            <w:webHidden/>
          </w:rPr>
          <w:fldChar w:fldCharType="separate"/>
        </w:r>
        <w:r>
          <w:rPr>
            <w:noProof/>
            <w:webHidden/>
          </w:rPr>
          <w:t>90</w:t>
        </w:r>
        <w:r>
          <w:rPr>
            <w:noProof/>
            <w:webHidden/>
          </w:rPr>
          <w:fldChar w:fldCharType="end"/>
        </w:r>
      </w:hyperlink>
    </w:p>
    <w:p w14:paraId="1D92627F" w14:textId="5D5E41EA" w:rsidR="003243B2" w:rsidRDefault="003243B2">
      <w:pPr>
        <w:pStyle w:val="TOC2"/>
        <w:rPr>
          <w:noProof/>
          <w:kern w:val="2"/>
          <w:sz w:val="24"/>
          <w:szCs w:val="24"/>
          <w:lang w:val="en-GB"/>
          <w14:ligatures w14:val="standardContextual"/>
        </w:rPr>
      </w:pPr>
      <w:hyperlink w:anchor="_Toc208245027" w:history="1">
        <w:r w:rsidRPr="00FF76E2">
          <w:rPr>
            <w:rStyle w:val="Hyperlink"/>
            <w:rFonts w:ascii="Times New Roman" w:hAnsi="Times New Roman" w:cs="Times New Roman"/>
            <w:noProof/>
          </w:rPr>
          <w:t>II.33</w:t>
        </w:r>
        <w:r>
          <w:rPr>
            <w:noProof/>
            <w:kern w:val="2"/>
            <w:sz w:val="24"/>
            <w:szCs w:val="24"/>
            <w:lang w:val="en-GB"/>
            <w14:ligatures w14:val="standardContextual"/>
          </w:rPr>
          <w:tab/>
        </w:r>
        <w:r w:rsidRPr="00FF76E2">
          <w:rPr>
            <w:rStyle w:val="Hyperlink"/>
            <w:rFonts w:ascii="Times New Roman" w:hAnsi="Times New Roman" w:cs="Times New Roman"/>
            <w:noProof/>
          </w:rPr>
          <w:t xml:space="preserve">Z 13.00 — Id-Depożiti kollha (eskluż intragrupp) </w:t>
        </w:r>
        <w:r w:rsidRPr="00FF76E2">
          <w:rPr>
            <w:rStyle w:val="Hyperlink"/>
            <w:rFonts w:ascii="Times New Roman" w:eastAsia="Calibri" w:hAnsi="Times New Roman" w:cs="Times New Roman"/>
            <w:noProof/>
          </w:rPr>
          <w:t>(LIAB-G-3)</w:t>
        </w:r>
        <w:r>
          <w:rPr>
            <w:noProof/>
            <w:webHidden/>
          </w:rPr>
          <w:tab/>
        </w:r>
        <w:r>
          <w:rPr>
            <w:noProof/>
            <w:webHidden/>
          </w:rPr>
          <w:fldChar w:fldCharType="begin"/>
        </w:r>
        <w:r>
          <w:rPr>
            <w:noProof/>
            <w:webHidden/>
          </w:rPr>
          <w:instrText xml:space="preserve"> PAGEREF _Toc208245027 \h </w:instrText>
        </w:r>
        <w:r>
          <w:rPr>
            <w:noProof/>
            <w:webHidden/>
          </w:rPr>
        </w:r>
        <w:r>
          <w:rPr>
            <w:noProof/>
            <w:webHidden/>
          </w:rPr>
          <w:fldChar w:fldCharType="separate"/>
        </w:r>
        <w:r>
          <w:rPr>
            <w:noProof/>
            <w:webHidden/>
          </w:rPr>
          <w:t>95</w:t>
        </w:r>
        <w:r>
          <w:rPr>
            <w:noProof/>
            <w:webHidden/>
          </w:rPr>
          <w:fldChar w:fldCharType="end"/>
        </w:r>
      </w:hyperlink>
    </w:p>
    <w:p w14:paraId="13D96068" w14:textId="7FDBB8A2" w:rsidR="003243B2" w:rsidRDefault="003243B2">
      <w:pPr>
        <w:pStyle w:val="TOC2"/>
        <w:rPr>
          <w:noProof/>
          <w:kern w:val="2"/>
          <w:sz w:val="24"/>
          <w:szCs w:val="24"/>
          <w:lang w:val="en-GB"/>
          <w14:ligatures w14:val="standardContextual"/>
        </w:rPr>
      </w:pPr>
      <w:hyperlink w:anchor="_Toc208245028" w:history="1">
        <w:r w:rsidRPr="00FF76E2">
          <w:rPr>
            <w:rStyle w:val="Hyperlink"/>
            <w:rFonts w:ascii="Times New Roman" w:hAnsi="Times New Roman" w:cs="Times New Roman"/>
            <w:noProof/>
          </w:rPr>
          <w:t>II.34</w:t>
        </w:r>
        <w:r>
          <w:rPr>
            <w:noProof/>
            <w:kern w:val="2"/>
            <w:sz w:val="24"/>
            <w:szCs w:val="24"/>
            <w:lang w:val="en-GB"/>
            <w14:ligatures w14:val="standardContextual"/>
          </w:rPr>
          <w:tab/>
        </w:r>
        <w:r w:rsidRPr="00FF76E2">
          <w:rPr>
            <w:rStyle w:val="Hyperlink"/>
            <w:rFonts w:ascii="Times New Roman" w:hAnsi="Times New Roman" w:cs="Times New Roman"/>
            <w:noProof/>
          </w:rPr>
          <w:t xml:space="preserve">Z 14.00 — Obbligazzjonijiet Finanzjarji Oħrajn (mhux inklużi f’tabs oħrajn, eskluż intragrupp) </w:t>
        </w:r>
        <w:r w:rsidRPr="00FF76E2">
          <w:rPr>
            <w:rStyle w:val="Hyperlink"/>
            <w:rFonts w:ascii="Times New Roman" w:eastAsia="Calibri" w:hAnsi="Times New Roman" w:cs="Times New Roman"/>
            <w:noProof/>
          </w:rPr>
          <w:t>(LIAB-G-4)</w:t>
        </w:r>
        <w:r>
          <w:rPr>
            <w:noProof/>
            <w:webHidden/>
          </w:rPr>
          <w:tab/>
        </w:r>
        <w:r>
          <w:rPr>
            <w:noProof/>
            <w:webHidden/>
          </w:rPr>
          <w:fldChar w:fldCharType="begin"/>
        </w:r>
        <w:r>
          <w:rPr>
            <w:noProof/>
            <w:webHidden/>
          </w:rPr>
          <w:instrText xml:space="preserve"> PAGEREF _Toc208245028 \h </w:instrText>
        </w:r>
        <w:r>
          <w:rPr>
            <w:noProof/>
            <w:webHidden/>
          </w:rPr>
        </w:r>
        <w:r>
          <w:rPr>
            <w:noProof/>
            <w:webHidden/>
          </w:rPr>
          <w:fldChar w:fldCharType="separate"/>
        </w:r>
        <w:r>
          <w:rPr>
            <w:noProof/>
            <w:webHidden/>
          </w:rPr>
          <w:t>97</w:t>
        </w:r>
        <w:r>
          <w:rPr>
            <w:noProof/>
            <w:webHidden/>
          </w:rPr>
          <w:fldChar w:fldCharType="end"/>
        </w:r>
      </w:hyperlink>
    </w:p>
    <w:p w14:paraId="15542716" w14:textId="62BE6AFC" w:rsidR="003243B2" w:rsidRDefault="003243B2">
      <w:pPr>
        <w:pStyle w:val="TOC2"/>
        <w:rPr>
          <w:noProof/>
          <w:kern w:val="2"/>
          <w:sz w:val="24"/>
          <w:szCs w:val="24"/>
          <w:lang w:val="en-GB"/>
          <w14:ligatures w14:val="standardContextual"/>
        </w:rPr>
      </w:pPr>
      <w:hyperlink w:anchor="_Toc208245029" w:history="1">
        <w:r w:rsidRPr="00FF76E2">
          <w:rPr>
            <w:rStyle w:val="Hyperlink"/>
            <w:rFonts w:ascii="Times New Roman" w:hAnsi="Times New Roman" w:cs="Times New Roman"/>
            <w:noProof/>
          </w:rPr>
          <w:t>II.35</w:t>
        </w:r>
        <w:r>
          <w:rPr>
            <w:noProof/>
            <w:kern w:val="2"/>
            <w:sz w:val="24"/>
            <w:szCs w:val="24"/>
            <w:lang w:val="en-GB"/>
            <w14:ligatures w14:val="standardContextual"/>
          </w:rPr>
          <w:tab/>
        </w:r>
        <w:r w:rsidRPr="00FF76E2">
          <w:rPr>
            <w:rStyle w:val="Hyperlink"/>
            <w:rFonts w:ascii="Times New Roman" w:hAnsi="Times New Roman" w:cs="Times New Roman"/>
            <w:noProof/>
          </w:rPr>
          <w:t xml:space="preserve">Z 15.00 — Derivattivi </w:t>
        </w:r>
        <w:r w:rsidRPr="00FF76E2">
          <w:rPr>
            <w:rStyle w:val="Hyperlink"/>
            <w:rFonts w:ascii="Times New Roman" w:eastAsia="Calibri" w:hAnsi="Times New Roman" w:cs="Times New Roman"/>
            <w:noProof/>
          </w:rPr>
          <w:t>(LIAB-G-5)</w:t>
        </w:r>
        <w:r>
          <w:rPr>
            <w:noProof/>
            <w:webHidden/>
          </w:rPr>
          <w:tab/>
        </w:r>
        <w:r>
          <w:rPr>
            <w:noProof/>
            <w:webHidden/>
          </w:rPr>
          <w:fldChar w:fldCharType="begin"/>
        </w:r>
        <w:r>
          <w:rPr>
            <w:noProof/>
            <w:webHidden/>
          </w:rPr>
          <w:instrText xml:space="preserve"> PAGEREF _Toc208245029 \h </w:instrText>
        </w:r>
        <w:r>
          <w:rPr>
            <w:noProof/>
            <w:webHidden/>
          </w:rPr>
        </w:r>
        <w:r>
          <w:rPr>
            <w:noProof/>
            <w:webHidden/>
          </w:rPr>
          <w:fldChar w:fldCharType="separate"/>
        </w:r>
        <w:r>
          <w:rPr>
            <w:noProof/>
            <w:webHidden/>
          </w:rPr>
          <w:t>100</w:t>
        </w:r>
        <w:r>
          <w:rPr>
            <w:noProof/>
            <w:webHidden/>
          </w:rPr>
          <w:fldChar w:fldCharType="end"/>
        </w:r>
      </w:hyperlink>
    </w:p>
    <w:p w14:paraId="586C3E66" w14:textId="3633153A" w:rsidR="003243B2" w:rsidRDefault="003243B2">
      <w:pPr>
        <w:pStyle w:val="TOC2"/>
        <w:rPr>
          <w:noProof/>
          <w:kern w:val="2"/>
          <w:sz w:val="24"/>
          <w:szCs w:val="24"/>
          <w:lang w:val="en-GB"/>
          <w14:ligatures w14:val="standardContextual"/>
        </w:rPr>
      </w:pPr>
      <w:hyperlink w:anchor="_Toc208245030" w:history="1">
        <w:r w:rsidRPr="00FF76E2">
          <w:rPr>
            <w:rStyle w:val="Hyperlink"/>
            <w:rFonts w:ascii="Times New Roman" w:hAnsi="Times New Roman" w:cs="Times New Roman"/>
            <w:noProof/>
          </w:rPr>
          <w:t>II.36</w:t>
        </w:r>
        <w:r>
          <w:rPr>
            <w:noProof/>
            <w:kern w:val="2"/>
            <w:sz w:val="24"/>
            <w:szCs w:val="24"/>
            <w:lang w:val="en-GB"/>
            <w14:ligatures w14:val="standardContextual"/>
          </w:rPr>
          <w:tab/>
        </w:r>
        <w:r w:rsidRPr="00FF76E2">
          <w:rPr>
            <w:rStyle w:val="Hyperlink"/>
            <w:rFonts w:ascii="Times New Roman" w:hAnsi="Times New Roman" w:cs="Times New Roman"/>
            <w:noProof/>
          </w:rPr>
          <w:t xml:space="preserve">Z 16.00 — Tranżazzjonijiet ta’ finanzjament garantit, minbarra intragrupp </w:t>
        </w:r>
        <w:r w:rsidRPr="00FF76E2">
          <w:rPr>
            <w:rStyle w:val="Hyperlink"/>
            <w:rFonts w:ascii="Times New Roman" w:eastAsia="Calibri" w:hAnsi="Times New Roman" w:cs="Times New Roman"/>
            <w:noProof/>
          </w:rPr>
          <w:t>(LIAB-G-6)</w:t>
        </w:r>
        <w:r>
          <w:rPr>
            <w:noProof/>
            <w:webHidden/>
          </w:rPr>
          <w:tab/>
        </w:r>
        <w:r>
          <w:rPr>
            <w:noProof/>
            <w:webHidden/>
          </w:rPr>
          <w:fldChar w:fldCharType="begin"/>
        </w:r>
        <w:r>
          <w:rPr>
            <w:noProof/>
            <w:webHidden/>
          </w:rPr>
          <w:instrText xml:space="preserve"> PAGEREF _Toc208245030 \h </w:instrText>
        </w:r>
        <w:r>
          <w:rPr>
            <w:noProof/>
            <w:webHidden/>
          </w:rPr>
        </w:r>
        <w:r>
          <w:rPr>
            <w:noProof/>
            <w:webHidden/>
          </w:rPr>
          <w:fldChar w:fldCharType="separate"/>
        </w:r>
        <w:r>
          <w:rPr>
            <w:noProof/>
            <w:webHidden/>
          </w:rPr>
          <w:t>102</w:t>
        </w:r>
        <w:r>
          <w:rPr>
            <w:noProof/>
            <w:webHidden/>
          </w:rPr>
          <w:fldChar w:fldCharType="end"/>
        </w:r>
      </w:hyperlink>
    </w:p>
    <w:p w14:paraId="4BA2ACDD" w14:textId="11F09448" w:rsidR="003243B2" w:rsidRDefault="003243B2">
      <w:pPr>
        <w:pStyle w:val="TOC2"/>
        <w:rPr>
          <w:noProof/>
          <w:kern w:val="2"/>
          <w:sz w:val="24"/>
          <w:szCs w:val="24"/>
          <w:lang w:val="en-GB"/>
          <w14:ligatures w14:val="standardContextual"/>
        </w:rPr>
      </w:pPr>
      <w:hyperlink w:anchor="_Toc208245031" w:history="1">
        <w:r w:rsidRPr="00FF76E2">
          <w:rPr>
            <w:rStyle w:val="Hyperlink"/>
            <w:rFonts w:ascii="Times New Roman" w:hAnsi="Times New Roman" w:cs="Times New Roman"/>
            <w:noProof/>
          </w:rPr>
          <w:t>II.37</w:t>
        </w:r>
        <w:r>
          <w:rPr>
            <w:noProof/>
            <w:kern w:val="2"/>
            <w:sz w:val="24"/>
            <w:szCs w:val="24"/>
            <w:lang w:val="en-GB"/>
            <w14:ligatures w14:val="standardContextual"/>
          </w:rPr>
          <w:tab/>
        </w:r>
        <w:r w:rsidRPr="00FF76E2">
          <w:rPr>
            <w:rStyle w:val="Hyperlink"/>
            <w:rFonts w:ascii="Times New Roman" w:hAnsi="Times New Roman" w:cs="Times New Roman"/>
            <w:noProof/>
          </w:rPr>
          <w:t xml:space="preserve">Z 17.00 — Obbligazzjonijiet Mhux Finanzjarji Oħrajn (mhux inklużi f’tabs oħrajn, eskluż intragrupp) </w:t>
        </w:r>
        <w:r w:rsidRPr="00FF76E2">
          <w:rPr>
            <w:rStyle w:val="Hyperlink"/>
            <w:rFonts w:ascii="Times New Roman" w:eastAsia="Calibri" w:hAnsi="Times New Roman" w:cs="Times New Roman"/>
            <w:noProof/>
          </w:rPr>
          <w:t>(LIAB-G-7)</w:t>
        </w:r>
        <w:r>
          <w:rPr>
            <w:noProof/>
            <w:webHidden/>
          </w:rPr>
          <w:tab/>
        </w:r>
        <w:r>
          <w:rPr>
            <w:noProof/>
            <w:webHidden/>
          </w:rPr>
          <w:fldChar w:fldCharType="begin"/>
        </w:r>
        <w:r>
          <w:rPr>
            <w:noProof/>
            <w:webHidden/>
          </w:rPr>
          <w:instrText xml:space="preserve"> PAGEREF _Toc208245031 \h </w:instrText>
        </w:r>
        <w:r>
          <w:rPr>
            <w:noProof/>
            <w:webHidden/>
          </w:rPr>
        </w:r>
        <w:r>
          <w:rPr>
            <w:noProof/>
            <w:webHidden/>
          </w:rPr>
          <w:fldChar w:fldCharType="separate"/>
        </w:r>
        <w:r>
          <w:rPr>
            <w:noProof/>
            <w:webHidden/>
          </w:rPr>
          <w:t>103</w:t>
        </w:r>
        <w:r>
          <w:rPr>
            <w:noProof/>
            <w:webHidden/>
          </w:rPr>
          <w:fldChar w:fldCharType="end"/>
        </w:r>
      </w:hyperlink>
    </w:p>
    <w:p w14:paraId="3ACE8402" w14:textId="0CC8A805" w:rsidR="003243B2" w:rsidRDefault="003243B2">
      <w:pPr>
        <w:pStyle w:val="TOC2"/>
        <w:rPr>
          <w:noProof/>
          <w:kern w:val="2"/>
          <w:sz w:val="24"/>
          <w:szCs w:val="24"/>
          <w:lang w:val="en-GB"/>
          <w14:ligatures w14:val="standardContextual"/>
        </w:rPr>
      </w:pPr>
      <w:hyperlink w:anchor="_Toc208245032" w:history="1">
        <w:r w:rsidRPr="00FF76E2">
          <w:rPr>
            <w:rStyle w:val="Hyperlink"/>
            <w:noProof/>
          </w:rPr>
          <w:t>II.38</w:t>
        </w:r>
        <w:r>
          <w:rPr>
            <w:noProof/>
            <w:kern w:val="2"/>
            <w:sz w:val="24"/>
            <w:szCs w:val="24"/>
            <w:lang w:val="en-GB"/>
            <w14:ligatures w14:val="standardContextual"/>
          </w:rPr>
          <w:tab/>
        </w:r>
        <w:r w:rsidRPr="00FF76E2">
          <w:rPr>
            <w:rStyle w:val="Hyperlink"/>
            <w:noProof/>
          </w:rPr>
          <w:t>Anness I — Lista ta’ FMIs li għandhom jintużaw għal Z 09.01 — c0050</w:t>
        </w:r>
        <w:r>
          <w:rPr>
            <w:noProof/>
            <w:webHidden/>
          </w:rPr>
          <w:tab/>
        </w:r>
        <w:r>
          <w:rPr>
            <w:noProof/>
            <w:webHidden/>
          </w:rPr>
          <w:fldChar w:fldCharType="begin"/>
        </w:r>
        <w:r>
          <w:rPr>
            <w:noProof/>
            <w:webHidden/>
          </w:rPr>
          <w:instrText xml:space="preserve"> PAGEREF _Toc208245032 \h </w:instrText>
        </w:r>
        <w:r>
          <w:rPr>
            <w:noProof/>
            <w:webHidden/>
          </w:rPr>
        </w:r>
        <w:r>
          <w:rPr>
            <w:noProof/>
            <w:webHidden/>
          </w:rPr>
          <w:fldChar w:fldCharType="separate"/>
        </w:r>
        <w:r>
          <w:rPr>
            <w:noProof/>
            <w:webHidden/>
          </w:rPr>
          <w:t>106</w:t>
        </w:r>
        <w:r>
          <w:rPr>
            <w:noProof/>
            <w:webHidden/>
          </w:rPr>
          <w:fldChar w:fldCharType="end"/>
        </w:r>
      </w:hyperlink>
    </w:p>
    <w:p w14:paraId="7FE1B2E2" w14:textId="1FAB25E2" w:rsidR="00534D9A" w:rsidRDefault="003243B2">
      <w:pPr>
        <w:rPr>
          <w:rFonts w:ascii="Times New Roman" w:hAnsi="Times New Roman" w:cs="Times New Roman"/>
          <w:b/>
          <w:color w:val="000000" w:themeColor="text1"/>
          <w:sz w:val="20"/>
          <w:szCs w:val="20"/>
        </w:rPr>
      </w:pPr>
      <w:r>
        <w:rPr>
          <w:rFonts w:ascii="Times New Roman" w:hAnsi="Times New Roman" w:cs="Times New Roman"/>
          <w:bCs/>
          <w:color w:val="000000" w:themeColor="text1"/>
          <w:sz w:val="20"/>
          <w:szCs w:val="20"/>
        </w:rPr>
        <w:fldChar w:fldCharType="end"/>
      </w:r>
    </w:p>
    <w:p w14:paraId="7FE1B2E3" w14:textId="77777777" w:rsidR="00534D9A" w:rsidRDefault="00534D9A">
      <w:pPr>
        <w:rPr>
          <w:rFonts w:ascii="Times New Roman" w:hAnsi="Times New Roman" w:cs="Times New Roman"/>
          <w:b/>
          <w:color w:val="000000" w:themeColor="text1"/>
          <w:sz w:val="20"/>
          <w:szCs w:val="20"/>
        </w:rPr>
      </w:pPr>
    </w:p>
    <w:p w14:paraId="7FE1B2E4" w14:textId="77777777" w:rsidR="00534D9A" w:rsidRDefault="00534D9A">
      <w:pPr>
        <w:pStyle w:val="ListParagraph"/>
        <w:rPr>
          <w:rFonts w:ascii="Times New Roman" w:hAnsi="Times New Roman"/>
          <w:b/>
          <w:color w:val="000000" w:themeColor="text1"/>
          <w:sz w:val="20"/>
          <w:szCs w:val="20"/>
        </w:rPr>
      </w:pPr>
    </w:p>
    <w:p w14:paraId="7FE1B2E5" w14:textId="77777777" w:rsidR="00534D9A" w:rsidRDefault="003243B2">
      <w:pPr>
        <w:pStyle w:val="P68B1DB1-Normal3"/>
        <w:spacing w:after="200" w:line="276" w:lineRule="auto"/>
        <w:rPr>
          <w:rFonts w:eastAsiaTheme="majorEastAsia"/>
          <w:kern w:val="28"/>
        </w:rPr>
      </w:pPr>
      <w:bookmarkStart w:id="0" w:name="_Toc492542318"/>
      <w:r>
        <w:br w:type="page"/>
      </w:r>
    </w:p>
    <w:p w14:paraId="7FE1B2E6" w14:textId="77777777" w:rsidR="00534D9A" w:rsidRDefault="003243B2">
      <w:pPr>
        <w:pStyle w:val="P68B1DB1-Instructionsberschrift24"/>
        <w:numPr>
          <w:ilvl w:val="0"/>
          <w:numId w:val="49"/>
        </w:numPr>
        <w:ind w:left="357" w:hanging="357"/>
      </w:pPr>
      <w:bookmarkStart w:id="1" w:name="_Toc81454170"/>
      <w:bookmarkStart w:id="2" w:name="_Toc208244984"/>
      <w:r>
        <w:lastRenderedPageBreak/>
        <w:t>Istruzzjonijiet ġenerali</w:t>
      </w:r>
      <w:bookmarkEnd w:id="0"/>
      <w:bookmarkEnd w:id="1"/>
      <w:bookmarkEnd w:id="2"/>
    </w:p>
    <w:p w14:paraId="7FE1B2E7" w14:textId="77777777" w:rsidR="00534D9A" w:rsidRDefault="003243B2">
      <w:pPr>
        <w:pStyle w:val="P68B1DB1-Instructionsberschrift25"/>
        <w:numPr>
          <w:ilvl w:val="1"/>
          <w:numId w:val="49"/>
        </w:numPr>
        <w:ind w:left="357" w:hanging="357"/>
      </w:pPr>
      <w:bookmarkStart w:id="3" w:name="_Toc81454171"/>
      <w:bookmarkStart w:id="4" w:name="_Toc208244985"/>
      <w:r>
        <w:t>Struttura</w:t>
      </w:r>
      <w:bookmarkEnd w:id="3"/>
      <w:bookmarkEnd w:id="4"/>
    </w:p>
    <w:p w14:paraId="7FE1B2E8" w14:textId="261F32BB" w:rsidR="00534D9A" w:rsidRDefault="003243B2">
      <w:pPr>
        <w:pStyle w:val="P68B1DB1-InstructionsText26"/>
        <w:numPr>
          <w:ilvl w:val="0"/>
          <w:numId w:val="71"/>
        </w:numPr>
        <w:spacing w:before="0"/>
        <w:ind w:left="714" w:hanging="357"/>
      </w:pPr>
      <w:r>
        <w:t>Il-qafas jikkonsisti minn 29-il mudell, organizzati fi 6 blokok.</w:t>
      </w:r>
    </w:p>
    <w:p w14:paraId="7FE1B2EA" w14:textId="45B1FB28" w:rsidR="00534D9A" w:rsidRDefault="003243B2">
      <w:pPr>
        <w:pStyle w:val="P68B1DB1-body7"/>
        <w:numPr>
          <w:ilvl w:val="0"/>
          <w:numId w:val="61"/>
        </w:numPr>
      </w:pPr>
      <w:r>
        <w:t>“Informazzjoni ġenerali”, li tipprovdi ħarsa ġenerali lejn l-istruttura organizzazzjonali ta’ grupp u l-entitajiet tiegħu, id-distribuzzjoni tal-assi u l-ammonti tal-iskopertura għar-riskju. Dan il-blokk jikkonsisti minn mudelli:</w:t>
      </w:r>
    </w:p>
    <w:p w14:paraId="7FE1B2EB" w14:textId="75468367" w:rsidR="00534D9A" w:rsidRDefault="003243B2">
      <w:pPr>
        <w:pStyle w:val="P68B1DB1-body7"/>
        <w:numPr>
          <w:ilvl w:val="1"/>
          <w:numId w:val="207"/>
        </w:numPr>
      </w:pPr>
      <w:r>
        <w:t>Z 01.01 — Entitajiet ġuridiċi (ORG 1)”</w:t>
      </w:r>
    </w:p>
    <w:p w14:paraId="7FE1B2EC" w14:textId="77777777" w:rsidR="00534D9A" w:rsidRDefault="003243B2">
      <w:pPr>
        <w:pStyle w:val="P68B1DB1-body7"/>
        <w:numPr>
          <w:ilvl w:val="1"/>
          <w:numId w:val="207"/>
        </w:numPr>
      </w:pPr>
      <w:r>
        <w:t>Z 01.02 — Struttura tas-sjieda (ORG 2)</w:t>
      </w:r>
    </w:p>
    <w:p w14:paraId="7FE1B2ED" w14:textId="0B29A8FB" w:rsidR="00534D9A" w:rsidRDefault="003243B2">
      <w:pPr>
        <w:pStyle w:val="P68B1DB1-body7"/>
        <w:numPr>
          <w:ilvl w:val="0"/>
          <w:numId w:val="61"/>
        </w:numPr>
      </w:pPr>
      <w:r>
        <w:t>“Dati aggragati dwar entrati li jidhru fil-karta bilanċjali u entrati li ma jidhrux fil-karta bilanċjali” li tipprovdi informazzjoni finanzjarja dwar l-obbligazzjonijiet, il-fondi proprji, il-konnessjonijiet finanzjarji bejn l-entitajiet fi grupp, l-obbligazzjonijiet fil-konfront ta’ kontropartijiet ewlenin u entrati li ma jidhrux fil-karta bilanċjali riċevuti minn kontropartijiet ewlenin, u assigurazzjoni ta’ depożitu. Dan il-blokk jikkonsisti minn seba’ mudelli:</w:t>
      </w:r>
    </w:p>
    <w:p w14:paraId="7FE1B2EE" w14:textId="77777777" w:rsidR="00534D9A" w:rsidRDefault="003243B2">
      <w:pPr>
        <w:pStyle w:val="P68B1DB1-body7"/>
        <w:numPr>
          <w:ilvl w:val="0"/>
          <w:numId w:val="208"/>
        </w:numPr>
      </w:pPr>
      <w:r>
        <w:t>“Z 02.00 — L-Istruttura tal-Obbligazzjonijiet (LIAB 1)”;</w:t>
      </w:r>
    </w:p>
    <w:p w14:paraId="7FE1B2EF" w14:textId="584458BC" w:rsidR="00534D9A" w:rsidRDefault="003243B2">
      <w:pPr>
        <w:pStyle w:val="P68B1DB1-body7"/>
        <w:numPr>
          <w:ilvl w:val="0"/>
          <w:numId w:val="208"/>
        </w:numPr>
      </w:pPr>
      <w:r>
        <w:t>“Z 03.01 — Rekwiżiti ta’ fondi proprji għall-istituzzjonijiet ta’ kreditu (LIAB 2)”;</w:t>
      </w:r>
    </w:p>
    <w:p w14:paraId="7FE1B2F0" w14:textId="77777777" w:rsidR="00534D9A" w:rsidRDefault="003243B2">
      <w:pPr>
        <w:pStyle w:val="P68B1DB1-body7"/>
        <w:numPr>
          <w:ilvl w:val="0"/>
          <w:numId w:val="208"/>
        </w:numPr>
      </w:pPr>
      <w:r>
        <w:t>“Z 03.02 — Rekwiżiti ta’ fondi proprji għad-ditti tal-investiment (LIAB 3)”;</w:t>
      </w:r>
    </w:p>
    <w:p w14:paraId="7FE1B2F2" w14:textId="77777777" w:rsidR="00534D9A" w:rsidRDefault="003243B2">
      <w:pPr>
        <w:pStyle w:val="P68B1DB1-body7"/>
        <w:numPr>
          <w:ilvl w:val="0"/>
          <w:numId w:val="208"/>
        </w:numPr>
      </w:pPr>
      <w:r>
        <w:t>“Z 04.00 — Interkonnessjonijiet finanzjarji intragrupp (LIAB 4)”;</w:t>
      </w:r>
    </w:p>
    <w:p w14:paraId="7FE1B2F3" w14:textId="780D871C" w:rsidR="00534D9A" w:rsidRDefault="003243B2">
      <w:pPr>
        <w:pStyle w:val="P68B1DB1-body7"/>
        <w:numPr>
          <w:ilvl w:val="0"/>
          <w:numId w:val="208"/>
        </w:numPr>
      </w:pPr>
      <w:r>
        <w:t>“Z 05.01 — Kontropartijiet Ewlenin tar-Responsabbiltà (LIAB 5)”;</w:t>
      </w:r>
    </w:p>
    <w:p w14:paraId="7FE1B2F4" w14:textId="510CE128" w:rsidR="00534D9A" w:rsidRDefault="003243B2">
      <w:pPr>
        <w:pStyle w:val="P68B1DB1-body7"/>
        <w:numPr>
          <w:ilvl w:val="0"/>
          <w:numId w:val="208"/>
        </w:numPr>
      </w:pPr>
      <w:r>
        <w:t>“Z 05.02 — Kontrolli kbar li ma jidhrux fil-karta bilanċjali (LIAB 6)”;</w:t>
      </w:r>
    </w:p>
    <w:p w14:paraId="7FE1B2F5" w14:textId="762695F7" w:rsidR="00534D9A" w:rsidRDefault="003243B2">
      <w:pPr>
        <w:pStyle w:val="P68B1DB1-body7"/>
        <w:numPr>
          <w:ilvl w:val="0"/>
          <w:numId w:val="208"/>
        </w:numPr>
      </w:pPr>
      <w:r>
        <w:t>“Z 06.00 — Assigurazzjoni tad-depożiti (LIAB 7)”.</w:t>
      </w:r>
    </w:p>
    <w:p w14:paraId="7FE1B2F6" w14:textId="75559FD1" w:rsidR="00534D9A" w:rsidRDefault="003243B2">
      <w:pPr>
        <w:pStyle w:val="P68B1DB1-body7"/>
        <w:numPr>
          <w:ilvl w:val="0"/>
          <w:numId w:val="61"/>
        </w:numPr>
      </w:pPr>
      <w:r>
        <w:t>“Funzjonijiet kritiċi” li tipprovdi ħarsa ġenerali lejn il-funzjonijiet kritiċi u timmappjahom ma’ entitajiet ġuridiċi, linji tan-negozju ewlenin. Dan il-blokk jikkonsisti minn erbgħa mudelli:</w:t>
      </w:r>
    </w:p>
    <w:p w14:paraId="7FE1B2F7" w14:textId="433A5E71" w:rsidR="00534D9A" w:rsidRDefault="003243B2">
      <w:pPr>
        <w:pStyle w:val="P68B1DB1-body7"/>
        <w:numPr>
          <w:ilvl w:val="1"/>
          <w:numId w:val="209"/>
        </w:numPr>
      </w:pPr>
      <w:r>
        <w:t xml:space="preserve">Z 07.01 — Valutazzjoni tal-kritiċità tal-funzjonijiet ekonomiċi (FUNC 1), </w:t>
      </w:r>
    </w:p>
    <w:p w14:paraId="7FE1B2F8" w14:textId="3145F629" w:rsidR="00534D9A" w:rsidRDefault="003243B2">
      <w:pPr>
        <w:pStyle w:val="P68B1DB1-body7"/>
        <w:numPr>
          <w:ilvl w:val="1"/>
          <w:numId w:val="209"/>
        </w:numPr>
      </w:pPr>
      <w:r>
        <w:t xml:space="preserve">Z 07.02 — Immappjar tal-funzjonijiet kritiċi skont l-entità ġuridika (FUNC 2)’, </w:t>
      </w:r>
    </w:p>
    <w:p w14:paraId="7FE1B2F9" w14:textId="1FE59149" w:rsidR="00534D9A" w:rsidRDefault="003243B2">
      <w:pPr>
        <w:pStyle w:val="P68B1DB1-body7"/>
        <w:numPr>
          <w:ilvl w:val="1"/>
          <w:numId w:val="209"/>
        </w:numPr>
      </w:pPr>
      <w:r>
        <w:t xml:space="preserve">Z 07.03 — Immappjar tal-Linji ta’ Negozju Ewlenin mal-entitajiet ġuridiċi (FUNC 3) </w:t>
      </w:r>
    </w:p>
    <w:p w14:paraId="7FE1B2FB" w14:textId="3D116B7E" w:rsidR="00534D9A" w:rsidRDefault="003243B2">
      <w:pPr>
        <w:pStyle w:val="P68B1DB1-body7"/>
        <w:ind w:left="1794"/>
      </w:pPr>
      <w:r>
        <w:t>Z 07.04 — Immappjar tal-funzjonijiet kritiċi mal-linji ta’ negozju ewlenin (FUNC 4):</w:t>
      </w:r>
    </w:p>
    <w:p w14:paraId="7FE1B2FC" w14:textId="77777777" w:rsidR="00534D9A" w:rsidRDefault="003243B2">
      <w:pPr>
        <w:pStyle w:val="P68B1DB1-body7"/>
        <w:numPr>
          <w:ilvl w:val="0"/>
          <w:numId w:val="61"/>
        </w:numPr>
      </w:pPr>
      <w:bookmarkStart w:id="5" w:name="_Hlk160696385"/>
      <w:r>
        <w:t>Servizzi u Entitajiet, li jipprovdu analiżi dettaljata tal-utenti u l-fornituri tas-servizzi, u jimmappjawhom mal-funzjonijiet ekonomiċi u l-linji tan-negozju</w:t>
      </w:r>
      <w:bookmarkEnd w:id="5"/>
      <w:r>
        <w:t>:</w:t>
      </w:r>
    </w:p>
    <w:p w14:paraId="7FE1B2FD" w14:textId="77777777" w:rsidR="00534D9A" w:rsidRDefault="003243B2">
      <w:pPr>
        <w:pStyle w:val="P68B1DB1-body7"/>
        <w:numPr>
          <w:ilvl w:val="1"/>
          <w:numId w:val="210"/>
        </w:numPr>
      </w:pPr>
      <w:r>
        <w:t>Z 08.01 — Servizzi Rilevanti (SERV 1)</w:t>
      </w:r>
    </w:p>
    <w:p w14:paraId="7FE1B2FE" w14:textId="77777777" w:rsidR="00534D9A" w:rsidRDefault="003243B2">
      <w:pPr>
        <w:pStyle w:val="P68B1DB1-body7"/>
        <w:numPr>
          <w:ilvl w:val="1"/>
          <w:numId w:val="210"/>
        </w:numPr>
      </w:pPr>
      <w:r>
        <w:t>Z 08.02 — Servizzi Rilevanti — Immappjar mal-assi (SERV 2)</w:t>
      </w:r>
    </w:p>
    <w:p w14:paraId="7FE1B2FF" w14:textId="77777777" w:rsidR="00534D9A" w:rsidRDefault="003243B2">
      <w:pPr>
        <w:pStyle w:val="P68B1DB1-body7"/>
        <w:numPr>
          <w:ilvl w:val="1"/>
          <w:numId w:val="210"/>
        </w:numPr>
      </w:pPr>
      <w:r>
        <w:t>Z 08.03 — Servizzi Rilevanti — Immappjar mar-rwoli (SERV 3)</w:t>
      </w:r>
    </w:p>
    <w:p w14:paraId="7FE1B300" w14:textId="77777777" w:rsidR="00534D9A" w:rsidRDefault="003243B2">
      <w:pPr>
        <w:pStyle w:val="P68B1DB1-body7"/>
        <w:numPr>
          <w:ilvl w:val="1"/>
          <w:numId w:val="210"/>
        </w:numPr>
      </w:pPr>
      <w:r>
        <w:lastRenderedPageBreak/>
        <w:t>Z 08.04 — Servizzi Rilevanti — Immappjar ma’ funzjonijiet kritiċi (SERV 4)</w:t>
      </w:r>
    </w:p>
    <w:p w14:paraId="7FE1B301" w14:textId="77777777" w:rsidR="00534D9A" w:rsidRDefault="003243B2">
      <w:pPr>
        <w:pStyle w:val="P68B1DB1-body7"/>
        <w:numPr>
          <w:ilvl w:val="1"/>
          <w:numId w:val="210"/>
        </w:numPr>
      </w:pPr>
      <w:r>
        <w:t>Z 08.05 — Servizzi Rilevanti — Immappjar ma’ linji tan-negozju ewlenin (SERV 5)</w:t>
      </w:r>
    </w:p>
    <w:p w14:paraId="7FE1B303" w14:textId="397A4C74" w:rsidR="00534D9A" w:rsidRDefault="003243B2">
      <w:pPr>
        <w:pStyle w:val="P68B1DB1-body7"/>
        <w:numPr>
          <w:ilvl w:val="0"/>
          <w:numId w:val="61"/>
        </w:numPr>
      </w:pPr>
      <w:r>
        <w:t>Rapportar dwar is-Servizzi tal-FMI</w:t>
      </w:r>
    </w:p>
    <w:p w14:paraId="7FE1B304" w14:textId="110EA9FD" w:rsidR="00534D9A" w:rsidRDefault="003243B2">
      <w:pPr>
        <w:pStyle w:val="P68B1DB1-body7"/>
        <w:numPr>
          <w:ilvl w:val="1"/>
          <w:numId w:val="211"/>
        </w:numPr>
      </w:pPr>
      <w:r>
        <w:t>Z 09.01 — Servizzi FMI — Fornituri u Utenti (FMI 1)</w:t>
      </w:r>
    </w:p>
    <w:p w14:paraId="7FE1B305" w14:textId="77777777" w:rsidR="00534D9A" w:rsidRDefault="003243B2">
      <w:pPr>
        <w:pStyle w:val="P68B1DB1-body7"/>
        <w:numPr>
          <w:ilvl w:val="1"/>
          <w:numId w:val="211"/>
        </w:numPr>
      </w:pPr>
      <w:r>
        <w:t>Z 09.02 — Servizzi FMI — Immappjar ma’ FMIs Kritiċi u Essenzjali (FMI 2)</w:t>
      </w:r>
    </w:p>
    <w:p w14:paraId="7FE1B306" w14:textId="77777777" w:rsidR="00534D9A" w:rsidRDefault="003243B2">
      <w:pPr>
        <w:pStyle w:val="P68B1DB1-body7"/>
        <w:numPr>
          <w:ilvl w:val="1"/>
          <w:numId w:val="211"/>
        </w:numPr>
      </w:pPr>
      <w:r>
        <w:t>Z 09.03 — Servizzi FMI — Metriċi Ewlenin (FMI 3)</w:t>
      </w:r>
    </w:p>
    <w:p w14:paraId="7FE1B307" w14:textId="77777777" w:rsidR="00534D9A" w:rsidRDefault="003243B2">
      <w:pPr>
        <w:pStyle w:val="P68B1DB1-body7"/>
        <w:numPr>
          <w:ilvl w:val="1"/>
          <w:numId w:val="211"/>
        </w:numPr>
      </w:pPr>
      <w:r>
        <w:t>Z 09.04 — Servizzi FMI — CCPs — Fornituri alternattivi (FMI 4)</w:t>
      </w:r>
    </w:p>
    <w:p w14:paraId="7FE1B30B" w14:textId="05DD2D8B" w:rsidR="00534D9A" w:rsidRDefault="003243B2">
      <w:pPr>
        <w:pStyle w:val="P68B1DB1-body7"/>
        <w:numPr>
          <w:ilvl w:val="0"/>
          <w:numId w:val="61"/>
        </w:numPr>
      </w:pPr>
      <w:r>
        <w:t>Rapportar granulari tad-data dwar ir-Responsabbiltà għal Valutazzjoni Bail-in</w:t>
      </w:r>
    </w:p>
    <w:p w14:paraId="7FE1B30C" w14:textId="6ACC8549" w:rsidR="00534D9A" w:rsidRDefault="003243B2">
      <w:pPr>
        <w:pStyle w:val="P68B1DB1-body7"/>
        <w:numPr>
          <w:ilvl w:val="0"/>
          <w:numId w:val="217"/>
        </w:numPr>
      </w:pPr>
      <w:r>
        <w:t>Z 11.00 — Obbligazzjonijiet intragrupp (esklużi d-Derivattivi) (LIAB-G-1)</w:t>
      </w:r>
    </w:p>
    <w:p w14:paraId="7FE1B30D" w14:textId="140BB302" w:rsidR="00534D9A" w:rsidRDefault="003243B2">
      <w:pPr>
        <w:pStyle w:val="P68B1DB1-body7"/>
        <w:numPr>
          <w:ilvl w:val="0"/>
          <w:numId w:val="217"/>
        </w:numPr>
      </w:pPr>
      <w:r>
        <w:t>Z 12.00 — Titoli (inklużi strumenti CET1, AT1 &amp; ampGrad 2, eskluż intragrupp) (LIAB-G-2)</w:t>
      </w:r>
    </w:p>
    <w:p w14:paraId="7FE1B30E" w14:textId="67922446" w:rsidR="00534D9A" w:rsidRDefault="003243B2">
      <w:pPr>
        <w:pStyle w:val="P68B1DB1-body7"/>
        <w:numPr>
          <w:ilvl w:val="0"/>
          <w:numId w:val="217"/>
        </w:numPr>
      </w:pPr>
      <w:r>
        <w:t>Z 13.00 — Id-Depożiti kollha (eskluż intragrupp) (LIAB-G-3)</w:t>
      </w:r>
    </w:p>
    <w:p w14:paraId="7FE1B30F" w14:textId="2D8F046E" w:rsidR="00534D9A" w:rsidRDefault="003243B2">
      <w:pPr>
        <w:pStyle w:val="P68B1DB1-body7"/>
        <w:numPr>
          <w:ilvl w:val="0"/>
          <w:numId w:val="217"/>
        </w:numPr>
      </w:pPr>
      <w:r>
        <w:t>Z 14.00 — Obbligazzjonijiet Finanzjarji Oħra (LIAB-G-4)</w:t>
      </w:r>
    </w:p>
    <w:p w14:paraId="7FE1B310" w14:textId="69B08C3E" w:rsidR="00534D9A" w:rsidRDefault="003243B2">
      <w:pPr>
        <w:pStyle w:val="P68B1DB1-body7"/>
        <w:numPr>
          <w:ilvl w:val="1"/>
          <w:numId w:val="211"/>
        </w:numPr>
      </w:pPr>
      <w:r>
        <w:t>Z 15.00 — Derivattivi (LIAB-G-5)</w:t>
      </w:r>
    </w:p>
    <w:p w14:paraId="7FE1B311" w14:textId="2130BFF9" w:rsidR="00534D9A" w:rsidRDefault="003243B2">
      <w:pPr>
        <w:pStyle w:val="P68B1DB1-body7"/>
        <w:numPr>
          <w:ilvl w:val="1"/>
          <w:numId w:val="211"/>
        </w:numPr>
      </w:pPr>
      <w:r>
        <w:t>Z 16.00 — Finanzjament garantit, minbarra intragrupp (LIAB-G-6)</w:t>
      </w:r>
    </w:p>
    <w:p w14:paraId="7FE1B312" w14:textId="77742066" w:rsidR="00534D9A" w:rsidRDefault="003243B2">
      <w:pPr>
        <w:pStyle w:val="P68B1DB1-body7"/>
        <w:numPr>
          <w:ilvl w:val="1"/>
          <w:numId w:val="211"/>
        </w:numPr>
      </w:pPr>
      <w:r>
        <w:t>Z 17.00 — Obbligazzjonijiet Mhux Finanzjarji Oħra (LIAB-G-7)</w:t>
      </w:r>
    </w:p>
    <w:p w14:paraId="7FE1B313" w14:textId="77777777" w:rsidR="00534D9A" w:rsidRDefault="00534D9A">
      <w:pPr>
        <w:pStyle w:val="body"/>
        <w:ind w:left="426"/>
        <w:rPr>
          <w:rFonts w:ascii="Times New Roman" w:hAnsi="Times New Roman" w:cs="Times New Roman"/>
          <w:color w:val="000000" w:themeColor="text1"/>
          <w:sz w:val="20"/>
          <w:szCs w:val="20"/>
        </w:rPr>
      </w:pPr>
    </w:p>
    <w:p w14:paraId="7FE1B314" w14:textId="77777777" w:rsidR="00534D9A" w:rsidRDefault="003243B2">
      <w:pPr>
        <w:pStyle w:val="P68B1DB1-Instructionsberschrift25"/>
        <w:numPr>
          <w:ilvl w:val="1"/>
          <w:numId w:val="49"/>
        </w:numPr>
        <w:ind w:left="357" w:hanging="357"/>
      </w:pPr>
      <w:bookmarkStart w:id="6" w:name="_Toc81454172"/>
      <w:bookmarkStart w:id="7" w:name="_Toc208244986"/>
      <w:r>
        <w:t>Referenzi</w:t>
      </w:r>
      <w:bookmarkEnd w:id="6"/>
      <w:bookmarkEnd w:id="7"/>
    </w:p>
    <w:p w14:paraId="7FE1B315" w14:textId="77777777" w:rsidR="00534D9A" w:rsidRDefault="003243B2">
      <w:pPr>
        <w:pStyle w:val="P68B1DB1-InstructionsText26"/>
        <w:numPr>
          <w:ilvl w:val="0"/>
          <w:numId w:val="225"/>
        </w:numPr>
        <w:spacing w:before="0"/>
      </w:pPr>
      <w:r>
        <w:t>Għall-finijiet ta’ dan l-Anness, għandhom japplikaw l-abbrevjazzjonijiet li ġejjin:</w:t>
      </w:r>
    </w:p>
    <w:p w14:paraId="7FE1B317" w14:textId="77777777" w:rsidR="00534D9A" w:rsidRDefault="003243B2">
      <w:pPr>
        <w:pStyle w:val="P68B1DB1-ListParagraph8"/>
        <w:numPr>
          <w:ilvl w:val="0"/>
          <w:numId w:val="60"/>
        </w:numPr>
        <w:ind w:left="1074"/>
        <w:jc w:val="both"/>
      </w:pPr>
      <w:r>
        <w:t>“CPMI” tfisser il-Kumitat dwar l-Infrastrutturi tas-Swieq u l-Pagamenti tal-Bank għall-Ħlasijiet Internazzjonali;</w:t>
      </w:r>
    </w:p>
    <w:p w14:paraId="7FE1B318" w14:textId="36318AB0" w:rsidR="00534D9A" w:rsidRDefault="003243B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“FINREP” tfisser il-formoli FINREP inklużi fl-Anness I tar-Regolament ta’ Implimentazzjoni tal-Kummissjoni (UE) 2024/3117;</w:t>
      </w:r>
      <w:r>
        <w:rPr>
          <w:rStyle w:val="FootnoteReference"/>
          <w:rFonts w:ascii="Times New Roman" w:hAnsi="Times New Roman"/>
          <w:sz w:val="20"/>
          <w:szCs w:val="20"/>
        </w:rPr>
        <w:footnoteReference w:id="2"/>
      </w:r>
    </w:p>
    <w:p w14:paraId="7FE1B319" w14:textId="5E436E82" w:rsidR="00534D9A" w:rsidRDefault="003243B2">
      <w:pPr>
        <w:pStyle w:val="P68B1DB1-ListParagraph8"/>
        <w:numPr>
          <w:ilvl w:val="0"/>
          <w:numId w:val="60"/>
        </w:numPr>
        <w:ind w:left="1074"/>
        <w:jc w:val="both"/>
      </w:pPr>
      <w:r>
        <w:t>“COREP (OF)” tfisser il-mudelli COREP (OF) inklużi fl-Anness I tar-Regolament ta’ Implimentazzjoni tal-Kummissjoni (UE) 2024/3117;</w:t>
      </w:r>
    </w:p>
    <w:p w14:paraId="7FE1B31A" w14:textId="2492C34D" w:rsidR="00534D9A" w:rsidRDefault="003243B2">
      <w:pPr>
        <w:pStyle w:val="P68B1DB1-ListParagraph8"/>
        <w:numPr>
          <w:ilvl w:val="0"/>
          <w:numId w:val="60"/>
        </w:numPr>
        <w:ind w:left="1074"/>
        <w:jc w:val="both"/>
      </w:pPr>
      <w:r>
        <w:t>“COREP (LR)” tfisser il-mudelli COREP (LR) inklużi fl-Anness I tar-Regolament ta’ Implimentazzjoni tal-Kummissjoni (UE) 2024/3117;</w:t>
      </w:r>
    </w:p>
    <w:p w14:paraId="7FE1B31B" w14:textId="77777777" w:rsidR="00534D9A" w:rsidRDefault="003243B2">
      <w:pPr>
        <w:pStyle w:val="P68B1DB1-ListParagraph8"/>
        <w:numPr>
          <w:ilvl w:val="0"/>
          <w:numId w:val="60"/>
        </w:numPr>
        <w:ind w:left="1074"/>
        <w:jc w:val="both"/>
      </w:pPr>
      <w:r>
        <w:t>“FSB” tfisser il-Bord għall-Istabbiltà Finanzjarja;</w:t>
      </w:r>
    </w:p>
    <w:p w14:paraId="7FE1B31C" w14:textId="77777777" w:rsidR="00534D9A" w:rsidRDefault="003243B2">
      <w:pPr>
        <w:pStyle w:val="P68B1DB1-ListParagraph9"/>
        <w:numPr>
          <w:ilvl w:val="0"/>
          <w:numId w:val="60"/>
        </w:numPr>
        <w:ind w:left="1074"/>
        <w:jc w:val="both"/>
        <w:rPr>
          <w:color w:val="000000" w:themeColor="text1"/>
          <w:sz w:val="20"/>
          <w:szCs w:val="20"/>
        </w:rPr>
      </w:pPr>
      <w:r>
        <w:rPr>
          <w:color w:val="000000" w:themeColor="text1"/>
          <w:sz w:val="20"/>
          <w:szCs w:val="20"/>
        </w:rPr>
        <w:t>“IAS” tfisser Standard Internazzjonali tal-Kontabilità kif definit fl-Artikolu 2 tar-Regolament (KE) Nru 1606/2002 tal-Parlament Ewropew u tal-Kunsill</w:t>
      </w:r>
      <w:r>
        <w:footnoteReference w:id="3"/>
      </w:r>
      <w:r>
        <w:rPr>
          <w:color w:val="000000" w:themeColor="text1"/>
          <w:sz w:val="20"/>
          <w:szCs w:val="20"/>
        </w:rPr>
        <w:t>;</w:t>
      </w:r>
    </w:p>
    <w:p w14:paraId="7FE1B31D" w14:textId="77777777" w:rsidR="00534D9A" w:rsidRDefault="003243B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lastRenderedPageBreak/>
        <w:t>“IFRS” tfisser Standards Internazzjonali tar-Rapportar Finanzjarju kif definiti fl-Artikolu 2 tar-Regolament (KE) Nru 1606/2002</w:t>
      </w:r>
      <w:r>
        <w:rPr>
          <w:rStyle w:val="FootnoteReference"/>
          <w:rFonts w:ascii="Times New Roman" w:hAnsi="Times New Roman"/>
          <w:color w:val="000000" w:themeColor="text1"/>
          <w:sz w:val="20"/>
          <w:szCs w:val="20"/>
        </w:rPr>
        <w:footnoteReference w:id="4"/>
      </w:r>
      <w:r>
        <w:rPr>
          <w:rFonts w:ascii="Times New Roman" w:hAnsi="Times New Roman"/>
          <w:color w:val="000000" w:themeColor="text1"/>
          <w:sz w:val="20"/>
          <w:szCs w:val="20"/>
        </w:rPr>
        <w:t>;</w:t>
      </w:r>
    </w:p>
    <w:p w14:paraId="7FE1B31E" w14:textId="527A31A3" w:rsidR="00534D9A" w:rsidRDefault="003243B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“Kodiċi LEI” tfisser kodiċi ta’ Identifikatur ta’ Entità Ġuridika maħsub biex tinkiseb identifikazzjoni unika u dinjija tal-partijiet għal tranżazzjonijiet finanzjarji, kif propost mill-Bord għall-Istabilità Finanzjarja (FSB) u approvat mill-G20. Sakemm is-sistema LEI globali tkun operazzjonali għalkollox, il-kontropartijiet qed jiġu assenjati l-kodiċijiet ta’ qabel il-LEI minn Unità Operazzjonali Lokali li ġiet approvata mill-Kumitat tas-Sorveljanza Regolatorja (ROC, informazzjoni dettaljata tinsab fuq is-</w:t>
      </w:r>
      <w:r>
        <w:rPr>
          <w:rFonts w:ascii="Times New Roman" w:hAnsi="Times New Roman"/>
          <w:color w:val="000000" w:themeColor="text1"/>
          <w:sz w:val="20"/>
          <w:szCs w:val="20"/>
        </w:rPr>
        <w:t xml:space="preserve">sit web segwenti: </w:t>
      </w:r>
      <w:hyperlink r:id="rId11" w:history="1">
        <w:r>
          <w:rPr>
            <w:rStyle w:val="Hyperlink"/>
            <w:rFonts w:ascii="Times New Roman" w:hAnsi="Times New Roman"/>
            <w:color w:val="000000" w:themeColor="text1"/>
            <w:sz w:val="20"/>
            <w:szCs w:val="20"/>
          </w:rPr>
          <w:t>www.leiroc.org</w:t>
        </w:r>
      </w:hyperlink>
      <w:r>
        <w:rPr>
          <w:rFonts w:ascii="Times New Roman" w:hAnsi="Times New Roman"/>
          <w:color w:val="000000" w:themeColor="text1"/>
          <w:sz w:val="20"/>
          <w:szCs w:val="20"/>
        </w:rPr>
        <w:t>). Fejn jeżisti kodiċi LEI għal kontroparti partikolari, dan għandu jintuża biex tiġi identifikata dik il-kontroparti;</w:t>
      </w:r>
    </w:p>
    <w:p w14:paraId="7FE1B31F" w14:textId="34CF2B95" w:rsidR="00534D9A" w:rsidRDefault="003243B2">
      <w:pPr>
        <w:pStyle w:val="P68B1DB1-ListParagraph8"/>
        <w:numPr>
          <w:ilvl w:val="0"/>
          <w:numId w:val="60"/>
        </w:numPr>
        <w:ind w:left="1074"/>
        <w:jc w:val="both"/>
      </w:pPr>
      <w:r>
        <w:t>L-ID tal- “MFI ID” jew tal- “Istituzzjoni Finanzjarja Monetarja” huwa kodiċi uniku ta’ identifikazzjoni għal MFI fil-lista ta’ MFIs miżmuma u ppubblikata mill-BĊE għal finijiet statistiċi skont ir-Regolament (UE) 2021/379 tal-Bank Ċentrali Ewropew tat-22 ta’ Jannar 2021 dwar l-entrati tal-karta bilanċjali tal-istituzzjonijiet ta’ kreditu u tas-settur tal-istituzzjonijiet finanzjarji monetarji (riformulazzjoni) (ECB/2021/2), li għandu jiġi rrapportat fejn ma jeżistix diġà kodiċi LEI.</w:t>
      </w:r>
    </w:p>
    <w:p w14:paraId="7FE1B320" w14:textId="0AC7C627" w:rsidR="00534D9A" w:rsidRDefault="003243B2">
      <w:pPr>
        <w:pStyle w:val="ListParagraph"/>
        <w:numPr>
          <w:ilvl w:val="0"/>
          <w:numId w:val="60"/>
        </w:numPr>
        <w:ind w:left="1074"/>
        <w:jc w:val="both"/>
        <w:rPr>
          <w:rFonts w:ascii="Times New Roman" w:hAnsi="Times New Roman"/>
          <w:color w:val="000000" w:themeColor="text1"/>
          <w:sz w:val="20"/>
          <w:szCs w:val="20"/>
        </w:rPr>
      </w:pPr>
      <w:r>
        <w:rPr>
          <w:rFonts w:ascii="Times New Roman" w:hAnsi="Times New Roman"/>
          <w:color w:val="000000" w:themeColor="text1"/>
          <w:sz w:val="20"/>
          <w:szCs w:val="20"/>
        </w:rPr>
        <w:t>“NGAAP” jew “Prinċipji Nazzjonali tal-Kontabilità Ġeneralment Aċċettati” tfisser oqfsa tal-kontabilità nazzjonali żviluppati skont id-Direttiva 86/635/KEE</w:t>
      </w:r>
      <w:r>
        <w:rPr>
          <w:rStyle w:val="FootnoteReference"/>
          <w:rFonts w:ascii="Times New Roman" w:hAnsi="Times New Roman"/>
          <w:color w:val="000000" w:themeColor="text1"/>
        </w:rPr>
        <w:footnoteReference w:id="5"/>
      </w:r>
      <w:r>
        <w:rPr>
          <w:rFonts w:ascii="Times New Roman" w:hAnsi="Times New Roman"/>
          <w:color w:val="000000" w:themeColor="text1"/>
          <w:sz w:val="20"/>
          <w:szCs w:val="20"/>
        </w:rPr>
        <w:t>.</w:t>
      </w:r>
    </w:p>
    <w:p w14:paraId="7FE1B321" w14:textId="77777777" w:rsidR="00534D9A" w:rsidRDefault="003243B2">
      <w:pPr>
        <w:pStyle w:val="P68B1DB1-ListParagraph8"/>
        <w:numPr>
          <w:ilvl w:val="0"/>
          <w:numId w:val="60"/>
        </w:numPr>
        <w:ind w:left="1074"/>
        <w:jc w:val="both"/>
      </w:pPr>
      <w:r>
        <w:t>“Assi Operazzjonali” — Assi li mhuwiex assi finanzjarju u li huwa meħtieġ biex jitwettqu servizzi rilevanti, bħall-proprjetà immobbli; proprjetà intellettwali inklużi trademarks, privattivi u software; ħardwer; Sistemi u applikazzjonijiet tal-IT; u l-imħażen tad-data. L-assi operazzjonali huma kritiċi/essenzjali fejn l-aċċess għalihom huwa meħtieġ sabiex jitwettaq servizz kritiku/essenzjali;</w:t>
      </w:r>
    </w:p>
    <w:p w14:paraId="7FE1B322" w14:textId="77777777" w:rsidR="00534D9A" w:rsidRDefault="003243B2">
      <w:pPr>
        <w:pStyle w:val="P68B1DB1-ListParagraph8"/>
        <w:numPr>
          <w:ilvl w:val="0"/>
          <w:numId w:val="60"/>
        </w:numPr>
        <w:ind w:left="1074"/>
        <w:jc w:val="both"/>
      </w:pPr>
      <w:r>
        <w:t>“Servizzi rilevanti” — Servizzi li jirfdu (i) il-funzjonijiet kritiċi tal-bank għall-ekonomija (servizzi kritiċi) u (ii) linji tan-negozju ewlenin (servizzi essenzjali) li għalihom il-kontinwità hija meħtieġa għall-implimentazzjoni effettiva tal-istrateġija ta’ riżoluzzjoni. Dawn il-kategoriji jistgħu jikkoinċidu. Dan japplika b’mod analogu għall-assi operazzjonali u l-persunal.</w:t>
      </w:r>
    </w:p>
    <w:p w14:paraId="7FE1B323" w14:textId="77777777" w:rsidR="00534D9A" w:rsidRDefault="003243B2">
      <w:pPr>
        <w:pStyle w:val="P68B1DB1-ListParagraph8"/>
        <w:numPr>
          <w:ilvl w:val="0"/>
          <w:numId w:val="60"/>
        </w:numPr>
        <w:ind w:left="1074"/>
        <w:jc w:val="both"/>
      </w:pPr>
      <w:r>
        <w:t>“Rwoli Rilevanti” — Rwoli tal-impjiegi li l-post vakanti tagħhom f’riżoluzzjoni jista’ jkun ta’ ostaklu għall-kontinwità tal-funzjonijiet kritiċi u l-linji tan-negozju ewlenin meħtieġa għall-implimentazzjoni effettiva tal-istrateġija ta’ riżoluzzjoni u kwalunkwe ristrutturar konsegwenti.</w:t>
      </w:r>
    </w:p>
    <w:p w14:paraId="7FE1B324" w14:textId="77777777" w:rsidR="00534D9A" w:rsidRDefault="00534D9A">
      <w:pPr>
        <w:pStyle w:val="ListParagraph"/>
        <w:ind w:left="1074"/>
        <w:rPr>
          <w:rFonts w:ascii="Times New Roman" w:hAnsi="Times New Roman"/>
          <w:color w:val="000000" w:themeColor="text1"/>
          <w:sz w:val="20"/>
          <w:szCs w:val="20"/>
        </w:rPr>
      </w:pPr>
    </w:p>
    <w:p w14:paraId="7FE1B325" w14:textId="77777777" w:rsidR="00534D9A" w:rsidRDefault="003243B2">
      <w:pPr>
        <w:pStyle w:val="P68B1DB1-Instructionsberschrift25"/>
        <w:numPr>
          <w:ilvl w:val="1"/>
          <w:numId w:val="49"/>
        </w:numPr>
        <w:ind w:left="357" w:hanging="357"/>
      </w:pPr>
      <w:bookmarkStart w:id="8" w:name="_Toc81454173"/>
      <w:bookmarkStart w:id="9" w:name="_Toc208244987"/>
      <w:r>
        <w:t>Standards kontabilistiċi</w:t>
      </w:r>
      <w:bookmarkEnd w:id="8"/>
      <w:bookmarkEnd w:id="9"/>
    </w:p>
    <w:p w14:paraId="7FE1B326" w14:textId="6C573E68" w:rsidR="00534D9A" w:rsidRDefault="003243B2">
      <w:pPr>
        <w:pStyle w:val="P68B1DB1-InstructionsText26"/>
        <w:numPr>
          <w:ilvl w:val="0"/>
          <w:numId w:val="71"/>
        </w:numPr>
        <w:spacing w:before="0"/>
        <w:ind w:left="714" w:hanging="357"/>
      </w:pPr>
      <w:r>
        <w:t>Sakemm ma jkunx speċifikat mod ieħor f’dawn l-istruzzjonijiet, l-istituzzjonijiet għandhom jirrapportaw l-ammonti kollha abbażi tal-qafas kontabilistiku li jużaw għar-rapportar tal-informazzjoni finanzjarja f’konformità mal-Artikoli minn 9 sa 11 tar-Regolament ta’ Implimentazzjoni (UE) 2024/3117. L-istituzzjonijiet li ma għandhomx l-obbligu li jirrapportaw l-informazzjoni finanzjarja f’konformità mar-Regolament ta’ Implimentazzjoni (UE) 2024/3117 għandhom japplikaw ir-regoli tal-qafas kontabilistiku rispett</w:t>
      </w:r>
      <w:r>
        <w:t xml:space="preserve">iv tagħhom. </w:t>
      </w:r>
    </w:p>
    <w:p w14:paraId="7FE1B327" w14:textId="77777777" w:rsidR="00534D9A" w:rsidRDefault="003243B2">
      <w:pPr>
        <w:pStyle w:val="P68B1DB1-InstructionsText26"/>
        <w:numPr>
          <w:ilvl w:val="0"/>
          <w:numId w:val="227"/>
        </w:numPr>
        <w:spacing w:before="0"/>
      </w:pPr>
      <w:r>
        <w:t>Għall-istituzzjonijiet li jirrapportaw skont l-IFRS, iddaħħlu referenzi għall-IFRS rilevanti.</w:t>
      </w:r>
    </w:p>
    <w:p w14:paraId="7FE1B328" w14:textId="77777777" w:rsidR="00534D9A" w:rsidRDefault="003243B2">
      <w:pPr>
        <w:pStyle w:val="P68B1DB1-Instructionsberschrift25"/>
        <w:numPr>
          <w:ilvl w:val="1"/>
          <w:numId w:val="49"/>
        </w:numPr>
        <w:ind w:left="357" w:hanging="357"/>
      </w:pPr>
      <w:bookmarkStart w:id="10" w:name="_Hlk167181695"/>
      <w:bookmarkStart w:id="11" w:name="_Toc81454174"/>
      <w:bookmarkStart w:id="12" w:name="_Toc208244988"/>
      <w:r>
        <w:t>Rapportar ta’ data superviżorja</w:t>
      </w:r>
      <w:bookmarkEnd w:id="12"/>
    </w:p>
    <w:p w14:paraId="7FE1B329" w14:textId="6A020DBF" w:rsidR="00534D9A" w:rsidRDefault="003243B2">
      <w:pPr>
        <w:pStyle w:val="P68B1DB1-Instructionsberschrift310"/>
        <w:numPr>
          <w:ilvl w:val="4"/>
          <w:numId w:val="49"/>
        </w:numPr>
      </w:pPr>
      <w:r>
        <w:t>Meta l-entità relatriċi tkun soġġetta għal rapportar superviżorju skont ir-Regolament (UE) Nru 575/2013</w:t>
      </w:r>
      <w:r>
        <w:footnoteReference w:id="6"/>
      </w:r>
      <w:r>
        <w:t xml:space="preserve"> fil-livell konsolidat jew individwali fid-data ta’ referenza mitluba għall-ippjanar ta’ riżoluzzjoni, l-entità mhijiex meħtieġa tiddikjara dawk il-punti ta’ data li diġà ġew irrapportati. L-awtoritajiet ta’ Riżoluzzjoni se jiksbu dawn il-punti ta’ data direttament mir-rapporti superviżorji diġà ddikjarati mill-entità relatriċi.</w:t>
      </w:r>
    </w:p>
    <w:p w14:paraId="7FE1B32A" w14:textId="05B0296B" w:rsidR="00534D9A" w:rsidRDefault="003243B2">
      <w:pPr>
        <w:pStyle w:val="Instructionsberschrift3"/>
        <w:numPr>
          <w:ilvl w:val="4"/>
          <w:numId w:val="49"/>
        </w:numPr>
      </w:pPr>
      <w:r>
        <w:rPr>
          <w:u w:val="none"/>
        </w:rPr>
        <w:lastRenderedPageBreak/>
        <w:t xml:space="preserve">Meta l-entità ma tkunx soġġetta għal rapportar superviżorju fid-data ta’ referenza partikolari, l-entità tkun meħtieġa tiddikjara dawn il-punti ta’ data f’konformità mar-Regolament ta’ Implimentazzjoni (UE) Nru </w:t>
      </w:r>
      <w:r>
        <w:rPr>
          <w:highlight w:val="yellow"/>
          <w:u w:val="none"/>
        </w:rPr>
        <w:t>20XX/XXX</w:t>
      </w:r>
      <w:r>
        <w:t xml:space="preserve">. </w:t>
      </w:r>
      <w:r>
        <w:rPr>
          <w:u w:val="none"/>
        </w:rPr>
        <w:t>.</w:t>
      </w:r>
    </w:p>
    <w:p w14:paraId="7FE1B32B" w14:textId="77777777" w:rsidR="00534D9A" w:rsidRDefault="003243B2">
      <w:pPr>
        <w:pStyle w:val="P68B1DB1-Instructionsberschrift25"/>
        <w:numPr>
          <w:ilvl w:val="1"/>
          <w:numId w:val="49"/>
        </w:numPr>
        <w:ind w:left="357" w:hanging="357"/>
      </w:pPr>
      <w:bookmarkStart w:id="13" w:name="_Toc208244989"/>
      <w:bookmarkEnd w:id="10"/>
      <w:r>
        <w:t>Ambitu tal-konsolidament</w:t>
      </w:r>
      <w:bookmarkEnd w:id="11"/>
      <w:bookmarkEnd w:id="13"/>
    </w:p>
    <w:p w14:paraId="7FE1B32C" w14:textId="77777777" w:rsidR="00534D9A" w:rsidRDefault="003243B2">
      <w:pPr>
        <w:pStyle w:val="P68B1DB1-InstructionsText26"/>
        <w:numPr>
          <w:ilvl w:val="0"/>
          <w:numId w:val="228"/>
        </w:numPr>
        <w:spacing w:before="0"/>
      </w:pPr>
      <w:r>
        <w:t>Dan il-qafas jirreferi, skont il-mudell:</w:t>
      </w:r>
    </w:p>
    <w:p w14:paraId="7FE1B32D" w14:textId="77777777" w:rsidR="00534D9A" w:rsidRDefault="003243B2">
      <w:pPr>
        <w:pStyle w:val="P68B1DB1-numberedparagraph11"/>
        <w:numPr>
          <w:ilvl w:val="0"/>
          <w:numId w:val="81"/>
        </w:numPr>
        <w:rPr>
          <w:rFonts w:eastAsiaTheme="majorEastAsia"/>
        </w:rPr>
      </w:pPr>
      <w:r>
        <w:t>konsolidament abbażi ta’ konsolidament kontabilistiku (entitajiet inklużi fir-rapporti finanzjarji konsolidati skont il-qafas kontabilistiku applikabbli);</w:t>
      </w:r>
    </w:p>
    <w:p w14:paraId="7FE1B32E" w14:textId="179BBDC6" w:rsidR="00534D9A" w:rsidRDefault="003243B2">
      <w:pPr>
        <w:pStyle w:val="P68B1DB1-numberedparagraph11"/>
        <w:numPr>
          <w:ilvl w:val="0"/>
          <w:numId w:val="81"/>
        </w:numPr>
        <w:rPr>
          <w:rFonts w:eastAsiaTheme="majorEastAsia"/>
        </w:rPr>
      </w:pPr>
      <w:r>
        <w:t xml:space="preserve">konsolidazzjoni prudenzjali (entitajiet fil-kamp ta’ applikazzjoni tal-konsolidazzjoni skont il-Kapitolu 2 tat-Titolu II tal-Ewwel Parti tar-Regolament (UE) Nru 575/2013 fil-livell tal-impriża prinċipali tal-Unjoni; </w:t>
      </w:r>
    </w:p>
    <w:p w14:paraId="7FE1B32F" w14:textId="77777777" w:rsidR="00534D9A" w:rsidRDefault="003243B2">
      <w:pPr>
        <w:pStyle w:val="P68B1DB1-numberedparagraph11"/>
        <w:numPr>
          <w:ilvl w:val="0"/>
          <w:numId w:val="81"/>
        </w:numPr>
        <w:rPr>
          <w:rFonts w:eastAsiaTheme="majorEastAsia"/>
        </w:rPr>
      </w:pPr>
      <w:r>
        <w:t>konsolidament fil-livell tal-entità ta’ riżoluzzjoni għall-grupp ta’ riżoluzzjoni.</w:t>
      </w:r>
    </w:p>
    <w:p w14:paraId="7FE1B330" w14:textId="4B5FA476" w:rsidR="00534D9A" w:rsidRDefault="003243B2">
      <w:pPr>
        <w:pStyle w:val="InstructionsText2"/>
        <w:numPr>
          <w:ilvl w:val="0"/>
          <w:numId w:val="229"/>
        </w:numPr>
        <w:spacing w:before="0"/>
        <w:rPr>
          <w:rFonts w:ascii="Times New Roman" w:hAnsi="Times New Roman" w:cs="Times New Roman"/>
          <w:sz w:val="20"/>
          <w:szCs w:val="20"/>
        </w:rPr>
      </w:pPr>
      <w:r>
        <w:rPr>
          <w:rFonts w:ascii="Times New Roman" w:hAnsi="Times New Roman" w:cs="Times New Roman"/>
          <w:sz w:val="20"/>
          <w:szCs w:val="20"/>
        </w:rPr>
        <w:t>Għal kull mudell, l-istituzzjonijiet għandhom isegwu l-bażi jew il-bażijiet ta’ konsolidazzjoni applikabbli skont l-Artikolu 2 tal-Artikolu 5 tar-Regolament ta’ Implimentazzjoni (UE</w:t>
      </w:r>
      <w:r>
        <w:rPr>
          <w:rFonts w:ascii="Times New Roman" w:hAnsi="Times New Roman" w:cs="Times New Roman"/>
          <w:sz w:val="20"/>
          <w:szCs w:val="20"/>
          <w:highlight w:val="yellow"/>
        </w:rPr>
        <w:t>)</w:t>
      </w:r>
      <w:r>
        <w:rPr>
          <w:highlight w:val="yellow"/>
        </w:rPr>
        <w:t>Nru</w:t>
      </w:r>
      <w:r>
        <w:rPr>
          <w:rFonts w:ascii="Times New Roman" w:hAnsi="Times New Roman" w:cs="Times New Roman"/>
          <w:sz w:val="20"/>
          <w:szCs w:val="20"/>
          <w:highlight w:val="yellow"/>
        </w:rPr>
        <w:t>20</w:t>
      </w:r>
      <w:r>
        <w:rPr>
          <w:highlight w:val="yellow"/>
        </w:rPr>
        <w:t>XX</w:t>
      </w:r>
      <w:r>
        <w:rPr>
          <w:rFonts w:ascii="Times New Roman" w:hAnsi="Times New Roman" w:cs="Times New Roman"/>
          <w:sz w:val="20"/>
          <w:szCs w:val="20"/>
        </w:rPr>
        <w:t xml:space="preserve"> /</w:t>
      </w:r>
      <w:r>
        <w:rPr>
          <w:highlight w:val="yellow"/>
        </w:rPr>
        <w:t xml:space="preserve"> XXX.</w:t>
      </w:r>
    </w:p>
    <w:p w14:paraId="7FE1B331" w14:textId="77777777" w:rsidR="00534D9A" w:rsidRDefault="003243B2">
      <w:pPr>
        <w:pStyle w:val="P68B1DB1-Instructionsberschrift25"/>
        <w:numPr>
          <w:ilvl w:val="1"/>
          <w:numId w:val="49"/>
        </w:numPr>
        <w:ind w:left="357" w:hanging="357"/>
      </w:pPr>
      <w:bookmarkStart w:id="14" w:name="_Toc81454175"/>
      <w:bookmarkStart w:id="15" w:name="_Toc208244990"/>
      <w:r>
        <w:t>Numerazzjoni u konvenzjonijiet oħra</w:t>
      </w:r>
      <w:bookmarkEnd w:id="14"/>
      <w:bookmarkEnd w:id="15"/>
    </w:p>
    <w:p w14:paraId="7FE1B332" w14:textId="639ED14D" w:rsidR="00534D9A" w:rsidRDefault="003243B2">
      <w:pPr>
        <w:pStyle w:val="P68B1DB1-InstructionsText26"/>
        <w:numPr>
          <w:ilvl w:val="0"/>
          <w:numId w:val="230"/>
        </w:numPr>
        <w:spacing w:before="0"/>
      </w:pPr>
      <w:r>
        <w:t>Dawn l-istruzzjonijiet jimxu mal-konvenzjoni dwar it-tikkettar stipulata hawn taħt, meta ssir referenza għall-kolonni, ir-ringieli u ċ-ċelloli tal-mudelli. Dawn il-kodiċijiet numeriċi jintużaw b’mod estensiv fir-regoli dwar il-validazzjoni.</w:t>
      </w:r>
    </w:p>
    <w:p w14:paraId="7FE1B333" w14:textId="24776AD5" w:rsidR="00534D9A" w:rsidRDefault="003243B2">
      <w:pPr>
        <w:pStyle w:val="P68B1DB1-InstructionsText26"/>
        <w:numPr>
          <w:ilvl w:val="0"/>
          <w:numId w:val="230"/>
        </w:numPr>
        <w:spacing w:before="0"/>
      </w:pPr>
      <w:r>
        <w:t>In-notazzjoni ġenerali segwenti tintuża f’dawn l-istruzzjonijiet biex issir referenza għall-kolonni, ringieli u ċelloli ta’ mudell: Il-Mudell; ir-Ringiela; il-Kolonna.</w:t>
      </w:r>
    </w:p>
    <w:p w14:paraId="7FE1B334" w14:textId="144A32B1" w:rsidR="00534D9A" w:rsidRDefault="003243B2">
      <w:pPr>
        <w:pStyle w:val="P68B1DB1-InstructionsText26"/>
        <w:numPr>
          <w:ilvl w:val="0"/>
          <w:numId w:val="230"/>
        </w:numPr>
        <w:spacing w:before="0"/>
      </w:pPr>
      <w:r>
        <w:t>Fil-każ ta’ validazzjonijiet fil-mudell, li fih jintużaw biss punti ta’ data ta’ dak il-mudell, in-notazzjonijiet ma jirreferux għal mudell: Ir-ringiela; il-Kolonna.</w:t>
      </w:r>
    </w:p>
    <w:p w14:paraId="7FE1B335" w14:textId="77777777" w:rsidR="00534D9A" w:rsidRDefault="003243B2">
      <w:pPr>
        <w:pStyle w:val="P68B1DB1-InstructionsText26"/>
        <w:numPr>
          <w:ilvl w:val="0"/>
          <w:numId w:val="230"/>
        </w:numPr>
        <w:spacing w:before="0"/>
      </w:pPr>
      <w:r>
        <w:t>Fil-każ ta’ mudelli b’kolonna waħda biss, issir referenza għar-ringieli biss: “Template”; Ringiela.</w:t>
      </w:r>
    </w:p>
    <w:p w14:paraId="7FE1B336" w14:textId="77777777" w:rsidR="00534D9A" w:rsidRDefault="003243B2">
      <w:pPr>
        <w:pStyle w:val="P68B1DB1-InstructionsText26"/>
        <w:numPr>
          <w:ilvl w:val="0"/>
          <w:numId w:val="230"/>
        </w:numPr>
        <w:spacing w:before="0"/>
      </w:pPr>
      <w:r>
        <w:t>Sinjal ta’ asterisk jintuża biex jesprimi li l-validazzjoni ssir għar-ringieli jew il-kolonni speċifikati qabel.</w:t>
      </w:r>
    </w:p>
    <w:p w14:paraId="7FE1B337" w14:textId="77777777" w:rsidR="00534D9A" w:rsidRDefault="003243B2">
      <w:pPr>
        <w:pStyle w:val="P68B1DB1-InstructionsText26"/>
        <w:numPr>
          <w:ilvl w:val="0"/>
          <w:numId w:val="230"/>
        </w:numPr>
        <w:spacing w:before="0"/>
      </w:pPr>
      <w:r>
        <w:t>Meta entrata ta’ informazzjoni ma tkunx applikabbli għall-entitajiet li fir-rigward tagħhom jiġi ppreżentat ir-rapport, l-ispazju korrispondenti għandu jitħalla vojt.</w:t>
      </w:r>
    </w:p>
    <w:p w14:paraId="7FE1B338" w14:textId="77777777" w:rsidR="00534D9A" w:rsidRDefault="003243B2">
      <w:pPr>
        <w:pStyle w:val="P68B1DB1-InstructionsText26"/>
        <w:numPr>
          <w:ilvl w:val="0"/>
          <w:numId w:val="230"/>
        </w:numPr>
        <w:spacing w:before="0"/>
      </w:pPr>
      <w:r>
        <w:t>Meta dawn l-istruzzjonijiet jirreferu għal kodiċi primarju, din għandha tfisser kolonna jew kombinazzjoni ta’ kolonni mfassla biex jidentifikaw unikament ir-ringieli kollha tal-mudell. Kodiċi primarju għandu jkun fih valur uniku għal kull ringiela tal-mudell. Ma jistax ikun fih valur null.</w:t>
      </w:r>
    </w:p>
    <w:p w14:paraId="7FE1B339" w14:textId="77777777" w:rsidR="00534D9A" w:rsidRDefault="003243B2">
      <w:pPr>
        <w:pStyle w:val="P68B1DB1-Instructionsberschrift24"/>
        <w:numPr>
          <w:ilvl w:val="0"/>
          <w:numId w:val="49"/>
        </w:numPr>
        <w:ind w:left="357" w:hanging="357"/>
      </w:pPr>
      <w:bookmarkStart w:id="16" w:name="_Toc492542319"/>
      <w:bookmarkStart w:id="17" w:name="_Toc81454176"/>
      <w:bookmarkStart w:id="18" w:name="_Toc208244991"/>
      <w:r>
        <w:t>Struzzjonijiet relatati mal-mudell</w:t>
      </w:r>
      <w:bookmarkEnd w:id="16"/>
      <w:bookmarkEnd w:id="17"/>
      <w:bookmarkEnd w:id="18"/>
    </w:p>
    <w:p w14:paraId="7FE1B33A" w14:textId="0E76C32D" w:rsidR="00534D9A" w:rsidRDefault="003243B2">
      <w:pPr>
        <w:pStyle w:val="P68B1DB1-Instructionsberschrift25"/>
        <w:numPr>
          <w:ilvl w:val="1"/>
          <w:numId w:val="49"/>
        </w:numPr>
        <w:ind w:left="357" w:hanging="357"/>
      </w:pPr>
      <w:bookmarkStart w:id="19" w:name="_Toc493236007"/>
      <w:bookmarkStart w:id="20" w:name="_Toc81454177"/>
      <w:bookmarkStart w:id="21" w:name="_Toc208244992"/>
      <w:bookmarkEnd w:id="19"/>
      <w:r>
        <w:t>Z 01.01 — Entitajiet ġuridiċi (ORG 1)</w:t>
      </w:r>
      <w:bookmarkEnd w:id="20"/>
      <w:bookmarkEnd w:id="21"/>
    </w:p>
    <w:p w14:paraId="7FE1B33B" w14:textId="77777777" w:rsidR="00534D9A" w:rsidRDefault="003243B2">
      <w:pPr>
        <w:pStyle w:val="Instructionsberschrift3"/>
      </w:pPr>
      <w:r>
        <w:t>Kummenti ġenerali</w:t>
      </w:r>
    </w:p>
    <w:p w14:paraId="7FE1B33C" w14:textId="73410408" w:rsidR="00534D9A" w:rsidRDefault="003243B2">
      <w:pPr>
        <w:pStyle w:val="P68B1DB1-InstructionsText26"/>
        <w:numPr>
          <w:ilvl w:val="0"/>
          <w:numId w:val="231"/>
        </w:numPr>
        <w:spacing w:before="0"/>
      </w:pPr>
      <w:r>
        <w:t xml:space="preserve">Għandha tiġi sottomessa formola waħda fir-rigward tal-entitajiet kollha tal-grupp fl-ambitu tal-konsolidazzjoni kontabilistika. Huma biss l-entitajiet ġuridiċi li għandhom ikunu identifikati f’dan il-mudell. </w:t>
      </w:r>
    </w:p>
    <w:p w14:paraId="7FE1B33D" w14:textId="32A49085" w:rsidR="00534D9A" w:rsidRDefault="003243B2">
      <w:pPr>
        <w:pStyle w:val="P68B1DB1-InstructionsText26"/>
        <w:numPr>
          <w:ilvl w:val="0"/>
          <w:numId w:val="231"/>
        </w:numPr>
        <w:spacing w:before="0"/>
      </w:pPr>
      <w:r>
        <w:lastRenderedPageBreak/>
        <w:t xml:space="preserve">Il-kunċett ta’ entitajiet legali rilevanti mhuwiex limitat għal operazzjonijiet bankarji biss, iżda jinkludi wkoll entitajiet oħra li huma meħtieġa biex jappoġġaw l-operazzjonijiet tal-grupp bankarju b’mod sostanzjali. Dan jinkludi fornituri ta’ servizzi għal funzjonijiet kritiċi jew/u linji tan-negozju sostanzjali, finanzjament lil entitajiet li jipprovdu finanzjament u entitajiet oħra li huma marbuta ħafna (ekonomikament) mal-grupp. L-identifikazzjoni ta’ dawn l-entitajiet addizzjonali hija mistennija li </w:t>
      </w:r>
      <w:r>
        <w:t>tkun iggwidata mir-rekwiżiti tal-istrateġija ta’ riżoluzzjoni, li huma definiti mill-awtoritajiet ta’ riżoluzzjoni.</w:t>
      </w:r>
    </w:p>
    <w:p w14:paraId="7FE1B33E" w14:textId="77777777" w:rsidR="00534D9A" w:rsidRDefault="003243B2">
      <w:pPr>
        <w:pStyle w:val="P68B1DB1-Instructionsberschrift312"/>
      </w:pPr>
      <w:r>
        <w:t>Struzzjonijiet li jikkonċernaw pożizzjonijiet speċifiċi</w:t>
      </w:r>
    </w:p>
    <w:p w14:paraId="7FE1B33F" w14:textId="77777777" w:rsidR="00534D9A" w:rsidRDefault="00534D9A">
      <w:pPr>
        <w:spacing w:before="8"/>
        <w:rPr>
          <w:rFonts w:ascii="Times New Roman" w:eastAsia="Cambria"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851"/>
        <w:gridCol w:w="8175"/>
      </w:tblGrid>
      <w:tr w:rsidR="00534D9A" w14:paraId="7FE1B342"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340" w14:textId="77777777" w:rsidR="00534D9A" w:rsidRDefault="003243B2">
            <w:pPr>
              <w:pStyle w:val="P68B1DB1-TableParagraph13"/>
              <w:spacing w:before="66"/>
              <w:rPr>
                <w:rFonts w:eastAsia="Cambria"/>
              </w:rPr>
            </w:pPr>
            <w:r>
              <w:t>Kolonni</w:t>
            </w:r>
          </w:p>
        </w:tc>
        <w:tc>
          <w:tcPr>
            <w:tcW w:w="0" w:type="auto"/>
            <w:tcBorders>
              <w:top w:val="single" w:sz="4" w:space="0" w:color="1A171C"/>
              <w:left w:val="single" w:sz="4" w:space="0" w:color="1A171C"/>
              <w:bottom w:val="single" w:sz="4" w:space="0" w:color="1A171C"/>
              <w:right w:val="nil"/>
            </w:tcBorders>
            <w:shd w:val="clear" w:color="auto" w:fill="E4E5E5"/>
          </w:tcPr>
          <w:p w14:paraId="7FE1B341" w14:textId="77777777" w:rsidR="00534D9A" w:rsidRDefault="003243B2">
            <w:pPr>
              <w:pStyle w:val="P68B1DB1-TableParagraph13"/>
              <w:spacing w:before="66"/>
              <w:ind w:right="1"/>
              <w:jc w:val="center"/>
              <w:rPr>
                <w:rFonts w:eastAsia="Cambria"/>
              </w:rPr>
            </w:pPr>
            <w:r>
              <w:t>Struzzjonijiet</w:t>
            </w:r>
          </w:p>
        </w:tc>
      </w:tr>
      <w:tr w:rsidR="00534D9A" w14:paraId="7FE1B349" w14:textId="77777777">
        <w:tc>
          <w:tcPr>
            <w:tcW w:w="0" w:type="auto"/>
            <w:tcBorders>
              <w:top w:val="single" w:sz="4" w:space="0" w:color="1A171C"/>
              <w:left w:val="nil"/>
              <w:bottom w:val="single" w:sz="4" w:space="0" w:color="1A171C"/>
              <w:right w:val="single" w:sz="4" w:space="0" w:color="1A171C"/>
            </w:tcBorders>
          </w:tcPr>
          <w:p w14:paraId="7FE1B346" w14:textId="77777777" w:rsidR="00534D9A" w:rsidRDefault="003243B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tcPr>
          <w:p w14:paraId="7FE1B347" w14:textId="77777777" w:rsidR="00534D9A" w:rsidRDefault="003243B2">
            <w:pPr>
              <w:pStyle w:val="P68B1DB1-TableParagraph14"/>
              <w:spacing w:before="108"/>
              <w:ind w:left="85"/>
            </w:pPr>
            <w:r>
              <w:t>Isem</w:t>
            </w:r>
          </w:p>
          <w:p w14:paraId="7FE1B348" w14:textId="3D2D6D6A" w:rsidR="00534D9A" w:rsidRDefault="003243B2">
            <w:pPr>
              <w:pStyle w:val="P68B1DB1-TableParagraph15"/>
              <w:spacing w:before="108"/>
              <w:ind w:left="85"/>
            </w:pPr>
            <w:r>
              <w:t>Isem tal-entità. Isem uffiċjali kif jidher fl-atti korporattivi, inkluż l-indikazzjoni tal-forma ġuridika.</w:t>
            </w:r>
          </w:p>
        </w:tc>
      </w:tr>
      <w:tr w:rsidR="00534D9A" w14:paraId="7FE1B34E" w14:textId="77777777">
        <w:tc>
          <w:tcPr>
            <w:tcW w:w="0" w:type="auto"/>
            <w:tcBorders>
              <w:top w:val="single" w:sz="4" w:space="0" w:color="1A171C"/>
              <w:left w:val="nil"/>
              <w:bottom w:val="single" w:sz="4" w:space="0" w:color="1A171C"/>
              <w:right w:val="single" w:sz="4" w:space="0" w:color="1A171C"/>
            </w:tcBorders>
          </w:tcPr>
          <w:p w14:paraId="7FE1B34A" w14:textId="77777777" w:rsidR="00534D9A" w:rsidRDefault="003243B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tcPr>
          <w:p w14:paraId="7FE1B34B" w14:textId="77777777" w:rsidR="00534D9A" w:rsidRDefault="003243B2">
            <w:pPr>
              <w:pStyle w:val="P68B1DB1-TableParagraph14"/>
              <w:spacing w:before="108"/>
              <w:ind w:left="85"/>
            </w:pPr>
            <w:r>
              <w:t>Numru</w:t>
            </w:r>
          </w:p>
          <w:p w14:paraId="7FE1B34C" w14:textId="5527678D" w:rsidR="00534D9A" w:rsidRDefault="003243B2">
            <w:pPr>
              <w:pStyle w:val="P68B1DB1-TableParagraph13"/>
              <w:spacing w:before="108"/>
              <w:ind w:left="85"/>
            </w:pPr>
            <w:r>
              <w:t>Kodiċi tal-entità. Għall-istituzzjonijiet, il-kodiċi għandu jkun il-kodiċi alfanumeriku LEI, b’20 ċifra. Għal entitajiet oħra, il-kodiċi għandu jkun il-kodiċi alfanumeriku LEI b’ 20 ċifri, jew jekk ma jkunx disponibbli, l-ID tal-MFI jew kodiċi b’kodifikazzjoni uniformi applikabbli fl-Unjoni.</w:t>
            </w:r>
          </w:p>
          <w:p w14:paraId="7FE1B34D" w14:textId="77777777" w:rsidR="00534D9A" w:rsidRDefault="003243B2">
            <w:pPr>
              <w:pStyle w:val="P68B1DB1-TableParagraph13"/>
              <w:spacing w:before="108"/>
              <w:ind w:left="85"/>
            </w:pPr>
            <w:r>
              <w:t>Il-kodiċi għandu jkun uniku u użat b’mod konsistenti fil-mudelli kollha. Il-kodiċi għandu dejjem ikollu valur.</w:t>
            </w:r>
          </w:p>
        </w:tc>
      </w:tr>
      <w:tr w:rsidR="00534D9A" w14:paraId="7FE1B354" w14:textId="77777777">
        <w:tc>
          <w:tcPr>
            <w:tcW w:w="0" w:type="auto"/>
            <w:tcBorders>
              <w:top w:val="single" w:sz="4" w:space="0" w:color="1A171C"/>
              <w:left w:val="nil"/>
              <w:bottom w:val="single" w:sz="4" w:space="0" w:color="1A171C"/>
              <w:right w:val="single" w:sz="4" w:space="0" w:color="1A171C"/>
            </w:tcBorders>
          </w:tcPr>
          <w:p w14:paraId="7FE1B34F" w14:textId="77777777" w:rsidR="00534D9A" w:rsidRDefault="003243B2">
            <w:pPr>
              <w:pStyle w:val="P68B1DB1-TableParagraph13"/>
              <w:spacing w:before="106"/>
              <w:ind w:left="-1"/>
            </w:pPr>
            <w:r>
              <w:t>0025</w:t>
            </w:r>
          </w:p>
        </w:tc>
        <w:tc>
          <w:tcPr>
            <w:tcW w:w="0" w:type="auto"/>
            <w:tcBorders>
              <w:top w:val="single" w:sz="4" w:space="0" w:color="1A171C"/>
              <w:left w:val="single" w:sz="4" w:space="0" w:color="1A171C"/>
              <w:bottom w:val="single" w:sz="4" w:space="0" w:color="1A171C"/>
              <w:right w:val="nil"/>
            </w:tcBorders>
          </w:tcPr>
          <w:p w14:paraId="7FE1B350" w14:textId="10E10E31" w:rsidR="00534D9A" w:rsidRDefault="003243B2">
            <w:pPr>
              <w:pStyle w:val="P68B1DB1-TableParagraph14"/>
              <w:spacing w:before="108"/>
              <w:ind w:left="85"/>
              <w:jc w:val="both"/>
            </w:pPr>
            <w:r>
              <w:t>Tip ta’ kodiċi</w:t>
            </w:r>
          </w:p>
          <w:p w14:paraId="7FE1B352" w14:textId="7C9FB737" w:rsidR="00534D9A" w:rsidRDefault="003243B2">
            <w:pPr>
              <w:pStyle w:val="P68B1DB1-TableParagraph13"/>
              <w:spacing w:before="108"/>
            </w:pPr>
            <w:r>
              <w:t>Għandha tintgħażel fost l-għażliet li ġejjin: “Kodiċi LEI”, “kodiċi MFI” jew “Tip ta’ identifikatur, minbarra l-kodiċi LEI jew MFI.</w:t>
            </w:r>
          </w:p>
          <w:p w14:paraId="7FE1B353" w14:textId="77777777" w:rsidR="00534D9A" w:rsidRDefault="003243B2">
            <w:pPr>
              <w:pStyle w:val="P68B1DB1-TableParagraph13"/>
              <w:spacing w:before="108"/>
              <w:ind w:left="85"/>
              <w:jc w:val="both"/>
              <w:rPr>
                <w:b/>
              </w:rPr>
            </w:pPr>
            <w:r>
              <w:t>L-identifikazzjoni tal-entitajiet għandha ssir b’mod konsistenti fil-mudelli kollha.</w:t>
            </w:r>
          </w:p>
        </w:tc>
      </w:tr>
      <w:tr w:rsidR="00534D9A" w14:paraId="7FE1B372" w14:textId="77777777">
        <w:tc>
          <w:tcPr>
            <w:tcW w:w="0" w:type="auto"/>
            <w:tcBorders>
              <w:top w:val="single" w:sz="4" w:space="0" w:color="1A171C"/>
              <w:left w:val="nil"/>
              <w:bottom w:val="single" w:sz="4" w:space="0" w:color="1A171C"/>
              <w:right w:val="single" w:sz="4" w:space="0" w:color="1A171C"/>
            </w:tcBorders>
          </w:tcPr>
          <w:p w14:paraId="7FE1B359" w14:textId="77777777" w:rsidR="00534D9A" w:rsidRDefault="003243B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tcPr>
          <w:p w14:paraId="7FE1B35A" w14:textId="77777777" w:rsidR="00534D9A" w:rsidRDefault="003243B2">
            <w:pPr>
              <w:pStyle w:val="P68B1DB1-TableParagraph14"/>
              <w:spacing w:before="108"/>
              <w:ind w:left="85"/>
            </w:pPr>
            <w:r>
              <w:t>It-Tip ta’ Entità</w:t>
            </w:r>
          </w:p>
          <w:p w14:paraId="7FE1B35B" w14:textId="77777777" w:rsidR="00534D9A" w:rsidRDefault="003243B2">
            <w:pPr>
              <w:pStyle w:val="P68B1DB1-TableParagraph13"/>
              <w:spacing w:before="108"/>
              <w:ind w:left="85"/>
            </w:pPr>
            <w:r>
              <w:t>It-tip ta’ entità, f’ordni sekwenzjali ta’ prijorità, għandu jkun wieħed minn dawn li ġejjin:</w:t>
            </w:r>
          </w:p>
          <w:p w14:paraId="7FE1B35C" w14:textId="77777777" w:rsidR="00534D9A" w:rsidRDefault="003243B2">
            <w:pPr>
              <w:pStyle w:val="P68B1DB1-TableParagraph13"/>
              <w:numPr>
                <w:ilvl w:val="0"/>
                <w:numId w:val="67"/>
              </w:numPr>
              <w:spacing w:before="108"/>
            </w:pPr>
            <w:r>
              <w:t>“Istituzzjoni ta’ kreditu”</w:t>
            </w:r>
          </w:p>
          <w:p w14:paraId="7FE1B35D" w14:textId="653C7762" w:rsidR="00534D9A" w:rsidRDefault="003243B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Din il-kategorija għandha tkopri istituzzjonijiet ta’ kreditu kif definiti fil-punt (1) tal-Artikolu 4(1) tar-Regolament (UE) Nru 575/2013, bl-eċċezzjoni tal-entitajiet imsemmija fl-Artikolu 2(5) tad-Direttiva (UE) 2013/36/EU</w:t>
            </w:r>
            <w:r>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sz w:val="20"/>
                <w:szCs w:val="20"/>
              </w:rPr>
              <w:t xml:space="preserve">; </w:t>
            </w:r>
          </w:p>
          <w:p w14:paraId="7FE1B35E" w14:textId="74CE88F3" w:rsidR="00534D9A" w:rsidRDefault="003243B2">
            <w:pPr>
              <w:pStyle w:val="P68B1DB1-TableParagraph13"/>
              <w:numPr>
                <w:ilvl w:val="0"/>
                <w:numId w:val="67"/>
              </w:numPr>
              <w:spacing w:before="108"/>
            </w:pPr>
            <w:r>
              <w:t>“Ditta tal-investiment soġġetta għar-rekwiżit ta’ kapital inizjali stipulat fl-Artikolu 9(1) tad-Direttiva (UE) 2019/2034”</w:t>
            </w:r>
          </w:p>
          <w:p w14:paraId="7FE1B35F" w14:textId="3246B488" w:rsidR="00534D9A" w:rsidRDefault="003243B2">
            <w:pPr>
              <w:pStyle w:val="TableParagraph"/>
              <w:spacing w:before="108"/>
              <w:ind w:left="44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Din il-kategorija għandha tkopri ditti tal-investiment kif definiti fl-Artikolu 4(1), il-punt (22) tar-Regolament (UE) 2019/2033 li huma soġġetti</w:t>
            </w:r>
            <w:r>
              <w:rPr>
                <w:rStyle w:val="FootnoteReference"/>
                <w:rFonts w:ascii="Times New Roman" w:hAnsi="Times New Roman" w:cs="Times New Roman"/>
                <w:color w:val="000000" w:themeColor="text1"/>
              </w:rPr>
              <w:footnoteReference w:id="8"/>
            </w:r>
            <w:r>
              <w:rPr>
                <w:rFonts w:ascii="Times New Roman" w:hAnsi="Times New Roman" w:cs="Times New Roman"/>
                <w:color w:val="000000" w:themeColor="text1"/>
                <w:sz w:val="20"/>
                <w:szCs w:val="20"/>
              </w:rPr>
              <w:t xml:space="preserve"> għar-rekwiżit kapitali inizjali stabbilit fl-Artikolu 9 (1) tad-Direttiva (UE) 2019/2034.</w:t>
            </w:r>
            <w:r>
              <w:rPr>
                <w:rStyle w:val="FootnoteReference"/>
                <w:rFonts w:ascii="Times New Roman" w:hAnsi="Times New Roman" w:cs="Times New Roman"/>
                <w:color w:val="000000" w:themeColor="text1"/>
              </w:rPr>
              <w:footnoteReference w:id="9"/>
            </w:r>
          </w:p>
          <w:p w14:paraId="7FE1B360" w14:textId="7DAA7575" w:rsidR="00534D9A" w:rsidRDefault="003243B2">
            <w:pPr>
              <w:pStyle w:val="P68B1DB1-TableParagraph13"/>
              <w:numPr>
                <w:ilvl w:val="0"/>
                <w:numId w:val="67"/>
              </w:numPr>
              <w:spacing w:before="108"/>
            </w:pPr>
            <w:r>
              <w:t>“Ditta tal-investiment mhux soġġetta għar-rekwiżit ta’ kapital inizjali stabbilit fl-Artikolu 9(1) tad-Direttiva (UE) 2019/2034”</w:t>
            </w:r>
          </w:p>
          <w:p w14:paraId="7FE1B361" w14:textId="77777777" w:rsidR="00534D9A" w:rsidRDefault="003243B2">
            <w:pPr>
              <w:pStyle w:val="P68B1DB1-TableParagraph13"/>
              <w:numPr>
                <w:ilvl w:val="0"/>
                <w:numId w:val="67"/>
              </w:numPr>
              <w:spacing w:before="108"/>
            </w:pPr>
            <w:r>
              <w:t>“Istituzzjoni finanzjarja”</w:t>
            </w:r>
          </w:p>
          <w:p w14:paraId="7FE1B362" w14:textId="77777777" w:rsidR="00534D9A" w:rsidRDefault="003243B2">
            <w:pPr>
              <w:pStyle w:val="P68B1DB1-TableParagraph13"/>
              <w:spacing w:before="108"/>
              <w:ind w:left="445"/>
            </w:pPr>
            <w:r>
              <w:lastRenderedPageBreak/>
              <w:t>Din il-kategorija għandha tkopri l-istituzzjonijiet finanzjarji kif definiti fil-punt (26) tal-Artikolu 4(1) tar-Regolament (UE) Nru 575/2013, bl-eċċezzjoni ta’ dawk klassifikati bħala “kumpanija azzjonarja” kif deskritt fil-punt (e) ta’ hawn taħt.</w:t>
            </w:r>
          </w:p>
          <w:p w14:paraId="7FE1B363" w14:textId="77777777" w:rsidR="00534D9A" w:rsidRDefault="003243B2">
            <w:pPr>
              <w:pStyle w:val="P68B1DB1-TableParagraph13"/>
              <w:numPr>
                <w:ilvl w:val="0"/>
                <w:numId w:val="67"/>
              </w:numPr>
              <w:spacing w:before="108"/>
            </w:pPr>
            <w:r>
              <w:t>“Kumpanija azzjonarja”</w:t>
            </w:r>
          </w:p>
          <w:p w14:paraId="7FE1B364" w14:textId="77777777" w:rsidR="00534D9A" w:rsidRDefault="003243B2">
            <w:pPr>
              <w:pStyle w:val="P68B1DB1-TableParagraph13"/>
              <w:spacing w:before="108"/>
              <w:ind w:left="445"/>
            </w:pPr>
            <w:r>
              <w:t>Din il-kategorija għandha tkopri kwalunkwe waħda minn dawn li ġejjin:</w:t>
            </w:r>
          </w:p>
          <w:p w14:paraId="7FE1B365" w14:textId="77777777" w:rsidR="00534D9A" w:rsidRDefault="003243B2">
            <w:pPr>
              <w:pStyle w:val="P68B1DB1-TableParagraph13"/>
              <w:numPr>
                <w:ilvl w:val="0"/>
                <w:numId w:val="68"/>
              </w:numPr>
              <w:spacing w:before="108"/>
            </w:pPr>
            <w:r>
              <w:t>Kumpanija azzjonarja finanzjarja kif definita fil-punt (20) tal-Artikolu 4(1) tar-Regolament (UE) Nru 575/2013;</w:t>
            </w:r>
          </w:p>
          <w:p w14:paraId="7FE1B366" w14:textId="77777777" w:rsidR="00534D9A" w:rsidRDefault="003243B2">
            <w:pPr>
              <w:pStyle w:val="P68B1DB1-TableParagraph13"/>
              <w:numPr>
                <w:ilvl w:val="0"/>
                <w:numId w:val="68"/>
              </w:numPr>
              <w:spacing w:before="108"/>
            </w:pPr>
            <w:r>
              <w:t>Kumpanija azzjonarja finanzjarja mħallta kif definita fil-punt (21) tal-Artikolu 4(1) tar-Regolament (UE) Nru 575/2013;</w:t>
            </w:r>
          </w:p>
          <w:p w14:paraId="7FE1B367" w14:textId="77777777" w:rsidR="00534D9A" w:rsidRDefault="003243B2">
            <w:pPr>
              <w:pStyle w:val="P68B1DB1-TableParagraph13"/>
              <w:numPr>
                <w:ilvl w:val="0"/>
                <w:numId w:val="68"/>
              </w:numPr>
              <w:spacing w:before="108"/>
            </w:pPr>
            <w:r>
              <w:t>Kumpanija azzjonarja ta’ attività mħallta kif definita fil-punt (22) tal-Artikolu 4(1) tar-Regolament (UE) Nru 575/2013;</w:t>
            </w:r>
          </w:p>
          <w:p w14:paraId="7FE1B368" w14:textId="77777777" w:rsidR="00534D9A" w:rsidRDefault="003243B2">
            <w:pPr>
              <w:pStyle w:val="P68B1DB1-TableParagraph13"/>
              <w:numPr>
                <w:ilvl w:val="0"/>
                <w:numId w:val="68"/>
              </w:numPr>
              <w:spacing w:before="108"/>
            </w:pPr>
            <w:r>
              <w:t>Kumpaniji azzjonarji finanzjarji prinċipali kif definiti fil-punt (30) tal-Artikolu 4(1) tar-Regolament (UE) Nru 575/2013;</w:t>
            </w:r>
          </w:p>
          <w:p w14:paraId="7FE1B369" w14:textId="77777777" w:rsidR="00534D9A" w:rsidRDefault="003243B2">
            <w:pPr>
              <w:pStyle w:val="P68B1DB1-TableParagraph13"/>
              <w:numPr>
                <w:ilvl w:val="0"/>
                <w:numId w:val="68"/>
              </w:numPr>
              <w:spacing w:before="108"/>
            </w:pPr>
            <w:r>
              <w:t>Kumpaniji azzjonarji finanzjarji prinċipali tal-Unjoni kif definiti fil-punt (31) tal-Artikolu 4(1) tar-Regolament (UE) Nru 575/2013;</w:t>
            </w:r>
          </w:p>
          <w:p w14:paraId="7FE1B36A" w14:textId="77777777" w:rsidR="00534D9A" w:rsidRDefault="003243B2">
            <w:pPr>
              <w:pStyle w:val="P68B1DB1-TableParagraph13"/>
              <w:numPr>
                <w:ilvl w:val="0"/>
                <w:numId w:val="68"/>
              </w:numPr>
              <w:spacing w:before="108"/>
            </w:pPr>
            <w:r>
              <w:t>Kumpanija azzjonarja finanzjarja mħallta prinċipali fi Stat Membru kif definita fil-punt (32) tal-Artikolu 4(1) tar-Regolament (UE) Nru 575/2013;</w:t>
            </w:r>
          </w:p>
          <w:p w14:paraId="7FE1B36B" w14:textId="77777777" w:rsidR="00534D9A" w:rsidRDefault="003243B2">
            <w:pPr>
              <w:pStyle w:val="P68B1DB1-TableParagraph13"/>
              <w:numPr>
                <w:ilvl w:val="0"/>
                <w:numId w:val="68"/>
              </w:numPr>
              <w:spacing w:before="108"/>
            </w:pPr>
            <w:r>
              <w:t>Kumpanija azzjonarja finanzjarja mħallta prinċipali tal-Unjoni kif definita fil-punt (33) tal-Artikolu 4(1) tar-Regolament (UE) Nru 575/2013.</w:t>
            </w:r>
          </w:p>
          <w:p w14:paraId="7FE1B36C" w14:textId="0F68F780" w:rsidR="00534D9A" w:rsidRDefault="003243B2">
            <w:pPr>
              <w:pStyle w:val="P68B1DB1-TableParagraph13"/>
              <w:numPr>
                <w:ilvl w:val="0"/>
                <w:numId w:val="67"/>
              </w:numPr>
              <w:spacing w:before="108"/>
            </w:pPr>
            <w:r>
              <w:t>“Impriża tal-assigurazzjoni”</w:t>
            </w:r>
          </w:p>
          <w:p w14:paraId="7FE1B36D" w14:textId="77777777" w:rsidR="00534D9A" w:rsidRDefault="003243B2">
            <w:pPr>
              <w:pStyle w:val="P68B1DB1-TableParagraph16"/>
              <w:numPr>
                <w:ilvl w:val="0"/>
                <w:numId w:val="68"/>
              </w:numPr>
              <w:spacing w:before="108"/>
              <w:rPr>
                <w:color w:val="000000" w:themeColor="text1"/>
                <w:sz w:val="20"/>
                <w:szCs w:val="20"/>
              </w:rPr>
            </w:pPr>
            <w:r>
              <w:rPr>
                <w:color w:val="000000" w:themeColor="text1"/>
                <w:sz w:val="20"/>
                <w:szCs w:val="20"/>
              </w:rPr>
              <w:t>Din il-kategorija għandha tkopri impriżi tal-assigurazzjoni kif definiti fl-Artikolu 13 tad-Direttiva 2009/138/KE tal-Parlament Ewropew u tal-Kunsill</w:t>
            </w:r>
            <w:r>
              <w:footnoteReference w:id="10"/>
            </w:r>
            <w:r>
              <w:rPr>
                <w:color w:val="000000" w:themeColor="text1"/>
                <w:sz w:val="20"/>
                <w:szCs w:val="20"/>
              </w:rPr>
              <w:t>.</w:t>
            </w:r>
          </w:p>
          <w:p w14:paraId="7FE1B36E" w14:textId="15AC498F" w:rsidR="00534D9A" w:rsidRDefault="003243B2">
            <w:pPr>
              <w:pStyle w:val="P68B1DB1-TableParagraph13"/>
              <w:numPr>
                <w:ilvl w:val="0"/>
                <w:numId w:val="67"/>
              </w:numPr>
              <w:spacing w:before="108"/>
            </w:pPr>
            <w:r>
              <w:t>“Fornitur ta’ servizz rilevanti” fi ħdan il-grupp, konness ma’ funzjonijiet kritiċi u/jew operazzjonijiet ekonomiċi sinifikanti.</w:t>
            </w:r>
          </w:p>
          <w:p w14:paraId="7FE1B370" w14:textId="77777777" w:rsidR="00534D9A" w:rsidRDefault="00534D9A">
            <w:pPr>
              <w:pStyle w:val="TableParagraph"/>
              <w:spacing w:before="108"/>
              <w:rPr>
                <w:rFonts w:ascii="Times New Roman" w:hAnsi="Times New Roman" w:cs="Times New Roman"/>
                <w:color w:val="000000" w:themeColor="text1"/>
                <w:sz w:val="20"/>
                <w:szCs w:val="20"/>
              </w:rPr>
            </w:pPr>
          </w:p>
          <w:p w14:paraId="7FE1B371" w14:textId="77777777" w:rsidR="00534D9A" w:rsidRDefault="003243B2">
            <w:pPr>
              <w:pStyle w:val="P68B1DB1-TableParagraph16"/>
              <w:numPr>
                <w:ilvl w:val="0"/>
                <w:numId w:val="67"/>
              </w:numPr>
              <w:spacing w:before="108"/>
              <w:rPr>
                <w:color w:val="000000" w:themeColor="text1"/>
                <w:sz w:val="20"/>
                <w:szCs w:val="20"/>
              </w:rPr>
            </w:pPr>
            <w:r>
              <w:rPr>
                <w:color w:val="000000" w:themeColor="text1"/>
                <w:sz w:val="20"/>
                <w:szCs w:val="20"/>
              </w:rPr>
              <w:t>“Tip ieħor ta’ entità”, meta l-entità ma tkunx taqa’ taħt l-ebda kategorija minn fost dawk imsemmija hawn fuq.</w:t>
            </w:r>
            <w:r>
              <w:br/>
            </w:r>
            <w:r>
              <w:rPr>
                <w:color w:val="000000" w:themeColor="text1"/>
                <w:sz w:val="20"/>
                <w:szCs w:val="20"/>
              </w:rPr>
              <w:t>(jiġifieri fornitur importanti ta’ finanzjament)</w:t>
            </w:r>
          </w:p>
        </w:tc>
      </w:tr>
      <w:tr w:rsidR="00534D9A" w14:paraId="7FE1B376" w14:textId="77777777">
        <w:tc>
          <w:tcPr>
            <w:tcW w:w="0" w:type="auto"/>
            <w:tcBorders>
              <w:top w:val="single" w:sz="4" w:space="0" w:color="1A171C"/>
              <w:left w:val="nil"/>
              <w:bottom w:val="single" w:sz="4" w:space="0" w:color="1A171C"/>
              <w:right w:val="single" w:sz="4" w:space="0" w:color="1A171C"/>
            </w:tcBorders>
          </w:tcPr>
          <w:p w14:paraId="7FE1B373" w14:textId="77777777" w:rsidR="00534D9A" w:rsidRDefault="003243B2">
            <w:pPr>
              <w:pStyle w:val="P68B1DB1-TableParagraph13"/>
              <w:spacing w:before="106"/>
              <w:ind w:left="-1"/>
            </w:pPr>
            <w:r>
              <w:lastRenderedPageBreak/>
              <w:t>0050</w:t>
            </w:r>
          </w:p>
        </w:tc>
        <w:tc>
          <w:tcPr>
            <w:tcW w:w="0" w:type="auto"/>
            <w:tcBorders>
              <w:top w:val="single" w:sz="4" w:space="0" w:color="1A171C"/>
              <w:left w:val="single" w:sz="4" w:space="0" w:color="1A171C"/>
              <w:bottom w:val="single" w:sz="4" w:space="0" w:color="1A171C"/>
              <w:right w:val="nil"/>
            </w:tcBorders>
          </w:tcPr>
          <w:p w14:paraId="7FE1B374" w14:textId="77777777" w:rsidR="00534D9A" w:rsidRDefault="003243B2">
            <w:pPr>
              <w:pStyle w:val="P68B1DB1-TableParagraph14"/>
              <w:spacing w:before="108"/>
              <w:ind w:left="85"/>
            </w:pPr>
            <w:r>
              <w:t>Pajjiż</w:t>
            </w:r>
          </w:p>
          <w:p w14:paraId="7FE1B375" w14:textId="77777777" w:rsidR="00534D9A" w:rsidRDefault="003243B2">
            <w:pPr>
              <w:pStyle w:val="P68B1DB1-TableParagraph13"/>
              <w:spacing w:before="108"/>
              <w:ind w:left="85"/>
              <w:jc w:val="both"/>
            </w:pPr>
            <w:r>
              <w:t>Il-kodiċi ISO 3166–1-alpha-2 tal-pajjiż ta’ inkorporazzjoni tal-entità, li jista’ jkun Stat Membru jew pajjiż terz.</w:t>
            </w:r>
          </w:p>
        </w:tc>
      </w:tr>
      <w:tr w:rsidR="00534D9A" w14:paraId="7FE1B37A" w14:textId="77777777">
        <w:tc>
          <w:tcPr>
            <w:tcW w:w="0" w:type="auto"/>
            <w:tcBorders>
              <w:top w:val="single" w:sz="4" w:space="0" w:color="1A171C"/>
              <w:left w:val="nil"/>
              <w:bottom w:val="single" w:sz="4" w:space="0" w:color="1A171C"/>
              <w:right w:val="single" w:sz="4" w:space="0" w:color="1A171C"/>
            </w:tcBorders>
          </w:tcPr>
          <w:p w14:paraId="7FE1B377" w14:textId="77777777" w:rsidR="00534D9A" w:rsidRDefault="003243B2">
            <w:pPr>
              <w:pStyle w:val="P68B1DB1-TableParagraph13"/>
              <w:spacing w:before="106"/>
              <w:ind w:left="-1"/>
            </w:pPr>
            <w:r>
              <w:t>0055</w:t>
            </w:r>
          </w:p>
        </w:tc>
        <w:tc>
          <w:tcPr>
            <w:tcW w:w="0" w:type="auto"/>
            <w:tcBorders>
              <w:top w:val="single" w:sz="4" w:space="0" w:color="1A171C"/>
              <w:left w:val="single" w:sz="4" w:space="0" w:color="1A171C"/>
              <w:bottom w:val="single" w:sz="4" w:space="0" w:color="1A171C"/>
              <w:right w:val="nil"/>
            </w:tcBorders>
          </w:tcPr>
          <w:p w14:paraId="7FE1B378" w14:textId="77777777" w:rsidR="00534D9A" w:rsidRDefault="003243B2">
            <w:pPr>
              <w:pStyle w:val="P68B1DB1-TableParagraph14"/>
              <w:spacing w:before="108"/>
              <w:ind w:left="85"/>
            </w:pPr>
            <w:r>
              <w:t>LEI ta’ POE tal-Grupp ta’ Riżoluzzjoni</w:t>
            </w:r>
          </w:p>
          <w:p w14:paraId="7FE1B379" w14:textId="77777777" w:rsidR="00534D9A" w:rsidRDefault="003243B2">
            <w:pPr>
              <w:pStyle w:val="P68B1DB1-TableParagraph13"/>
              <w:spacing w:before="108"/>
              <w:ind w:left="85"/>
              <w:rPr>
                <w:bCs/>
              </w:rPr>
            </w:pPr>
            <w:r>
              <w:t>Kodiċi LEI li jidentifika l-Punt ta’ Dħul tal-grupp ta’ riżoluzzjoni li għalih tappartjeni l-entità identifikata f’ 0010.</w:t>
            </w:r>
          </w:p>
        </w:tc>
      </w:tr>
      <w:tr w:rsidR="00534D9A" w14:paraId="7FE1B386" w14:textId="77777777">
        <w:tc>
          <w:tcPr>
            <w:tcW w:w="0" w:type="auto"/>
            <w:tcBorders>
              <w:top w:val="single" w:sz="4" w:space="0" w:color="1A171C"/>
              <w:left w:val="nil"/>
              <w:bottom w:val="single" w:sz="4" w:space="0" w:color="1A171C"/>
              <w:right w:val="single" w:sz="4" w:space="0" w:color="1A171C"/>
            </w:tcBorders>
          </w:tcPr>
          <w:p w14:paraId="7FE1B381" w14:textId="77777777" w:rsidR="00534D9A" w:rsidRDefault="003243B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tcPr>
          <w:p w14:paraId="7FE1B382" w14:textId="77777777" w:rsidR="00534D9A" w:rsidRDefault="003243B2">
            <w:pPr>
              <w:pStyle w:val="P68B1DB1-TableParagraph14"/>
              <w:spacing w:before="108"/>
              <w:ind w:left="85"/>
              <w:jc w:val="both"/>
              <w:rPr>
                <w:bCs/>
              </w:rPr>
            </w:pPr>
            <w:r>
              <w:t>Rinunzja Artikolu 7 CRR</w:t>
            </w:r>
          </w:p>
          <w:p w14:paraId="7FE1B383" w14:textId="77777777" w:rsidR="00534D9A" w:rsidRDefault="003243B2">
            <w:pPr>
              <w:pStyle w:val="P68B1DB1-TableParagraph13"/>
              <w:spacing w:before="108"/>
              <w:ind w:left="85"/>
              <w:jc w:val="both"/>
            </w:pPr>
            <w:r>
              <w:t>Irrapporta l-abbrevjazzjonijiet li ġejjin:</w:t>
            </w:r>
          </w:p>
          <w:p w14:paraId="7FE1B384" w14:textId="6DF8D995" w:rsidR="00534D9A" w:rsidRDefault="003243B2">
            <w:pPr>
              <w:pStyle w:val="P68B1DB1-TableParagraph13"/>
              <w:spacing w:before="108"/>
              <w:ind w:left="85"/>
              <w:jc w:val="both"/>
            </w:pPr>
            <w:r>
              <w:t>Yes — jekk l-awtorità kompetenti rrinunzjat l-applikazzjoni tal-Artikolu 6(1) tar-Regolament (UE) Nru 575/2013 skont l-Artikolu 7 tar-Regolament (UE) Nru 575/2013;</w:t>
            </w:r>
          </w:p>
          <w:p w14:paraId="7FE1B385" w14:textId="7EC01EC3" w:rsidR="00534D9A" w:rsidRDefault="003243B2">
            <w:pPr>
              <w:pStyle w:val="P68B1DB1-TableParagraph13"/>
              <w:spacing w:before="108"/>
              <w:ind w:left="85"/>
              <w:jc w:val="both"/>
              <w:rPr>
                <w:b/>
              </w:rPr>
            </w:pPr>
            <w:r>
              <w:t>Le — inkella.</w:t>
            </w:r>
          </w:p>
        </w:tc>
      </w:tr>
      <w:tr w:rsidR="00534D9A" w14:paraId="7FE1B38D" w14:textId="77777777">
        <w:tc>
          <w:tcPr>
            <w:tcW w:w="1064" w:type="dxa"/>
            <w:tcBorders>
              <w:top w:val="single" w:sz="4" w:space="0" w:color="1A171C"/>
              <w:left w:val="nil"/>
              <w:bottom w:val="single" w:sz="4" w:space="0" w:color="1A171C"/>
              <w:right w:val="single" w:sz="4" w:space="0" w:color="1A171C"/>
            </w:tcBorders>
          </w:tcPr>
          <w:p w14:paraId="7FE1B387" w14:textId="77777777" w:rsidR="00534D9A" w:rsidRDefault="003243B2">
            <w:pPr>
              <w:pStyle w:val="P68B1DB1-TableParagraph13"/>
            </w:pPr>
            <w:r>
              <w:t>0080</w:t>
            </w:r>
          </w:p>
        </w:tc>
        <w:tc>
          <w:tcPr>
            <w:tcW w:w="7962" w:type="dxa"/>
            <w:tcBorders>
              <w:top w:val="single" w:sz="4" w:space="0" w:color="1A171C"/>
              <w:left w:val="single" w:sz="4" w:space="0" w:color="1A171C"/>
              <w:bottom w:val="single" w:sz="4" w:space="0" w:color="1A171C"/>
              <w:right w:val="nil"/>
            </w:tcBorders>
          </w:tcPr>
          <w:p w14:paraId="7FE1B388" w14:textId="77777777" w:rsidR="00534D9A" w:rsidRDefault="003243B2">
            <w:pPr>
              <w:pStyle w:val="P68B1DB1-TableParagraph14"/>
              <w:jc w:val="both"/>
              <w:rPr>
                <w:bCs/>
              </w:rPr>
            </w:pPr>
            <w:r>
              <w:t>Rinunzja Artikolu 8 CRR</w:t>
            </w:r>
          </w:p>
          <w:p w14:paraId="7FE1B389" w14:textId="77777777" w:rsidR="00534D9A" w:rsidRDefault="00534D9A">
            <w:pPr>
              <w:pStyle w:val="TableParagraph"/>
              <w:jc w:val="both"/>
              <w:rPr>
                <w:rFonts w:ascii="Times New Roman" w:hAnsi="Times New Roman" w:cs="Times New Roman"/>
                <w:b/>
                <w:bCs/>
                <w:color w:val="000000" w:themeColor="text1"/>
                <w:sz w:val="20"/>
                <w:szCs w:val="20"/>
              </w:rPr>
            </w:pPr>
          </w:p>
          <w:p w14:paraId="7FE1B38A" w14:textId="77777777" w:rsidR="00534D9A" w:rsidRDefault="003243B2">
            <w:pPr>
              <w:pStyle w:val="P68B1DB1-TableParagraph13"/>
              <w:spacing w:before="108"/>
              <w:ind w:left="85"/>
              <w:jc w:val="both"/>
            </w:pPr>
            <w:r>
              <w:t>Irrapporta l-abbrevjazzjonijiet li ġejjin:</w:t>
            </w:r>
          </w:p>
          <w:p w14:paraId="7FE1B38B" w14:textId="7BE12ED7" w:rsidR="00534D9A" w:rsidRDefault="003243B2">
            <w:pPr>
              <w:pStyle w:val="P68B1DB1-TableParagraph13"/>
              <w:spacing w:before="108"/>
              <w:ind w:left="85"/>
              <w:jc w:val="both"/>
            </w:pPr>
            <w:r>
              <w:t>Yes — jekk l-awtorità kompetenti rrinunzjat l-applikazzjoni tal-Partit Sess ta’ Regolament (UE) Nru 575/2013 skont l-Artikolu 8 tar-Regolament (UE) Nru 575/2013;</w:t>
            </w:r>
          </w:p>
          <w:p w14:paraId="7FE1B38C" w14:textId="08CEF953" w:rsidR="00534D9A" w:rsidRDefault="003243B2">
            <w:pPr>
              <w:pStyle w:val="P68B1DB1-TableParagraph13"/>
              <w:jc w:val="both"/>
              <w:rPr>
                <w:b/>
                <w:bCs/>
              </w:rPr>
            </w:pPr>
            <w:r>
              <w:t>Le — inkella.</w:t>
            </w:r>
          </w:p>
        </w:tc>
      </w:tr>
      <w:tr w:rsidR="00534D9A" w14:paraId="7FE1B395" w14:textId="77777777">
        <w:tc>
          <w:tcPr>
            <w:tcW w:w="1064" w:type="dxa"/>
            <w:tcBorders>
              <w:top w:val="single" w:sz="4" w:space="0" w:color="1A171C"/>
              <w:left w:val="nil"/>
              <w:bottom w:val="single" w:sz="4" w:space="0" w:color="1A171C"/>
              <w:right w:val="single" w:sz="4" w:space="0" w:color="1A171C"/>
            </w:tcBorders>
          </w:tcPr>
          <w:p w14:paraId="7FE1B38E" w14:textId="77777777" w:rsidR="00534D9A" w:rsidRDefault="003243B2">
            <w:pPr>
              <w:pStyle w:val="P68B1DB1-TableParagraph13"/>
            </w:pPr>
            <w:r>
              <w:lastRenderedPageBreak/>
              <w:t>0090</w:t>
            </w:r>
          </w:p>
        </w:tc>
        <w:tc>
          <w:tcPr>
            <w:tcW w:w="7962" w:type="dxa"/>
            <w:tcBorders>
              <w:top w:val="single" w:sz="4" w:space="0" w:color="1A171C"/>
              <w:left w:val="single" w:sz="4" w:space="0" w:color="1A171C"/>
              <w:bottom w:val="single" w:sz="4" w:space="0" w:color="1A171C"/>
              <w:right w:val="nil"/>
            </w:tcBorders>
          </w:tcPr>
          <w:p w14:paraId="7FE1B38F" w14:textId="77777777" w:rsidR="00534D9A" w:rsidRDefault="003243B2">
            <w:pPr>
              <w:pStyle w:val="P68B1DB1-TableParagraph14"/>
              <w:jc w:val="both"/>
              <w:rPr>
                <w:bCs/>
              </w:rPr>
            </w:pPr>
            <w:r>
              <w:t>Soġġett għall-Artikolu 9 CRR</w:t>
            </w:r>
          </w:p>
          <w:p w14:paraId="7FE1B390" w14:textId="77777777" w:rsidR="00534D9A" w:rsidRDefault="00534D9A">
            <w:pPr>
              <w:pStyle w:val="TableParagraph"/>
              <w:jc w:val="both"/>
              <w:rPr>
                <w:rFonts w:ascii="Times New Roman" w:hAnsi="Times New Roman" w:cs="Times New Roman"/>
                <w:b/>
                <w:bCs/>
                <w:color w:val="000000" w:themeColor="text1"/>
                <w:sz w:val="20"/>
                <w:szCs w:val="20"/>
              </w:rPr>
            </w:pPr>
          </w:p>
          <w:p w14:paraId="7FE1B391" w14:textId="77777777" w:rsidR="00534D9A" w:rsidRDefault="003243B2">
            <w:pPr>
              <w:pStyle w:val="P68B1DB1-TableParagraph13"/>
              <w:spacing w:before="108"/>
              <w:ind w:left="85"/>
              <w:jc w:val="both"/>
            </w:pPr>
            <w:r>
              <w:t>Irrapporta l-abbrevjazzjonijiet li ġejjin:</w:t>
            </w:r>
          </w:p>
          <w:p w14:paraId="7FE1B392" w14:textId="30A38992" w:rsidR="00534D9A" w:rsidRDefault="003243B2">
            <w:pPr>
              <w:pStyle w:val="P68B1DB1-TableParagraph13"/>
              <w:spacing w:before="108"/>
              <w:ind w:left="85"/>
              <w:jc w:val="both"/>
            </w:pPr>
            <w:r>
              <w:t>Iva — jekk l-entità tissodisfa l-kundizzjonijiet stabbiliti fil-punti (c) u (d) tal-Artikolu 7(1) u l-iskoperturi materjali jew l-obbligazzjonijiet materjali tagħha huma lejn l-istituzzjoni prinċipali r-Regolament (UE) Nru 575/2013 skont l-Artikolu 8 tar-Regolament (UE) Nru 575/2013 u għalhekk huma inkorporati fil-kalkolu tar-rekwiżit tal-istituzzjoni prinċipali skont l-Artikolu 6(1).</w:t>
            </w:r>
          </w:p>
          <w:p w14:paraId="7FE1B393" w14:textId="0CE17CBC" w:rsidR="00534D9A" w:rsidRDefault="003243B2">
            <w:pPr>
              <w:pStyle w:val="P68B1DB1-TableParagraph13"/>
              <w:jc w:val="both"/>
              <w:rPr>
                <w:b/>
                <w:bCs/>
              </w:rPr>
            </w:pPr>
            <w:r>
              <w:t>Le — inkella.</w:t>
            </w:r>
          </w:p>
          <w:p w14:paraId="7FE1B394" w14:textId="77777777" w:rsidR="00534D9A" w:rsidRDefault="00534D9A">
            <w:pPr>
              <w:pStyle w:val="TableParagraph"/>
              <w:jc w:val="both"/>
              <w:rPr>
                <w:rFonts w:ascii="Times New Roman" w:hAnsi="Times New Roman" w:cs="Times New Roman"/>
                <w:b/>
                <w:bCs/>
                <w:color w:val="000000" w:themeColor="text1"/>
                <w:sz w:val="20"/>
                <w:szCs w:val="20"/>
              </w:rPr>
            </w:pPr>
          </w:p>
        </w:tc>
      </w:tr>
      <w:tr w:rsidR="00534D9A" w14:paraId="7FE1B39B" w14:textId="77777777">
        <w:tc>
          <w:tcPr>
            <w:tcW w:w="0" w:type="auto"/>
            <w:tcBorders>
              <w:top w:val="single" w:sz="4" w:space="0" w:color="1A171C"/>
              <w:left w:val="nil"/>
              <w:bottom w:val="single" w:sz="4" w:space="0" w:color="1A171C"/>
              <w:right w:val="single" w:sz="4" w:space="0" w:color="1A171C"/>
            </w:tcBorders>
          </w:tcPr>
          <w:p w14:paraId="7FE1B396" w14:textId="5DE190C9" w:rsidR="00534D9A" w:rsidRDefault="003243B2">
            <w:pPr>
              <w:pStyle w:val="P68B1DB1-TableParagraph13"/>
              <w:spacing w:before="106"/>
              <w:ind w:left="-1"/>
            </w:pPr>
            <w:r>
              <w:t>0100</w:t>
            </w:r>
          </w:p>
        </w:tc>
        <w:tc>
          <w:tcPr>
            <w:tcW w:w="0" w:type="auto"/>
            <w:tcBorders>
              <w:top w:val="single" w:sz="4" w:space="0" w:color="1A171C"/>
              <w:left w:val="single" w:sz="4" w:space="0" w:color="1A171C"/>
              <w:bottom w:val="single" w:sz="4" w:space="0" w:color="1A171C"/>
              <w:right w:val="nil"/>
            </w:tcBorders>
          </w:tcPr>
          <w:p w14:paraId="7FE1B397" w14:textId="77777777" w:rsidR="00534D9A" w:rsidRDefault="003243B2">
            <w:pPr>
              <w:pStyle w:val="P68B1DB1-TableParagraph14"/>
              <w:spacing w:before="108"/>
              <w:ind w:left="85"/>
              <w:jc w:val="both"/>
            </w:pPr>
            <w:r>
              <w:t>Artikolu 10 Rinunzja CRR</w:t>
            </w:r>
          </w:p>
          <w:p w14:paraId="7FE1B398" w14:textId="77777777" w:rsidR="00534D9A" w:rsidRDefault="003243B2">
            <w:pPr>
              <w:pStyle w:val="P68B1DB1-TableParagraph13"/>
              <w:spacing w:before="108"/>
              <w:ind w:left="85"/>
              <w:jc w:val="both"/>
            </w:pPr>
            <w:r>
              <w:t>Irrapporta l-abbrevjazzjonijiet li ġejjin:</w:t>
            </w:r>
          </w:p>
          <w:p w14:paraId="7FE1B399" w14:textId="249CB221" w:rsidR="00534D9A" w:rsidRDefault="003243B2">
            <w:pPr>
              <w:pStyle w:val="P68B1DB1-TableParagraph13"/>
              <w:spacing w:before="108"/>
              <w:ind w:left="85"/>
              <w:jc w:val="both"/>
            </w:pPr>
            <w:r>
              <w:t>I — jekk l-awtorità kompetenti applikat ir-rinunzja skont l-Artikolu 10 tar-Regolament (UE) Nru 575/2013.</w:t>
            </w:r>
          </w:p>
          <w:p w14:paraId="7FE1B39A" w14:textId="2A6A5A7B" w:rsidR="00534D9A" w:rsidRDefault="003243B2">
            <w:pPr>
              <w:pStyle w:val="P68B1DB1-TableParagraph13"/>
              <w:spacing w:before="108"/>
              <w:ind w:left="85"/>
              <w:jc w:val="both"/>
              <w:rPr>
                <w:b/>
              </w:rPr>
            </w:pPr>
            <w:r>
              <w:t>Le — inkella.</w:t>
            </w:r>
          </w:p>
        </w:tc>
      </w:tr>
      <w:tr w:rsidR="00534D9A" w14:paraId="7FE1B39F" w14:textId="77777777">
        <w:tc>
          <w:tcPr>
            <w:tcW w:w="0" w:type="auto"/>
            <w:tcBorders>
              <w:top w:val="single" w:sz="4" w:space="0" w:color="1A171C"/>
              <w:left w:val="nil"/>
              <w:bottom w:val="single" w:sz="4" w:space="0" w:color="1A171C"/>
              <w:right w:val="single" w:sz="4" w:space="0" w:color="1A171C"/>
            </w:tcBorders>
          </w:tcPr>
          <w:p w14:paraId="7FE1B39C" w14:textId="317C5200" w:rsidR="00534D9A" w:rsidRDefault="003243B2">
            <w:pPr>
              <w:pStyle w:val="P68B1DB1-TableParagraph13"/>
              <w:spacing w:before="106"/>
              <w:ind w:left="-1"/>
            </w:pPr>
            <w:r>
              <w:t>0110</w:t>
            </w:r>
          </w:p>
        </w:tc>
        <w:tc>
          <w:tcPr>
            <w:tcW w:w="0" w:type="auto"/>
            <w:tcBorders>
              <w:top w:val="single" w:sz="4" w:space="0" w:color="1A171C"/>
              <w:left w:val="single" w:sz="4" w:space="0" w:color="1A171C"/>
              <w:bottom w:val="single" w:sz="4" w:space="0" w:color="1A171C"/>
              <w:right w:val="nil"/>
            </w:tcBorders>
          </w:tcPr>
          <w:p w14:paraId="7FE1B39D" w14:textId="77777777" w:rsidR="00534D9A" w:rsidRDefault="003243B2">
            <w:pPr>
              <w:pStyle w:val="P68B1DB1-TableParagraph14"/>
              <w:spacing w:before="108"/>
              <w:jc w:val="both"/>
            </w:pPr>
            <w:r>
              <w:t>Total attiv</w:t>
            </w:r>
          </w:p>
          <w:p w14:paraId="7FE1B39E" w14:textId="77777777" w:rsidR="00534D9A" w:rsidRDefault="003243B2">
            <w:pPr>
              <w:pStyle w:val="P68B1DB1-TableParagraph13"/>
              <w:spacing w:before="108"/>
              <w:jc w:val="both"/>
              <w:rPr>
                <w:b/>
              </w:rPr>
            </w:pPr>
            <w:r>
              <w:t>L-assi totali kif definiti għall-FINREP {F 01.01;380,010}</w:t>
            </w:r>
          </w:p>
        </w:tc>
      </w:tr>
      <w:tr w:rsidR="00534D9A" w14:paraId="7FE1B3AC" w14:textId="77777777">
        <w:tc>
          <w:tcPr>
            <w:tcW w:w="0" w:type="auto"/>
            <w:tcBorders>
              <w:top w:val="single" w:sz="4" w:space="0" w:color="1A171C"/>
              <w:left w:val="nil"/>
              <w:bottom w:val="single" w:sz="4" w:space="0" w:color="1A171C"/>
              <w:right w:val="single" w:sz="4" w:space="0" w:color="1A171C"/>
            </w:tcBorders>
          </w:tcPr>
          <w:p w14:paraId="7FE1B3A8" w14:textId="69999557" w:rsidR="00534D9A" w:rsidRDefault="003243B2">
            <w:pPr>
              <w:pStyle w:val="P68B1DB1-TableParagraph13"/>
              <w:spacing w:before="106"/>
              <w:ind w:left="-1"/>
            </w:pPr>
            <w:r>
              <w:t>0150</w:t>
            </w:r>
          </w:p>
        </w:tc>
        <w:tc>
          <w:tcPr>
            <w:tcW w:w="0" w:type="auto"/>
            <w:tcBorders>
              <w:top w:val="single" w:sz="4" w:space="0" w:color="1A171C"/>
              <w:left w:val="single" w:sz="4" w:space="0" w:color="1A171C"/>
              <w:bottom w:val="single" w:sz="4" w:space="0" w:color="1A171C"/>
              <w:right w:val="nil"/>
            </w:tcBorders>
          </w:tcPr>
          <w:p w14:paraId="7FE1B3A9" w14:textId="77777777" w:rsidR="00534D9A" w:rsidRDefault="003243B2">
            <w:pPr>
              <w:pStyle w:val="P68B1DB1-TableParagraph14"/>
              <w:spacing w:before="108"/>
              <w:jc w:val="both"/>
            </w:pPr>
            <w:r>
              <w:t>L-Ammont Totali tal-Iskopertura għar-Riskju</w:t>
            </w:r>
          </w:p>
          <w:p w14:paraId="7FE1B3AA" w14:textId="77777777" w:rsidR="00534D9A" w:rsidRDefault="003243B2">
            <w:pPr>
              <w:pStyle w:val="P68B1DB1-TableParagraph13"/>
              <w:spacing w:before="108"/>
              <w:jc w:val="both"/>
            </w:pPr>
            <w:r>
              <w:t>L-ammont totali tal-iskopertura għar-riskju kif definit għal COREP (OF): —C 02.00; 010; 010</w:t>
            </w:r>
          </w:p>
          <w:p w14:paraId="7FE1B3AB" w14:textId="77777777" w:rsidR="00534D9A" w:rsidRDefault="003243B2">
            <w:pPr>
              <w:pStyle w:val="P68B1DB1-TableParagraph13"/>
              <w:spacing w:before="108"/>
              <w:jc w:val="both"/>
              <w:rPr>
                <w:b/>
              </w:rPr>
            </w:pPr>
            <w:r>
              <w:t>Din l-entrata ma għandhiex tiġi rapportata għall-entitajiet li ma humiex istituzzjonijiet u għal entitajiet li jibbenefikaw minn rinunzja f’konformità mal-Artikolu 7 jew mal-Artikolu 10 tar-Regolament (UE) Nru 575/2013.</w:t>
            </w:r>
          </w:p>
        </w:tc>
      </w:tr>
      <w:tr w:rsidR="00534D9A" w14:paraId="7FE1B3B1" w14:textId="77777777">
        <w:tc>
          <w:tcPr>
            <w:tcW w:w="0" w:type="auto"/>
            <w:tcBorders>
              <w:top w:val="single" w:sz="4" w:space="0" w:color="1A171C"/>
              <w:left w:val="nil"/>
              <w:bottom w:val="single" w:sz="4" w:space="0" w:color="1A171C"/>
              <w:right w:val="single" w:sz="4" w:space="0" w:color="1A171C"/>
            </w:tcBorders>
          </w:tcPr>
          <w:p w14:paraId="7FE1B3AD" w14:textId="47BF222F" w:rsidR="00534D9A" w:rsidRDefault="003243B2">
            <w:pPr>
              <w:pStyle w:val="P68B1DB1-TableParagraph13"/>
              <w:spacing w:before="106"/>
              <w:ind w:left="-1"/>
            </w:pPr>
            <w:r>
              <w:t>0160</w:t>
            </w:r>
          </w:p>
        </w:tc>
        <w:tc>
          <w:tcPr>
            <w:tcW w:w="0" w:type="auto"/>
            <w:tcBorders>
              <w:top w:val="single" w:sz="4" w:space="0" w:color="1A171C"/>
              <w:left w:val="single" w:sz="4" w:space="0" w:color="1A171C"/>
              <w:bottom w:val="single" w:sz="4" w:space="0" w:color="1A171C"/>
              <w:right w:val="nil"/>
            </w:tcBorders>
          </w:tcPr>
          <w:p w14:paraId="7FE1B3AE" w14:textId="0A8F3447" w:rsidR="00534D9A" w:rsidRDefault="003243B2">
            <w:pPr>
              <w:pStyle w:val="P68B1DB1-TableParagraph14"/>
              <w:spacing w:before="108"/>
              <w:ind w:left="85"/>
              <w:jc w:val="both"/>
            </w:pPr>
            <w:r>
              <w:t>Kejl tal-iskopertura totali</w:t>
            </w:r>
          </w:p>
          <w:p w14:paraId="7FE1B3AF" w14:textId="32D53B0C" w:rsidR="00534D9A" w:rsidRDefault="003243B2">
            <w:pPr>
              <w:pStyle w:val="P68B1DB1-TableParagraph13"/>
              <w:spacing w:before="108"/>
              <w:ind w:left="85"/>
              <w:jc w:val="both"/>
            </w:pPr>
            <w:r>
              <w:t>Kejl tal-iskopertura totali tal-proporzjon ta’ ingranaġġ kif definit għal COREP (LR): —C 47.00; 0290; 0010</w:t>
            </w:r>
          </w:p>
          <w:p w14:paraId="7FE1B3B0" w14:textId="77777777" w:rsidR="00534D9A" w:rsidRDefault="003243B2">
            <w:pPr>
              <w:pStyle w:val="P68B1DB1-TableParagraph13"/>
              <w:spacing w:before="108"/>
              <w:ind w:left="85"/>
              <w:jc w:val="both"/>
            </w:pPr>
            <w:r>
              <w:t>Din l-entrata ma għandhiex tiġi rapportata għall-entitajiet li ma humiex istituzzjonijiet u għal entitajiet li jibbenefikaw minn rinunzja f’konformità mal-Artikolu 7 jew mal-Artikolu 10 tar-Regolament (UE) Nru 575/2013.</w:t>
            </w:r>
          </w:p>
        </w:tc>
      </w:tr>
      <w:tr w:rsidR="00534D9A" w14:paraId="7FE1B3B7" w14:textId="77777777">
        <w:tc>
          <w:tcPr>
            <w:tcW w:w="1064" w:type="dxa"/>
            <w:tcBorders>
              <w:top w:val="single" w:sz="4" w:space="0" w:color="1A171C"/>
              <w:left w:val="nil"/>
              <w:bottom w:val="single" w:sz="4" w:space="0" w:color="1A171C"/>
              <w:right w:val="single" w:sz="4" w:space="0" w:color="1A171C"/>
            </w:tcBorders>
          </w:tcPr>
          <w:p w14:paraId="7FE1B3B2" w14:textId="3946F821" w:rsidR="00534D9A" w:rsidRDefault="003243B2">
            <w:pPr>
              <w:pStyle w:val="P68B1DB1-TableParagraph13"/>
            </w:pPr>
            <w:r>
              <w:t>0170</w:t>
            </w:r>
          </w:p>
        </w:tc>
        <w:tc>
          <w:tcPr>
            <w:tcW w:w="7962" w:type="dxa"/>
            <w:tcBorders>
              <w:top w:val="single" w:sz="4" w:space="0" w:color="1A171C"/>
              <w:left w:val="single" w:sz="4" w:space="0" w:color="1A171C"/>
              <w:bottom w:val="single" w:sz="4" w:space="0" w:color="1A171C"/>
              <w:right w:val="nil"/>
            </w:tcBorders>
          </w:tcPr>
          <w:p w14:paraId="7FE1B3B3" w14:textId="77777777" w:rsidR="00534D9A" w:rsidRDefault="003243B2">
            <w:pPr>
              <w:pStyle w:val="P68B1DB1-TableParagraph14"/>
              <w:jc w:val="both"/>
              <w:rPr>
                <w:bCs/>
              </w:rPr>
            </w:pPr>
            <w:r>
              <w:t>Dħul operattiv totali</w:t>
            </w:r>
          </w:p>
          <w:p w14:paraId="7FE1B3B4" w14:textId="77777777" w:rsidR="00534D9A" w:rsidRDefault="00534D9A">
            <w:pPr>
              <w:pStyle w:val="TableParagraph"/>
              <w:jc w:val="both"/>
              <w:rPr>
                <w:rFonts w:ascii="Times New Roman" w:hAnsi="Times New Roman" w:cs="Times New Roman"/>
                <w:b/>
                <w:bCs/>
                <w:color w:val="000000" w:themeColor="text1"/>
                <w:sz w:val="20"/>
                <w:szCs w:val="20"/>
              </w:rPr>
            </w:pPr>
          </w:p>
          <w:p w14:paraId="7FE1B3B5" w14:textId="77777777" w:rsidR="00534D9A" w:rsidRDefault="003243B2">
            <w:pPr>
              <w:pStyle w:val="P68B1DB1-TableParagraph13"/>
              <w:jc w:val="both"/>
            </w:pPr>
            <w:r>
              <w:t>L-introjtu operatorju totali kif definit fil-FINREP s F 02.00; 355; 010</w:t>
            </w:r>
          </w:p>
          <w:p w14:paraId="7FE1B3B6" w14:textId="77777777" w:rsidR="00534D9A" w:rsidRDefault="00534D9A">
            <w:pPr>
              <w:pStyle w:val="TableParagraph"/>
              <w:jc w:val="both"/>
              <w:rPr>
                <w:rFonts w:ascii="Times New Roman" w:hAnsi="Times New Roman" w:cs="Times New Roman"/>
                <w:b/>
                <w:bCs/>
                <w:color w:val="000000" w:themeColor="text1"/>
                <w:sz w:val="20"/>
                <w:szCs w:val="20"/>
              </w:rPr>
            </w:pPr>
          </w:p>
        </w:tc>
      </w:tr>
      <w:tr w:rsidR="00534D9A" w14:paraId="7FE1B3C2" w14:textId="77777777">
        <w:tc>
          <w:tcPr>
            <w:tcW w:w="0" w:type="auto"/>
            <w:tcBorders>
              <w:top w:val="single" w:sz="4" w:space="0" w:color="1A171C"/>
              <w:left w:val="nil"/>
              <w:bottom w:val="single" w:sz="4" w:space="0" w:color="1A171C"/>
              <w:right w:val="single" w:sz="4" w:space="0" w:color="1A171C"/>
            </w:tcBorders>
          </w:tcPr>
          <w:p w14:paraId="7FE1B3BD" w14:textId="66D829AD" w:rsidR="00534D9A" w:rsidRDefault="003243B2">
            <w:pPr>
              <w:pStyle w:val="P68B1DB1-TableParagraph13"/>
              <w:spacing w:before="106"/>
              <w:ind w:left="-1"/>
            </w:pPr>
            <w:r>
              <w:t>0210</w:t>
            </w:r>
          </w:p>
        </w:tc>
        <w:tc>
          <w:tcPr>
            <w:tcW w:w="0" w:type="auto"/>
            <w:tcBorders>
              <w:top w:val="single" w:sz="4" w:space="0" w:color="1A171C"/>
              <w:left w:val="single" w:sz="4" w:space="0" w:color="1A171C"/>
              <w:bottom w:val="single" w:sz="4" w:space="0" w:color="1A171C"/>
              <w:right w:val="nil"/>
            </w:tcBorders>
          </w:tcPr>
          <w:p w14:paraId="7FE1B3BE" w14:textId="77777777" w:rsidR="00534D9A" w:rsidRDefault="003243B2">
            <w:pPr>
              <w:pStyle w:val="P68B1DB1-TableParagraph14"/>
              <w:spacing w:before="108"/>
              <w:jc w:val="both"/>
            </w:pPr>
            <w:r>
              <w:t>Standard kontabilistiku</w:t>
            </w:r>
          </w:p>
          <w:p w14:paraId="7FE1B3BF" w14:textId="77777777" w:rsidR="00534D9A" w:rsidRDefault="003243B2">
            <w:pPr>
              <w:pStyle w:val="P68B1DB1-TableParagraph13"/>
              <w:spacing w:before="108"/>
              <w:jc w:val="both"/>
            </w:pPr>
            <w:r>
              <w:t>Standards kontabilistiċi applikati mill-entità. Irrapporta l-abbrevjazzjonijiet li ġejjin:</w:t>
            </w:r>
          </w:p>
          <w:p w14:paraId="7FE1B3C0" w14:textId="77777777" w:rsidR="00534D9A" w:rsidRDefault="003243B2">
            <w:pPr>
              <w:pStyle w:val="P68B1DB1-TableParagraph13"/>
              <w:numPr>
                <w:ilvl w:val="0"/>
                <w:numId w:val="68"/>
              </w:numPr>
              <w:spacing w:before="108"/>
              <w:jc w:val="both"/>
            </w:pPr>
            <w:r>
              <w:t>IFRS</w:t>
            </w:r>
          </w:p>
          <w:p w14:paraId="7FE1B3C1" w14:textId="77777777" w:rsidR="00534D9A" w:rsidRDefault="003243B2">
            <w:pPr>
              <w:pStyle w:val="P68B1DB1-TableParagraph13"/>
              <w:numPr>
                <w:ilvl w:val="0"/>
                <w:numId w:val="68"/>
              </w:numPr>
              <w:spacing w:before="108"/>
              <w:jc w:val="both"/>
            </w:pPr>
            <w:r>
              <w:t>nGAAP</w:t>
            </w:r>
          </w:p>
        </w:tc>
      </w:tr>
      <w:tr w:rsidR="00534D9A" w14:paraId="7FE1B3D6" w14:textId="77777777">
        <w:tc>
          <w:tcPr>
            <w:tcW w:w="0" w:type="auto"/>
            <w:tcBorders>
              <w:top w:val="single" w:sz="4" w:space="0" w:color="1A171C"/>
              <w:left w:val="nil"/>
              <w:bottom w:val="single" w:sz="4" w:space="0" w:color="1A171C"/>
              <w:right w:val="single" w:sz="4" w:space="0" w:color="1A171C"/>
            </w:tcBorders>
          </w:tcPr>
          <w:p w14:paraId="7FE1B3D3" w14:textId="4630F860" w:rsidR="00534D9A" w:rsidRDefault="003243B2">
            <w:pPr>
              <w:pStyle w:val="P68B1DB1-TableParagraph13"/>
              <w:spacing w:before="106"/>
              <w:ind w:left="-1"/>
            </w:pPr>
            <w:r>
              <w:t>0260</w:t>
            </w:r>
          </w:p>
        </w:tc>
        <w:tc>
          <w:tcPr>
            <w:tcW w:w="0" w:type="auto"/>
            <w:tcBorders>
              <w:top w:val="single" w:sz="4" w:space="0" w:color="1A171C"/>
              <w:left w:val="single" w:sz="4" w:space="0" w:color="1A171C"/>
              <w:bottom w:val="single" w:sz="4" w:space="0" w:color="1A171C"/>
              <w:right w:val="nil"/>
            </w:tcBorders>
          </w:tcPr>
          <w:p w14:paraId="7FE1B3D4" w14:textId="5FB54654" w:rsidR="00534D9A" w:rsidRDefault="003243B2">
            <w:pPr>
              <w:pStyle w:val="P68B1DB1-TableParagraph14"/>
              <w:spacing w:before="108"/>
              <w:jc w:val="both"/>
            </w:pPr>
            <w:r>
              <w:t xml:space="preserve">Kontribuzzjoni għall-ammont konsolidat totali tal-iskopertura għar-riskju </w:t>
            </w:r>
          </w:p>
          <w:p w14:paraId="7FE1B3D5" w14:textId="77777777" w:rsidR="00534D9A" w:rsidRDefault="003243B2">
            <w:pPr>
              <w:pStyle w:val="P68B1DB1-TableParagraph13"/>
              <w:spacing w:before="108"/>
              <w:jc w:val="both"/>
              <w:rPr>
                <w:b/>
              </w:rPr>
            </w:pPr>
            <w:r>
              <w:t xml:space="preserve">L-ammont kontribwit mill-Entità għall-ammont totali konsolidat ta’ skopertura għar-riskju tal-grupp </w:t>
            </w:r>
            <w:r>
              <w:lastRenderedPageBreak/>
              <w:t xml:space="preserve">li għalih jirreferi r-rapport. </w:t>
            </w:r>
          </w:p>
        </w:tc>
      </w:tr>
      <w:tr w:rsidR="00534D9A" w14:paraId="7FE1B3DA" w14:textId="77777777">
        <w:trPr>
          <w:trHeight w:val="749"/>
        </w:trPr>
        <w:tc>
          <w:tcPr>
            <w:tcW w:w="0" w:type="auto"/>
            <w:tcBorders>
              <w:top w:val="single" w:sz="4" w:space="0" w:color="1A171C"/>
              <w:left w:val="nil"/>
              <w:bottom w:val="single" w:sz="4" w:space="0" w:color="1A171C"/>
              <w:right w:val="single" w:sz="4" w:space="0" w:color="1A171C"/>
            </w:tcBorders>
          </w:tcPr>
          <w:p w14:paraId="7FE1B3D7" w14:textId="6D78C08C" w:rsidR="00534D9A" w:rsidRDefault="003243B2">
            <w:pPr>
              <w:pStyle w:val="P68B1DB1-TableParagraph13"/>
              <w:spacing w:before="106"/>
              <w:ind w:left="-1"/>
            </w:pPr>
            <w:r>
              <w:lastRenderedPageBreak/>
              <w:t>0270</w:t>
            </w:r>
          </w:p>
        </w:tc>
        <w:tc>
          <w:tcPr>
            <w:tcW w:w="0" w:type="auto"/>
            <w:tcBorders>
              <w:top w:val="single" w:sz="4" w:space="0" w:color="1A171C"/>
              <w:left w:val="single" w:sz="4" w:space="0" w:color="1A171C"/>
              <w:bottom w:val="single" w:sz="4" w:space="0" w:color="1A171C"/>
              <w:right w:val="nil"/>
            </w:tcBorders>
          </w:tcPr>
          <w:p w14:paraId="7FE1B3D8" w14:textId="5A329240" w:rsidR="00534D9A" w:rsidRDefault="003243B2">
            <w:pPr>
              <w:pStyle w:val="P68B1DB1-TableParagraph14"/>
              <w:spacing w:before="108"/>
              <w:ind w:left="85"/>
              <w:jc w:val="both"/>
            </w:pPr>
            <w:r>
              <w:t>Kontribuzzjoni għall-miżura tal-iskopertura totali konsolidata</w:t>
            </w:r>
          </w:p>
          <w:p w14:paraId="7FE1B3D9" w14:textId="61219862" w:rsidR="00534D9A" w:rsidRDefault="003243B2">
            <w:pPr>
              <w:pStyle w:val="P68B1DB1-TableParagraph13"/>
              <w:spacing w:before="108"/>
              <w:ind w:left="85"/>
              <w:jc w:val="both"/>
              <w:rPr>
                <w:b/>
              </w:rPr>
            </w:pPr>
            <w:r>
              <w:t>L-ammont kontribwit mill-Entità għall-misura tal-eksposur totali tal-grupp li għalih jirreferi r-rapport.</w:t>
            </w:r>
          </w:p>
        </w:tc>
      </w:tr>
      <w:tr w:rsidR="00534D9A" w14:paraId="7FE1B3DF" w14:textId="77777777">
        <w:trPr>
          <w:trHeight w:val="749"/>
        </w:trPr>
        <w:tc>
          <w:tcPr>
            <w:tcW w:w="1064" w:type="dxa"/>
            <w:tcBorders>
              <w:top w:val="single" w:sz="4" w:space="0" w:color="1A171C"/>
              <w:left w:val="nil"/>
              <w:bottom w:val="single" w:sz="4" w:space="0" w:color="1A171C"/>
              <w:right w:val="single" w:sz="4" w:space="0" w:color="1A171C"/>
            </w:tcBorders>
          </w:tcPr>
          <w:p w14:paraId="7FE1B3DB" w14:textId="60DFE076" w:rsidR="00534D9A" w:rsidRDefault="003243B2">
            <w:pPr>
              <w:pStyle w:val="P68B1DB1-TableParagraph13"/>
            </w:pPr>
            <w:r>
              <w:t>0280</w:t>
            </w:r>
          </w:p>
        </w:tc>
        <w:tc>
          <w:tcPr>
            <w:tcW w:w="7962" w:type="dxa"/>
            <w:tcBorders>
              <w:top w:val="single" w:sz="4" w:space="0" w:color="1A171C"/>
              <w:left w:val="single" w:sz="4" w:space="0" w:color="1A171C"/>
              <w:bottom w:val="single" w:sz="4" w:space="0" w:color="1A171C"/>
              <w:right w:val="nil"/>
            </w:tcBorders>
          </w:tcPr>
          <w:p w14:paraId="7FE1B3DC" w14:textId="75821A54" w:rsidR="00534D9A" w:rsidRDefault="003243B2">
            <w:pPr>
              <w:pStyle w:val="P68B1DB1-TableParagraph14"/>
              <w:jc w:val="both"/>
              <w:rPr>
                <w:bCs/>
              </w:rPr>
            </w:pPr>
            <w:r>
              <w:t>Kontribuzzjoni għall-introjtu operattiv konsolidat</w:t>
            </w:r>
          </w:p>
          <w:p w14:paraId="7FE1B3DD" w14:textId="77777777" w:rsidR="00534D9A" w:rsidRDefault="00534D9A">
            <w:pPr>
              <w:pStyle w:val="TableParagraph"/>
              <w:jc w:val="both"/>
              <w:rPr>
                <w:rFonts w:ascii="Times New Roman" w:hAnsi="Times New Roman" w:cs="Times New Roman"/>
                <w:color w:val="000000" w:themeColor="text1"/>
                <w:sz w:val="20"/>
                <w:szCs w:val="20"/>
              </w:rPr>
            </w:pPr>
          </w:p>
          <w:p w14:paraId="7FE1B3DE" w14:textId="1B38FEC1" w:rsidR="00534D9A" w:rsidRDefault="003243B2">
            <w:pPr>
              <w:pStyle w:val="P68B1DB1-TableParagraph13"/>
              <w:jc w:val="both"/>
            </w:pPr>
            <w:r>
              <w:t>L-ammont li l-Entità tikkontribwixxi għall-ammont tal-introjtu operatorju konsolidat kontabilistiku totali tal-grupp.</w:t>
            </w:r>
          </w:p>
        </w:tc>
      </w:tr>
      <w:tr w:rsidR="00534D9A" w14:paraId="7FE1B3F3" w14:textId="77777777">
        <w:tc>
          <w:tcPr>
            <w:tcW w:w="0" w:type="auto"/>
            <w:tcBorders>
              <w:top w:val="single" w:sz="4" w:space="0" w:color="1A171C"/>
              <w:left w:val="nil"/>
              <w:bottom w:val="single" w:sz="4" w:space="0" w:color="1A171C"/>
              <w:right w:val="single" w:sz="4" w:space="0" w:color="1A171C"/>
            </w:tcBorders>
          </w:tcPr>
          <w:p w14:paraId="7FE1B3EF" w14:textId="434D8A04" w:rsidR="00534D9A" w:rsidRDefault="003243B2">
            <w:pPr>
              <w:pStyle w:val="P68B1DB1-TableParagraph13"/>
              <w:spacing w:before="106"/>
              <w:ind w:left="-1"/>
            </w:pPr>
            <w:r>
              <w:t>0320</w:t>
            </w:r>
          </w:p>
        </w:tc>
        <w:tc>
          <w:tcPr>
            <w:tcW w:w="0" w:type="auto"/>
            <w:tcBorders>
              <w:top w:val="single" w:sz="4" w:space="0" w:color="1A171C"/>
              <w:left w:val="single" w:sz="4" w:space="0" w:color="1A171C"/>
              <w:bottom w:val="single" w:sz="4" w:space="0" w:color="1A171C"/>
              <w:right w:val="nil"/>
            </w:tcBorders>
          </w:tcPr>
          <w:p w14:paraId="7FE1B3F0" w14:textId="3CC98567" w:rsidR="00534D9A" w:rsidRDefault="003243B2">
            <w:pPr>
              <w:pStyle w:val="P68B1DB1-TableParagraph14"/>
              <w:spacing w:before="108"/>
              <w:ind w:left="85"/>
              <w:jc w:val="both"/>
              <w:rPr>
                <w:bCs/>
              </w:rPr>
            </w:pPr>
            <w:r>
              <w:t>L-entità ġuridika rilevanti</w:t>
            </w:r>
          </w:p>
          <w:p w14:paraId="7FE1B3F1" w14:textId="75C7B029" w:rsidR="00534D9A" w:rsidRDefault="003243B2">
            <w:pPr>
              <w:pStyle w:val="P68B1DB1-TableParagraph13"/>
              <w:spacing w:before="108"/>
              <w:jc w:val="both"/>
            </w:pPr>
            <w:r>
              <w:t>Jekk l-entità tikkostitwix entità ġuridika rilevanti skont id-definizzjoni fl-Artikolu 1 ta’ dan ir-Regolament.</w:t>
            </w:r>
          </w:p>
          <w:p w14:paraId="7FE1B3F2" w14:textId="0E42CD28" w:rsidR="00534D9A" w:rsidRDefault="00534D9A">
            <w:pPr>
              <w:pStyle w:val="TableParagraph"/>
              <w:spacing w:before="108"/>
              <w:jc w:val="both"/>
              <w:rPr>
                <w:rFonts w:ascii="Times New Roman" w:hAnsi="Times New Roman" w:cs="Times New Roman"/>
                <w:color w:val="000000" w:themeColor="text1"/>
                <w:sz w:val="20"/>
                <w:szCs w:val="20"/>
              </w:rPr>
            </w:pPr>
          </w:p>
        </w:tc>
      </w:tr>
    </w:tbl>
    <w:p w14:paraId="7FE1B491" w14:textId="77777777" w:rsidR="00534D9A" w:rsidRDefault="00534D9A">
      <w:pPr>
        <w:rPr>
          <w:rFonts w:ascii="Times New Roman" w:hAnsi="Times New Roman" w:cs="Times New Roman"/>
        </w:rPr>
      </w:pPr>
    </w:p>
    <w:p w14:paraId="7FE1B492" w14:textId="77777777" w:rsidR="00534D9A" w:rsidRDefault="003243B2">
      <w:pPr>
        <w:pStyle w:val="P68B1DB1-Instructionsberschrift25"/>
        <w:numPr>
          <w:ilvl w:val="1"/>
          <w:numId w:val="49"/>
        </w:numPr>
        <w:ind w:left="357" w:hanging="357"/>
      </w:pPr>
      <w:bookmarkStart w:id="22" w:name="_Toc81454178"/>
      <w:bookmarkStart w:id="23" w:name="_Toc208244993"/>
      <w:r>
        <w:t>Z 01.02 — Struttura tas-sjieda (ORG 2)</w:t>
      </w:r>
      <w:bookmarkEnd w:id="22"/>
      <w:bookmarkEnd w:id="23"/>
    </w:p>
    <w:p w14:paraId="7FE1B493" w14:textId="77777777" w:rsidR="00534D9A" w:rsidRDefault="003243B2">
      <w:pPr>
        <w:pStyle w:val="Instructionsberschrift3"/>
      </w:pPr>
      <w:r>
        <w:t>Kummenti ġenerali</w:t>
      </w:r>
    </w:p>
    <w:p w14:paraId="50A00AA9" w14:textId="77777777" w:rsidR="00534D9A" w:rsidRDefault="003243B2">
      <w:pPr>
        <w:pStyle w:val="P68B1DB1-InstructionsText26"/>
        <w:numPr>
          <w:ilvl w:val="0"/>
          <w:numId w:val="234"/>
        </w:numPr>
        <w:spacing w:before="0"/>
      </w:pPr>
      <w:r>
        <w:t xml:space="preserve">Dan il-mudell jipprovdi ħarsa ġenerali lejn l-istruttura ġuridika u tas-sjieda tal-grupp. Għandha tiġi sottomessa formola waħda fir-rigward tal-entitajiet kollha tal-grupp fl-ambitu tal-konsolidazzjoni kontabilistika. </w:t>
      </w:r>
    </w:p>
    <w:p w14:paraId="7FE1B494" w14:textId="57A6BCE4" w:rsidR="00534D9A" w:rsidRDefault="003243B2">
      <w:pPr>
        <w:pStyle w:val="P68B1DB1-InstructionsText26"/>
        <w:numPr>
          <w:ilvl w:val="0"/>
          <w:numId w:val="234"/>
        </w:numPr>
        <w:spacing w:before="0"/>
      </w:pPr>
      <w:r>
        <w:t xml:space="preserve">L-entitajiet ta’ riżoluzzjoni li mhumiex parti minn grupp soġġett għal superviżjoni konsolidata huma mistennija wkoll li jipprovdu dan ir-rapport. </w:t>
      </w:r>
    </w:p>
    <w:p w14:paraId="7FE1B496" w14:textId="77777777" w:rsidR="00534D9A" w:rsidRDefault="003243B2">
      <w:pPr>
        <w:pStyle w:val="P68B1DB1-InstructionsText26"/>
        <w:numPr>
          <w:ilvl w:val="0"/>
          <w:numId w:val="234"/>
        </w:numPr>
        <w:spacing w:before="0"/>
      </w:pPr>
      <w:r>
        <w:t>Din il-formola għandha telenka l-azzjonisti kollha (jew ekwivalenti) tal-entitajiet tal-grupp b’aktar minn 2 % tal-kapital azzjonarju (jew ekwivalenti) jew tad-drittijiet tal-vot, u l-parteċipazzjonijiet azzjonarji kollha (jew ekwivalenti) miżmuma mill-entitajiet tal-grupp.</w:t>
      </w:r>
    </w:p>
    <w:p w14:paraId="7FE1B497" w14:textId="77777777" w:rsidR="00534D9A" w:rsidRDefault="003243B2">
      <w:pPr>
        <w:pStyle w:val="P68B1DB1-Instructionsberschrift312"/>
      </w:pPr>
      <w:r>
        <w:t>Struzzjonijiet li jikkonċernaw pożizzjonijiet speċifiċi</w:t>
      </w:r>
    </w:p>
    <w:tbl>
      <w:tblPr>
        <w:tblW w:w="0" w:type="auto"/>
        <w:tblCellMar>
          <w:top w:w="57" w:type="dxa"/>
          <w:left w:w="57" w:type="dxa"/>
          <w:bottom w:w="57" w:type="dxa"/>
          <w:right w:w="0" w:type="dxa"/>
        </w:tblCellMar>
        <w:tblLook w:val="01E0" w:firstRow="1" w:lastRow="1" w:firstColumn="1" w:lastColumn="1" w:noHBand="0" w:noVBand="0"/>
      </w:tblPr>
      <w:tblGrid>
        <w:gridCol w:w="787"/>
        <w:gridCol w:w="8239"/>
      </w:tblGrid>
      <w:tr w:rsidR="00534D9A" w14:paraId="7FE1B49B" w14:textId="77777777">
        <w:trPr>
          <w:tblHeader/>
        </w:trPr>
        <w:tc>
          <w:tcPr>
            <w:tcW w:w="0" w:type="auto"/>
            <w:tcBorders>
              <w:top w:val="single" w:sz="4" w:space="0" w:color="1A171C"/>
              <w:left w:val="nil"/>
              <w:bottom w:val="single" w:sz="4" w:space="0" w:color="1A171C"/>
              <w:right w:val="single" w:sz="4" w:space="0" w:color="1A171C"/>
            </w:tcBorders>
            <w:shd w:val="clear" w:color="auto" w:fill="E4E5E5"/>
          </w:tcPr>
          <w:p w14:paraId="7FE1B499" w14:textId="77777777" w:rsidR="00534D9A" w:rsidRDefault="003243B2">
            <w:pPr>
              <w:pStyle w:val="P68B1DB1-TableParagraph13"/>
              <w:spacing w:before="66"/>
              <w:rPr>
                <w:rFonts w:eastAsia="Cambria"/>
              </w:rPr>
            </w:pPr>
            <w:r>
              <w:t>Kolonni</w:t>
            </w:r>
          </w:p>
        </w:tc>
        <w:tc>
          <w:tcPr>
            <w:tcW w:w="0" w:type="auto"/>
            <w:tcBorders>
              <w:top w:val="single" w:sz="4" w:space="0" w:color="1A171C"/>
              <w:left w:val="single" w:sz="4" w:space="0" w:color="1A171C"/>
              <w:bottom w:val="single" w:sz="4" w:space="0" w:color="1A171C"/>
              <w:right w:val="nil"/>
            </w:tcBorders>
            <w:shd w:val="clear" w:color="auto" w:fill="E4E5E5"/>
          </w:tcPr>
          <w:p w14:paraId="7FE1B49A" w14:textId="77777777" w:rsidR="00534D9A" w:rsidRDefault="003243B2">
            <w:pPr>
              <w:pStyle w:val="P68B1DB1-TableParagraph13"/>
              <w:spacing w:before="66"/>
              <w:ind w:right="1"/>
              <w:jc w:val="center"/>
              <w:rPr>
                <w:rFonts w:eastAsia="Cambria"/>
              </w:rPr>
            </w:pPr>
            <w:r>
              <w:t>Struzzjonijiet</w:t>
            </w:r>
          </w:p>
        </w:tc>
      </w:tr>
      <w:tr w:rsidR="00534D9A" w14:paraId="7FE1B49E" w14:textId="77777777">
        <w:tc>
          <w:tcPr>
            <w:tcW w:w="0" w:type="auto"/>
            <w:tcBorders>
              <w:top w:val="single" w:sz="4" w:space="0" w:color="1A171C"/>
              <w:left w:val="nil"/>
              <w:bottom w:val="single" w:sz="4" w:space="0" w:color="1A171C"/>
              <w:right w:val="single" w:sz="4" w:space="0" w:color="1A171C"/>
            </w:tcBorders>
          </w:tcPr>
          <w:p w14:paraId="7FE1B49C" w14:textId="77777777" w:rsidR="00534D9A" w:rsidRDefault="003243B2">
            <w:pPr>
              <w:pStyle w:val="P68B1DB1-TableParagraph14"/>
              <w:spacing w:before="106"/>
              <w:ind w:left="-1"/>
              <w:rPr>
                <w:rFonts w:eastAsia="Cambria"/>
              </w:rPr>
            </w:pPr>
            <w:r>
              <w:t>0010–030</w:t>
            </w:r>
          </w:p>
        </w:tc>
        <w:tc>
          <w:tcPr>
            <w:tcW w:w="0" w:type="auto"/>
            <w:tcBorders>
              <w:top w:val="single" w:sz="4" w:space="0" w:color="1A171C"/>
              <w:left w:val="single" w:sz="4" w:space="0" w:color="1A171C"/>
              <w:bottom w:val="single" w:sz="4" w:space="0" w:color="1A171C"/>
              <w:right w:val="nil"/>
            </w:tcBorders>
          </w:tcPr>
          <w:p w14:paraId="7FE1B49D" w14:textId="77777777" w:rsidR="00534D9A" w:rsidRDefault="003243B2">
            <w:pPr>
              <w:pStyle w:val="P68B1DB1-TableParagraph14"/>
              <w:spacing w:before="108"/>
              <w:ind w:left="85"/>
            </w:pPr>
            <w:r>
              <w:t>Investitur</w:t>
            </w:r>
          </w:p>
        </w:tc>
      </w:tr>
      <w:tr w:rsidR="00534D9A" w14:paraId="7FE1B4A2" w14:textId="77777777">
        <w:tc>
          <w:tcPr>
            <w:tcW w:w="0" w:type="auto"/>
            <w:tcBorders>
              <w:top w:val="single" w:sz="4" w:space="0" w:color="1A171C"/>
              <w:left w:val="nil"/>
              <w:bottom w:val="single" w:sz="4" w:space="0" w:color="1A171C"/>
              <w:right w:val="single" w:sz="4" w:space="0" w:color="1A171C"/>
            </w:tcBorders>
          </w:tcPr>
          <w:p w14:paraId="7FE1B49F" w14:textId="77777777" w:rsidR="00534D9A" w:rsidRDefault="003243B2">
            <w:pPr>
              <w:pStyle w:val="P68B1DB1-TableParagraph13"/>
              <w:spacing w:before="106"/>
              <w:ind w:left="-1"/>
              <w:rPr>
                <w:rFonts w:eastAsia="Cambria"/>
              </w:rPr>
            </w:pPr>
            <w:r>
              <w:t>0010</w:t>
            </w:r>
          </w:p>
        </w:tc>
        <w:tc>
          <w:tcPr>
            <w:tcW w:w="0" w:type="auto"/>
            <w:tcBorders>
              <w:top w:val="single" w:sz="4" w:space="0" w:color="1A171C"/>
              <w:left w:val="single" w:sz="4" w:space="0" w:color="1A171C"/>
              <w:bottom w:val="single" w:sz="4" w:space="0" w:color="1A171C"/>
              <w:right w:val="nil"/>
            </w:tcBorders>
            <w:vAlign w:val="center"/>
          </w:tcPr>
          <w:p w14:paraId="7FE1B4A0" w14:textId="77777777" w:rsidR="00534D9A" w:rsidRDefault="003243B2">
            <w:pPr>
              <w:pStyle w:val="P68B1DB1-TableParagraph14"/>
              <w:spacing w:before="108"/>
              <w:ind w:left="85"/>
              <w:jc w:val="both"/>
              <w:rPr>
                <w:bCs/>
              </w:rPr>
            </w:pPr>
            <w:r>
              <w:t xml:space="preserve">Isem </w:t>
            </w:r>
          </w:p>
          <w:p w14:paraId="7FE1B4A1" w14:textId="77777777" w:rsidR="00534D9A" w:rsidRDefault="003243B2">
            <w:pPr>
              <w:pStyle w:val="P68B1DB1-TableParagraph17"/>
              <w:spacing w:before="108"/>
              <w:ind w:left="85"/>
              <w:rPr>
                <w:rFonts w:eastAsia="Book Antiqua"/>
              </w:rPr>
            </w:pPr>
            <w:r>
              <w:t>L-isem sħiħ jew id-denominazzjoni tal-Investitur.</w:t>
            </w:r>
          </w:p>
        </w:tc>
      </w:tr>
      <w:tr w:rsidR="00534D9A" w14:paraId="7FE1B4AA" w14:textId="77777777">
        <w:tc>
          <w:tcPr>
            <w:tcW w:w="0" w:type="auto"/>
            <w:tcBorders>
              <w:top w:val="single" w:sz="4" w:space="0" w:color="1A171C"/>
              <w:left w:val="nil"/>
              <w:bottom w:val="single" w:sz="4" w:space="0" w:color="1A171C"/>
              <w:right w:val="single" w:sz="4" w:space="0" w:color="1A171C"/>
            </w:tcBorders>
          </w:tcPr>
          <w:p w14:paraId="7FE1B4A3" w14:textId="77777777" w:rsidR="00534D9A" w:rsidRDefault="003243B2">
            <w:pPr>
              <w:pStyle w:val="P68B1DB1-TableParagraph13"/>
              <w:spacing w:before="106"/>
              <w:ind w:left="-1"/>
            </w:pPr>
            <w:r>
              <w:t>0020</w:t>
            </w:r>
          </w:p>
        </w:tc>
        <w:tc>
          <w:tcPr>
            <w:tcW w:w="0" w:type="auto"/>
            <w:tcBorders>
              <w:top w:val="single" w:sz="4" w:space="0" w:color="1A171C"/>
              <w:left w:val="single" w:sz="4" w:space="0" w:color="1A171C"/>
              <w:bottom w:val="single" w:sz="4" w:space="0" w:color="1A171C"/>
              <w:right w:val="nil"/>
            </w:tcBorders>
            <w:vAlign w:val="center"/>
          </w:tcPr>
          <w:p w14:paraId="7FE1B4A4" w14:textId="77777777" w:rsidR="00534D9A" w:rsidRDefault="003243B2">
            <w:pPr>
              <w:pStyle w:val="P68B1DB1-TableParagraph14"/>
              <w:spacing w:before="108"/>
              <w:ind w:left="85"/>
              <w:jc w:val="both"/>
              <w:rPr>
                <w:bCs/>
              </w:rPr>
            </w:pPr>
            <w:r>
              <w:t xml:space="preserve">Numru </w:t>
            </w:r>
          </w:p>
          <w:p w14:paraId="7FE1B4A5" w14:textId="77777777" w:rsidR="00534D9A" w:rsidRDefault="003243B2">
            <w:pPr>
              <w:pStyle w:val="P68B1DB1-TableParagraph17"/>
              <w:spacing w:before="108"/>
              <w:ind w:left="85"/>
            </w:pPr>
            <w:r>
              <w:t>Identifikatur uniku tal-entità ġuridika jew tal-investitur imsemmi fil-kolonna 0010.</w:t>
            </w:r>
          </w:p>
          <w:p w14:paraId="7FE1B4A6" w14:textId="77777777" w:rsidR="00534D9A" w:rsidRDefault="003243B2">
            <w:pPr>
              <w:pStyle w:val="P68B1DB1-TableParagraph17"/>
              <w:spacing w:before="108"/>
              <w:ind w:left="85"/>
            </w:pPr>
            <w:r>
              <w:t>Meta l-investitor ikun entità fi grupp, il-kodiċi għandu jkun l-istess bħal dak rapportat fil-Mudell Z 01.01 (ORG 1). Meta l-investitur ma jkunx entità fi grupp, il-kodiċi għandu jkun:</w:t>
            </w:r>
          </w:p>
          <w:p w14:paraId="7FE1B4A7" w14:textId="77777777" w:rsidR="00534D9A" w:rsidRDefault="003243B2">
            <w:pPr>
              <w:pStyle w:val="P68B1DB1-TableParagraph17"/>
              <w:numPr>
                <w:ilvl w:val="0"/>
                <w:numId w:val="64"/>
              </w:numPr>
              <w:spacing w:before="108"/>
            </w:pPr>
            <w:r>
              <w:t>għall-istituzzjonijiet b’Identifikatur ta’ Entità Ġuridika (LEI), il-kodiċi alfanumeriku tal-LEI b’ 20 ċifri;</w:t>
            </w:r>
          </w:p>
          <w:p w14:paraId="7FE1B4A8" w14:textId="7457E21A" w:rsidR="00534D9A" w:rsidRDefault="003243B2">
            <w:pPr>
              <w:pStyle w:val="P68B1DB1-TableParagraph17"/>
              <w:numPr>
                <w:ilvl w:val="0"/>
                <w:numId w:val="64"/>
              </w:numPr>
              <w:spacing w:before="108"/>
            </w:pPr>
            <w:r>
              <w:t>jekk ma jkunx disponibbli, uża l-kodiċi MFI jew kodiċi b’kodifikazzjoni uniformi applikabbli fl-Unjoni.</w:t>
            </w:r>
          </w:p>
          <w:p w14:paraId="7FE1B4A9" w14:textId="77777777" w:rsidR="00534D9A" w:rsidRDefault="003243B2">
            <w:pPr>
              <w:pStyle w:val="P68B1DB1-TableParagraph17"/>
              <w:spacing w:before="108"/>
              <w:ind w:left="85"/>
            </w:pPr>
            <w:r>
              <w:t>Għaż-żewġ każijiet, il-kodiċi għandu jkun uniku u użat b’mod konsistenti fil-mudelli kollha.</w:t>
            </w:r>
          </w:p>
        </w:tc>
      </w:tr>
      <w:tr w:rsidR="00534D9A" w14:paraId="7FE1B4B3" w14:textId="77777777">
        <w:tc>
          <w:tcPr>
            <w:tcW w:w="0" w:type="auto"/>
            <w:tcBorders>
              <w:top w:val="single" w:sz="4" w:space="0" w:color="1A171C"/>
              <w:left w:val="nil"/>
              <w:bottom w:val="single" w:sz="4" w:space="0" w:color="1A171C"/>
              <w:right w:val="single" w:sz="4" w:space="0" w:color="1A171C"/>
            </w:tcBorders>
          </w:tcPr>
          <w:p w14:paraId="7FE1B4AB" w14:textId="77777777" w:rsidR="00534D9A" w:rsidRDefault="003243B2">
            <w:pPr>
              <w:pStyle w:val="P68B1DB1-TableParagraph13"/>
              <w:spacing w:before="106"/>
              <w:ind w:left="-1"/>
            </w:pPr>
            <w:r>
              <w:lastRenderedPageBreak/>
              <w:t>0030</w:t>
            </w:r>
          </w:p>
        </w:tc>
        <w:tc>
          <w:tcPr>
            <w:tcW w:w="0" w:type="auto"/>
            <w:tcBorders>
              <w:top w:val="single" w:sz="4" w:space="0" w:color="1A171C"/>
              <w:left w:val="single" w:sz="4" w:space="0" w:color="1A171C"/>
              <w:bottom w:val="single" w:sz="4" w:space="0" w:color="1A171C"/>
              <w:right w:val="nil"/>
            </w:tcBorders>
            <w:vAlign w:val="center"/>
          </w:tcPr>
          <w:p w14:paraId="7FE1B4AC" w14:textId="77777777" w:rsidR="00534D9A" w:rsidRDefault="003243B2">
            <w:pPr>
              <w:pStyle w:val="P68B1DB1-TableParagraph14"/>
              <w:spacing w:before="108"/>
              <w:ind w:left="85"/>
              <w:jc w:val="both"/>
              <w:rPr>
                <w:bCs/>
              </w:rPr>
            </w:pPr>
            <w:r>
              <w:t>Tip ta’ kodiċi</w:t>
            </w:r>
          </w:p>
          <w:p w14:paraId="560AED27" w14:textId="77777777" w:rsidR="00534D9A" w:rsidRDefault="003243B2">
            <w:pPr>
              <w:pStyle w:val="P68B1DB1-Normal18"/>
            </w:pPr>
            <w:r>
              <w:t xml:space="preserve">Meta l-investitor ikun entità fi grupp, il-kodiċi għandu jkun l-istess bħal dak rapportat fil-Mudell Z 01.01 (ORG 1). </w:t>
            </w:r>
          </w:p>
          <w:p w14:paraId="2DC78FBF" w14:textId="77777777" w:rsidR="00534D9A" w:rsidRDefault="00534D9A">
            <w:pPr>
              <w:rPr>
                <w:rFonts w:ascii="Times New Roman" w:hAnsi="Times New Roman" w:cs="Times New Roman"/>
                <w:sz w:val="20"/>
                <w:szCs w:val="20"/>
              </w:rPr>
            </w:pPr>
          </w:p>
          <w:p w14:paraId="3C91DA4D" w14:textId="535D128A" w:rsidR="00534D9A" w:rsidRDefault="003243B2">
            <w:pPr>
              <w:pStyle w:val="P68B1DB1-Normal19"/>
              <w:rPr>
                <w:rFonts w:eastAsiaTheme="minorHAnsi"/>
              </w:rPr>
            </w:pPr>
            <w:r>
              <w:t>Għandha tintgħażel fost l-għażliet li ġejjin: “Kodiċi LEI”, “kodiċi MFI” jew “Tip ta’ identifikatur, minbarra LEI jew kodiċi MFI”.</w:t>
            </w:r>
          </w:p>
          <w:p w14:paraId="7FE1B4B2" w14:textId="77777777" w:rsidR="00534D9A" w:rsidRDefault="003243B2">
            <w:pPr>
              <w:pStyle w:val="P68B1DB1-TableParagraph17"/>
              <w:spacing w:before="108"/>
            </w:pPr>
            <w:r>
              <w:t>Għall-identifikazzjoni ta’ entitajiet jew investituri, il-par ta’ Kodiċi u Tip għandhom jintużaw b’mod konsistenti fil-formoli kollha.</w:t>
            </w:r>
          </w:p>
        </w:tc>
      </w:tr>
      <w:tr w:rsidR="00534D9A" w14:paraId="7FE1B4B6" w14:textId="77777777">
        <w:tc>
          <w:tcPr>
            <w:tcW w:w="0" w:type="auto"/>
            <w:tcBorders>
              <w:top w:val="single" w:sz="4" w:space="0" w:color="1A171C"/>
              <w:left w:val="nil"/>
              <w:bottom w:val="single" w:sz="4" w:space="0" w:color="1A171C"/>
              <w:right w:val="single" w:sz="4" w:space="0" w:color="1A171C"/>
            </w:tcBorders>
          </w:tcPr>
          <w:p w14:paraId="7FE1B4B4" w14:textId="106DD83A" w:rsidR="00534D9A" w:rsidRDefault="003243B2">
            <w:pPr>
              <w:pStyle w:val="P68B1DB1-TableParagraph13"/>
              <w:spacing w:before="106"/>
              <w:ind w:left="-1"/>
            </w:pPr>
            <w:r>
              <w:t>0040–070</w:t>
            </w:r>
          </w:p>
        </w:tc>
        <w:tc>
          <w:tcPr>
            <w:tcW w:w="0" w:type="auto"/>
            <w:tcBorders>
              <w:top w:val="single" w:sz="4" w:space="0" w:color="1A171C"/>
              <w:left w:val="single" w:sz="4" w:space="0" w:color="1A171C"/>
              <w:bottom w:val="single" w:sz="4" w:space="0" w:color="1A171C"/>
              <w:right w:val="nil"/>
            </w:tcBorders>
            <w:vAlign w:val="center"/>
          </w:tcPr>
          <w:p w14:paraId="7FE1B4B5" w14:textId="77777777" w:rsidR="00534D9A" w:rsidRDefault="003243B2">
            <w:pPr>
              <w:pStyle w:val="P68B1DB1-TableParagraph14"/>
              <w:spacing w:before="108"/>
              <w:ind w:left="85"/>
              <w:jc w:val="both"/>
              <w:rPr>
                <w:bCs/>
              </w:rPr>
            </w:pPr>
            <w:r>
              <w:t>Destinatarja ta’ investiment</w:t>
            </w:r>
          </w:p>
        </w:tc>
      </w:tr>
      <w:tr w:rsidR="00534D9A" w14:paraId="7FE1B4BA" w14:textId="77777777">
        <w:tc>
          <w:tcPr>
            <w:tcW w:w="0" w:type="auto"/>
            <w:tcBorders>
              <w:top w:val="single" w:sz="4" w:space="0" w:color="1A171C"/>
              <w:left w:val="nil"/>
              <w:bottom w:val="single" w:sz="4" w:space="0" w:color="1A171C"/>
              <w:right w:val="single" w:sz="4" w:space="0" w:color="1A171C"/>
            </w:tcBorders>
          </w:tcPr>
          <w:p w14:paraId="7FE1B4B7" w14:textId="610CD32E" w:rsidR="00534D9A" w:rsidRDefault="003243B2">
            <w:pPr>
              <w:pStyle w:val="P68B1DB1-TableParagraph13"/>
              <w:spacing w:before="106"/>
              <w:ind w:left="-1"/>
            </w:pPr>
            <w:r>
              <w:t>0040</w:t>
            </w:r>
          </w:p>
        </w:tc>
        <w:tc>
          <w:tcPr>
            <w:tcW w:w="0" w:type="auto"/>
            <w:tcBorders>
              <w:top w:val="single" w:sz="4" w:space="0" w:color="1A171C"/>
              <w:left w:val="single" w:sz="4" w:space="0" w:color="1A171C"/>
              <w:bottom w:val="single" w:sz="4" w:space="0" w:color="1A171C"/>
              <w:right w:val="nil"/>
            </w:tcBorders>
            <w:vAlign w:val="center"/>
          </w:tcPr>
          <w:p w14:paraId="7FE1B4B8" w14:textId="77777777" w:rsidR="00534D9A" w:rsidRDefault="003243B2">
            <w:pPr>
              <w:pStyle w:val="P68B1DB1-TableParagraph14"/>
              <w:spacing w:before="108"/>
              <w:ind w:left="85"/>
              <w:jc w:val="both"/>
              <w:rPr>
                <w:bCs/>
              </w:rPr>
            </w:pPr>
            <w:r>
              <w:t xml:space="preserve">Isem </w:t>
            </w:r>
          </w:p>
          <w:p w14:paraId="7FE1B4B9" w14:textId="77777777" w:rsidR="00534D9A" w:rsidRDefault="003243B2">
            <w:pPr>
              <w:pStyle w:val="P68B1DB1-TableParagraph13"/>
              <w:spacing w:before="108"/>
              <w:ind w:left="85"/>
              <w:jc w:val="both"/>
              <w:rPr>
                <w:bCs/>
              </w:rPr>
            </w:pPr>
            <w:r>
              <w:t>L-isem sħiħ jew id-deżinjazzjoni tad-Detentur tal-Investituri.</w:t>
            </w:r>
          </w:p>
        </w:tc>
      </w:tr>
      <w:tr w:rsidR="00534D9A" w14:paraId="7FE1B4C2" w14:textId="77777777">
        <w:tc>
          <w:tcPr>
            <w:tcW w:w="0" w:type="auto"/>
            <w:tcBorders>
              <w:top w:val="single" w:sz="4" w:space="0" w:color="1A171C"/>
              <w:left w:val="nil"/>
              <w:bottom w:val="single" w:sz="4" w:space="0" w:color="1A171C"/>
              <w:right w:val="single" w:sz="4" w:space="0" w:color="1A171C"/>
            </w:tcBorders>
          </w:tcPr>
          <w:p w14:paraId="7FE1B4BB" w14:textId="440E68B2" w:rsidR="00534D9A" w:rsidRDefault="003243B2">
            <w:pPr>
              <w:pStyle w:val="P68B1DB1-TableParagraph13"/>
              <w:spacing w:before="106"/>
              <w:ind w:left="-1"/>
            </w:pPr>
            <w:r>
              <w:t>0050</w:t>
            </w:r>
          </w:p>
        </w:tc>
        <w:tc>
          <w:tcPr>
            <w:tcW w:w="0" w:type="auto"/>
            <w:tcBorders>
              <w:top w:val="single" w:sz="4" w:space="0" w:color="1A171C"/>
              <w:left w:val="single" w:sz="4" w:space="0" w:color="1A171C"/>
              <w:bottom w:val="single" w:sz="4" w:space="0" w:color="1A171C"/>
              <w:right w:val="nil"/>
            </w:tcBorders>
            <w:vAlign w:val="center"/>
          </w:tcPr>
          <w:p w14:paraId="7FE1B4BC" w14:textId="77777777" w:rsidR="00534D9A" w:rsidRDefault="003243B2">
            <w:pPr>
              <w:pStyle w:val="P68B1DB1-TableParagraph14"/>
              <w:spacing w:before="108"/>
              <w:ind w:left="85"/>
              <w:jc w:val="both"/>
              <w:rPr>
                <w:bCs/>
              </w:rPr>
            </w:pPr>
            <w:r>
              <w:t xml:space="preserve">Numru </w:t>
            </w:r>
          </w:p>
          <w:p w14:paraId="7FE1B4BD" w14:textId="77777777" w:rsidR="00534D9A" w:rsidRDefault="003243B2">
            <w:pPr>
              <w:pStyle w:val="P68B1DB1-TableParagraph13"/>
              <w:spacing w:before="108"/>
              <w:ind w:left="85"/>
              <w:jc w:val="both"/>
              <w:rPr>
                <w:bCs/>
              </w:rPr>
            </w:pPr>
            <w:r>
              <w:t>Identifikatur uniku tal-entità ġuridika jew tal-investitur imsemmi fil-kolonna 0010.</w:t>
            </w:r>
          </w:p>
          <w:p w14:paraId="7FE1B4BE" w14:textId="77777777" w:rsidR="00534D9A" w:rsidRDefault="003243B2">
            <w:pPr>
              <w:pStyle w:val="P68B1DB1-TableParagraph13"/>
              <w:spacing w:before="108"/>
              <w:ind w:left="85"/>
              <w:jc w:val="both"/>
              <w:rPr>
                <w:bCs/>
              </w:rPr>
            </w:pPr>
            <w:r>
              <w:t>Meta l-investitor ikun entità fi grupp, il-kodiċi għandu jkun l-istess bħal dak rapportat fil-Mudell Z 01.01 (ORG 1). Meta d-destinatarja ta’ investiment ma tkunx entità fi grupp, il-kodiċi għandu jkun:</w:t>
            </w:r>
          </w:p>
          <w:p w14:paraId="4B3351AF" w14:textId="77777777" w:rsidR="00534D9A" w:rsidRDefault="003243B2">
            <w:pPr>
              <w:pStyle w:val="P68B1DB1-TableParagraph13"/>
              <w:numPr>
                <w:ilvl w:val="0"/>
                <w:numId w:val="64"/>
              </w:numPr>
              <w:spacing w:before="108"/>
              <w:rPr>
                <w:bCs/>
              </w:rPr>
            </w:pPr>
            <w:r>
              <w:t>għall-istituzzjonijiet b’Identifikatur ta’ Entità Ġuridika (LEI), il-kodiċi alfanumeriku tal-LEI b’ 20 ċifri;</w:t>
            </w:r>
          </w:p>
          <w:p w14:paraId="7FE1B4C0" w14:textId="1326FF82" w:rsidR="00534D9A" w:rsidRDefault="003243B2">
            <w:pPr>
              <w:pStyle w:val="P68B1DB1-TableParagraph13"/>
              <w:numPr>
                <w:ilvl w:val="0"/>
                <w:numId w:val="64"/>
              </w:numPr>
              <w:spacing w:before="108"/>
              <w:rPr>
                <w:bCs/>
              </w:rPr>
            </w:pPr>
            <w:r>
              <w:t>—</w:t>
            </w:r>
            <w:r>
              <w:tab/>
              <w:t>jekk ma jkunx disponibbli, uża l-kodiċi MFI jew kodiċi b’kodifikazzjoni uniformi applikabbli fl-Unjoni.</w:t>
            </w:r>
          </w:p>
          <w:p w14:paraId="7FE1B4C1" w14:textId="77777777" w:rsidR="00534D9A" w:rsidRDefault="003243B2">
            <w:pPr>
              <w:pStyle w:val="P68B1DB1-TableParagraph13"/>
              <w:spacing w:before="108"/>
              <w:ind w:left="85"/>
              <w:jc w:val="both"/>
              <w:rPr>
                <w:b/>
                <w:bCs/>
              </w:rPr>
            </w:pPr>
            <w:r>
              <w:t>Għaż-żewġ każijiet, il-kodiċi għandu jkun uniku u użat b’mod konsistenti fil-mudelli kollha.</w:t>
            </w:r>
          </w:p>
        </w:tc>
      </w:tr>
      <w:tr w:rsidR="00534D9A" w14:paraId="7FE1B4CC" w14:textId="77777777">
        <w:tc>
          <w:tcPr>
            <w:tcW w:w="0" w:type="auto"/>
            <w:tcBorders>
              <w:top w:val="single" w:sz="4" w:space="0" w:color="1A171C"/>
              <w:left w:val="nil"/>
              <w:bottom w:val="single" w:sz="4" w:space="0" w:color="1A171C"/>
              <w:right w:val="single" w:sz="4" w:space="0" w:color="1A171C"/>
            </w:tcBorders>
          </w:tcPr>
          <w:p w14:paraId="7FE1B4C3" w14:textId="5A24D200" w:rsidR="00534D9A" w:rsidRDefault="003243B2">
            <w:pPr>
              <w:pStyle w:val="P68B1DB1-TableParagraph13"/>
              <w:spacing w:before="106"/>
              <w:ind w:left="-1"/>
            </w:pPr>
            <w:r>
              <w:t>0060</w:t>
            </w:r>
          </w:p>
        </w:tc>
        <w:tc>
          <w:tcPr>
            <w:tcW w:w="0" w:type="auto"/>
            <w:tcBorders>
              <w:top w:val="single" w:sz="4" w:space="0" w:color="1A171C"/>
              <w:left w:val="single" w:sz="4" w:space="0" w:color="1A171C"/>
              <w:bottom w:val="single" w:sz="4" w:space="0" w:color="1A171C"/>
              <w:right w:val="nil"/>
            </w:tcBorders>
            <w:vAlign w:val="center"/>
          </w:tcPr>
          <w:p w14:paraId="7FE1B4C4" w14:textId="77777777" w:rsidR="00534D9A" w:rsidRDefault="003243B2">
            <w:pPr>
              <w:pStyle w:val="P68B1DB1-TableParagraph14"/>
              <w:spacing w:before="108"/>
              <w:ind w:left="85"/>
              <w:jc w:val="both"/>
              <w:rPr>
                <w:bCs/>
              </w:rPr>
            </w:pPr>
            <w:r>
              <w:t>Tip ta’ kodiċi</w:t>
            </w:r>
          </w:p>
          <w:p w14:paraId="7FE1B4C5" w14:textId="77777777" w:rsidR="00534D9A" w:rsidRDefault="003243B2">
            <w:pPr>
              <w:pStyle w:val="P68B1DB1-TableParagraph13"/>
              <w:spacing w:before="108"/>
              <w:ind w:left="85"/>
              <w:jc w:val="both"/>
              <w:rPr>
                <w:bCs/>
              </w:rPr>
            </w:pPr>
            <w:r>
              <w:t xml:space="preserve">Meta l-investitor ikun entità fi grupp, il-kodiċi għandu jkun l-istess bħal dak rapportat fil-Mudell Z 01.01 (ORG 1). </w:t>
            </w:r>
          </w:p>
          <w:p w14:paraId="783CEC76" w14:textId="13C64C21" w:rsidR="00534D9A" w:rsidRDefault="003243B2">
            <w:pPr>
              <w:pStyle w:val="P68B1DB1-TableParagraph13"/>
              <w:spacing w:before="108"/>
              <w:ind w:left="85"/>
              <w:jc w:val="both"/>
              <w:rPr>
                <w:bCs/>
              </w:rPr>
            </w:pPr>
            <w:r>
              <w:t>Għandha tintgħażel fost l-għażliet li ġejjin: “Kodiċi LEI”, “kodiċi MFI” jew “Tip ta’ identifikatur, minbarra LEI jew kodiċi MFI”.</w:t>
            </w:r>
          </w:p>
          <w:p w14:paraId="7FE1B4CA" w14:textId="092DA599" w:rsidR="00534D9A" w:rsidRDefault="003243B2">
            <w:pPr>
              <w:pStyle w:val="P68B1DB1-TableParagraph17"/>
              <w:spacing w:before="108"/>
            </w:pPr>
            <w:r>
              <w:t>It-tip tal-kodiċi għandu jiġi rapportat dejjem.</w:t>
            </w:r>
          </w:p>
          <w:p w14:paraId="7FE1B4CB" w14:textId="77777777" w:rsidR="00534D9A" w:rsidRDefault="003243B2">
            <w:pPr>
              <w:pStyle w:val="P68B1DB1-TableParagraph13"/>
              <w:spacing w:before="108"/>
              <w:ind w:left="85"/>
              <w:rPr>
                <w:b/>
                <w:bCs/>
              </w:rPr>
            </w:pPr>
            <w:r>
              <w:t>Għall-identifikazzjoni ta’ entitajiet jew destinatarji ta’ investiment, il-par Kodiċi u Tip għandhom jintużaw b’mod konsistenti fil-mudelli kollha.</w:t>
            </w:r>
          </w:p>
        </w:tc>
      </w:tr>
      <w:tr w:rsidR="00534D9A" w14:paraId="7FE1B4D2" w14:textId="77777777">
        <w:tc>
          <w:tcPr>
            <w:tcW w:w="0" w:type="auto"/>
            <w:tcBorders>
              <w:top w:val="single" w:sz="4" w:space="0" w:color="1A171C"/>
              <w:left w:val="nil"/>
              <w:bottom w:val="single" w:sz="4" w:space="0" w:color="1A171C"/>
              <w:right w:val="single" w:sz="4" w:space="0" w:color="1A171C"/>
            </w:tcBorders>
          </w:tcPr>
          <w:p w14:paraId="7FE1B4CD" w14:textId="77777777" w:rsidR="00534D9A" w:rsidRDefault="003243B2">
            <w:pPr>
              <w:pStyle w:val="P68B1DB1-TableParagraph13"/>
              <w:spacing w:before="106"/>
              <w:ind w:left="-1"/>
            </w:pPr>
            <w:r>
              <w:t>0070</w:t>
            </w:r>
          </w:p>
        </w:tc>
        <w:tc>
          <w:tcPr>
            <w:tcW w:w="0" w:type="auto"/>
            <w:tcBorders>
              <w:top w:val="single" w:sz="4" w:space="0" w:color="1A171C"/>
              <w:left w:val="single" w:sz="4" w:space="0" w:color="1A171C"/>
              <w:bottom w:val="single" w:sz="4" w:space="0" w:color="1A171C"/>
              <w:right w:val="nil"/>
            </w:tcBorders>
            <w:vAlign w:val="center"/>
          </w:tcPr>
          <w:p w14:paraId="7FE1B4CE" w14:textId="77777777" w:rsidR="00534D9A" w:rsidRDefault="003243B2">
            <w:pPr>
              <w:pStyle w:val="P68B1DB1-TableParagraph14"/>
              <w:spacing w:before="108"/>
              <w:ind w:left="85"/>
            </w:pPr>
            <w:r>
              <w:t>Fergħa Internazzjonali</w:t>
            </w:r>
          </w:p>
          <w:p w14:paraId="7FE1B4CF" w14:textId="77777777" w:rsidR="00534D9A" w:rsidRDefault="003243B2">
            <w:pPr>
              <w:pStyle w:val="P68B1DB1-TableParagraph13"/>
              <w:spacing w:before="108"/>
              <w:ind w:left="85"/>
              <w:jc w:val="both"/>
            </w:pPr>
            <w:r>
              <w:t>Irrapporta l-abbrevjazzjonijiet li ġejjin:</w:t>
            </w:r>
          </w:p>
          <w:p w14:paraId="7FE1B4D0" w14:textId="0F2F9A3D" w:rsidR="00534D9A" w:rsidRDefault="003243B2">
            <w:pPr>
              <w:pStyle w:val="P68B1DB1-TableParagraph13"/>
              <w:spacing w:before="108"/>
              <w:ind w:left="85"/>
              <w:jc w:val="both"/>
            </w:pPr>
            <w:r>
              <w:t>Iva — fil-każ li d-destinatarja ta’ investiment tkun fergħa internazzjonali tal-Investitur.</w:t>
            </w:r>
          </w:p>
          <w:p w14:paraId="7FE1B4D1" w14:textId="303CCEBB" w:rsidR="00534D9A" w:rsidRDefault="003243B2">
            <w:pPr>
              <w:pStyle w:val="P68B1DB1-TableParagraph13"/>
              <w:spacing w:before="108"/>
              <w:ind w:left="85"/>
              <w:jc w:val="both"/>
              <w:rPr>
                <w:b/>
                <w:bCs/>
              </w:rPr>
            </w:pPr>
            <w:r>
              <w:t>Le — fil-każ ta’ entità ġuridika.</w:t>
            </w:r>
          </w:p>
        </w:tc>
      </w:tr>
      <w:tr w:rsidR="00534D9A" w14:paraId="7FE1B4D5" w14:textId="77777777">
        <w:tc>
          <w:tcPr>
            <w:tcW w:w="0" w:type="auto"/>
            <w:tcBorders>
              <w:top w:val="single" w:sz="4" w:space="0" w:color="1A171C"/>
              <w:left w:val="nil"/>
              <w:bottom w:val="single" w:sz="4" w:space="0" w:color="1A171C"/>
              <w:right w:val="single" w:sz="4" w:space="0" w:color="1A171C"/>
            </w:tcBorders>
          </w:tcPr>
          <w:p w14:paraId="7FE1B4D3" w14:textId="44267444" w:rsidR="00534D9A" w:rsidRDefault="003243B2">
            <w:pPr>
              <w:pStyle w:val="P68B1DB1-TableParagraph13"/>
              <w:spacing w:before="106"/>
              <w:ind w:left="-1"/>
            </w:pPr>
            <w:r>
              <w:t>0080–090</w:t>
            </w:r>
          </w:p>
        </w:tc>
        <w:tc>
          <w:tcPr>
            <w:tcW w:w="0" w:type="auto"/>
            <w:tcBorders>
              <w:top w:val="single" w:sz="4" w:space="0" w:color="1A171C"/>
              <w:left w:val="single" w:sz="4" w:space="0" w:color="1A171C"/>
              <w:bottom w:val="single" w:sz="4" w:space="0" w:color="1A171C"/>
              <w:right w:val="nil"/>
            </w:tcBorders>
            <w:vAlign w:val="center"/>
          </w:tcPr>
          <w:p w14:paraId="7FE1B4D4" w14:textId="77777777" w:rsidR="00534D9A" w:rsidRDefault="003243B2">
            <w:pPr>
              <w:pStyle w:val="P68B1DB1-TableParagraph14"/>
              <w:spacing w:before="108"/>
              <w:ind w:left="85"/>
              <w:jc w:val="both"/>
              <w:rPr>
                <w:bCs/>
              </w:rPr>
            </w:pPr>
            <w:r>
              <w:t>Dritt ta’ proprjetà</w:t>
            </w:r>
          </w:p>
        </w:tc>
      </w:tr>
      <w:tr w:rsidR="00534D9A" w14:paraId="7FE1B4D9" w14:textId="77777777">
        <w:tc>
          <w:tcPr>
            <w:tcW w:w="0" w:type="auto"/>
            <w:tcBorders>
              <w:top w:val="single" w:sz="4" w:space="0" w:color="1A171C"/>
              <w:left w:val="nil"/>
              <w:bottom w:val="single" w:sz="4" w:space="0" w:color="1A171C"/>
              <w:right w:val="single" w:sz="4" w:space="0" w:color="1A171C"/>
            </w:tcBorders>
          </w:tcPr>
          <w:p w14:paraId="7FE1B4D6" w14:textId="124739DC" w:rsidR="00534D9A" w:rsidRDefault="003243B2">
            <w:pPr>
              <w:pStyle w:val="P68B1DB1-TableParagraph13"/>
              <w:spacing w:before="106"/>
              <w:ind w:left="-1"/>
            </w:pPr>
            <w:r>
              <w:t>0080</w:t>
            </w:r>
          </w:p>
        </w:tc>
        <w:tc>
          <w:tcPr>
            <w:tcW w:w="0" w:type="auto"/>
            <w:tcBorders>
              <w:top w:val="single" w:sz="4" w:space="0" w:color="1A171C"/>
              <w:left w:val="single" w:sz="4" w:space="0" w:color="1A171C"/>
              <w:bottom w:val="single" w:sz="4" w:space="0" w:color="1A171C"/>
              <w:right w:val="nil"/>
            </w:tcBorders>
          </w:tcPr>
          <w:p w14:paraId="7FE1B4D7" w14:textId="77777777" w:rsidR="00534D9A" w:rsidRDefault="003243B2">
            <w:pPr>
              <w:pStyle w:val="P68B1DB1-TableParagraph14"/>
              <w:spacing w:before="108"/>
              <w:ind w:left="85"/>
              <w:jc w:val="both"/>
            </w:pPr>
            <w:r>
              <w:t>Kapital tal-ishma</w:t>
            </w:r>
          </w:p>
          <w:p w14:paraId="7FE1B4D8" w14:textId="77777777" w:rsidR="00534D9A" w:rsidRDefault="003243B2">
            <w:pPr>
              <w:pStyle w:val="P68B1DB1-TableParagraph17"/>
              <w:spacing w:before="108"/>
              <w:ind w:left="85"/>
              <w:jc w:val="both"/>
            </w:pPr>
            <w:r>
              <w:t>L-ammont ta’ kapital azzjonarju miżmum mill-Investitur, esklużi r-riżervi. Fil-każ ta’ fergħa internazzjonali, il-kaxxa għandha tkun vojta.</w:t>
            </w:r>
          </w:p>
        </w:tc>
      </w:tr>
      <w:tr w:rsidR="00534D9A" w14:paraId="7FE1B4DD" w14:textId="77777777">
        <w:tc>
          <w:tcPr>
            <w:tcW w:w="0" w:type="auto"/>
            <w:tcBorders>
              <w:top w:val="single" w:sz="4" w:space="0" w:color="1A171C"/>
              <w:left w:val="nil"/>
              <w:bottom w:val="single" w:sz="4" w:space="0" w:color="1A171C"/>
              <w:right w:val="single" w:sz="4" w:space="0" w:color="1A171C"/>
            </w:tcBorders>
          </w:tcPr>
          <w:p w14:paraId="7FE1B4DA" w14:textId="518368A4" w:rsidR="00534D9A" w:rsidRDefault="003243B2">
            <w:pPr>
              <w:pStyle w:val="P68B1DB1-TableParagraph13"/>
              <w:spacing w:before="106"/>
              <w:ind w:left="-1"/>
            </w:pPr>
            <w:r>
              <w:t>0090</w:t>
            </w:r>
          </w:p>
        </w:tc>
        <w:tc>
          <w:tcPr>
            <w:tcW w:w="0" w:type="auto"/>
            <w:tcBorders>
              <w:top w:val="single" w:sz="4" w:space="0" w:color="1A171C"/>
              <w:left w:val="single" w:sz="4" w:space="0" w:color="1A171C"/>
              <w:bottom w:val="single" w:sz="4" w:space="0" w:color="1A171C"/>
              <w:right w:val="nil"/>
            </w:tcBorders>
          </w:tcPr>
          <w:p w14:paraId="7FE1B4DB" w14:textId="77777777" w:rsidR="00534D9A" w:rsidRDefault="003243B2">
            <w:pPr>
              <w:pStyle w:val="P68B1DB1-TableParagraph14"/>
              <w:spacing w:before="108"/>
              <w:ind w:left="85"/>
              <w:rPr>
                <w:rFonts w:eastAsia="Book Antiqua"/>
              </w:rPr>
            </w:pPr>
            <w:r>
              <w:t>Drittijiet tal-vot fl-Entità</w:t>
            </w:r>
          </w:p>
          <w:p w14:paraId="7FE1B4DC" w14:textId="77777777" w:rsidR="00534D9A" w:rsidRDefault="003243B2">
            <w:pPr>
              <w:pStyle w:val="P68B1DB1-TableParagraph17"/>
              <w:spacing w:before="108"/>
              <w:ind w:left="85"/>
              <w:jc w:val="both"/>
              <w:rPr>
                <w:b/>
              </w:rPr>
            </w:pPr>
            <w:r>
              <w:t>Perċentwal tad-drittijiet tal-vot miżmuma mill-Investitur. Din l-informazzjoni hija meħtieġa biss jekk sehem wieħed ma jkunx ugwali għal vot wieħed (u b’hekk id-drittijiet tal-vot ma jkunux ugwali għall-</w:t>
            </w:r>
            <w:r>
              <w:lastRenderedPageBreak/>
              <w:t>kapital tal-ishma). Fil-każ ta’ fergħa internazzjonali, il-kaxxa għandha tkun vojta.</w:t>
            </w:r>
          </w:p>
        </w:tc>
      </w:tr>
    </w:tbl>
    <w:p w14:paraId="7FE1B4DE" w14:textId="77777777" w:rsidR="00534D9A" w:rsidRDefault="00534D9A">
      <w:pPr>
        <w:rPr>
          <w:rFonts w:ascii="Times New Roman" w:hAnsi="Times New Roman" w:cs="Times New Roman"/>
        </w:rPr>
      </w:pPr>
    </w:p>
    <w:p w14:paraId="7FE1B4DF" w14:textId="77777777" w:rsidR="00534D9A" w:rsidRDefault="00534D9A">
      <w:pPr>
        <w:rPr>
          <w:rFonts w:ascii="Times New Roman" w:hAnsi="Times New Roman" w:cs="Times New Roman"/>
        </w:rPr>
      </w:pPr>
    </w:p>
    <w:p w14:paraId="7FE1B4E1" w14:textId="77777777" w:rsidR="00534D9A" w:rsidRDefault="003243B2">
      <w:pPr>
        <w:pStyle w:val="P68B1DB1-Instructionsberschrift25"/>
        <w:numPr>
          <w:ilvl w:val="1"/>
          <w:numId w:val="49"/>
        </w:numPr>
        <w:ind w:left="357" w:hanging="357"/>
      </w:pPr>
      <w:bookmarkStart w:id="24" w:name="_Toc80891720"/>
      <w:bookmarkStart w:id="25" w:name="_Toc81454179"/>
      <w:bookmarkStart w:id="26" w:name="_Toc81485494"/>
      <w:bookmarkStart w:id="27" w:name="_Toc81485571"/>
      <w:bookmarkStart w:id="28" w:name="_Toc81485692"/>
      <w:bookmarkStart w:id="29" w:name="_Toc81485976"/>
      <w:bookmarkStart w:id="30" w:name="_Toc160027976"/>
      <w:bookmarkStart w:id="31" w:name="_Toc160028048"/>
      <w:bookmarkStart w:id="32" w:name="_Toc160028120"/>
      <w:bookmarkStart w:id="33" w:name="_Toc161034536"/>
      <w:bookmarkStart w:id="34" w:name="_Toc162265133"/>
      <w:bookmarkStart w:id="35" w:name="_Toc162265658"/>
      <w:bookmarkStart w:id="36" w:name="_Toc162265727"/>
      <w:bookmarkStart w:id="37" w:name="_Toc162266072"/>
      <w:bookmarkStart w:id="38" w:name="_Toc163639533"/>
      <w:bookmarkStart w:id="39" w:name="_Toc164263618"/>
      <w:bookmarkStart w:id="40" w:name="_Toc164263705"/>
      <w:bookmarkStart w:id="41" w:name="_Toc164263779"/>
      <w:bookmarkStart w:id="42" w:name="_Toc164263833"/>
      <w:bookmarkStart w:id="43" w:name="_Toc164271331"/>
      <w:bookmarkStart w:id="44" w:name="_Toc164271383"/>
      <w:bookmarkStart w:id="45" w:name="_Toc167799447"/>
      <w:bookmarkStart w:id="46" w:name="_Toc172723003"/>
      <w:bookmarkStart w:id="47" w:name="_Toc172723101"/>
      <w:bookmarkStart w:id="48" w:name="_Toc172723197"/>
      <w:bookmarkStart w:id="49" w:name="_Toc172723341"/>
      <w:bookmarkStart w:id="50" w:name="_Toc172723393"/>
      <w:bookmarkStart w:id="51" w:name="_Toc172723451"/>
      <w:bookmarkStart w:id="52" w:name="_Toc172723518"/>
      <w:bookmarkStart w:id="53" w:name="_Toc184218411"/>
      <w:bookmarkStart w:id="54" w:name="_Toc492542322"/>
      <w:bookmarkStart w:id="55" w:name="_Toc81454180"/>
      <w:bookmarkStart w:id="56" w:name="_Toc20824499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t>Z 02.00 — Struttura tal-Obbligazzjonijiet (LIAB 1)</w:t>
      </w:r>
      <w:bookmarkEnd w:id="54"/>
      <w:bookmarkEnd w:id="55"/>
      <w:bookmarkEnd w:id="56"/>
    </w:p>
    <w:p w14:paraId="7FE1B4E2" w14:textId="77777777" w:rsidR="00534D9A" w:rsidRDefault="003243B2">
      <w:pPr>
        <w:pStyle w:val="Instructionsberschrift3"/>
      </w:pPr>
      <w:r>
        <w:t>Kummenti ġenerali</w:t>
      </w:r>
    </w:p>
    <w:p w14:paraId="7FE1B4E3" w14:textId="190D578F" w:rsidR="00534D9A" w:rsidRDefault="003243B2">
      <w:pPr>
        <w:pStyle w:val="P68B1DB1-InstructionsText26"/>
        <w:numPr>
          <w:ilvl w:val="0"/>
          <w:numId w:val="233"/>
        </w:numPr>
        <w:spacing w:before="0"/>
      </w:pPr>
      <w:r>
        <w:t>Dan il-mudell jirrikjedi informazzjoni granulari dwar l-istruttura tal-obbligazzjonijiet tal-entità jew tal-grupp. L-obbligazzjonijiet jinqasmu skont l-obbligazzjonijiet esklużi mir-rikapitalizzazzjoni u l-obbligazzjonijiet mhux esklużi mir-rikapitalizzazzjoni. Jiġu pprovduti aktar diżaggregazzjonijiet skont il-kategoriji ta’ obbligazzjoni, kontroparti u maturità residwa.</w:t>
      </w:r>
    </w:p>
    <w:p w14:paraId="7FE1B4E4" w14:textId="77777777" w:rsidR="00534D9A" w:rsidRDefault="003243B2">
      <w:pPr>
        <w:pStyle w:val="P68B1DB1-InstructionsText26"/>
        <w:numPr>
          <w:ilvl w:val="0"/>
          <w:numId w:val="233"/>
        </w:numPr>
        <w:spacing w:before="0"/>
      </w:pPr>
      <w:r>
        <w:t>Fejn tkun stabbilita klassifikazzjoni tal-maturità f’dan il-mudell, il-maturità residwa għandha tkun iż-żmien sal-maturità kuntrattwali. B’deroga minn dan:</w:t>
      </w:r>
    </w:p>
    <w:p w14:paraId="7FE1B4E5" w14:textId="77777777" w:rsidR="00534D9A" w:rsidRDefault="003243B2">
      <w:pPr>
        <w:pStyle w:val="P68B1DB1-InstructionsText26"/>
        <w:numPr>
          <w:ilvl w:val="1"/>
          <w:numId w:val="233"/>
        </w:numPr>
        <w:spacing w:before="0"/>
      </w:pPr>
      <w:r>
        <w:t>meta strument tal-obbligazzjonijiet jinkludi għażla ta’ tifdija għad-detentur eżerċitabbli qabel il-maturità oriġinali dikjarata tal-istrument, il-maturità tal-istrument għandha tiġi ddefinita bħala l-iktar data kmieni possibbli li fiha d-detentur jista’ jeżerċita l-għażla ta’ tifdija u jitlob it-tifdija jew il-ħlas lura tal-istrument;</w:t>
      </w:r>
    </w:p>
    <w:p w14:paraId="7FE1B4E6" w14:textId="77777777" w:rsidR="00534D9A" w:rsidRDefault="003243B2">
      <w:pPr>
        <w:pStyle w:val="P68B1DB1-InstructionsText26"/>
        <w:numPr>
          <w:ilvl w:val="1"/>
          <w:numId w:val="233"/>
        </w:numPr>
        <w:spacing w:before="0"/>
      </w:pPr>
      <w:r>
        <w:t>meta strument tal-obbligazzjonijiet jinkludi inċentiv għall-emittent sabiex jitlob, jifdi, iħallas lura jew jixtri mill-ġdid l-istrument qabel il-maturità oriġinali dikjarata tal-istrument, il-maturità tal-istrument għandha tkun l-aktar data kmieni possibbli li fiha l-emittent jista’ jeżerċita dik l-għażla u jitlob it-tifdija jew il-ħlas lura tal-istrument;</w:t>
      </w:r>
    </w:p>
    <w:p w14:paraId="7FE1B4E8" w14:textId="77777777" w:rsidR="00534D9A" w:rsidRDefault="003243B2">
      <w:pPr>
        <w:pStyle w:val="P68B1DB1-InstructionsText26"/>
        <w:numPr>
          <w:ilvl w:val="0"/>
          <w:numId w:val="233"/>
        </w:numPr>
        <w:spacing w:before="0"/>
      </w:pPr>
      <w:r>
        <w:t>Fil-każ ta’ pagamenti interim tal-kapital, il-kapital għandu jinqasam u jiġi allokat fit-taqsimiet tal-maturità korrispondenti. Fejn applikabbli, il-maturità għandha titqies separatament kemm għall-ammont ta’ kapital kif ukoll għall-imgħax dovut.</w:t>
      </w:r>
    </w:p>
    <w:p w14:paraId="7FE1B4E9" w14:textId="7225004D" w:rsidR="00534D9A" w:rsidRDefault="003243B2">
      <w:pPr>
        <w:pStyle w:val="P68B1DB1-InstructionsText26"/>
        <w:numPr>
          <w:ilvl w:val="0"/>
          <w:numId w:val="233"/>
        </w:numPr>
        <w:spacing w:before="0"/>
      </w:pPr>
      <w:r>
        <w:t>F’xi każijiet speċifiċi, il-maturità ta’ strument partikolari tiddependi fuq fatturi esterni, li fuqhom l-istituzzjoni għandha ftit jew l-ebda influwenza. F’każijiet bħal dawn, l-ewwel data li fiha tali avvenimenti jistgħu jwasslu għal rimborż għandha titqies bħala l-ewwel data ta’ tifdija.</w:t>
      </w:r>
    </w:p>
    <w:p w14:paraId="7FE1B4EA" w14:textId="77777777" w:rsidR="00534D9A" w:rsidRDefault="003243B2">
      <w:pPr>
        <w:pStyle w:val="P68B1DB1-InstructionsText26"/>
        <w:numPr>
          <w:ilvl w:val="0"/>
          <w:numId w:val="233"/>
        </w:numPr>
        <w:spacing w:before="0"/>
      </w:pPr>
      <w:r>
        <w:t>F’każijiet oħra, il-kuntratti ma jipprevedu l-ebda data ta’ maturità speċifika, bħal depożiti ta’ kuljum jew ta’ matul il-lejl. F’dawk il-każijiet, l-obbligazzjonijiet għandhom jitqiesu li għandhom maturità possibbli fl-ewwel data possibbli, jiġifieri jum wara/jum wara d-data tar-rapportar.</w:t>
      </w:r>
    </w:p>
    <w:p w14:paraId="7FE1B4EB" w14:textId="7998FDEF" w:rsidR="00534D9A" w:rsidRDefault="003243B2">
      <w:pPr>
        <w:pStyle w:val="P68B1DB1-InstructionsText26"/>
        <w:numPr>
          <w:ilvl w:val="0"/>
          <w:numId w:val="233"/>
        </w:numPr>
        <w:spacing w:before="0"/>
      </w:pPr>
      <w:r>
        <w:t>Għad-depożiti, il-kopertura mid-DGSD mhux neċessarjament tiddistingwi bejn il-maturitajiet li jitqiesu bħala koperti jekk jeżistu maturitajiet differenti. Bħala tali, sabiex il-parti mhux koperta tinqasam f’meded ta’ maturità, l-istituzzjonijiet huma mitluba japplikaw approċċ pro rata għall-kopertura totali u jiddistribwixxu l-parti mhux koperta kif xieraq fuq il-maturità tad-depożiti sottostanti, sakemm ma jkunux applikabbli dispożizzjonijiet speċifiċi li jirriżultaw mit-traspożizzjoni tad-Direttiva 2014/4</w:t>
      </w:r>
      <w:r>
        <w:t>9/UE fil-liġi nazzjonali.</w:t>
      </w:r>
    </w:p>
    <w:p w14:paraId="7FE1B4EC" w14:textId="333CC915" w:rsidR="00534D9A" w:rsidRDefault="003243B2">
      <w:pPr>
        <w:pStyle w:val="P68B1DB1-InstructionsText26"/>
        <w:numPr>
          <w:ilvl w:val="0"/>
          <w:numId w:val="233"/>
        </w:numPr>
        <w:spacing w:before="0"/>
      </w:pPr>
      <w:r>
        <w:t>Meta obbligazzjoni tissodisfa diversi kriterji u tista’ tiġi rrapportata f’diversi ringieli fil-medda ta’ r0110 sa r0210, irrapportaha biss f’ringiela waħda, li hija dik bl-inqas numru tar-ringiela f’dan il-mudell.</w:t>
      </w:r>
    </w:p>
    <w:p w14:paraId="7FE1B4ED" w14:textId="0B0F63BC" w:rsidR="00534D9A" w:rsidRDefault="003243B2">
      <w:pPr>
        <w:pStyle w:val="P68B1DB1-InstructionsText26"/>
        <w:numPr>
          <w:ilvl w:val="0"/>
          <w:numId w:val="233"/>
        </w:numPr>
      </w:pPr>
      <w:r>
        <w:t>L-ammonti f’din il-formola għandhom jiġu rrapportati kemm bħala ammonti pendenti kif ukoll bħala ammonti riportati:</w:t>
      </w:r>
    </w:p>
    <w:p w14:paraId="7FE1B4EE" w14:textId="77777777" w:rsidR="00534D9A" w:rsidRDefault="003243B2">
      <w:pPr>
        <w:pStyle w:val="P68B1DB1-InstructionsText26"/>
        <w:numPr>
          <w:ilvl w:val="1"/>
          <w:numId w:val="233"/>
        </w:numPr>
      </w:pPr>
      <w:r>
        <w:lastRenderedPageBreak/>
        <w:t>L-ammont pendenti ta’ kreditu jew tal-istrument huwa t-total tal-ammont tal-kapital tal-kreditu jew tal-istrument u l-imgħax dovut fuqhom. L-ammont pendenti dovut huwa ugwali għall-valur tal-pretensjoni li l-kreditur jippreżenta taħt proċedimenti ta’ insolvenza, mingħajr ma jikkunsidra dispożizzjonijiet ta’ tpaċija ta’ insolvenza, u ma jinkludi l-ebda primjums jew skontijiet fuq strumenti ta’ responsabbiltà. F’dawk il-każijiet fejn ma tiġi ppreżentata l-ebda pretensjoni taħt proċedimenti ta’ insolvenza, l-a</w:t>
      </w:r>
      <w:r>
        <w:t xml:space="preserve">mmont pendenti huwa mistenni li jkun żero. </w:t>
      </w:r>
    </w:p>
    <w:p w14:paraId="7FE1B4EF" w14:textId="77777777" w:rsidR="00534D9A" w:rsidRDefault="003243B2">
      <w:pPr>
        <w:pStyle w:val="P68B1DB1-InstructionsText26"/>
        <w:numPr>
          <w:ilvl w:val="1"/>
          <w:numId w:val="233"/>
        </w:numPr>
      </w:pPr>
      <w:r>
        <w:t xml:space="preserve">L-ammont riportat għandu jkun l-ammont riportat kif definit għal skopijiet ta’ FINREP, skont l-IFRS jew l-nGAAP, kif applikabbli. Inkella, għandhom jintużaw ċifri skont l-iskemi ta’ rapportar nGAAP. </w:t>
      </w:r>
    </w:p>
    <w:p w14:paraId="7FE1B4F1" w14:textId="1849D60B" w:rsidR="00534D9A" w:rsidRDefault="003243B2">
      <w:pPr>
        <w:pStyle w:val="P68B1DB1-InstructionsText26"/>
        <w:numPr>
          <w:ilvl w:val="0"/>
          <w:numId w:val="233"/>
        </w:numPr>
        <w:spacing w:before="0"/>
      </w:pPr>
      <w:r>
        <w:t>Dan ir-rapport jirreferi għall-punti tad-data li setgħu diġà ġew irrapportati mill-entità fil-FINREP u l-COREP għall-istess data ta’ referenza u kamp ta’ applikazzjoni tar-rapportar (ara r-referenzi COREP/FINREP fl-istruzzjonijiet). Meta dan ikun il-każ, l-entità relatriċi ma jkollhiex għalfejn tirrapporta dawn il-punti ta’ data għat-tieni darba. Pereżempju, il-punti ta’ data COREP/FINREP għandhom jiġu rrapportati hawnhekk fejn l-entità relatriċi tkun ġiet eżentata mill-obbligi ta’ rapportar finanzjarju jew</w:t>
      </w:r>
      <w:r>
        <w:t xml:space="preserve"> prudenzjali, f’liema każ l-uniku sors ta’ data għall-awtoritajiet ta’ riżoluzzjoni għal dawn il-punti ta’ data huwa dan ir-rapport.</w:t>
      </w:r>
    </w:p>
    <w:p w14:paraId="7FE1B4F2" w14:textId="77777777" w:rsidR="00534D9A" w:rsidRDefault="003243B2">
      <w:pPr>
        <w:pStyle w:val="P68B1DB1-Instructionsberschrift312"/>
      </w:pPr>
      <w:r>
        <w:t>Struzzjonijiet li jikkonċernaw pożizzjonijiet speċifiċi</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534D9A" w14:paraId="7FE1B4F5" w14:textId="77777777">
        <w:tc>
          <w:tcPr>
            <w:tcW w:w="908" w:type="dxa"/>
            <w:tcBorders>
              <w:top w:val="single" w:sz="4" w:space="0" w:color="1A171C"/>
              <w:left w:val="nil"/>
              <w:bottom w:val="single" w:sz="4" w:space="0" w:color="1A171C"/>
              <w:right w:val="single" w:sz="4" w:space="0" w:color="1A171C"/>
            </w:tcBorders>
            <w:shd w:val="clear" w:color="auto" w:fill="E4E5E5"/>
          </w:tcPr>
          <w:p w14:paraId="7FE1B4F3" w14:textId="77777777" w:rsidR="00534D9A" w:rsidRDefault="003243B2">
            <w:pPr>
              <w:pStyle w:val="P68B1DB1-TableParagraph13"/>
              <w:spacing w:before="66"/>
              <w:rPr>
                <w:rFonts w:eastAsia="Cambria"/>
              </w:rPr>
            </w:pPr>
            <w:r>
              <w:t>Kolonni</w:t>
            </w:r>
          </w:p>
        </w:tc>
        <w:tc>
          <w:tcPr>
            <w:tcW w:w="8118" w:type="dxa"/>
            <w:tcBorders>
              <w:top w:val="single" w:sz="4" w:space="0" w:color="1A171C"/>
              <w:left w:val="single" w:sz="4" w:space="0" w:color="1A171C"/>
              <w:bottom w:val="single" w:sz="4" w:space="0" w:color="1A171C"/>
              <w:right w:val="nil"/>
            </w:tcBorders>
            <w:shd w:val="clear" w:color="auto" w:fill="E4E5E5"/>
          </w:tcPr>
          <w:p w14:paraId="7FE1B4F4" w14:textId="77777777" w:rsidR="00534D9A" w:rsidRDefault="003243B2">
            <w:pPr>
              <w:pStyle w:val="P68B1DB1-TableParagraph13"/>
              <w:spacing w:before="66"/>
              <w:ind w:right="1"/>
              <w:jc w:val="center"/>
              <w:rPr>
                <w:rFonts w:eastAsia="Cambria"/>
              </w:rPr>
            </w:pPr>
            <w:r>
              <w:t>Struzzjonijiet</w:t>
            </w:r>
          </w:p>
        </w:tc>
      </w:tr>
      <w:tr w:rsidR="00534D9A" w14:paraId="7FE1B4FA" w14:textId="77777777">
        <w:tc>
          <w:tcPr>
            <w:tcW w:w="908" w:type="dxa"/>
            <w:tcBorders>
              <w:top w:val="single" w:sz="4" w:space="0" w:color="1A171C"/>
              <w:left w:val="nil"/>
              <w:bottom w:val="single" w:sz="4" w:space="0" w:color="1A171C"/>
              <w:right w:val="single" w:sz="4" w:space="0" w:color="1A171C"/>
            </w:tcBorders>
            <w:vAlign w:val="center"/>
          </w:tcPr>
          <w:p w14:paraId="7FE1B4F6" w14:textId="77777777" w:rsidR="00534D9A" w:rsidRDefault="003243B2">
            <w:pPr>
              <w:pStyle w:val="P68B1DB1-TableParagraph13"/>
              <w:spacing w:before="106"/>
              <w:ind w:left="-1"/>
              <w:rPr>
                <w:rFonts w:eastAsia="Cambria"/>
                <w:b/>
              </w:rPr>
            </w:pPr>
            <w:r>
              <w:t xml:space="preserve">0010–0011 </w:t>
            </w:r>
          </w:p>
        </w:tc>
        <w:tc>
          <w:tcPr>
            <w:tcW w:w="8118" w:type="dxa"/>
            <w:tcBorders>
              <w:top w:val="single" w:sz="4" w:space="0" w:color="1A171C"/>
              <w:left w:val="single" w:sz="4" w:space="0" w:color="1A171C"/>
              <w:bottom w:val="single" w:sz="4" w:space="0" w:color="1A171C"/>
              <w:right w:val="nil"/>
            </w:tcBorders>
            <w:vAlign w:val="center"/>
          </w:tcPr>
          <w:p w14:paraId="7FE1B4F7" w14:textId="77777777" w:rsidR="00534D9A" w:rsidRDefault="003243B2">
            <w:pPr>
              <w:pStyle w:val="P68B1DB1-TableParagraph14"/>
              <w:spacing w:before="108"/>
              <w:ind w:left="85"/>
              <w:jc w:val="both"/>
            </w:pPr>
            <w:r>
              <w:t>Unitajiet domestiċi</w:t>
            </w:r>
          </w:p>
          <w:p w14:paraId="7FE1B4F8" w14:textId="77777777" w:rsidR="00534D9A" w:rsidRDefault="003243B2">
            <w:pPr>
              <w:pStyle w:val="P68B1DB1-TableParagraph17"/>
              <w:spacing w:before="108"/>
              <w:ind w:left="85"/>
              <w:jc w:val="both"/>
            </w:pPr>
            <w:r>
              <w:t xml:space="preserve">FINREP, L-Anness V. Il-Parti 1, il-paragrafu 42, il-punt (f) </w:t>
            </w:r>
          </w:p>
          <w:p w14:paraId="7FE1B4F9" w14:textId="77777777" w:rsidR="00534D9A" w:rsidRDefault="003243B2">
            <w:pPr>
              <w:pStyle w:val="P68B1DB1-TableParagraph17"/>
              <w:spacing w:before="108"/>
              <w:ind w:left="85"/>
              <w:jc w:val="both"/>
              <w:rPr>
                <w:b/>
              </w:rPr>
            </w:pPr>
            <w:r>
              <w:t>Individwi jew gruppi ta’ individwi bħala konsumaturi u produtturi ta’ prodotti u servizzi mhux finanzjarji esklussivament għall-konsum finali tagħhom stess, u bħala produtturi ta’ prodotti tas-suq u servizzi mhux finanzjarji u servizzi finanzjarji, diment li l-attivitajiet tagħhom mhumiex dawk ta’ kważikorporazzjonijiet. Għandhom jiġu inklużi l-istituzzjonijiet mingħajr skop ta’ profitt għas-servizz tal-unitajiet domestiċi u li huma prinċipalment involuti fil-produzzjoni ta’ prodotti u servizzi mhux tas-suq</w:t>
            </w:r>
            <w:r>
              <w:t xml:space="preserve"> maħsuba għal gruppi partikolari ta’ unitajiet domestiċi.</w:t>
            </w:r>
          </w:p>
        </w:tc>
      </w:tr>
      <w:tr w:rsidR="00534D9A" w14:paraId="7FE1B501" w14:textId="77777777">
        <w:tc>
          <w:tcPr>
            <w:tcW w:w="908" w:type="dxa"/>
            <w:tcBorders>
              <w:top w:val="single" w:sz="4" w:space="0" w:color="1A171C"/>
              <w:left w:val="nil"/>
              <w:bottom w:val="single" w:sz="4" w:space="0" w:color="1A171C"/>
              <w:right w:val="single" w:sz="4" w:space="0" w:color="1A171C"/>
            </w:tcBorders>
            <w:vAlign w:val="center"/>
          </w:tcPr>
          <w:p w14:paraId="7FE1B4FB" w14:textId="77777777" w:rsidR="00534D9A" w:rsidRDefault="003243B2">
            <w:pPr>
              <w:pStyle w:val="P68B1DB1-TableParagraph13"/>
              <w:spacing w:before="106"/>
              <w:ind w:left="-1"/>
              <w:rPr>
                <w:rFonts w:eastAsia="Cambria"/>
              </w:rPr>
            </w:pPr>
            <w:r>
              <w:t>0020–0021</w:t>
            </w:r>
          </w:p>
        </w:tc>
        <w:tc>
          <w:tcPr>
            <w:tcW w:w="8118" w:type="dxa"/>
            <w:tcBorders>
              <w:top w:val="single" w:sz="4" w:space="0" w:color="1A171C"/>
              <w:left w:val="single" w:sz="4" w:space="0" w:color="1A171C"/>
              <w:bottom w:val="single" w:sz="4" w:space="0" w:color="1A171C"/>
              <w:right w:val="nil"/>
            </w:tcBorders>
            <w:vAlign w:val="center"/>
          </w:tcPr>
          <w:p w14:paraId="7FE1B4FC" w14:textId="77777777" w:rsidR="00534D9A" w:rsidRDefault="003243B2">
            <w:pPr>
              <w:pStyle w:val="P68B1DB1-TableParagraph14"/>
              <w:spacing w:before="108"/>
              <w:ind w:left="85"/>
              <w:jc w:val="both"/>
            </w:pPr>
            <w:r>
              <w:t>Il-korporazzjonijiet mhux finanzjarji (SMEs)</w:t>
            </w:r>
          </w:p>
          <w:p w14:paraId="7FE1B4FD" w14:textId="77777777" w:rsidR="00534D9A" w:rsidRDefault="003243B2">
            <w:pPr>
              <w:pStyle w:val="P68B1DB1-TableParagraph17"/>
              <w:spacing w:before="108"/>
              <w:ind w:left="85"/>
              <w:jc w:val="both"/>
            </w:pPr>
            <w:r>
              <w:t>FINREP, l-Anness V. Il-Parti 1, il-paragrafu 42, il-punt (e)</w:t>
            </w:r>
          </w:p>
          <w:p w14:paraId="7FE1B4FE" w14:textId="63A52B7A" w:rsidR="00534D9A" w:rsidRDefault="003243B2">
            <w:pPr>
              <w:pStyle w:val="P68B1DB1-TableParagraph13"/>
              <w:spacing w:before="108"/>
              <w:ind w:left="85"/>
              <w:jc w:val="both"/>
              <w:rPr>
                <w:rFonts w:eastAsia="Cambria"/>
              </w:rPr>
            </w:pPr>
            <w:r>
              <w:t>Korporazzjonijiet u kważi-korporazzjonijiet mhux involuti f’intermedjazzjoni finanzjarja iżda prinċipalment fil-produzzjoni ta’ prodotti tas-suq u servizzi mhux finanzjarji skont ir-Regolament (UE) 2021/379 tal-Bank Ċentrali Ewropew,</w:t>
            </w:r>
            <w:r>
              <w:footnoteReference w:id="11"/>
            </w:r>
            <w:r>
              <w:t>li jissodisfaw ukoll id-definizzjoni li ġejja ta’ SME:</w:t>
            </w:r>
          </w:p>
          <w:p w14:paraId="7FE1B4FF" w14:textId="77777777"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Anness, it-Titolu I, l-Artikolu 2.1 tar-Rakkomandazzjoni tal-Kummissjoni tas-6 ta’ Mejju 2003</w:t>
            </w:r>
            <w:r>
              <w:rPr>
                <w:rStyle w:val="FootnoteReference"/>
                <w:rFonts w:ascii="Times New Roman" w:eastAsia="Cambria" w:hAnsi="Times New Roman" w:cs="Times New Roman"/>
                <w:color w:val="1A171C"/>
              </w:rPr>
              <w:footnoteReference w:id="12"/>
            </w:r>
            <w:r>
              <w:rPr>
                <w:rFonts w:ascii="Times New Roman" w:eastAsia="Cambria" w:hAnsi="Times New Roman" w:cs="Times New Roman"/>
                <w:color w:val="000000" w:themeColor="text1"/>
                <w:sz w:val="20"/>
                <w:szCs w:val="20"/>
              </w:rPr>
              <w:t>; FINREP, l-Anness V, il-Parti 1, il-paragrafu 5(i).</w:t>
            </w:r>
          </w:p>
          <w:p w14:paraId="7FE1B500" w14:textId="77777777" w:rsidR="00534D9A" w:rsidRDefault="003243B2">
            <w:pPr>
              <w:pStyle w:val="P68B1DB1-TableParagraph17"/>
              <w:spacing w:before="108"/>
              <w:ind w:left="85"/>
              <w:jc w:val="both"/>
              <w:rPr>
                <w:rFonts w:eastAsia="Book Antiqua"/>
              </w:rPr>
            </w:pPr>
            <w:r>
              <w:t>Intrapriżi li jimpjegaw inqas minn 250 persuna u li għandhom fatturat annwali li ma jaqbiżx EUR 50 miljun, u/jew total tal-karta tal-bilanċ annwali li ma jaqbiżx EUR 43 miljun.</w:t>
            </w:r>
          </w:p>
        </w:tc>
      </w:tr>
      <w:tr w:rsidR="00534D9A" w14:paraId="7FE1B507" w14:textId="77777777">
        <w:tc>
          <w:tcPr>
            <w:tcW w:w="908" w:type="dxa"/>
            <w:tcBorders>
              <w:top w:val="single" w:sz="4" w:space="0" w:color="1A171C"/>
              <w:left w:val="nil"/>
              <w:bottom w:val="single" w:sz="4" w:space="0" w:color="1A171C"/>
              <w:right w:val="single" w:sz="4" w:space="0" w:color="1A171C"/>
            </w:tcBorders>
            <w:vAlign w:val="center"/>
          </w:tcPr>
          <w:p w14:paraId="7FE1B502" w14:textId="77777777" w:rsidR="00534D9A" w:rsidRDefault="003243B2">
            <w:pPr>
              <w:pStyle w:val="P68B1DB1-TableParagraph13"/>
              <w:spacing w:before="106"/>
              <w:ind w:left="-1"/>
            </w:pPr>
            <w:r>
              <w:t>0030–0031</w:t>
            </w:r>
          </w:p>
        </w:tc>
        <w:tc>
          <w:tcPr>
            <w:tcW w:w="8118" w:type="dxa"/>
            <w:tcBorders>
              <w:top w:val="single" w:sz="4" w:space="0" w:color="1A171C"/>
              <w:left w:val="single" w:sz="4" w:space="0" w:color="1A171C"/>
              <w:bottom w:val="single" w:sz="4" w:space="0" w:color="1A171C"/>
              <w:right w:val="nil"/>
            </w:tcBorders>
            <w:vAlign w:val="center"/>
          </w:tcPr>
          <w:p w14:paraId="7FE1B503" w14:textId="77777777" w:rsidR="00534D9A" w:rsidRDefault="003243B2">
            <w:pPr>
              <w:pStyle w:val="P68B1DB1-TableParagraph14"/>
              <w:spacing w:before="108"/>
              <w:ind w:left="85"/>
              <w:jc w:val="both"/>
            </w:pPr>
            <w:r>
              <w:t>Korporazzjonijiet mhux finanzjarji (non-SMEs)</w:t>
            </w:r>
          </w:p>
          <w:p w14:paraId="7FE1B504" w14:textId="77777777" w:rsidR="00534D9A" w:rsidRDefault="003243B2">
            <w:pPr>
              <w:pStyle w:val="P68B1DB1-TableParagraph17"/>
              <w:spacing w:before="108"/>
              <w:ind w:left="85"/>
              <w:jc w:val="both"/>
            </w:pPr>
            <w:r>
              <w:t>FINREP, l-Anness V. Il-Parti 1, il-paragrafu 42, il-punt (e)</w:t>
            </w:r>
          </w:p>
          <w:p w14:paraId="7FE1B505" w14:textId="53EEC701" w:rsidR="00534D9A" w:rsidRDefault="003243B2">
            <w:pPr>
              <w:pStyle w:val="P68B1DB1-TableParagraph13"/>
              <w:spacing w:before="108"/>
              <w:ind w:left="85"/>
              <w:jc w:val="both"/>
              <w:rPr>
                <w:rFonts w:eastAsia="Cambria"/>
              </w:rPr>
            </w:pPr>
            <w:r>
              <w:t>Il-korporazzjonijiet u l-kważikorporazzjonijiet li ma humiex involuti f’intermedjazzjoni finanzjarja iżda prinċipalment fil-produzzjoni ta’ prodotti tas-suq u servizzi mhux finanzjarji skont ir-Regolament (UE) 2021/379 tal-Bank Ċentrali Ewropew.</w:t>
            </w:r>
          </w:p>
          <w:p w14:paraId="7FE1B506" w14:textId="77777777" w:rsidR="00534D9A" w:rsidRDefault="003243B2">
            <w:pPr>
              <w:pStyle w:val="P68B1DB1-TableParagraph17"/>
              <w:spacing w:before="108"/>
              <w:ind w:left="85"/>
              <w:jc w:val="both"/>
              <w:rPr>
                <w:b/>
                <w:bCs/>
              </w:rPr>
            </w:pPr>
            <w:r>
              <w:t xml:space="preserve">Huma esklużi l-“SMEs” rapportati fil-kolonna 0020. </w:t>
            </w:r>
          </w:p>
        </w:tc>
      </w:tr>
      <w:tr w:rsidR="00534D9A" w14:paraId="7FE1B50C" w14:textId="77777777">
        <w:tc>
          <w:tcPr>
            <w:tcW w:w="908" w:type="dxa"/>
            <w:tcBorders>
              <w:top w:val="single" w:sz="4" w:space="0" w:color="1A171C"/>
              <w:left w:val="nil"/>
              <w:bottom w:val="single" w:sz="4" w:space="0" w:color="1A171C"/>
              <w:right w:val="single" w:sz="4" w:space="0" w:color="1A171C"/>
            </w:tcBorders>
            <w:vAlign w:val="center"/>
          </w:tcPr>
          <w:p w14:paraId="7FE1B508" w14:textId="77777777" w:rsidR="00534D9A" w:rsidRDefault="003243B2">
            <w:pPr>
              <w:pStyle w:val="P68B1DB1-TableParagraph13"/>
              <w:spacing w:before="106"/>
              <w:ind w:left="-1"/>
            </w:pPr>
            <w:r>
              <w:lastRenderedPageBreak/>
              <w:t>0040–0041</w:t>
            </w:r>
          </w:p>
        </w:tc>
        <w:tc>
          <w:tcPr>
            <w:tcW w:w="8118" w:type="dxa"/>
            <w:tcBorders>
              <w:top w:val="single" w:sz="4" w:space="0" w:color="1A171C"/>
              <w:left w:val="single" w:sz="4" w:space="0" w:color="1A171C"/>
              <w:bottom w:val="single" w:sz="4" w:space="0" w:color="1A171C"/>
              <w:right w:val="nil"/>
            </w:tcBorders>
            <w:vAlign w:val="center"/>
          </w:tcPr>
          <w:p w14:paraId="7FE1B509" w14:textId="77777777" w:rsidR="00534D9A" w:rsidRDefault="003243B2">
            <w:pPr>
              <w:pStyle w:val="P68B1DB1-TableParagraph14"/>
              <w:spacing w:before="108"/>
              <w:ind w:left="85"/>
              <w:jc w:val="both"/>
            </w:pPr>
            <w:r>
              <w:t>Istituzzjonijiet ta’ kreditu</w:t>
            </w:r>
          </w:p>
          <w:p w14:paraId="7FE1B50A" w14:textId="77777777" w:rsidR="00534D9A" w:rsidRDefault="003243B2">
            <w:pPr>
              <w:pStyle w:val="P68B1DB1-TableParagraph17"/>
              <w:spacing w:before="108"/>
              <w:ind w:left="85"/>
              <w:jc w:val="both"/>
            </w:pPr>
            <w:r>
              <w:t>FINREP, l-Anness V. Il-Parti 1, il-paragrafu 42, il-punt (c)</w:t>
            </w:r>
          </w:p>
          <w:p w14:paraId="7FE1B50B" w14:textId="77777777" w:rsidR="00534D9A" w:rsidRDefault="003243B2">
            <w:pPr>
              <w:pStyle w:val="P68B1DB1-TableParagraph13"/>
              <w:spacing w:before="108"/>
              <w:ind w:left="85"/>
              <w:jc w:val="both"/>
              <w:rPr>
                <w:b/>
                <w:bCs/>
              </w:rPr>
            </w:pPr>
            <w:r>
              <w:t>Istituzzjonijiet ta’ kreditu fis-sens tal-Artikolu 4(1)(1) tar-Regolament (UE) Nru 575/2013 u banek multilaterali tal-iżvilupp.</w:t>
            </w:r>
          </w:p>
        </w:tc>
      </w:tr>
      <w:tr w:rsidR="00534D9A" w14:paraId="7FE1B511" w14:textId="77777777">
        <w:tc>
          <w:tcPr>
            <w:tcW w:w="908" w:type="dxa"/>
            <w:tcBorders>
              <w:top w:val="single" w:sz="4" w:space="0" w:color="1A171C"/>
              <w:left w:val="nil"/>
              <w:bottom w:val="single" w:sz="4" w:space="0" w:color="1A171C"/>
              <w:right w:val="single" w:sz="4" w:space="0" w:color="1A171C"/>
            </w:tcBorders>
            <w:vAlign w:val="center"/>
          </w:tcPr>
          <w:p w14:paraId="7FE1B50D" w14:textId="0A55540C" w:rsidR="00534D9A" w:rsidRDefault="003243B2">
            <w:pPr>
              <w:pStyle w:val="P68B1DB1-TableParagraph13"/>
              <w:spacing w:before="106"/>
              <w:ind w:left="-1"/>
            </w:pPr>
            <w:r>
              <w:t>0050–0056</w:t>
            </w:r>
          </w:p>
        </w:tc>
        <w:tc>
          <w:tcPr>
            <w:tcW w:w="8118" w:type="dxa"/>
            <w:tcBorders>
              <w:top w:val="single" w:sz="4" w:space="0" w:color="1A171C"/>
              <w:left w:val="single" w:sz="4" w:space="0" w:color="1A171C"/>
              <w:bottom w:val="single" w:sz="4" w:space="0" w:color="1A171C"/>
              <w:right w:val="nil"/>
            </w:tcBorders>
            <w:vAlign w:val="center"/>
          </w:tcPr>
          <w:p w14:paraId="7FE1B50E" w14:textId="77777777" w:rsidR="00534D9A" w:rsidRDefault="003243B2">
            <w:pPr>
              <w:pStyle w:val="P68B1DB1-TableParagraph14"/>
              <w:spacing w:before="108"/>
              <w:ind w:left="85"/>
              <w:jc w:val="both"/>
            </w:pPr>
            <w:r>
              <w:t>Korporazzjonijiet finanzjarji oħra</w:t>
            </w:r>
          </w:p>
          <w:p w14:paraId="7FE1B50F" w14:textId="77777777" w:rsidR="00534D9A" w:rsidRDefault="003243B2">
            <w:pPr>
              <w:pStyle w:val="P68B1DB1-TableParagraph17"/>
              <w:spacing w:before="108"/>
              <w:ind w:left="85"/>
              <w:jc w:val="both"/>
            </w:pPr>
            <w:r>
              <w:t>FINREP, l-Anness V. Il-Parti 1, il-paragrafu 42, il-punt (d)</w:t>
            </w:r>
          </w:p>
          <w:p w14:paraId="7FE1B510" w14:textId="06860C4E" w:rsidR="00534D9A" w:rsidRDefault="003243B2">
            <w:pPr>
              <w:pStyle w:val="P68B1DB1-TableParagraph17"/>
              <w:spacing w:before="108"/>
              <w:ind w:left="85"/>
              <w:jc w:val="both"/>
              <w:rPr>
                <w:b/>
                <w:bCs/>
              </w:rPr>
            </w:pPr>
            <w:r>
              <w:t>Il-korporazzjonijiet u kważikorporazzjonijiet finanzjarji kollha minbarra istituzzjonijiet ta’ kreditu bħal ditti tal-investiment, fondi tal-investiment, kumpaniji tal-assigurazzjoni, fondi tal-pensjonijiet, intrapriżi għal investiment kollettiv, u kmamar tal-ikklirjar kif ukoll intermedjarji finanzjarji, awżiljarji finanzjarji u istituzzjonijiet finanzjarji ristretti u mutwanti tal-flus.</w:t>
            </w:r>
          </w:p>
        </w:tc>
      </w:tr>
      <w:tr w:rsidR="00534D9A" w14:paraId="7FE1B515" w14:textId="77777777">
        <w:tc>
          <w:tcPr>
            <w:tcW w:w="908" w:type="dxa"/>
            <w:tcBorders>
              <w:top w:val="single" w:sz="4" w:space="0" w:color="1A171C"/>
              <w:left w:val="nil"/>
              <w:bottom w:val="single" w:sz="4" w:space="0" w:color="1A171C"/>
              <w:right w:val="single" w:sz="4" w:space="0" w:color="1A171C"/>
            </w:tcBorders>
            <w:vAlign w:val="center"/>
          </w:tcPr>
          <w:p w14:paraId="7FE1B512" w14:textId="77777777" w:rsidR="00534D9A" w:rsidRDefault="003243B2">
            <w:pPr>
              <w:pStyle w:val="P68B1DB1-TableParagraph13"/>
              <w:spacing w:before="106"/>
              <w:ind w:left="-1"/>
            </w:pPr>
            <w:r>
              <w:t>0055–0056</w:t>
            </w:r>
          </w:p>
        </w:tc>
        <w:tc>
          <w:tcPr>
            <w:tcW w:w="8118" w:type="dxa"/>
            <w:tcBorders>
              <w:top w:val="single" w:sz="4" w:space="0" w:color="1A171C"/>
              <w:left w:val="single" w:sz="4" w:space="0" w:color="1A171C"/>
              <w:bottom w:val="single" w:sz="4" w:space="0" w:color="1A171C"/>
              <w:right w:val="nil"/>
            </w:tcBorders>
            <w:vAlign w:val="center"/>
          </w:tcPr>
          <w:p w14:paraId="7FE1B513" w14:textId="77777777" w:rsidR="00534D9A" w:rsidRDefault="003243B2">
            <w:pPr>
              <w:pStyle w:val="P68B1DB1-TableParagraph14"/>
              <w:spacing w:before="108"/>
              <w:ind w:left="85"/>
              <w:jc w:val="both"/>
            </w:pPr>
            <w:r>
              <w:t>Li minnhom kumpaniji tal-assigurazzjoni u fondi tal-pensjonijiet</w:t>
            </w:r>
          </w:p>
          <w:p w14:paraId="7FE1B514" w14:textId="77777777" w:rsidR="00534D9A" w:rsidRDefault="003243B2">
            <w:pPr>
              <w:pStyle w:val="P68B1DB1-TableParagraph17"/>
              <w:spacing w:before="108"/>
              <w:ind w:left="85"/>
              <w:jc w:val="both"/>
              <w:rPr>
                <w:b/>
              </w:rPr>
            </w:pPr>
            <w:r>
              <w:t>L-impriżi tal-assigurazzjoni, l-impriżi tar-riassigurazzjoni (kif imsemmija fl-Artikolu 13(1) sa (6) tad-Direttiva 2009/138/KE tal-Parlament Ewropew u tal-Kunsill) u l-fondi tal-pensjonijiet u tal-irtirar.</w:t>
            </w:r>
          </w:p>
        </w:tc>
      </w:tr>
      <w:tr w:rsidR="00534D9A" w14:paraId="7FE1B51A" w14:textId="77777777">
        <w:tc>
          <w:tcPr>
            <w:tcW w:w="908" w:type="dxa"/>
            <w:tcBorders>
              <w:top w:val="single" w:sz="4" w:space="0" w:color="1A171C"/>
              <w:left w:val="nil"/>
              <w:bottom w:val="single" w:sz="4" w:space="0" w:color="1A171C"/>
              <w:right w:val="single" w:sz="4" w:space="0" w:color="1A171C"/>
            </w:tcBorders>
            <w:vAlign w:val="center"/>
          </w:tcPr>
          <w:p w14:paraId="7FE1B516" w14:textId="77777777" w:rsidR="00534D9A" w:rsidRDefault="003243B2">
            <w:pPr>
              <w:pStyle w:val="P68B1DB1-TableParagraph13"/>
              <w:spacing w:before="106"/>
              <w:ind w:left="-1"/>
            </w:pPr>
            <w:r>
              <w:t>0060–0061</w:t>
            </w:r>
          </w:p>
        </w:tc>
        <w:tc>
          <w:tcPr>
            <w:tcW w:w="8118" w:type="dxa"/>
            <w:tcBorders>
              <w:top w:val="single" w:sz="4" w:space="0" w:color="1A171C"/>
              <w:left w:val="single" w:sz="4" w:space="0" w:color="1A171C"/>
              <w:bottom w:val="single" w:sz="4" w:space="0" w:color="1A171C"/>
              <w:right w:val="nil"/>
            </w:tcBorders>
            <w:vAlign w:val="center"/>
          </w:tcPr>
          <w:p w14:paraId="7FE1B517" w14:textId="77777777" w:rsidR="00534D9A" w:rsidRDefault="003243B2">
            <w:pPr>
              <w:pStyle w:val="P68B1DB1-TableParagraph14"/>
              <w:spacing w:before="108"/>
              <w:ind w:left="85"/>
              <w:jc w:val="both"/>
            </w:pPr>
            <w:r>
              <w:t>Gvernijiet ġenerali — Banek ċentrali</w:t>
            </w:r>
          </w:p>
          <w:p w14:paraId="7FE1B518" w14:textId="77777777" w:rsidR="00534D9A" w:rsidRDefault="003243B2">
            <w:pPr>
              <w:pStyle w:val="P68B1DB1-TableParagraph17"/>
              <w:spacing w:before="108"/>
              <w:ind w:left="85"/>
              <w:jc w:val="both"/>
            </w:pPr>
            <w:r>
              <w:t>FINREP, l-Anness V. Il-Parti 1, il-paragrafu 42, il-punti (a) u (b)</w:t>
            </w:r>
          </w:p>
          <w:p w14:paraId="7FE1B519" w14:textId="77777777" w:rsidR="00534D9A" w:rsidRDefault="003243B2">
            <w:pPr>
              <w:pStyle w:val="P68B1DB1-TableParagraph17"/>
              <w:spacing w:before="108"/>
              <w:ind w:left="85"/>
              <w:jc w:val="both"/>
              <w:rPr>
                <w:b/>
                <w:bCs/>
              </w:rPr>
            </w:pPr>
            <w:r>
              <w:t>Il-banek ċentrali u l-gvernijiet ċentrali, gvernijiet statali jew reġjonali u gvernijiet lokali, inklużi l-korpi amministrattivi u impriżi mhux kummerċjali, iżda esklużi l-kumpaniji pubbliċi u l-kumpaniji privati miżmuma minn dawn l-amministrazzjonijiet li għandhom attività kummerċjali (li għandhom jiġu rrapportati taħt “istituzzjonijiet ta’ kreditu”, “korporazzjonijiet finanzjarji oħrajn” jew “korporazzjonijiet mhux finanzjarji” skont l-attività tagħhom); fondi tas-sigurtà soċjali; u organizzazzjonijiet in</w:t>
            </w:r>
            <w:r>
              <w:t>ternazzjonali, bħalma huma l-Unjoni Ewropea, il-Fond Monetarju Internazzjonali u l-Bank għall-Ħlasijiet Internazzjonali;</w:t>
            </w:r>
          </w:p>
        </w:tc>
      </w:tr>
      <w:tr w:rsidR="00534D9A" w14:paraId="7FE1B51E" w14:textId="77777777">
        <w:tc>
          <w:tcPr>
            <w:tcW w:w="908" w:type="dxa"/>
            <w:tcBorders>
              <w:top w:val="single" w:sz="4" w:space="0" w:color="1A171C"/>
              <w:left w:val="nil"/>
              <w:bottom w:val="single" w:sz="4" w:space="0" w:color="1A171C"/>
              <w:right w:val="single" w:sz="4" w:space="0" w:color="1A171C"/>
            </w:tcBorders>
            <w:vAlign w:val="center"/>
          </w:tcPr>
          <w:p w14:paraId="7FE1B51B" w14:textId="77777777" w:rsidR="00534D9A" w:rsidRDefault="003243B2">
            <w:pPr>
              <w:pStyle w:val="P68B1DB1-TableParagraph13"/>
              <w:spacing w:before="106"/>
              <w:ind w:left="-1"/>
            </w:pPr>
            <w:r>
              <w:t>0070–0071</w:t>
            </w:r>
          </w:p>
        </w:tc>
        <w:tc>
          <w:tcPr>
            <w:tcW w:w="8118" w:type="dxa"/>
            <w:tcBorders>
              <w:top w:val="single" w:sz="4" w:space="0" w:color="1A171C"/>
              <w:left w:val="single" w:sz="4" w:space="0" w:color="1A171C"/>
              <w:bottom w:val="single" w:sz="4" w:space="0" w:color="1A171C"/>
              <w:right w:val="nil"/>
            </w:tcBorders>
            <w:vAlign w:val="center"/>
          </w:tcPr>
          <w:p w14:paraId="7FE1B51C" w14:textId="77777777" w:rsidR="00534D9A" w:rsidRDefault="003243B2">
            <w:pPr>
              <w:pStyle w:val="P68B1DB1-TableParagraph14"/>
              <w:spacing w:before="108"/>
              <w:ind w:left="85"/>
              <w:jc w:val="both"/>
            </w:pPr>
            <w:r>
              <w:t>Mhux identifikata, ikkwotata f’ċentru tan-negozjar</w:t>
            </w:r>
          </w:p>
          <w:p w14:paraId="7FE1B51D" w14:textId="5F92CBCC" w:rsidR="00534D9A" w:rsidRDefault="003243B2">
            <w:pPr>
              <w:pStyle w:val="TableParagraph"/>
              <w:spacing w:before="108"/>
              <w:ind w:left="85"/>
              <w:jc w:val="both"/>
              <w:rPr>
                <w:rFonts w:ascii="Times New Roman" w:hAnsi="Times New Roman" w:cs="Times New Roman"/>
                <w:b/>
                <w:bCs/>
                <w:color w:val="000000" w:themeColor="text1"/>
                <w:sz w:val="20"/>
                <w:szCs w:val="20"/>
              </w:rPr>
            </w:pPr>
            <w:r>
              <w:rPr>
                <w:rFonts w:ascii="Times New Roman" w:hAnsi="Times New Roman" w:cs="Times New Roman"/>
                <w:color w:val="000000" w:themeColor="text1"/>
                <w:sz w:val="20"/>
                <w:szCs w:val="20"/>
              </w:rPr>
              <w:t>Meta l-identità tad-detentur ta’ titolu ta’ sigurtà ma tkunx magħrufa minħabba li l-istrumenti jkunu elenkati f’ċentru tan-negozjar, kif definit skont id-Direttiva 2014/65/UE,</w:t>
            </w:r>
            <w:r>
              <w:rPr>
                <w:rStyle w:val="FootnoteReference"/>
                <w:rFonts w:cs="Times New Roman"/>
                <w:color w:val="000000" w:themeColor="text1"/>
              </w:rPr>
              <w:footnoteReference w:id="13"/>
            </w:r>
            <w:r>
              <w:rPr>
                <w:rFonts w:ascii="Times New Roman" w:hAnsi="Times New Roman" w:cs="Times New Roman"/>
                <w:color w:val="000000" w:themeColor="text1"/>
                <w:sz w:val="20"/>
                <w:szCs w:val="20"/>
              </w:rPr>
              <w:t>l-ammonti għandhom jiġu attribwiti għal din il-kolonna.</w:t>
            </w:r>
          </w:p>
        </w:tc>
      </w:tr>
      <w:tr w:rsidR="00534D9A" w14:paraId="7FE1B522" w14:textId="77777777">
        <w:tc>
          <w:tcPr>
            <w:tcW w:w="908" w:type="dxa"/>
            <w:tcBorders>
              <w:top w:val="single" w:sz="4" w:space="0" w:color="1A171C"/>
              <w:left w:val="nil"/>
              <w:bottom w:val="single" w:sz="4" w:space="0" w:color="1A171C"/>
              <w:right w:val="single" w:sz="4" w:space="0" w:color="1A171C"/>
            </w:tcBorders>
            <w:vAlign w:val="center"/>
          </w:tcPr>
          <w:p w14:paraId="7FE1B51F" w14:textId="77777777" w:rsidR="00534D9A" w:rsidRDefault="003243B2">
            <w:pPr>
              <w:pStyle w:val="P68B1DB1-TableParagraph13"/>
              <w:spacing w:before="106"/>
              <w:ind w:left="-1"/>
            </w:pPr>
            <w:r>
              <w:t>0080–0081</w:t>
            </w:r>
          </w:p>
        </w:tc>
        <w:tc>
          <w:tcPr>
            <w:tcW w:w="8118" w:type="dxa"/>
            <w:tcBorders>
              <w:top w:val="single" w:sz="4" w:space="0" w:color="1A171C"/>
              <w:left w:val="single" w:sz="4" w:space="0" w:color="1A171C"/>
              <w:bottom w:val="single" w:sz="4" w:space="0" w:color="1A171C"/>
              <w:right w:val="nil"/>
            </w:tcBorders>
            <w:vAlign w:val="center"/>
          </w:tcPr>
          <w:p w14:paraId="7FE1B520" w14:textId="77777777" w:rsidR="00534D9A" w:rsidRDefault="003243B2">
            <w:pPr>
              <w:pStyle w:val="P68B1DB1-TableParagraph14"/>
              <w:spacing w:before="108"/>
              <w:ind w:left="85"/>
              <w:jc w:val="both"/>
            </w:pPr>
            <w:r>
              <w:t>Mhux identifikata, mhux ikkwotata f’ċentru tan-negozjar</w:t>
            </w:r>
          </w:p>
          <w:p w14:paraId="7FE1B521" w14:textId="4FDBE5B1" w:rsidR="00534D9A" w:rsidRDefault="003243B2">
            <w:pPr>
              <w:pStyle w:val="P68B1DB1-TableParagraph17"/>
              <w:spacing w:before="108"/>
              <w:ind w:left="85"/>
              <w:jc w:val="both"/>
            </w:pPr>
            <w:r>
              <w:t>Meta l-identità tad-detentur ta’ titolu ta’ sigurtà ma tkunx magħrufa, mingħajr ma l-istrumenti jkunu kkwotati f’ċentru tan-negozjar, l-ammonti għandhom jiġu attribwiti għal din il-kolonna u ma huwa meħtieġ l-ebda qsim ulterjuri tal-kontropartijiet. L-entitajiet relaturi huma mħeġġa jidentifikaw il-kontropartijiet u jillimitaw l-użu ta’ din il-kolonna għal minimu.</w:t>
            </w:r>
          </w:p>
        </w:tc>
      </w:tr>
      <w:tr w:rsidR="00534D9A" w14:paraId="7FE1B525" w14:textId="77777777">
        <w:tc>
          <w:tcPr>
            <w:tcW w:w="908" w:type="dxa"/>
            <w:tcBorders>
              <w:top w:val="single" w:sz="4" w:space="0" w:color="1A171C"/>
              <w:left w:val="nil"/>
              <w:bottom w:val="single" w:sz="4" w:space="0" w:color="1A171C"/>
              <w:right w:val="single" w:sz="4" w:space="0" w:color="1A171C"/>
            </w:tcBorders>
            <w:vAlign w:val="center"/>
          </w:tcPr>
          <w:p w14:paraId="7FE1B523" w14:textId="42079B1B" w:rsidR="00534D9A" w:rsidRDefault="003243B2">
            <w:pPr>
              <w:pStyle w:val="P68B1DB1-TableParagraph13"/>
              <w:spacing w:before="106"/>
              <w:ind w:left="-1"/>
            </w:pPr>
            <w:r>
              <w:t>0090–0111</w:t>
            </w:r>
          </w:p>
        </w:tc>
        <w:tc>
          <w:tcPr>
            <w:tcW w:w="8118" w:type="dxa"/>
            <w:tcBorders>
              <w:top w:val="single" w:sz="4" w:space="0" w:color="1A171C"/>
              <w:left w:val="single" w:sz="4" w:space="0" w:color="1A171C"/>
              <w:bottom w:val="single" w:sz="4" w:space="0" w:color="1A171C"/>
              <w:right w:val="nil"/>
            </w:tcBorders>
            <w:vAlign w:val="center"/>
          </w:tcPr>
          <w:p w14:paraId="7FE1B524" w14:textId="77777777" w:rsidR="00534D9A" w:rsidRDefault="003243B2">
            <w:pPr>
              <w:pStyle w:val="P68B1DB1-TableParagraph14"/>
              <w:spacing w:before="108"/>
              <w:ind w:left="85"/>
              <w:jc w:val="both"/>
              <w:rPr>
                <w:bCs/>
              </w:rPr>
            </w:pPr>
            <w:r>
              <w:t>Għadd totali</w:t>
            </w:r>
          </w:p>
        </w:tc>
      </w:tr>
      <w:tr w:rsidR="00534D9A" w14:paraId="7FE1B529" w14:textId="77777777">
        <w:tc>
          <w:tcPr>
            <w:tcW w:w="908" w:type="dxa"/>
            <w:tcBorders>
              <w:top w:val="single" w:sz="4" w:space="0" w:color="1A171C"/>
              <w:left w:val="nil"/>
              <w:bottom w:val="single" w:sz="4" w:space="0" w:color="1A171C"/>
              <w:right w:val="single" w:sz="4" w:space="0" w:color="1A171C"/>
            </w:tcBorders>
            <w:vAlign w:val="center"/>
          </w:tcPr>
          <w:p w14:paraId="7FE1B526" w14:textId="77777777" w:rsidR="00534D9A" w:rsidRDefault="003243B2">
            <w:pPr>
              <w:pStyle w:val="P68B1DB1-TableParagraph13"/>
              <w:spacing w:before="106"/>
              <w:ind w:left="-1"/>
            </w:pPr>
            <w:r>
              <w:t>0100–0101</w:t>
            </w:r>
          </w:p>
        </w:tc>
        <w:tc>
          <w:tcPr>
            <w:tcW w:w="8118" w:type="dxa"/>
            <w:tcBorders>
              <w:top w:val="single" w:sz="4" w:space="0" w:color="1A171C"/>
              <w:left w:val="single" w:sz="4" w:space="0" w:color="1A171C"/>
              <w:bottom w:val="single" w:sz="4" w:space="0" w:color="1A171C"/>
              <w:right w:val="nil"/>
            </w:tcBorders>
            <w:vAlign w:val="center"/>
          </w:tcPr>
          <w:p w14:paraId="7FE1B527" w14:textId="77777777" w:rsidR="00534D9A" w:rsidRDefault="003243B2">
            <w:pPr>
              <w:pStyle w:val="P68B1DB1-TableParagraph14"/>
              <w:spacing w:before="108"/>
              <w:ind w:left="85"/>
              <w:jc w:val="both"/>
            </w:pPr>
            <w:r>
              <w:t>Li tagħhom: intragrupp</w:t>
            </w:r>
          </w:p>
          <w:p w14:paraId="7FE1B528" w14:textId="1BF72D2B" w:rsidR="00534D9A" w:rsidRDefault="003243B2">
            <w:pPr>
              <w:pStyle w:val="P68B1DB1-TableParagraph13"/>
              <w:spacing w:before="108"/>
              <w:ind w:left="85"/>
              <w:jc w:val="both"/>
              <w:rPr>
                <w:rFonts w:eastAsia="Times New Roman"/>
              </w:rPr>
            </w:pPr>
            <w:r>
              <w:t xml:space="preserve">Obbligazzjonijiet lejn entitajiet inklużi fl-ambitu kontabilistiku tal-konsolidazzjoni tal-entità omm apikali (għall-kuntrarju tal-ambitu prudenzjali tal-konsolidazzjoni). </w:t>
            </w:r>
          </w:p>
        </w:tc>
      </w:tr>
      <w:tr w:rsidR="00534D9A" w14:paraId="7FE1B52E" w14:textId="77777777">
        <w:tc>
          <w:tcPr>
            <w:tcW w:w="908" w:type="dxa"/>
            <w:tcBorders>
              <w:top w:val="single" w:sz="4" w:space="0" w:color="1A171C"/>
              <w:left w:val="nil"/>
              <w:bottom w:val="single" w:sz="4" w:space="0" w:color="1A171C"/>
              <w:right w:val="single" w:sz="4" w:space="0" w:color="1A171C"/>
            </w:tcBorders>
            <w:vAlign w:val="center"/>
          </w:tcPr>
          <w:p w14:paraId="7FE1B52A" w14:textId="77777777" w:rsidR="00534D9A" w:rsidRDefault="003243B2">
            <w:pPr>
              <w:pStyle w:val="P68B1DB1-TableParagraph13"/>
              <w:spacing w:before="106"/>
              <w:ind w:left="-1"/>
            </w:pPr>
            <w:r>
              <w:t>0110–0111</w:t>
            </w:r>
          </w:p>
        </w:tc>
        <w:tc>
          <w:tcPr>
            <w:tcW w:w="8118" w:type="dxa"/>
            <w:tcBorders>
              <w:top w:val="single" w:sz="4" w:space="0" w:color="1A171C"/>
              <w:left w:val="single" w:sz="4" w:space="0" w:color="1A171C"/>
              <w:bottom w:val="single" w:sz="4" w:space="0" w:color="1A171C"/>
              <w:right w:val="nil"/>
            </w:tcBorders>
            <w:vAlign w:val="center"/>
          </w:tcPr>
          <w:p w14:paraId="7FE1B52B" w14:textId="748C85E3" w:rsidR="00534D9A" w:rsidRDefault="003243B2">
            <w:pPr>
              <w:pStyle w:val="P68B1DB1-TableParagraph14"/>
              <w:spacing w:before="108"/>
              <w:ind w:left="85"/>
              <w:jc w:val="both"/>
            </w:pPr>
            <w:r>
              <w:t>Li tagħhom: obbligazzjonijiet regolati mil-liġi ta’ pajjiż terz, bl-esklużjoni ta’ dawk intragrupp</w:t>
            </w:r>
          </w:p>
          <w:p w14:paraId="7FE1B52C" w14:textId="77777777" w:rsidR="00534D9A" w:rsidRDefault="003243B2">
            <w:pPr>
              <w:pStyle w:val="P68B1DB1-TableParagraph17"/>
              <w:spacing w:before="108"/>
              <w:ind w:left="85"/>
              <w:jc w:val="both"/>
            </w:pPr>
            <w:r>
              <w:t>Dawn għandhom jinkludu l-ammonti grossi tal-obbligazzjonijiet regolati mil-liġi ta’ pajjiż terz u/jew maħruġa minn entitajiet fil-grupp stabbiliti f’pajjiżi terzi. L-obbligazzjonijiet intragrupp għandhom jiġu esklużi.</w:t>
            </w:r>
          </w:p>
          <w:p w14:paraId="7FE1B52D" w14:textId="77777777" w:rsidR="00534D9A" w:rsidRDefault="003243B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lastRenderedPageBreak/>
              <w:t>Meta l-awtorità ta’ riżoluzzjoni tkun ikkonfermat li, skont l-Artikolu 55(3) tad-Direttiva 2014/59/UE tal-Parlament Ewropew u tal-Kunsill, hija ssodisfata</w:t>
            </w:r>
            <w:r>
              <w:rPr>
                <w:rStyle w:val="FootnoteReference"/>
                <w:rFonts w:ascii="Times New Roman" w:eastAsia="Cambria" w:hAnsi="Times New Roman" w:cs="Times New Roman"/>
                <w:color w:val="000000" w:themeColor="text1"/>
              </w:rPr>
              <w:footnoteReference w:id="14"/>
            </w:r>
            <w:r>
              <w:rPr>
                <w:rFonts w:ascii="Times New Roman" w:eastAsia="Cambria" w:hAnsi="Times New Roman" w:cs="Times New Roman"/>
                <w:color w:val="000000" w:themeColor="text1"/>
                <w:sz w:val="20"/>
                <w:szCs w:val="20"/>
              </w:rPr>
              <w:t>li kull deċiżjoni ta’ awtorità ta’ riżoluzzjoni dwar tniżżil fil-valur jew konverżjoni ta’ obbligazzjoni tkun effettiva skont il-liġi ta’ dak il-pajjiż terz, dik l-obbligazzjoni ma għandhiex tiġi rrapportata f’din il-kolonna.</w:t>
            </w:r>
          </w:p>
        </w:tc>
      </w:tr>
    </w:tbl>
    <w:p w14:paraId="7FE1B532" w14:textId="77777777" w:rsidR="00534D9A" w:rsidRDefault="00534D9A">
      <w:pPr>
        <w:rPr>
          <w:rFonts w:ascii="Times New Roman" w:hAnsi="Times New Roman" w:cs="Times New Roman"/>
        </w:rPr>
      </w:pPr>
    </w:p>
    <w:p w14:paraId="7FE1B533" w14:textId="77777777" w:rsidR="00534D9A" w:rsidRDefault="00534D9A">
      <w:pPr>
        <w:rPr>
          <w:rFonts w:ascii="Times New Roman" w:hAnsi="Times New Roman" w:cs="Times New Roman"/>
          <w:color w:val="000000" w:themeColor="text1"/>
          <w:sz w:val="20"/>
          <w:szCs w:val="20"/>
        </w:rPr>
      </w:pPr>
    </w:p>
    <w:tbl>
      <w:tblPr>
        <w:tblW w:w="0" w:type="auto"/>
        <w:tblCellMar>
          <w:top w:w="57" w:type="dxa"/>
          <w:left w:w="57" w:type="dxa"/>
          <w:bottom w:w="57" w:type="dxa"/>
          <w:right w:w="0" w:type="dxa"/>
        </w:tblCellMar>
        <w:tblLook w:val="01E0" w:firstRow="1" w:lastRow="1" w:firstColumn="1" w:lastColumn="1" w:noHBand="0" w:noVBand="0"/>
      </w:tblPr>
      <w:tblGrid>
        <w:gridCol w:w="905"/>
        <w:gridCol w:w="8121"/>
      </w:tblGrid>
      <w:tr w:rsidR="00534D9A" w14:paraId="7FE1B536" w14:textId="77777777">
        <w:trPr>
          <w:tblHeader/>
        </w:trPr>
        <w:tc>
          <w:tcPr>
            <w:tcW w:w="905" w:type="dxa"/>
            <w:tcBorders>
              <w:top w:val="single" w:sz="4" w:space="0" w:color="1A171C"/>
              <w:left w:val="nil"/>
              <w:bottom w:val="single" w:sz="4" w:space="0" w:color="1A171C"/>
              <w:right w:val="single" w:sz="4" w:space="0" w:color="1A171C"/>
            </w:tcBorders>
            <w:shd w:val="clear" w:color="auto" w:fill="E4E5E5"/>
          </w:tcPr>
          <w:p w14:paraId="7FE1B534" w14:textId="77777777" w:rsidR="00534D9A" w:rsidRDefault="003243B2">
            <w:pPr>
              <w:pStyle w:val="P68B1DB1-TableParagraph13"/>
              <w:spacing w:before="66"/>
              <w:rPr>
                <w:rFonts w:eastAsia="Cambria"/>
              </w:rPr>
            </w:pPr>
            <w:r>
              <w:t>Ringieli</w:t>
            </w:r>
          </w:p>
        </w:tc>
        <w:tc>
          <w:tcPr>
            <w:tcW w:w="8121" w:type="dxa"/>
            <w:tcBorders>
              <w:top w:val="single" w:sz="4" w:space="0" w:color="1A171C"/>
              <w:left w:val="single" w:sz="4" w:space="0" w:color="1A171C"/>
              <w:bottom w:val="single" w:sz="4" w:space="0" w:color="1A171C"/>
              <w:right w:val="nil"/>
            </w:tcBorders>
            <w:shd w:val="clear" w:color="auto" w:fill="E4E5E5"/>
          </w:tcPr>
          <w:p w14:paraId="7FE1B535" w14:textId="77777777" w:rsidR="00534D9A" w:rsidRDefault="003243B2">
            <w:pPr>
              <w:pStyle w:val="P68B1DB1-TableParagraph13"/>
              <w:spacing w:before="66"/>
              <w:ind w:right="1"/>
              <w:jc w:val="center"/>
              <w:rPr>
                <w:rFonts w:eastAsia="Cambria"/>
              </w:rPr>
            </w:pPr>
            <w:r>
              <w:t>Struzzjonijiet</w:t>
            </w:r>
          </w:p>
        </w:tc>
      </w:tr>
      <w:tr w:rsidR="00534D9A" w14:paraId="7FE1B53B" w14:textId="77777777">
        <w:tc>
          <w:tcPr>
            <w:tcW w:w="905" w:type="dxa"/>
            <w:tcBorders>
              <w:top w:val="single" w:sz="4" w:space="0" w:color="1A171C"/>
              <w:left w:val="nil"/>
              <w:bottom w:val="single" w:sz="4" w:space="0" w:color="1A171C"/>
              <w:right w:val="single" w:sz="4" w:space="0" w:color="1A171C"/>
            </w:tcBorders>
            <w:vAlign w:val="center"/>
          </w:tcPr>
          <w:p w14:paraId="7FE1B537" w14:textId="77777777" w:rsidR="00534D9A" w:rsidRDefault="003243B2">
            <w:pPr>
              <w:pStyle w:val="P68B1DB1-TableParagraph13"/>
              <w:spacing w:before="106"/>
              <w:ind w:left="-1"/>
              <w:rPr>
                <w:rFonts w:eastAsia="Cambria"/>
                <w:b/>
              </w:rPr>
            </w:pPr>
            <w:r>
              <w:t>0100</w:t>
            </w:r>
          </w:p>
        </w:tc>
        <w:tc>
          <w:tcPr>
            <w:tcW w:w="8121" w:type="dxa"/>
            <w:tcBorders>
              <w:top w:val="single" w:sz="4" w:space="0" w:color="1A171C"/>
              <w:left w:val="single" w:sz="4" w:space="0" w:color="1A171C"/>
              <w:bottom w:val="single" w:sz="4" w:space="0" w:color="1A171C"/>
              <w:right w:val="nil"/>
            </w:tcBorders>
            <w:vAlign w:val="center"/>
          </w:tcPr>
          <w:p w14:paraId="7FE1B538" w14:textId="77777777" w:rsidR="00534D9A" w:rsidRDefault="003243B2">
            <w:pPr>
              <w:pStyle w:val="P68B1DB1-TableParagraph14"/>
              <w:spacing w:before="108"/>
              <w:ind w:left="85"/>
              <w:jc w:val="both"/>
            </w:pPr>
            <w:r>
              <w:t>Obbligazzjonijiet esklużi mir-rikapitalizzazzjoni</w:t>
            </w:r>
          </w:p>
          <w:p w14:paraId="7FE1B53A" w14:textId="5A5F469A" w:rsidR="00534D9A" w:rsidRDefault="003243B2">
            <w:pPr>
              <w:pStyle w:val="P68B1DB1-TableParagraph17"/>
              <w:spacing w:before="108"/>
              <w:jc w:val="both"/>
            </w:pPr>
            <w:r>
              <w:t xml:space="preserve">L-ammont ta’ obbligazzjonijiet li għalihom l-awtoritajiet ta’ riżoluzzjoni ma għandhomx jeżerċitaw is-setgħat ta’ valwazzjoni negattiva jew ta’ konverżjoni f’konformità mal-Artikolu 44(2) tad-Direttiva 2014/59/UE. </w:t>
            </w:r>
          </w:p>
        </w:tc>
      </w:tr>
      <w:tr w:rsidR="00534D9A" w14:paraId="7FE1B53F" w14:textId="77777777">
        <w:tc>
          <w:tcPr>
            <w:tcW w:w="905" w:type="dxa"/>
            <w:tcBorders>
              <w:top w:val="single" w:sz="4" w:space="0" w:color="1A171C"/>
              <w:left w:val="nil"/>
              <w:bottom w:val="single" w:sz="4" w:space="0" w:color="1A171C"/>
              <w:right w:val="single" w:sz="4" w:space="0" w:color="1A171C"/>
            </w:tcBorders>
            <w:vAlign w:val="center"/>
          </w:tcPr>
          <w:p w14:paraId="7FE1B53C" w14:textId="77777777" w:rsidR="00534D9A" w:rsidRDefault="003243B2">
            <w:pPr>
              <w:pStyle w:val="P68B1DB1-TableParagraph13"/>
              <w:spacing w:before="106"/>
              <w:ind w:left="-1"/>
              <w:rPr>
                <w:rFonts w:eastAsia="Cambria"/>
              </w:rPr>
            </w:pPr>
            <w:r>
              <w:t>0110</w:t>
            </w:r>
          </w:p>
        </w:tc>
        <w:tc>
          <w:tcPr>
            <w:tcW w:w="8121" w:type="dxa"/>
            <w:tcBorders>
              <w:top w:val="single" w:sz="4" w:space="0" w:color="1A171C"/>
              <w:left w:val="single" w:sz="4" w:space="0" w:color="1A171C"/>
              <w:bottom w:val="single" w:sz="4" w:space="0" w:color="1A171C"/>
              <w:right w:val="nil"/>
            </w:tcBorders>
            <w:vAlign w:val="center"/>
          </w:tcPr>
          <w:p w14:paraId="7FE1B53D" w14:textId="77777777" w:rsidR="00534D9A" w:rsidRDefault="003243B2">
            <w:pPr>
              <w:pStyle w:val="P68B1DB1-TableParagraph14"/>
              <w:spacing w:before="108"/>
              <w:ind w:left="85"/>
              <w:jc w:val="both"/>
            </w:pPr>
            <w:r>
              <w:t>Id-depożiti koperti</w:t>
            </w:r>
          </w:p>
          <w:p w14:paraId="7FE1B53E" w14:textId="77777777" w:rsidR="00534D9A" w:rsidRDefault="003243B2">
            <w:pPr>
              <w:pStyle w:val="TableParagraph"/>
              <w:spacing w:before="108"/>
              <w:ind w:left="85"/>
              <w:jc w:val="both"/>
              <w:rPr>
                <w:rFonts w:ascii="Times New Roman" w:eastAsia="Book Antiqua" w:hAnsi="Times New Roman" w:cs="Times New Roman"/>
                <w:color w:val="000000" w:themeColor="text1"/>
                <w:sz w:val="20"/>
                <w:szCs w:val="20"/>
              </w:rPr>
            </w:pPr>
            <w:r>
              <w:rPr>
                <w:rFonts w:ascii="Times New Roman" w:hAnsi="Times New Roman" w:cs="Times New Roman"/>
                <w:color w:val="000000" w:themeColor="text1"/>
                <w:sz w:val="20"/>
                <w:szCs w:val="20"/>
              </w:rPr>
              <w:t>L-ammont ta’ depożiti koperti kif definiti fil-punt (5) tal-Artikolu 2(1) tad-Direttiva 2014/49/UE tal-Parlament Ewropew u tal-Kunsill</w:t>
            </w:r>
            <w:r>
              <w:rPr>
                <w:rStyle w:val="FootnoteReference"/>
                <w:rFonts w:ascii="Times New Roman" w:hAnsi="Times New Roman" w:cs="Times New Roman"/>
                <w:color w:val="000000" w:themeColor="text1"/>
              </w:rPr>
              <w:footnoteReference w:id="15"/>
            </w:r>
            <w:r>
              <w:rPr>
                <w:rFonts w:ascii="Times New Roman" w:eastAsia="Cambria" w:hAnsi="Times New Roman" w:cs="Times New Roman"/>
                <w:color w:val="000000" w:themeColor="text1"/>
                <w:sz w:val="20"/>
                <w:szCs w:val="20"/>
              </w:rPr>
              <w:t>, bl-esklużjoni ta’ bilanċi temporanjament għolja kif definiti fl-Artikolu 6(2) ta’ dik id-Direttiva.</w:t>
            </w:r>
          </w:p>
        </w:tc>
      </w:tr>
      <w:tr w:rsidR="00534D9A" w14:paraId="7FE1B546" w14:textId="77777777">
        <w:tc>
          <w:tcPr>
            <w:tcW w:w="905" w:type="dxa"/>
            <w:tcBorders>
              <w:top w:val="single" w:sz="4" w:space="0" w:color="1A171C"/>
              <w:left w:val="nil"/>
              <w:bottom w:val="single" w:sz="4" w:space="0" w:color="1A171C"/>
              <w:right w:val="single" w:sz="4" w:space="0" w:color="1A171C"/>
            </w:tcBorders>
            <w:vAlign w:val="center"/>
          </w:tcPr>
          <w:p w14:paraId="7FE1B540" w14:textId="77777777" w:rsidR="00534D9A" w:rsidRDefault="003243B2">
            <w:pPr>
              <w:pStyle w:val="P68B1DB1-TableParagraph13"/>
              <w:spacing w:before="106"/>
              <w:ind w:left="-1"/>
              <w:rPr>
                <w:rFonts w:eastAsia="Cambria"/>
              </w:rPr>
            </w:pPr>
            <w:r>
              <w:t>0120</w:t>
            </w:r>
          </w:p>
        </w:tc>
        <w:tc>
          <w:tcPr>
            <w:tcW w:w="8121" w:type="dxa"/>
            <w:tcBorders>
              <w:top w:val="single" w:sz="4" w:space="0" w:color="1A171C"/>
              <w:left w:val="single" w:sz="4" w:space="0" w:color="1A171C"/>
              <w:bottom w:val="single" w:sz="4" w:space="0" w:color="1A171C"/>
              <w:right w:val="nil"/>
            </w:tcBorders>
            <w:vAlign w:val="center"/>
          </w:tcPr>
          <w:p w14:paraId="7FE1B541" w14:textId="77777777" w:rsidR="00534D9A" w:rsidRDefault="003243B2">
            <w:pPr>
              <w:pStyle w:val="P68B1DB1-TableParagraph14"/>
              <w:spacing w:before="108"/>
              <w:ind w:left="85"/>
              <w:jc w:val="both"/>
            </w:pPr>
            <w:r>
              <w:t>Obbligazzjonijiet garantiti — parti kollateralizzata</w:t>
            </w:r>
          </w:p>
          <w:p w14:paraId="7FE1B542" w14:textId="14245B0A" w:rsidR="00534D9A" w:rsidRDefault="003243B2">
            <w:pPr>
              <w:pStyle w:val="P68B1DB1-TableParagraph17"/>
              <w:spacing w:before="108"/>
              <w:ind w:left="85"/>
              <w:jc w:val="both"/>
            </w:pPr>
            <w:r>
              <w:t>L-ammont ta’ obbligazzjonijiet kif imsemmi fil-punt b tal-Artikolu 44(2) tad-Direttiva 2014/59/UE.</w:t>
            </w:r>
          </w:p>
          <w:p w14:paraId="7FE1B543" w14:textId="77777777" w:rsidR="00534D9A" w:rsidRDefault="003243B2">
            <w:pPr>
              <w:pStyle w:val="P68B1DB1-TableParagraph17"/>
              <w:spacing w:before="108"/>
              <w:ind w:left="85"/>
              <w:jc w:val="both"/>
            </w:pPr>
            <w:r>
              <w:t>L-obbligazzjonijiet garantiti inklużi ftehimiet ta’ riakkwist (repos), bonds koperti u obbligazzjonijiet fil-forma ta’ strumenti finanzjarji li jifformaw parti integrali mill-aggregazzjoni ta’ kopertura u li skont il-liġi nazzjonali huma żgurati b’mod simili għal bonds koperti.</w:t>
            </w:r>
          </w:p>
          <w:p w14:paraId="7FE1B544" w14:textId="77777777" w:rsidR="00534D9A" w:rsidRDefault="003243B2">
            <w:pPr>
              <w:pStyle w:val="P68B1DB1-TableParagraph17"/>
              <w:spacing w:before="108"/>
              <w:ind w:left="85"/>
              <w:jc w:val="both"/>
            </w:pPr>
            <w:r>
              <w:t>La r-rekwiżit biex ikun żgurat li l-assi garantiti kollha li jirrigwardaw pool ta’ kopertura ta’ bonds koperti ma jintlaqtux, jibqgħu segregati u b’biżżejjed finanzjament, u lanqas l-esklużjoni tal-punt (b) tal-Artikolu 44(2) tad-Direttiva 2014/59/UE ma għandha tipprevjeni lill-awtoritajiet ta’ riżoluzzjoni, meta xieraq, milli jeżerċitaw dawk is-setgħat f’rabta ma’ kwalunkwe parti ta’ obbligazzjoni garantita jew obbligazzjoni li għaliha jkun ġie ppleġġjat kollateral li jaqbeż il-valur tal-assi, tal-pleġġ, t</w:t>
            </w:r>
            <w:r>
              <w:t>ar-rahan jew tal-kollateral li tkun iggarantita bih. It-tali ammont mhux kopert ta’ dawn l-obbligazzjonijiet garantiti ma għandux jiġi rrapportat f’din ir-ringiela, iżda għandu jiġi rapportat fir-ringiela 0340, soġġett għal diżaggregazzjoni addizzjonali.</w:t>
            </w:r>
          </w:p>
          <w:p w14:paraId="7FE1B545" w14:textId="77777777" w:rsidR="00534D9A" w:rsidRDefault="003243B2">
            <w:pPr>
              <w:pStyle w:val="P68B1DB1-TableParagraph20"/>
              <w:spacing w:before="108"/>
              <w:ind w:left="85"/>
              <w:jc w:val="both"/>
              <w:rPr>
                <w:color w:val="000000" w:themeColor="text1"/>
              </w:rPr>
            </w:pPr>
            <w:r>
              <w:rPr>
                <w:color w:val="000000" w:themeColor="text1"/>
              </w:rPr>
              <w:t>L-obbligazzjonijiet tal-Bank Ċentrali li huma koperti minn aggregazzjoni ta’ kollateral</w:t>
            </w:r>
            <w:r>
              <w:rPr>
                <w:color w:val="1A171C"/>
              </w:rPr>
              <w:t>(pereżempju operazzjonijiet prinċipali ta’ rifinanzjament, operazzjoni ta’ rifinanzjament fuq soġġorn twil, operazzjonijiet ta’ rifinanzjament fil-mira fuq żmien itwal, eċċ.</w:t>
            </w:r>
            <w:r>
              <w:rPr>
                <w:color w:val="000000" w:themeColor="text1"/>
              </w:rPr>
              <w:t xml:space="preserve">) għandhom jitqiesu bħala obbligazzjonijiet garantiti. </w:t>
            </w:r>
          </w:p>
        </w:tc>
      </w:tr>
      <w:tr w:rsidR="00534D9A" w14:paraId="7FE1B54B" w14:textId="77777777">
        <w:tc>
          <w:tcPr>
            <w:tcW w:w="905" w:type="dxa"/>
            <w:tcBorders>
              <w:top w:val="single" w:sz="4" w:space="0" w:color="1A171C"/>
              <w:left w:val="nil"/>
              <w:bottom w:val="single" w:sz="4" w:space="0" w:color="1A171C"/>
              <w:right w:val="single" w:sz="4" w:space="0" w:color="1A171C"/>
            </w:tcBorders>
            <w:vAlign w:val="center"/>
          </w:tcPr>
          <w:p w14:paraId="7FE1B547" w14:textId="77777777" w:rsidR="00534D9A" w:rsidRDefault="003243B2">
            <w:pPr>
              <w:pStyle w:val="P68B1DB1-TableParagraph13"/>
              <w:spacing w:before="106"/>
              <w:ind w:left="-1"/>
            </w:pPr>
            <w:r>
              <w:t>0130</w:t>
            </w:r>
          </w:p>
        </w:tc>
        <w:tc>
          <w:tcPr>
            <w:tcW w:w="8121" w:type="dxa"/>
            <w:tcBorders>
              <w:top w:val="single" w:sz="4" w:space="0" w:color="1A171C"/>
              <w:left w:val="single" w:sz="4" w:space="0" w:color="1A171C"/>
              <w:bottom w:val="single" w:sz="4" w:space="0" w:color="1A171C"/>
              <w:right w:val="nil"/>
            </w:tcBorders>
            <w:vAlign w:val="center"/>
          </w:tcPr>
          <w:p w14:paraId="7FE1B548" w14:textId="77777777" w:rsidR="00534D9A" w:rsidRDefault="003243B2">
            <w:pPr>
              <w:pStyle w:val="P68B1DB1-TableParagraph14"/>
              <w:spacing w:before="108"/>
              <w:ind w:left="85"/>
              <w:jc w:val="both"/>
            </w:pPr>
            <w:r>
              <w:t>L-obbligazzjonijiet lejn klijenti, jekk protetti fl-insolvenza</w:t>
            </w:r>
          </w:p>
          <w:p w14:paraId="7FE1B54A" w14:textId="2F60701C" w:rsidR="00534D9A" w:rsidRDefault="003243B2">
            <w:pPr>
              <w:pStyle w:val="P68B1DB1-TableParagraph17"/>
              <w:spacing w:before="108"/>
              <w:ind w:left="85"/>
              <w:jc w:val="both"/>
              <w:rPr>
                <w:b/>
                <w:bCs/>
              </w:rPr>
            </w:pPr>
            <w:r>
              <w:t>L-ammont ta’ obbligazzjonijiet kif imsemmi fil-punt c tal-Artikolu 44(2) tad-Direttiva 2014/59/UE.</w:t>
            </w:r>
          </w:p>
        </w:tc>
      </w:tr>
      <w:tr w:rsidR="00534D9A" w14:paraId="7FE1B550" w14:textId="77777777">
        <w:tc>
          <w:tcPr>
            <w:tcW w:w="905" w:type="dxa"/>
            <w:tcBorders>
              <w:top w:val="single" w:sz="4" w:space="0" w:color="1A171C"/>
              <w:left w:val="nil"/>
              <w:bottom w:val="single" w:sz="4" w:space="0" w:color="1A171C"/>
              <w:right w:val="single" w:sz="4" w:space="0" w:color="1A171C"/>
            </w:tcBorders>
            <w:vAlign w:val="center"/>
          </w:tcPr>
          <w:p w14:paraId="7FE1B54C" w14:textId="77777777" w:rsidR="00534D9A" w:rsidRDefault="003243B2">
            <w:pPr>
              <w:pStyle w:val="P68B1DB1-TableParagraph13"/>
              <w:spacing w:before="106"/>
              <w:ind w:left="-1"/>
            </w:pPr>
            <w:r>
              <w:t>0140</w:t>
            </w:r>
          </w:p>
        </w:tc>
        <w:tc>
          <w:tcPr>
            <w:tcW w:w="8121" w:type="dxa"/>
            <w:tcBorders>
              <w:top w:val="single" w:sz="4" w:space="0" w:color="1A171C"/>
              <w:left w:val="single" w:sz="4" w:space="0" w:color="1A171C"/>
              <w:bottom w:val="single" w:sz="4" w:space="0" w:color="1A171C"/>
              <w:right w:val="nil"/>
            </w:tcBorders>
            <w:vAlign w:val="center"/>
          </w:tcPr>
          <w:p w14:paraId="7FE1B54D" w14:textId="77777777" w:rsidR="00534D9A" w:rsidRDefault="003243B2">
            <w:pPr>
              <w:pStyle w:val="P68B1DB1-TableParagraph14"/>
              <w:spacing w:before="108"/>
              <w:ind w:left="85"/>
              <w:jc w:val="both"/>
            </w:pPr>
            <w:r>
              <w:t>L-obbligazzjonijiet fiduċjarji, jekk protetti fl-insolvenza</w:t>
            </w:r>
          </w:p>
          <w:p w14:paraId="7FE1B54F" w14:textId="76B21996" w:rsidR="00534D9A" w:rsidRDefault="003243B2">
            <w:pPr>
              <w:pStyle w:val="P68B1DB1-TableParagraph17"/>
              <w:spacing w:before="108"/>
              <w:ind w:left="85"/>
              <w:jc w:val="both"/>
              <w:rPr>
                <w:b/>
                <w:bCs/>
              </w:rPr>
            </w:pPr>
            <w:r>
              <w:t>L-ammont ta’ obbligazzjonijiet kif imsemmi fil-punt d tal-Artikolu 44(2) tad-Direttiva 2014/59/UE.</w:t>
            </w:r>
          </w:p>
        </w:tc>
      </w:tr>
      <w:tr w:rsidR="00534D9A" w14:paraId="7FE1B555" w14:textId="77777777">
        <w:tc>
          <w:tcPr>
            <w:tcW w:w="905" w:type="dxa"/>
            <w:tcBorders>
              <w:top w:val="single" w:sz="4" w:space="0" w:color="1A171C"/>
              <w:left w:val="nil"/>
              <w:bottom w:val="single" w:sz="4" w:space="0" w:color="1A171C"/>
              <w:right w:val="single" w:sz="4" w:space="0" w:color="1A171C"/>
            </w:tcBorders>
            <w:vAlign w:val="center"/>
          </w:tcPr>
          <w:p w14:paraId="7FE1B551" w14:textId="77777777" w:rsidR="00534D9A" w:rsidRDefault="003243B2">
            <w:pPr>
              <w:pStyle w:val="P68B1DB1-TableParagraph13"/>
              <w:spacing w:before="106"/>
              <w:ind w:left="-1"/>
            </w:pPr>
            <w:r>
              <w:t>0150</w:t>
            </w:r>
          </w:p>
        </w:tc>
        <w:tc>
          <w:tcPr>
            <w:tcW w:w="8121" w:type="dxa"/>
            <w:tcBorders>
              <w:top w:val="single" w:sz="4" w:space="0" w:color="1A171C"/>
              <w:left w:val="single" w:sz="4" w:space="0" w:color="1A171C"/>
              <w:bottom w:val="single" w:sz="4" w:space="0" w:color="1A171C"/>
              <w:right w:val="nil"/>
            </w:tcBorders>
            <w:vAlign w:val="center"/>
          </w:tcPr>
          <w:p w14:paraId="7FE1B552" w14:textId="77777777" w:rsidR="00534D9A" w:rsidRDefault="003243B2">
            <w:pPr>
              <w:pStyle w:val="P68B1DB1-TableParagraph14"/>
              <w:spacing w:before="108"/>
              <w:ind w:left="85"/>
              <w:jc w:val="both"/>
            </w:pPr>
            <w:r>
              <w:t xml:space="preserve">Obbligazzjonijiet ta’ istituzzjoni &amp;7 jum </w:t>
            </w:r>
          </w:p>
          <w:p w14:paraId="7FE1B554" w14:textId="175AD873" w:rsidR="00534D9A" w:rsidRDefault="003243B2">
            <w:pPr>
              <w:pStyle w:val="P68B1DB1-TableParagraph17"/>
              <w:spacing w:before="108"/>
              <w:ind w:left="85"/>
              <w:jc w:val="both"/>
              <w:rPr>
                <w:b/>
                <w:bCs/>
              </w:rPr>
            </w:pPr>
            <w:r>
              <w:t>L-ammont ta’ obbligazzjonijiet kif imsemmi fil-punt e tal-Artikolu 44(2) tad-Direttiva 2014/59/UE.</w:t>
            </w:r>
          </w:p>
        </w:tc>
      </w:tr>
      <w:tr w:rsidR="00534D9A" w14:paraId="7FE1B559" w14:textId="77777777">
        <w:tc>
          <w:tcPr>
            <w:tcW w:w="905" w:type="dxa"/>
            <w:tcBorders>
              <w:top w:val="single" w:sz="4" w:space="0" w:color="1A171C"/>
              <w:left w:val="nil"/>
              <w:bottom w:val="single" w:sz="4" w:space="0" w:color="1A171C"/>
              <w:right w:val="single" w:sz="4" w:space="0" w:color="1A171C"/>
            </w:tcBorders>
            <w:vAlign w:val="center"/>
          </w:tcPr>
          <w:p w14:paraId="7FE1B556" w14:textId="77777777" w:rsidR="00534D9A" w:rsidRDefault="003243B2">
            <w:pPr>
              <w:pStyle w:val="P68B1DB1-TableParagraph13"/>
              <w:spacing w:before="106"/>
              <w:ind w:left="-1"/>
            </w:pPr>
            <w:r>
              <w:t>0161</w:t>
            </w:r>
          </w:p>
        </w:tc>
        <w:tc>
          <w:tcPr>
            <w:tcW w:w="8121" w:type="dxa"/>
            <w:tcBorders>
              <w:top w:val="single" w:sz="4" w:space="0" w:color="1A171C"/>
              <w:left w:val="single" w:sz="4" w:space="0" w:color="1A171C"/>
              <w:bottom w:val="single" w:sz="4" w:space="0" w:color="1A171C"/>
              <w:right w:val="nil"/>
            </w:tcBorders>
            <w:vAlign w:val="center"/>
          </w:tcPr>
          <w:p w14:paraId="7FE1B557" w14:textId="77777777" w:rsidR="00534D9A" w:rsidRDefault="003243B2">
            <w:pPr>
              <w:pStyle w:val="P68B1DB1-TableParagraph14"/>
              <w:spacing w:before="108"/>
              <w:ind w:left="85"/>
              <w:jc w:val="both"/>
            </w:pPr>
            <w:r>
              <w:t>Obbligazzjonijiet tas-sistema (operatur) u tas-CCP &amp;7-il jum</w:t>
            </w:r>
          </w:p>
          <w:p w14:paraId="7FE1B558" w14:textId="79B15273" w:rsidR="00534D9A" w:rsidRDefault="003243B2">
            <w:pPr>
              <w:pStyle w:val="P68B1DB1-TableParagraph17"/>
              <w:spacing w:before="108"/>
              <w:ind w:left="85"/>
              <w:jc w:val="both"/>
              <w:rPr>
                <w:b/>
                <w:bCs/>
              </w:rPr>
            </w:pPr>
            <w:r>
              <w:lastRenderedPageBreak/>
              <w:t xml:space="preserve">L-ammont ta’ obbligazzjonijiet kif imsemmi fil-punt f tal-Artikolu 44(2) tad-Direttiva 2014/59/UE, inklużi sistemi ta’ saldu ta’ pagamenti u titoli u kmamar tal-ikklirjar, kif ukoll derivattivi kklirjati b’CCP b’maturità ta’ inqas minn 7 jum. </w:t>
            </w:r>
          </w:p>
        </w:tc>
      </w:tr>
      <w:tr w:rsidR="00534D9A" w14:paraId="7FE1B55E" w14:textId="77777777">
        <w:tc>
          <w:tcPr>
            <w:tcW w:w="905" w:type="dxa"/>
            <w:tcBorders>
              <w:top w:val="single" w:sz="4" w:space="0" w:color="1A171C"/>
              <w:left w:val="nil"/>
              <w:bottom w:val="single" w:sz="4" w:space="0" w:color="1A171C"/>
              <w:right w:val="single" w:sz="4" w:space="0" w:color="1A171C"/>
            </w:tcBorders>
            <w:vAlign w:val="center"/>
          </w:tcPr>
          <w:p w14:paraId="7FE1B55A" w14:textId="77777777" w:rsidR="00534D9A" w:rsidRDefault="003243B2">
            <w:pPr>
              <w:pStyle w:val="P68B1DB1-TableParagraph13"/>
              <w:spacing w:before="106"/>
              <w:ind w:left="-1"/>
            </w:pPr>
            <w:r>
              <w:lastRenderedPageBreak/>
              <w:t>0170</w:t>
            </w:r>
          </w:p>
        </w:tc>
        <w:tc>
          <w:tcPr>
            <w:tcW w:w="8121" w:type="dxa"/>
            <w:tcBorders>
              <w:top w:val="single" w:sz="4" w:space="0" w:color="1A171C"/>
              <w:left w:val="single" w:sz="4" w:space="0" w:color="1A171C"/>
              <w:bottom w:val="single" w:sz="4" w:space="0" w:color="1A171C"/>
              <w:right w:val="nil"/>
            </w:tcBorders>
            <w:vAlign w:val="center"/>
          </w:tcPr>
          <w:p w14:paraId="7FE1B55B" w14:textId="77777777" w:rsidR="00534D9A" w:rsidRDefault="003243B2">
            <w:pPr>
              <w:pStyle w:val="P68B1DB1-TableParagraph14"/>
              <w:spacing w:before="108"/>
              <w:ind w:left="85"/>
              <w:jc w:val="both"/>
            </w:pPr>
            <w:r>
              <w:t>L-obbligazzjonijiet għall-impjegat</w:t>
            </w:r>
          </w:p>
          <w:p w14:paraId="7FE1B55C" w14:textId="77777777" w:rsidR="00534D9A" w:rsidRDefault="003243B2">
            <w:pPr>
              <w:pStyle w:val="P68B1DB1-TableParagraph17"/>
              <w:spacing w:before="108"/>
              <w:ind w:left="85"/>
              <w:jc w:val="both"/>
            </w:pPr>
            <w:r>
              <w:t>L-ammont ta’ obbligazzjonijiet kif imsemmi fl-Artikolu 44(2), il-punt g (i) tad-Direttiva 2014/59/UE.</w:t>
            </w:r>
          </w:p>
          <w:p w14:paraId="7FE1B55D" w14:textId="77777777" w:rsidR="00534D9A" w:rsidRDefault="003243B2">
            <w:pPr>
              <w:pStyle w:val="P68B1DB1-TableParagraph17"/>
              <w:spacing w:before="108"/>
              <w:ind w:left="85"/>
              <w:jc w:val="both"/>
              <w:rPr>
                <w:b/>
                <w:bCs/>
              </w:rPr>
            </w:pPr>
            <w:r>
              <w:t>Obbligazzjonijiet għal impjegat, fir-rigward ta’ salarji, benefiċċji ta’ pensjoni dovuti jew remunerazzjoni fissa oħra, ħlief għall-komponent varjabbli tar-remunerazzjoni li mhux regolat bi ftehim kollettiv ta’ xogħol. Madanakollu dan ma għandux japplika għall-komponent varjabbli tar-rimunerazzjoni ta’ dawk li jieħdu r-riskju materjali kif identifikat fl-Artikolu 92(2) tad-Direttiva 2013/36/UE.</w:t>
            </w:r>
          </w:p>
        </w:tc>
      </w:tr>
      <w:tr w:rsidR="00534D9A" w14:paraId="7FE1B563" w14:textId="77777777">
        <w:tc>
          <w:tcPr>
            <w:tcW w:w="905" w:type="dxa"/>
            <w:tcBorders>
              <w:top w:val="single" w:sz="4" w:space="0" w:color="1A171C"/>
              <w:left w:val="nil"/>
              <w:bottom w:val="single" w:sz="4" w:space="0" w:color="1A171C"/>
              <w:right w:val="single" w:sz="4" w:space="0" w:color="1A171C"/>
            </w:tcBorders>
            <w:vAlign w:val="center"/>
          </w:tcPr>
          <w:p w14:paraId="7FE1B55F" w14:textId="77777777" w:rsidR="00534D9A" w:rsidRDefault="003243B2">
            <w:pPr>
              <w:pStyle w:val="P68B1DB1-TableParagraph13"/>
              <w:spacing w:before="106"/>
              <w:ind w:left="-1"/>
            </w:pPr>
            <w:r>
              <w:t>0180</w:t>
            </w:r>
          </w:p>
        </w:tc>
        <w:tc>
          <w:tcPr>
            <w:tcW w:w="8121" w:type="dxa"/>
            <w:tcBorders>
              <w:top w:val="single" w:sz="4" w:space="0" w:color="1A171C"/>
              <w:left w:val="single" w:sz="4" w:space="0" w:color="1A171C"/>
              <w:bottom w:val="single" w:sz="4" w:space="0" w:color="1A171C"/>
              <w:right w:val="nil"/>
            </w:tcBorders>
            <w:vAlign w:val="center"/>
          </w:tcPr>
          <w:p w14:paraId="7FE1B560" w14:textId="77777777" w:rsidR="00534D9A" w:rsidRDefault="003243B2">
            <w:pPr>
              <w:pStyle w:val="P68B1DB1-TableParagraph14"/>
              <w:spacing w:before="108"/>
              <w:ind w:left="85"/>
              <w:jc w:val="both"/>
            </w:pPr>
            <w:r>
              <w:t>L-obbligazzjonijiet kritiċi għat-tħaddim operazzjonali ta’ kuljum</w:t>
            </w:r>
          </w:p>
          <w:p w14:paraId="7FE1B562" w14:textId="61C90413" w:rsidR="00534D9A" w:rsidRDefault="003243B2">
            <w:pPr>
              <w:pStyle w:val="P68B1DB1-TableParagraph17"/>
              <w:spacing w:before="108"/>
              <w:ind w:left="85"/>
              <w:jc w:val="both"/>
              <w:rPr>
                <w:b/>
                <w:bCs/>
              </w:rPr>
            </w:pPr>
            <w:r>
              <w:t>L-ammont ta’ obbligazzjonijiet kif imsemmi fl-Artikolu 44(2), il-punt g (ii) tad-Direttiva 2014/59/UE.</w:t>
            </w:r>
          </w:p>
        </w:tc>
      </w:tr>
      <w:tr w:rsidR="00534D9A" w14:paraId="7FE1B568" w14:textId="77777777">
        <w:tc>
          <w:tcPr>
            <w:tcW w:w="905" w:type="dxa"/>
            <w:tcBorders>
              <w:top w:val="single" w:sz="4" w:space="0" w:color="1A171C"/>
              <w:left w:val="nil"/>
              <w:bottom w:val="single" w:sz="4" w:space="0" w:color="1A171C"/>
              <w:right w:val="single" w:sz="4" w:space="0" w:color="1A171C"/>
            </w:tcBorders>
            <w:vAlign w:val="center"/>
          </w:tcPr>
          <w:p w14:paraId="7FE1B564" w14:textId="77777777" w:rsidR="00534D9A" w:rsidRDefault="003243B2">
            <w:pPr>
              <w:pStyle w:val="P68B1DB1-TableParagraph13"/>
              <w:spacing w:before="106"/>
              <w:ind w:left="-1"/>
            </w:pPr>
            <w:r>
              <w:t>0190</w:t>
            </w:r>
          </w:p>
        </w:tc>
        <w:tc>
          <w:tcPr>
            <w:tcW w:w="8121" w:type="dxa"/>
            <w:tcBorders>
              <w:top w:val="single" w:sz="4" w:space="0" w:color="1A171C"/>
              <w:left w:val="single" w:sz="4" w:space="0" w:color="1A171C"/>
              <w:bottom w:val="single" w:sz="4" w:space="0" w:color="1A171C"/>
              <w:right w:val="nil"/>
            </w:tcBorders>
            <w:vAlign w:val="center"/>
          </w:tcPr>
          <w:p w14:paraId="7FE1B565" w14:textId="77777777" w:rsidR="00534D9A" w:rsidRDefault="003243B2">
            <w:pPr>
              <w:pStyle w:val="P68B1DB1-TableParagraph14"/>
              <w:spacing w:before="108"/>
              <w:ind w:left="85"/>
              <w:jc w:val="both"/>
            </w:pPr>
            <w:r>
              <w:t>L-obbligazzjonijiet lejn awtoritajiet tat-taxxa u tas-sigurtà soċjali, jekk ippreferuti</w:t>
            </w:r>
          </w:p>
          <w:p w14:paraId="7FE1B567" w14:textId="46841715" w:rsidR="00534D9A" w:rsidRDefault="003243B2">
            <w:pPr>
              <w:pStyle w:val="P68B1DB1-TableParagraph17"/>
              <w:spacing w:before="108"/>
              <w:ind w:left="85"/>
              <w:jc w:val="both"/>
              <w:rPr>
                <w:b/>
                <w:bCs/>
              </w:rPr>
            </w:pPr>
            <w:r>
              <w:t>L-ammont ta’ obbligazzjonijiet kif imsemmi fl-Artikolu 44(2), il-punt g (iii) tad-Direttiva 2014/59/UE.</w:t>
            </w:r>
          </w:p>
        </w:tc>
      </w:tr>
      <w:tr w:rsidR="00534D9A" w14:paraId="7FE1B56D" w14:textId="77777777">
        <w:tc>
          <w:tcPr>
            <w:tcW w:w="905" w:type="dxa"/>
            <w:tcBorders>
              <w:top w:val="single" w:sz="4" w:space="0" w:color="1A171C"/>
              <w:left w:val="nil"/>
              <w:bottom w:val="single" w:sz="4" w:space="0" w:color="1A171C"/>
              <w:right w:val="single" w:sz="4" w:space="0" w:color="1A171C"/>
            </w:tcBorders>
            <w:vAlign w:val="center"/>
          </w:tcPr>
          <w:p w14:paraId="7FE1B569" w14:textId="77777777" w:rsidR="00534D9A" w:rsidRDefault="003243B2">
            <w:pPr>
              <w:pStyle w:val="P68B1DB1-TableParagraph13"/>
              <w:spacing w:before="106"/>
              <w:ind w:left="-1"/>
            </w:pPr>
            <w:r>
              <w:t>0200</w:t>
            </w:r>
          </w:p>
        </w:tc>
        <w:tc>
          <w:tcPr>
            <w:tcW w:w="8121" w:type="dxa"/>
            <w:tcBorders>
              <w:top w:val="single" w:sz="4" w:space="0" w:color="1A171C"/>
              <w:left w:val="single" w:sz="4" w:space="0" w:color="1A171C"/>
              <w:bottom w:val="single" w:sz="4" w:space="0" w:color="1A171C"/>
              <w:right w:val="nil"/>
            </w:tcBorders>
            <w:vAlign w:val="center"/>
          </w:tcPr>
          <w:p w14:paraId="7FE1B56A" w14:textId="77777777" w:rsidR="00534D9A" w:rsidRDefault="003243B2">
            <w:pPr>
              <w:pStyle w:val="P68B1DB1-TableParagraph14"/>
              <w:spacing w:before="108"/>
              <w:ind w:left="85"/>
              <w:jc w:val="both"/>
            </w:pPr>
            <w:r>
              <w:t>L-obbligazzjonijiet lejn l-SGD</w:t>
            </w:r>
          </w:p>
          <w:p w14:paraId="7FE1B56C" w14:textId="69555433" w:rsidR="00534D9A" w:rsidRDefault="003243B2">
            <w:pPr>
              <w:pStyle w:val="P68B1DB1-TableParagraph17"/>
              <w:spacing w:before="108"/>
              <w:ind w:left="85"/>
              <w:jc w:val="both"/>
              <w:rPr>
                <w:b/>
                <w:bCs/>
              </w:rPr>
            </w:pPr>
            <w:r>
              <w:t>L-ammont ta’ obbligazzjonijiet kif imsemmi fl-Artikolu 44(2), il-punt g (iv) tad-Direttiva 2014/59/UE.</w:t>
            </w:r>
          </w:p>
        </w:tc>
      </w:tr>
      <w:tr w:rsidR="00534D9A" w14:paraId="7FE1B574" w14:textId="77777777">
        <w:tc>
          <w:tcPr>
            <w:tcW w:w="905" w:type="dxa"/>
            <w:tcBorders>
              <w:top w:val="single" w:sz="4" w:space="0" w:color="1A171C"/>
              <w:left w:val="nil"/>
              <w:bottom w:val="single" w:sz="4" w:space="0" w:color="1A171C"/>
              <w:right w:val="single" w:sz="4" w:space="0" w:color="1A171C"/>
            </w:tcBorders>
            <w:vAlign w:val="center"/>
          </w:tcPr>
          <w:p w14:paraId="7FE1B56E" w14:textId="77777777" w:rsidR="00534D9A" w:rsidRDefault="003243B2">
            <w:pPr>
              <w:pStyle w:val="P68B1DB1-TableParagraph13"/>
              <w:spacing w:before="106"/>
              <w:ind w:left="-1"/>
            </w:pPr>
            <w:r>
              <w:t>0210</w:t>
            </w:r>
          </w:p>
        </w:tc>
        <w:tc>
          <w:tcPr>
            <w:tcW w:w="8121" w:type="dxa"/>
            <w:tcBorders>
              <w:top w:val="single" w:sz="4" w:space="0" w:color="1A171C"/>
              <w:left w:val="single" w:sz="4" w:space="0" w:color="1A171C"/>
              <w:bottom w:val="single" w:sz="4" w:space="0" w:color="1A171C"/>
              <w:right w:val="nil"/>
            </w:tcBorders>
            <w:vAlign w:val="center"/>
          </w:tcPr>
          <w:p w14:paraId="7FE1B56F" w14:textId="77777777" w:rsidR="00534D9A" w:rsidRDefault="003243B2">
            <w:pPr>
              <w:pStyle w:val="P68B1DB1-TableParagraph14"/>
              <w:spacing w:before="108"/>
              <w:ind w:left="85"/>
              <w:jc w:val="both"/>
            </w:pPr>
            <w:r>
              <w:t>L-obbligazzjonijiet lejn entitajiet oħrajn tal-grupp ta’ riżoluzzjoni</w:t>
            </w:r>
          </w:p>
          <w:p w14:paraId="7FE1B570" w14:textId="77777777" w:rsidR="00534D9A" w:rsidRDefault="003243B2">
            <w:pPr>
              <w:pStyle w:val="P68B1DB1-TableParagraph17"/>
              <w:spacing w:before="108"/>
              <w:ind w:left="85"/>
              <w:jc w:val="both"/>
            </w:pPr>
            <w:r>
              <w:t>L-ammont ta’ obbligazzjonijiet kif imsemmi fl-Artikolu 44(2), il-punt (h) tad-Direttiva 2014/59/UE</w:t>
            </w:r>
          </w:p>
          <w:p w14:paraId="7FE1B571" w14:textId="098C1D7E" w:rsidR="00534D9A" w:rsidRDefault="003243B2">
            <w:pPr>
              <w:pStyle w:val="P68B1DB1-TableParagraph17"/>
              <w:spacing w:before="108"/>
              <w:ind w:left="85"/>
              <w:jc w:val="both"/>
            </w:pPr>
            <w:r>
              <w:t>Meta l-obbligazzjoni eskluża tkun obbligazzjoni tad-derivattivi, il-pożizzjonijiet ta’ obbligazzjonijiet netti li jqisu r-regoli ta’ netting prudenzjali tal-Artikolu 429c tar-Regolament (UE) Nru 575/2013 għandhom jiġu rrapportati għall-kolonni relatati mal- “ammont pendenti” (bħal fir-ringiela r0334). Għall-kolonni relatati mal- “ammont riportat”, għandhom jiġu rrapportati l-obbligazzjonijiet tal-karta bilanċjali li jirriżultaw minn derivattivi (bħal fir-ringiela r0330).</w:t>
            </w:r>
          </w:p>
          <w:p w14:paraId="7FE1B572" w14:textId="5F543301" w:rsidR="00534D9A" w:rsidRDefault="003243B2">
            <w:pPr>
              <w:pStyle w:val="P68B1DB1-TableParagraph17"/>
              <w:spacing w:before="108"/>
              <w:ind w:left="85"/>
              <w:jc w:val="both"/>
            </w:pPr>
            <w:r>
              <w:t>Meta l-entità relatriċi ma tkunx identifikata bħala entità ta’ riżoluzzjoni nnifisha, din trid tirrapporta biss f’dawk l-obbligazzjonijiet li jaqgħu taħt l-Artikolu 44(2)(h) tal-BRRD li huma miżmuma mis-sussidjarji tagħha li wkoll mhumiex entitajiet ta’ riżoluzzjoni iżda huma parti mill-istess grupp ta’ riżoluzzjoni bħall-entità relatriċi.</w:t>
            </w:r>
          </w:p>
          <w:p w14:paraId="7FE1B573" w14:textId="0A9C3B4A" w:rsidR="00534D9A" w:rsidRDefault="003243B2">
            <w:pPr>
              <w:pStyle w:val="P68B1DB1-TableParagraph17"/>
              <w:spacing w:before="108"/>
              <w:ind w:left="85"/>
              <w:jc w:val="both"/>
            </w:pPr>
            <w:r>
              <w:t xml:space="preserve">L-obbligazzjonijiet intragrupp għal entitajiet stabbiliti barra mill-UE ma għandhomx jiġu rrapportati f’din ir-ringiela, skont l-Artikolu 1(1) tal-BRRD, il-punti (b), (c) jew (d), kif imsemmi fl-Artikolu 44(2)(h) tal-BRRD. </w:t>
            </w:r>
          </w:p>
        </w:tc>
      </w:tr>
      <w:tr w:rsidR="00534D9A" w14:paraId="7FE1B578" w14:textId="77777777">
        <w:tc>
          <w:tcPr>
            <w:tcW w:w="905" w:type="dxa"/>
            <w:tcBorders>
              <w:top w:val="single" w:sz="4" w:space="0" w:color="1A171C"/>
              <w:left w:val="nil"/>
              <w:bottom w:val="single" w:sz="4" w:space="0" w:color="1A171C"/>
              <w:right w:val="single" w:sz="4" w:space="0" w:color="1A171C"/>
            </w:tcBorders>
            <w:vAlign w:val="center"/>
          </w:tcPr>
          <w:p w14:paraId="7FE1B575" w14:textId="77777777" w:rsidR="00534D9A" w:rsidRDefault="003243B2">
            <w:pPr>
              <w:pStyle w:val="P68B1DB1-TableParagraph13"/>
              <w:spacing w:before="106"/>
              <w:ind w:left="-1"/>
            </w:pPr>
            <w:r>
              <w:t>0300</w:t>
            </w:r>
          </w:p>
        </w:tc>
        <w:tc>
          <w:tcPr>
            <w:tcW w:w="8121" w:type="dxa"/>
            <w:tcBorders>
              <w:top w:val="single" w:sz="4" w:space="0" w:color="1A171C"/>
              <w:left w:val="single" w:sz="4" w:space="0" w:color="1A171C"/>
              <w:bottom w:val="single" w:sz="4" w:space="0" w:color="1A171C"/>
              <w:right w:val="nil"/>
            </w:tcBorders>
            <w:vAlign w:val="center"/>
          </w:tcPr>
          <w:p w14:paraId="7FE1B576" w14:textId="77777777" w:rsidR="00534D9A" w:rsidRDefault="003243B2">
            <w:pPr>
              <w:pStyle w:val="P68B1DB1-TableParagraph14"/>
              <w:spacing w:before="108"/>
              <w:ind w:left="85"/>
              <w:jc w:val="both"/>
            </w:pPr>
            <w:r>
              <w:t>L-obbligazzjonijiet mhux esklużi mir-rikapitalizzazzjoni</w:t>
            </w:r>
          </w:p>
          <w:p w14:paraId="7FE1B577" w14:textId="06299840" w:rsidR="00534D9A" w:rsidRDefault="003243B2">
            <w:pPr>
              <w:pStyle w:val="P68B1DB1-TableParagraph17"/>
              <w:spacing w:before="108"/>
              <w:ind w:left="85"/>
              <w:jc w:val="both"/>
              <w:rPr>
                <w:b/>
                <w:bCs/>
              </w:rPr>
            </w:pPr>
            <w:r>
              <w:t>L-ammont ta’ obbligazzjonijiet b’kapaċità ta’ rikapitalizzazzjoni interna, kif definit fl-Artikolu 2 (1) tad-Direttiva 2014/59/UE, il-punt (71). Dan huwa t-total tar-ringieli 0310, 0320, 0330, 0334, 0340, 0350, 0360, 0365, 0370, 0380, 0390 u 0400.</w:t>
            </w:r>
          </w:p>
        </w:tc>
      </w:tr>
      <w:tr w:rsidR="00534D9A" w14:paraId="7FE1B57D" w14:textId="77777777">
        <w:tc>
          <w:tcPr>
            <w:tcW w:w="905" w:type="dxa"/>
            <w:tcBorders>
              <w:top w:val="single" w:sz="4" w:space="0" w:color="1A171C"/>
              <w:left w:val="nil"/>
              <w:bottom w:val="single" w:sz="4" w:space="0" w:color="1A171C"/>
              <w:right w:val="single" w:sz="4" w:space="0" w:color="1A171C"/>
            </w:tcBorders>
            <w:vAlign w:val="center"/>
          </w:tcPr>
          <w:p w14:paraId="7FE1B579" w14:textId="77777777" w:rsidR="00534D9A" w:rsidRDefault="003243B2">
            <w:pPr>
              <w:pStyle w:val="P68B1DB1-TableParagraph13"/>
              <w:spacing w:before="106"/>
              <w:ind w:left="-1"/>
            </w:pPr>
            <w:r>
              <w:t>0310–0314</w:t>
            </w:r>
          </w:p>
        </w:tc>
        <w:tc>
          <w:tcPr>
            <w:tcW w:w="8121" w:type="dxa"/>
            <w:tcBorders>
              <w:top w:val="single" w:sz="4" w:space="0" w:color="1A171C"/>
              <w:left w:val="single" w:sz="4" w:space="0" w:color="1A171C"/>
              <w:bottom w:val="single" w:sz="4" w:space="0" w:color="1A171C"/>
              <w:right w:val="nil"/>
            </w:tcBorders>
            <w:vAlign w:val="center"/>
          </w:tcPr>
          <w:p w14:paraId="7FE1B57A" w14:textId="77777777" w:rsidR="00534D9A" w:rsidRDefault="003243B2">
            <w:pPr>
              <w:pStyle w:val="P68B1DB1-TableParagraph14"/>
              <w:spacing w:before="108"/>
              <w:ind w:left="85"/>
              <w:jc w:val="both"/>
            </w:pPr>
            <w:r>
              <w:t>Depożiti, mhux koperti iżda preferenzjali</w:t>
            </w:r>
          </w:p>
          <w:p w14:paraId="7FE1B57B" w14:textId="77777777" w:rsidR="00534D9A" w:rsidRDefault="003243B2">
            <w:pPr>
              <w:pStyle w:val="P68B1DB1-TableParagraph17"/>
              <w:spacing w:before="108"/>
              <w:ind w:left="85"/>
              <w:jc w:val="both"/>
            </w:pPr>
            <w:r>
              <w:t>L-Artikolu 108 tad-Direttiva 2014/59/UE</w:t>
            </w:r>
          </w:p>
          <w:p w14:paraId="7FE1B57C" w14:textId="32E4C4DA" w:rsidR="00534D9A" w:rsidRDefault="003243B2">
            <w:pPr>
              <w:pStyle w:val="P68B1DB1-TableParagraph17"/>
              <w:spacing w:before="108"/>
              <w:ind w:left="85"/>
              <w:jc w:val="both"/>
              <w:rPr>
                <w:b/>
                <w:bCs/>
              </w:rPr>
            </w:pPr>
            <w:r>
              <w:t xml:space="preserve">Depożiti kif definiti fl-Artikolu 2(1)(3) tad-Direttiva 2014/49/UE li ma jikkwalifikawx għall-esklużjoni mir-rikapitalizzazzjoni interna (l-Artikolu 44(2)(a) tad-Direttiva 2014/59/UE), iżda li għalihom huwa previst trattament preferenzjali f’konformità mal-Artikolu 108 tad-Direttiva 2014/59/UE. </w:t>
            </w:r>
          </w:p>
        </w:tc>
      </w:tr>
      <w:tr w:rsidR="00534D9A" w14:paraId="7FE1B581" w14:textId="77777777">
        <w:tc>
          <w:tcPr>
            <w:tcW w:w="905" w:type="dxa"/>
            <w:tcBorders>
              <w:top w:val="single" w:sz="4" w:space="0" w:color="1A171C"/>
              <w:left w:val="nil"/>
              <w:bottom w:val="single" w:sz="4" w:space="0" w:color="1A171C"/>
              <w:right w:val="single" w:sz="4" w:space="0" w:color="1A171C"/>
            </w:tcBorders>
            <w:vAlign w:val="center"/>
          </w:tcPr>
          <w:p w14:paraId="7FE1B57E" w14:textId="77777777" w:rsidR="00534D9A" w:rsidRDefault="003243B2">
            <w:pPr>
              <w:pStyle w:val="P68B1DB1-TableParagraph13"/>
              <w:spacing w:before="106"/>
              <w:ind w:left="-1"/>
            </w:pPr>
            <w:r>
              <w:lastRenderedPageBreak/>
              <w:t>0320–0324</w:t>
            </w:r>
          </w:p>
        </w:tc>
        <w:tc>
          <w:tcPr>
            <w:tcW w:w="8121" w:type="dxa"/>
            <w:tcBorders>
              <w:top w:val="single" w:sz="4" w:space="0" w:color="1A171C"/>
              <w:left w:val="single" w:sz="4" w:space="0" w:color="1A171C"/>
              <w:bottom w:val="single" w:sz="4" w:space="0" w:color="1A171C"/>
              <w:right w:val="nil"/>
            </w:tcBorders>
            <w:vAlign w:val="center"/>
          </w:tcPr>
          <w:p w14:paraId="7FE1B57F" w14:textId="77777777" w:rsidR="00534D9A" w:rsidRDefault="003243B2">
            <w:pPr>
              <w:pStyle w:val="P68B1DB1-TableParagraph14"/>
              <w:spacing w:before="108"/>
              <w:ind w:left="85"/>
              <w:jc w:val="both"/>
            </w:pPr>
            <w:r>
              <w:t>Depożiti, mhux koperti u mhux preferenzjali</w:t>
            </w:r>
          </w:p>
          <w:p w14:paraId="7FE1B580" w14:textId="0D609C91" w:rsidR="00534D9A" w:rsidRDefault="003243B2">
            <w:pPr>
              <w:pStyle w:val="P68B1DB1-TableParagraph17"/>
              <w:spacing w:before="108"/>
              <w:ind w:left="85"/>
              <w:jc w:val="both"/>
              <w:rPr>
                <w:b/>
                <w:bCs/>
              </w:rPr>
            </w:pPr>
            <w:r>
              <w:t>Depożiti kif definiti fl-Artikolu 2(1)(3) tad-Direttiva 2014/49/UE li ma jikkwalifikawx għall-esklużjoni mir-rikapitalizzazzjoni interna jew għal trattament preferenzjali b’applikazzjoni tal-Artikolu 44(2)(a) jew l-Artikolu 108 tad-Direttiva 2014/59/UE.</w:t>
            </w:r>
          </w:p>
        </w:tc>
      </w:tr>
      <w:tr w:rsidR="00534D9A" w14:paraId="7FE1B585" w14:textId="77777777">
        <w:tc>
          <w:tcPr>
            <w:tcW w:w="905" w:type="dxa"/>
            <w:tcBorders>
              <w:top w:val="single" w:sz="4" w:space="0" w:color="1A171C"/>
              <w:left w:val="nil"/>
              <w:bottom w:val="single" w:sz="4" w:space="0" w:color="1A171C"/>
              <w:right w:val="single" w:sz="4" w:space="0" w:color="1A171C"/>
            </w:tcBorders>
            <w:vAlign w:val="center"/>
          </w:tcPr>
          <w:p w14:paraId="7FE1B582" w14:textId="77777777" w:rsidR="00534D9A" w:rsidRDefault="003243B2">
            <w:pPr>
              <w:pStyle w:val="P68B1DB1-TableParagraph13"/>
              <w:spacing w:before="106"/>
              <w:ind w:left="-1"/>
            </w:pPr>
            <w:r>
              <w:t>0330</w:t>
            </w:r>
          </w:p>
        </w:tc>
        <w:tc>
          <w:tcPr>
            <w:tcW w:w="8121" w:type="dxa"/>
            <w:tcBorders>
              <w:top w:val="single" w:sz="4" w:space="0" w:color="1A171C"/>
              <w:left w:val="single" w:sz="4" w:space="0" w:color="1A171C"/>
              <w:bottom w:val="single" w:sz="4" w:space="0" w:color="1A171C"/>
              <w:right w:val="nil"/>
            </w:tcBorders>
            <w:vAlign w:val="center"/>
          </w:tcPr>
          <w:p w14:paraId="7FE1B583" w14:textId="77777777" w:rsidR="00534D9A" w:rsidRDefault="003243B2">
            <w:pPr>
              <w:pStyle w:val="P68B1DB1-TableParagraph14"/>
              <w:spacing w:before="108"/>
              <w:ind w:left="85"/>
              <w:jc w:val="both"/>
            </w:pPr>
            <w:r>
              <w:t>Obbligazzjonijiet skont il-karta bilanċjali li jirriżultaw mid-derivattivi</w:t>
            </w:r>
          </w:p>
          <w:p w14:paraId="625CF843" w14:textId="77777777" w:rsidR="00534D9A" w:rsidRDefault="003243B2">
            <w:pPr>
              <w:pStyle w:val="P68B1DB1-TableParagraph17"/>
              <w:spacing w:before="108"/>
              <w:ind w:left="85"/>
              <w:jc w:val="both"/>
            </w:pPr>
            <w:r>
              <w:t xml:space="preserve">Il-valur kontabilistiku tal-obbligazzjonijiet li jinħolqu mid-derivattivi. </w:t>
            </w:r>
          </w:p>
          <w:p w14:paraId="7FE1B584" w14:textId="17111D9E" w:rsidR="00534D9A" w:rsidRDefault="003243B2">
            <w:pPr>
              <w:pStyle w:val="P68B1DB1-TableParagraph17"/>
              <w:spacing w:before="108"/>
              <w:ind w:left="85"/>
              <w:jc w:val="both"/>
              <w:rPr>
                <w:b/>
                <w:bCs/>
              </w:rPr>
            </w:pPr>
            <w:r>
              <w:t>Irrapporta biss valuri fil-kamp “ammont riportat”.</w:t>
            </w:r>
          </w:p>
        </w:tc>
      </w:tr>
      <w:tr w:rsidR="00534D9A" w14:paraId="7FE1B589" w14:textId="77777777">
        <w:tc>
          <w:tcPr>
            <w:tcW w:w="905" w:type="dxa"/>
            <w:tcBorders>
              <w:top w:val="single" w:sz="4" w:space="0" w:color="1A171C"/>
              <w:left w:val="nil"/>
              <w:bottom w:val="single" w:sz="4" w:space="0" w:color="1A171C"/>
              <w:right w:val="single" w:sz="4" w:space="0" w:color="1A171C"/>
            </w:tcBorders>
            <w:vAlign w:val="center"/>
          </w:tcPr>
          <w:p w14:paraId="7FE1B586" w14:textId="77777777" w:rsidR="00534D9A" w:rsidRDefault="003243B2">
            <w:pPr>
              <w:pStyle w:val="P68B1DB1-TableParagraph13"/>
              <w:spacing w:before="106"/>
              <w:ind w:left="-1"/>
            </w:pPr>
            <w:r>
              <w:t>0331</w:t>
            </w:r>
          </w:p>
        </w:tc>
        <w:tc>
          <w:tcPr>
            <w:tcW w:w="8121" w:type="dxa"/>
            <w:tcBorders>
              <w:top w:val="single" w:sz="4" w:space="0" w:color="1A171C"/>
              <w:left w:val="single" w:sz="4" w:space="0" w:color="1A171C"/>
              <w:bottom w:val="single" w:sz="4" w:space="0" w:color="1A171C"/>
              <w:right w:val="nil"/>
            </w:tcBorders>
            <w:vAlign w:val="center"/>
          </w:tcPr>
          <w:p w14:paraId="7FE1B587" w14:textId="77777777" w:rsidR="00534D9A" w:rsidRDefault="003243B2">
            <w:pPr>
              <w:pStyle w:val="P68B1DB1-TableParagraph14"/>
              <w:spacing w:before="108"/>
              <w:ind w:left="85"/>
              <w:jc w:val="both"/>
            </w:pPr>
            <w:r>
              <w:t>It-total tal-pożizzjonijiet ta’ obbligazzjonijiet netti bil-kunsiderazzjoni tas-settijiet soġġetti għan-netting kuntrattwali, wara l-aġġustamenti skont il-valur fis-suq, qabel it-tpaċija tal-kollateral</w:t>
            </w:r>
          </w:p>
          <w:p w14:paraId="43E2EAD9" w14:textId="77777777" w:rsidR="00534D9A" w:rsidRDefault="003243B2">
            <w:pPr>
              <w:pStyle w:val="P68B1DB1-TableParagraph17"/>
              <w:spacing w:before="108"/>
              <w:ind w:left="85"/>
              <w:jc w:val="both"/>
            </w:pPr>
            <w:r>
              <w:t xml:space="preserve">Awtomatikament, it-total tal-valuri tas-suq netti tal-obbligazzjonijiet derivattivi għal kull sett soġġett għan-netting kuntrattwali Biss meta l-valur tas-suq nett ta’ sett ta’ netting ikun obbligazzjoni, għandu jiġi rrapportat is-sett ta’ netting. Għal dan l-għan, id-derivattivi li ma jkunux soġġetti għal arranġamenti ta’ netting għandhom jiġu trattati bħala kuntratt uniku, jiġifieri daqslikieku kien sett tan-netting b’derivattiva waħda biss. </w:t>
            </w:r>
          </w:p>
          <w:p w14:paraId="7FE1B588" w14:textId="07C2ADA5" w:rsidR="00534D9A" w:rsidRDefault="003243B2">
            <w:pPr>
              <w:pStyle w:val="P68B1DB1-TableParagraph17"/>
              <w:spacing w:before="108"/>
              <w:ind w:left="85"/>
              <w:jc w:val="both"/>
              <w:rPr>
                <w:b/>
                <w:bCs/>
              </w:rPr>
            </w:pPr>
            <w:r>
              <w:t>Irrapporta biss valuri fil-kamp “ammont pendenti”.</w:t>
            </w:r>
          </w:p>
        </w:tc>
      </w:tr>
      <w:tr w:rsidR="00534D9A" w14:paraId="7FE1B58D" w14:textId="77777777">
        <w:tc>
          <w:tcPr>
            <w:tcW w:w="905" w:type="dxa"/>
            <w:tcBorders>
              <w:top w:val="single" w:sz="4" w:space="0" w:color="1A171C"/>
              <w:left w:val="nil"/>
              <w:bottom w:val="single" w:sz="4" w:space="0" w:color="1A171C"/>
              <w:right w:val="single" w:sz="4" w:space="0" w:color="1A171C"/>
            </w:tcBorders>
            <w:vAlign w:val="center"/>
          </w:tcPr>
          <w:p w14:paraId="7FE1B58A" w14:textId="77777777" w:rsidR="00534D9A" w:rsidRDefault="003243B2">
            <w:pPr>
              <w:pStyle w:val="P68B1DB1-TableParagraph13"/>
              <w:spacing w:before="106"/>
              <w:ind w:left="-1"/>
            </w:pPr>
            <w:r>
              <w:t>0332</w:t>
            </w:r>
          </w:p>
        </w:tc>
        <w:tc>
          <w:tcPr>
            <w:tcW w:w="8121" w:type="dxa"/>
            <w:tcBorders>
              <w:top w:val="single" w:sz="4" w:space="0" w:color="1A171C"/>
              <w:left w:val="single" w:sz="4" w:space="0" w:color="1A171C"/>
              <w:bottom w:val="single" w:sz="4" w:space="0" w:color="1A171C"/>
              <w:right w:val="nil"/>
            </w:tcBorders>
            <w:vAlign w:val="center"/>
          </w:tcPr>
          <w:p w14:paraId="7FE1B58B" w14:textId="77777777" w:rsidR="00534D9A" w:rsidRDefault="003243B2">
            <w:pPr>
              <w:pStyle w:val="P68B1DB1-TableParagraph14"/>
              <w:spacing w:before="108"/>
              <w:ind w:left="85"/>
              <w:jc w:val="both"/>
            </w:pPr>
            <w:r>
              <w:t>It-total tal-pożizzjonijiet ta’ obbligazzjonijiet netti bil-kunsiderazzjoni tas-settijiet soġġetti għan-netting kuntrattwali, wara l-aġġustamenti skont il-valur fis-suq, wara t-tpaċija tal-kollateral</w:t>
            </w:r>
          </w:p>
          <w:p w14:paraId="5A26CA7C" w14:textId="1D9E4DD4" w:rsidR="00534D9A" w:rsidRDefault="003243B2">
            <w:pPr>
              <w:pStyle w:val="P68B1DB1-TableParagraph17"/>
              <w:spacing w:before="108"/>
              <w:ind w:left="85"/>
              <w:jc w:val="both"/>
            </w:pPr>
            <w:r>
              <w:t>Il-valwazzjoni fir-ringiela 0331 hija soġġetta għal aġġustament għall-kollateral iddepożitat biex jiggarantixxi din l-iskopertura, li jirriżulta fit-total ta’ dawn il-valuri tas-suq netti wara t-tpaċija tal-kollateral fil-valur tas-suq tiegħu. Huma biss dawk is-settijiet tan-netting kuntrattwali li għalihom il-pożizzjoni tal-obbligazzjoni wara l-aġġustamenti tal-valwazzjoni skont is-suq u t-tpaċija ta’ wara l-kollateral hija ammont pożittiv li għandhom jiġu rrapportati f’din ir-ringiela (jiġifieri biss meta</w:t>
            </w:r>
            <w:r>
              <w:t xml:space="preserve"> l-Valur Nett skont is-Suq (c0120 ta’ Z15.00) ikun ogħla mill-Valur ta’ Kollateral Nett Postatat (c0130 ta’ Z15.00)). </w:t>
            </w:r>
          </w:p>
          <w:p w14:paraId="7FE1B58C" w14:textId="453C45AE" w:rsidR="00534D9A" w:rsidRDefault="003243B2">
            <w:pPr>
              <w:pStyle w:val="P68B1DB1-TableParagraph17"/>
              <w:spacing w:before="108"/>
              <w:ind w:left="85"/>
              <w:jc w:val="both"/>
            </w:pPr>
            <w:r>
              <w:t>Irrapporta biss valuri fil-kamp “ammont pendenti”.</w:t>
            </w:r>
          </w:p>
        </w:tc>
      </w:tr>
      <w:tr w:rsidR="00534D9A" w14:paraId="7FE1B592" w14:textId="77777777">
        <w:tc>
          <w:tcPr>
            <w:tcW w:w="905" w:type="dxa"/>
            <w:tcBorders>
              <w:top w:val="single" w:sz="4" w:space="0" w:color="1A171C"/>
              <w:left w:val="nil"/>
              <w:bottom w:val="single" w:sz="4" w:space="0" w:color="1A171C"/>
              <w:right w:val="single" w:sz="4" w:space="0" w:color="1A171C"/>
            </w:tcBorders>
            <w:vAlign w:val="center"/>
          </w:tcPr>
          <w:p w14:paraId="7FE1B58E" w14:textId="77777777" w:rsidR="00534D9A" w:rsidRDefault="003243B2">
            <w:pPr>
              <w:pStyle w:val="P68B1DB1-TableParagraph13"/>
              <w:spacing w:before="106"/>
              <w:ind w:left="-1"/>
            </w:pPr>
            <w:r>
              <w:t>0333</w:t>
            </w:r>
          </w:p>
        </w:tc>
        <w:tc>
          <w:tcPr>
            <w:tcW w:w="8121" w:type="dxa"/>
            <w:tcBorders>
              <w:top w:val="single" w:sz="4" w:space="0" w:color="1A171C"/>
              <w:left w:val="single" w:sz="4" w:space="0" w:color="1A171C"/>
              <w:bottom w:val="single" w:sz="4" w:space="0" w:color="1A171C"/>
              <w:right w:val="nil"/>
            </w:tcBorders>
            <w:vAlign w:val="center"/>
          </w:tcPr>
          <w:p w14:paraId="7FE1B58F" w14:textId="77777777" w:rsidR="00534D9A" w:rsidRDefault="003243B2">
            <w:pPr>
              <w:pStyle w:val="P68B1DB1-TableParagraph14"/>
              <w:spacing w:before="108"/>
              <w:ind w:left="85"/>
              <w:jc w:val="both"/>
            </w:pPr>
            <w:r>
              <w:t>It-total tal-pożizzjonijiet ta’ obbligazzjonijiet netti bil-kunsiderazzjoni tas-settijiet soġġetti għan-netting kuntrattwali, wara l-aġġustamenti skont il-valur fis-suq, wara t-tpaċija tal-kollateral, u filwaqt li jiġu inkorporati l-ammonti stmati tal-close-out</w:t>
            </w:r>
          </w:p>
          <w:p w14:paraId="7FE1B590" w14:textId="77777777"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F’konformità mar-Regolament Delegat tal-Kummissjoni 2016/1401</w:t>
            </w:r>
            <w:r>
              <w:rPr>
                <w:rStyle w:val="FootnoteReference"/>
                <w:rFonts w:ascii="Times New Roman" w:eastAsia="Cambria" w:hAnsi="Times New Roman" w:cs="Times New Roman"/>
                <w:color w:val="1A171C"/>
              </w:rPr>
              <w:footnoteReference w:id="16"/>
            </w:r>
            <w:r>
              <w:rPr>
                <w:rFonts w:ascii="Times New Roman" w:eastAsia="Cambria" w:hAnsi="Times New Roman" w:cs="Times New Roman"/>
                <w:color w:val="000000" w:themeColor="text1"/>
                <w:sz w:val="20"/>
                <w:szCs w:val="20"/>
              </w:rPr>
              <w:t xml:space="preserve"> dwar il-valwazzjoni tal-obbligazzjonijiet li jirriżultaw minn derivattivi, ammont addizzjonali tal-close-out li jkopri l-ammont ta’ telf jew kostijiet imġarrba minn kontropartijiet ta’ derivattivi, jew qligħ li jkunu għamlu, meta ssir sostituzzjoni jew jinkiseb l-ekwivalenti ekonomiku f’termini materjali tal-kuntratti u d-drittijiet ta’ opzjoni tal-partijiet fir-rigward tal-kuntratti terminati.</w:t>
            </w:r>
          </w:p>
          <w:p w14:paraId="00480641" w14:textId="2B7C2F6F"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L-estimi meħtieġa sabiex jiġi ddeterminat ammont ta’ close-out f’konformità mar-Regolament imsemmi hawn fuq jistgħu jkunu pjuttost diffiċli fuq bażi individwali. Għaldaqstant, minflok jistgħu jintużaw valuri indikattivi li jistgħu jkunu bbażati fuq data disponibbli bħar-rekwiżit prudenzjali għar-riskju tas-suq. Jekk ikun impossibbli li jsir kalkolu tal-ammont tal-close-out għall-obbligazzjonijiet derivattivi, l-ammont irrapportat għandu jkun ugwali għall-ammont irrapportat fir-ringiela 0332.</w:t>
            </w:r>
            <w:r>
              <w:t xml:space="preserve"> </w:t>
            </w:r>
            <w:r>
              <w:rPr>
                <w:rFonts w:ascii="Times New Roman" w:eastAsia="Cambria" w:hAnsi="Times New Roman" w:cs="Times New Roman"/>
                <w:color w:val="000000" w:themeColor="text1"/>
                <w:sz w:val="20"/>
                <w:szCs w:val="20"/>
              </w:rPr>
              <w:t xml:space="preserve">Dawk is-settijiet tan-netting kuntrattwali biss li għalihom il-pożizzjoni tal-obbligazzjoni wara l-aġġustamenti tal-valwazzjoni skont is-suq, wara t-tpaċija tal-kollateral u l-inkorporazzjoni tal-ammonti stmati ta’ close-out huma ammont pożittiv li għandhom jiġu rrapportati </w:t>
            </w:r>
            <w:r>
              <w:rPr>
                <w:rFonts w:ascii="Times New Roman" w:eastAsia="Cambria" w:hAnsi="Times New Roman" w:cs="Times New Roman"/>
                <w:color w:val="000000" w:themeColor="text1"/>
                <w:sz w:val="20"/>
                <w:szCs w:val="20"/>
              </w:rPr>
              <w:lastRenderedPageBreak/>
              <w:t>f’din ir-ringiela (jiġifieri biss meta l-Ammont Stmat ta’ Terminazzjoni Bikrija (c0150 ta’ Z15.00) ikun pożittiv).</w:t>
            </w:r>
          </w:p>
          <w:p w14:paraId="7FE1B591" w14:textId="3F2EA3D4" w:rsidR="00534D9A" w:rsidRDefault="003243B2">
            <w:pPr>
              <w:pStyle w:val="P68B1DB1-TableParagraph17"/>
              <w:spacing w:before="108"/>
              <w:ind w:left="85"/>
              <w:jc w:val="both"/>
            </w:pPr>
            <w:r>
              <w:t>Irrapporta biss valuri fil-kamp “ammont pendenti”.</w:t>
            </w:r>
          </w:p>
        </w:tc>
      </w:tr>
      <w:tr w:rsidR="00534D9A" w14:paraId="7FE1B596" w14:textId="77777777">
        <w:tc>
          <w:tcPr>
            <w:tcW w:w="905" w:type="dxa"/>
            <w:tcBorders>
              <w:top w:val="single" w:sz="4" w:space="0" w:color="1A171C"/>
              <w:left w:val="nil"/>
              <w:bottom w:val="single" w:sz="4" w:space="0" w:color="1A171C"/>
              <w:right w:val="single" w:sz="4" w:space="0" w:color="1A171C"/>
            </w:tcBorders>
            <w:vAlign w:val="center"/>
          </w:tcPr>
          <w:p w14:paraId="7FE1B593" w14:textId="77777777" w:rsidR="00534D9A" w:rsidRDefault="003243B2">
            <w:pPr>
              <w:pStyle w:val="P68B1DB1-TableParagraph13"/>
              <w:spacing w:before="106"/>
              <w:ind w:left="-1"/>
            </w:pPr>
            <w:r>
              <w:lastRenderedPageBreak/>
              <w:t>0334</w:t>
            </w:r>
          </w:p>
        </w:tc>
        <w:tc>
          <w:tcPr>
            <w:tcW w:w="8121" w:type="dxa"/>
            <w:tcBorders>
              <w:top w:val="single" w:sz="4" w:space="0" w:color="1A171C"/>
              <w:left w:val="single" w:sz="4" w:space="0" w:color="1A171C"/>
              <w:bottom w:val="single" w:sz="4" w:space="0" w:color="1A171C"/>
              <w:right w:val="nil"/>
            </w:tcBorders>
            <w:vAlign w:val="center"/>
          </w:tcPr>
          <w:p w14:paraId="7FE1B594" w14:textId="77777777" w:rsidR="00534D9A" w:rsidRDefault="003243B2">
            <w:pPr>
              <w:pStyle w:val="P68B1DB1-TableParagraph14"/>
              <w:spacing w:before="108"/>
              <w:ind w:left="85"/>
              <w:jc w:val="both"/>
              <w:rPr>
                <w:bCs/>
              </w:rPr>
            </w:pPr>
            <w:r>
              <w:t>It-total tal-pożizzjonijiet ta’ obbligazzjonijiet netti bil-kunsiderazzjoni tar-regoli tan-netting prudenzjali</w:t>
            </w:r>
          </w:p>
          <w:p w14:paraId="225BC2D2" w14:textId="5634735D" w:rsidR="00534D9A" w:rsidRDefault="003243B2">
            <w:pPr>
              <w:pStyle w:val="P68B1DB1-TableParagraph17"/>
              <w:spacing w:before="108"/>
              <w:ind w:left="85"/>
              <w:jc w:val="both"/>
            </w:pPr>
            <w:r>
              <w:t>Għandhom jiġu rrapportati l-pożizzjonijiet ta’ obbligazzjonijiet netti għad-derivattivi bil-kunsiderazzjoni tar-regoli tan-netting prudenzjali tal-Artikolu 429 tar-Regolament (UE) Nru 575/2013 (relatati mal-kalkolu tal-miżura tal-iskopertura totali tal-proporzjon ta’ ingranaġġ).</w:t>
            </w:r>
          </w:p>
          <w:p w14:paraId="7FE1B595" w14:textId="1E8C2F86" w:rsidR="00534D9A" w:rsidRDefault="003243B2">
            <w:pPr>
              <w:pStyle w:val="P68B1DB1-TableParagraph17"/>
              <w:spacing w:before="108"/>
              <w:ind w:left="85"/>
              <w:jc w:val="both"/>
              <w:rPr>
                <w:b/>
                <w:bCs/>
              </w:rPr>
            </w:pPr>
            <w:r>
              <w:t>Irrapporta biss valuri fil-kamp “ammont pendenti”.</w:t>
            </w:r>
          </w:p>
        </w:tc>
      </w:tr>
      <w:tr w:rsidR="00534D9A" w14:paraId="7FE1B59A" w14:textId="77777777">
        <w:tc>
          <w:tcPr>
            <w:tcW w:w="905" w:type="dxa"/>
            <w:tcBorders>
              <w:top w:val="single" w:sz="4" w:space="0" w:color="1A171C"/>
              <w:left w:val="nil"/>
              <w:bottom w:val="single" w:sz="4" w:space="0" w:color="1A171C"/>
              <w:right w:val="single" w:sz="4" w:space="0" w:color="1A171C"/>
            </w:tcBorders>
            <w:vAlign w:val="center"/>
          </w:tcPr>
          <w:p w14:paraId="7FE1B597" w14:textId="77777777" w:rsidR="00534D9A" w:rsidRDefault="003243B2">
            <w:pPr>
              <w:pStyle w:val="P68B1DB1-TableParagraph13"/>
              <w:spacing w:before="106"/>
              <w:ind w:left="-1"/>
            </w:pPr>
            <w:r>
              <w:t>0340–0344</w:t>
            </w:r>
          </w:p>
        </w:tc>
        <w:tc>
          <w:tcPr>
            <w:tcW w:w="8121" w:type="dxa"/>
            <w:tcBorders>
              <w:top w:val="single" w:sz="4" w:space="0" w:color="1A171C"/>
              <w:left w:val="single" w:sz="4" w:space="0" w:color="1A171C"/>
              <w:bottom w:val="single" w:sz="4" w:space="0" w:color="1A171C"/>
              <w:right w:val="nil"/>
            </w:tcBorders>
            <w:vAlign w:val="center"/>
          </w:tcPr>
          <w:p w14:paraId="7FE1B598" w14:textId="77777777" w:rsidR="00534D9A" w:rsidRDefault="003243B2">
            <w:pPr>
              <w:pStyle w:val="P68B1DB1-TableParagraph14"/>
              <w:spacing w:before="108"/>
              <w:ind w:left="85"/>
              <w:jc w:val="both"/>
              <w:rPr>
                <w:bCs/>
              </w:rPr>
            </w:pPr>
            <w:r>
              <w:t>L-obbligazzjonijiet garantiti mhux kollateralizzati</w:t>
            </w:r>
          </w:p>
          <w:p w14:paraId="7FE1B599" w14:textId="77777777" w:rsidR="00534D9A" w:rsidRDefault="003243B2">
            <w:pPr>
              <w:pStyle w:val="P68B1DB1-TableParagraph13"/>
              <w:spacing w:before="108"/>
              <w:ind w:left="85"/>
              <w:jc w:val="both"/>
              <w:rPr>
                <w:b/>
                <w:bCs/>
              </w:rPr>
            </w:pPr>
            <w:r>
              <w:t>L-ammont ta’ obbligazzjonijiet garantiti jew obbligazzjonijiet li għalihom ikun ġie ppleġġjat kollateral li jaqbeż il-valur tal-assi, tal-pleġġ, tar-rahan jew tal-kollateral li jkun iggarantit bih. Dan għandu jkopri l-parti “sottokollateralizzata” ta’ kull obbligazzjoni kkollateralizzata, pereżempju l-parti sottokollateralizzata tal-bonds koperti jew tat-tranżazzjonijiet ta’ riakkwist.</w:t>
            </w:r>
          </w:p>
        </w:tc>
      </w:tr>
      <w:tr w:rsidR="00534D9A" w14:paraId="7FE1B59E" w14:textId="77777777">
        <w:tc>
          <w:tcPr>
            <w:tcW w:w="905" w:type="dxa"/>
            <w:tcBorders>
              <w:top w:val="single" w:sz="4" w:space="0" w:color="1A171C"/>
              <w:left w:val="nil"/>
              <w:bottom w:val="single" w:sz="4" w:space="0" w:color="1A171C"/>
              <w:right w:val="single" w:sz="4" w:space="0" w:color="1A171C"/>
            </w:tcBorders>
            <w:vAlign w:val="center"/>
          </w:tcPr>
          <w:p w14:paraId="7FE1B59B" w14:textId="77777777" w:rsidR="00534D9A" w:rsidRDefault="003243B2">
            <w:pPr>
              <w:pStyle w:val="P68B1DB1-TableParagraph13"/>
              <w:spacing w:before="106"/>
              <w:ind w:left="-1"/>
            </w:pPr>
            <w:r>
              <w:t>0350–0354</w:t>
            </w:r>
          </w:p>
        </w:tc>
        <w:tc>
          <w:tcPr>
            <w:tcW w:w="8121" w:type="dxa"/>
            <w:tcBorders>
              <w:top w:val="single" w:sz="4" w:space="0" w:color="1A171C"/>
              <w:left w:val="single" w:sz="4" w:space="0" w:color="1A171C"/>
              <w:bottom w:val="single" w:sz="4" w:space="0" w:color="1A171C"/>
              <w:right w:val="nil"/>
            </w:tcBorders>
            <w:vAlign w:val="center"/>
          </w:tcPr>
          <w:p w14:paraId="7FE1B59C" w14:textId="77777777" w:rsidR="00534D9A" w:rsidRDefault="003243B2">
            <w:pPr>
              <w:pStyle w:val="P68B1DB1-TableParagraph14"/>
              <w:spacing w:before="108"/>
              <w:ind w:left="85"/>
              <w:jc w:val="both"/>
              <w:rPr>
                <w:bCs/>
              </w:rPr>
            </w:pPr>
            <w:r>
              <w:t>Noti strutturati</w:t>
            </w:r>
          </w:p>
          <w:p w14:paraId="7FE1B59D" w14:textId="77777777" w:rsidR="00534D9A" w:rsidRDefault="003243B2">
            <w:pPr>
              <w:pStyle w:val="P68B1DB1-TableParagraph17"/>
              <w:spacing w:before="108"/>
              <w:ind w:left="85"/>
              <w:jc w:val="both"/>
              <w:rPr>
                <w:b/>
                <w:bCs/>
              </w:rPr>
            </w:pPr>
            <w:r>
              <w:t>In-noti strutturati huma definiti għal dan l-iskop bħala obbligi ta’ dejn li fihom komponent ta’ derivattiv inkorporat, b’rendimenti marbuta ma’ titolu jew indiċi sottostanti (pubbliku jew personalizzat, bħal ekwitajiet jew bonds, kreditu jew rati tal-imgħax fissi, FX, komoditajiet, eċċ.). In-noti strutturati ma jinkludux strumenti tad-dejn li jinkludu opzjonijiet ta’ xiri jew ta’ bejgħ biss, jiġifieri l-valur tal-istrument ma jiddependi fuq l-ebda komponent ta’ derivattiv inkorporat.</w:t>
            </w:r>
          </w:p>
        </w:tc>
      </w:tr>
      <w:tr w:rsidR="00534D9A" w14:paraId="7FE1B5A2" w14:textId="77777777">
        <w:tc>
          <w:tcPr>
            <w:tcW w:w="905" w:type="dxa"/>
            <w:tcBorders>
              <w:top w:val="single" w:sz="4" w:space="0" w:color="1A171C"/>
              <w:left w:val="nil"/>
              <w:bottom w:val="single" w:sz="4" w:space="0" w:color="1A171C"/>
              <w:right w:val="single" w:sz="4" w:space="0" w:color="1A171C"/>
            </w:tcBorders>
            <w:vAlign w:val="center"/>
          </w:tcPr>
          <w:p w14:paraId="7FE1B59F" w14:textId="77777777" w:rsidR="00534D9A" w:rsidRDefault="003243B2">
            <w:pPr>
              <w:pStyle w:val="P68B1DB1-TableParagraph13"/>
              <w:spacing w:before="106"/>
              <w:ind w:left="-1"/>
            </w:pPr>
            <w:r>
              <w:t>0360–0364</w:t>
            </w:r>
          </w:p>
        </w:tc>
        <w:tc>
          <w:tcPr>
            <w:tcW w:w="8121" w:type="dxa"/>
            <w:tcBorders>
              <w:top w:val="single" w:sz="4" w:space="0" w:color="1A171C"/>
              <w:left w:val="single" w:sz="4" w:space="0" w:color="1A171C"/>
              <w:bottom w:val="single" w:sz="4" w:space="0" w:color="1A171C"/>
              <w:right w:val="nil"/>
            </w:tcBorders>
            <w:vAlign w:val="center"/>
          </w:tcPr>
          <w:p w14:paraId="7FE1B5A0" w14:textId="77777777" w:rsidR="00534D9A" w:rsidRDefault="003243B2">
            <w:pPr>
              <w:pStyle w:val="P68B1DB1-TableParagraph14"/>
              <w:spacing w:before="108"/>
              <w:ind w:left="85"/>
              <w:jc w:val="both"/>
              <w:rPr>
                <w:bCs/>
              </w:rPr>
            </w:pPr>
            <w:r>
              <w:t>Obbligazzjonijiet prijoritarji mhux garantiti</w:t>
            </w:r>
          </w:p>
          <w:p w14:paraId="7FE1B5A1" w14:textId="2515816B" w:rsidR="00534D9A" w:rsidRDefault="003243B2">
            <w:pPr>
              <w:pStyle w:val="P68B1DB1-TableParagraph17"/>
              <w:spacing w:before="108"/>
              <w:ind w:left="85"/>
              <w:jc w:val="both"/>
              <w:rPr>
                <w:b/>
                <w:bCs/>
              </w:rPr>
            </w:pPr>
            <w:r>
              <w:t>Dan jinkludi l-istrumenti superjuri u mhux garantiti kollha li mhumiex inklużi f’kategoriji oħra ta’ hawn fuq.</w:t>
            </w:r>
          </w:p>
        </w:tc>
      </w:tr>
      <w:tr w:rsidR="00534D9A" w14:paraId="7FE1B5A9" w14:textId="77777777">
        <w:tc>
          <w:tcPr>
            <w:tcW w:w="905" w:type="dxa"/>
            <w:tcBorders>
              <w:top w:val="single" w:sz="4" w:space="0" w:color="1A171C"/>
              <w:left w:val="nil"/>
              <w:bottom w:val="single" w:sz="4" w:space="0" w:color="1A171C"/>
              <w:right w:val="single" w:sz="4" w:space="0" w:color="1A171C"/>
            </w:tcBorders>
            <w:vAlign w:val="center"/>
          </w:tcPr>
          <w:p w14:paraId="7FE1B5A3" w14:textId="77777777" w:rsidR="00534D9A" w:rsidRDefault="003243B2">
            <w:pPr>
              <w:pStyle w:val="P68B1DB1-TableParagraph13"/>
              <w:spacing w:before="106"/>
              <w:ind w:left="-1"/>
            </w:pPr>
            <w:r>
              <w:t>0365–0369</w:t>
            </w:r>
          </w:p>
        </w:tc>
        <w:tc>
          <w:tcPr>
            <w:tcW w:w="8121" w:type="dxa"/>
            <w:tcBorders>
              <w:top w:val="single" w:sz="4" w:space="0" w:color="1A171C"/>
              <w:left w:val="single" w:sz="4" w:space="0" w:color="1A171C"/>
              <w:bottom w:val="single" w:sz="4" w:space="0" w:color="1A171C"/>
              <w:right w:val="nil"/>
            </w:tcBorders>
            <w:vAlign w:val="center"/>
          </w:tcPr>
          <w:p w14:paraId="7FE1B5A4" w14:textId="77777777" w:rsidR="00534D9A" w:rsidRDefault="003243B2">
            <w:pPr>
              <w:pStyle w:val="P68B1DB1-TableParagraph14"/>
              <w:spacing w:before="108"/>
              <w:ind w:left="85"/>
              <w:jc w:val="both"/>
            </w:pPr>
            <w:r>
              <w:t>Obbligazzjonijiet prijoritarji mhux bi preferenza</w:t>
            </w:r>
          </w:p>
          <w:p w14:paraId="7FE1B5A5" w14:textId="77777777" w:rsidR="00534D9A" w:rsidRDefault="003243B2">
            <w:pPr>
              <w:pStyle w:val="P68B1DB1-TableParagraph13"/>
              <w:spacing w:before="108"/>
              <w:ind w:left="85"/>
              <w:jc w:val="both"/>
            </w:pPr>
            <w:r>
              <w:t>L-ammont ta’ kwalunkwe waħda minn dawn l-obbligazzjonijiet segwenti:</w:t>
            </w:r>
          </w:p>
          <w:p w14:paraId="7FE1B5A6" w14:textId="51806099" w:rsidR="00534D9A" w:rsidRDefault="003243B2">
            <w:pPr>
              <w:pStyle w:val="P68B1DB1-TableParagraph13"/>
              <w:numPr>
                <w:ilvl w:val="0"/>
                <w:numId w:val="69"/>
              </w:numPr>
              <w:spacing w:before="108"/>
              <w:jc w:val="both"/>
            </w:pPr>
            <w:r>
              <w:t xml:space="preserve">Pretensjonijiet mhux garantiti li jirriżultaw minn strumenti ta’ dejn li jissodisfaw il-kundizzjonijiet stabbiliti fl-Artikolu 108 tad-Direttiva 2014/59/UE, il-paragrafu 2, il-punti (a), (b) u (c) u l-paragrafu 3; </w:t>
            </w:r>
          </w:p>
          <w:p w14:paraId="7FE1B5A7" w14:textId="77777777" w:rsidR="00534D9A" w:rsidRDefault="003243B2">
            <w:pPr>
              <w:pStyle w:val="P68B1DB1-TableParagraph13"/>
              <w:numPr>
                <w:ilvl w:val="0"/>
                <w:numId w:val="69"/>
              </w:numPr>
              <w:spacing w:before="108"/>
              <w:jc w:val="both"/>
            </w:pPr>
            <w:r>
              <w:t>Krediti mhux garantiti li jirriżultaw minn strumenti ta’ dejn imsemmija fil-punt (b) tal-ewwel sottoparagrafu tal-Artikolu 108(5) tad-Direttiva 2014/59/UE; jew﻿</w:t>
            </w:r>
          </w:p>
          <w:p w14:paraId="7FE1B5A8" w14:textId="77777777" w:rsidR="00534D9A" w:rsidRDefault="003243B2">
            <w:pPr>
              <w:pStyle w:val="P68B1DB1-TableParagraph13"/>
              <w:numPr>
                <w:ilvl w:val="0"/>
                <w:numId w:val="69"/>
              </w:numPr>
              <w:spacing w:before="108"/>
              <w:jc w:val="both"/>
            </w:pPr>
            <w:r>
              <w:t>Strumenti ta’ dejn bl-aktar klassifikazzjoni baxxa ta’ prijorità fost il-krediti mhux garantiti ordinarji li jirriżultaw minn strumenti ta’ dejn imsemmija fl-Artikolu 108(7) tad-Direttiva 2014/59/UE, li f’konformità ma’ dak il-paragrafu, Stat Membru jkun ipprovda li dawn għandhom l-istess klassifikazzjoni bħal dik ta’ krediti li jissodisfaw il-kundizzjonijiet tal-punti (a), (b) u (c) tal-paragrafu 2 u tal-paragrafu 3 tal-Artikolu 108 tad-Direttiva 2014/59/UE.</w:t>
            </w:r>
          </w:p>
        </w:tc>
      </w:tr>
      <w:tr w:rsidR="00534D9A" w14:paraId="7FE1B5AF" w14:textId="77777777">
        <w:tc>
          <w:tcPr>
            <w:tcW w:w="905" w:type="dxa"/>
            <w:tcBorders>
              <w:top w:val="single" w:sz="4" w:space="0" w:color="1A171C"/>
              <w:left w:val="nil"/>
              <w:bottom w:val="single" w:sz="4" w:space="0" w:color="1A171C"/>
              <w:right w:val="single" w:sz="4" w:space="0" w:color="1A171C"/>
            </w:tcBorders>
            <w:vAlign w:val="center"/>
          </w:tcPr>
          <w:p w14:paraId="7FE1B5AA" w14:textId="77777777" w:rsidR="00534D9A" w:rsidRDefault="003243B2">
            <w:pPr>
              <w:pStyle w:val="P68B1DB1-TableParagraph13"/>
              <w:spacing w:before="106"/>
              <w:ind w:left="-1"/>
            </w:pPr>
            <w:r>
              <w:t>0370–0374</w:t>
            </w:r>
          </w:p>
        </w:tc>
        <w:tc>
          <w:tcPr>
            <w:tcW w:w="8121" w:type="dxa"/>
            <w:tcBorders>
              <w:top w:val="single" w:sz="4" w:space="0" w:color="1A171C"/>
              <w:left w:val="single" w:sz="4" w:space="0" w:color="1A171C"/>
              <w:bottom w:val="single" w:sz="4" w:space="0" w:color="1A171C"/>
              <w:right w:val="nil"/>
            </w:tcBorders>
            <w:vAlign w:val="center"/>
          </w:tcPr>
          <w:p w14:paraId="7FE1B5AB" w14:textId="77777777" w:rsidR="00534D9A" w:rsidRDefault="003243B2">
            <w:pPr>
              <w:pStyle w:val="P68B1DB1-TableParagraph14"/>
              <w:spacing w:before="108"/>
              <w:ind w:left="85"/>
              <w:jc w:val="both"/>
              <w:rPr>
                <w:bCs/>
              </w:rPr>
            </w:pPr>
            <w:r>
              <w:t>L-obbligazzjonijiet subordinati (mhux rikonoxxuti bħala fondi proprji)</w:t>
            </w:r>
          </w:p>
          <w:p w14:paraId="7FE1B5AC" w14:textId="77777777" w:rsidR="00534D9A" w:rsidRDefault="003243B2">
            <w:pPr>
              <w:pStyle w:val="P68B1DB1-TableParagraph17"/>
              <w:spacing w:before="108"/>
              <w:ind w:left="85"/>
              <w:jc w:val="both"/>
            </w:pPr>
            <w:r>
              <w:t>L-obbligazzjonijiet li se jitħallsu lura biss skont il-liġi nazzjonali tal-insolvenza wara li l-klassijiet kollha ta’ kredituri ordinarji u ta’ kredituri prijoritarji mhux bi preferenza jkunu tħallsu mija fil-mija lura. Dan jinkludi kemm obbligazzjonijiet subordinati b’mod kuntrattwali kif ukoll dawk subordinati b’mod statutorju. Fil-każ ta’ kumpaniji azzjonarji, it-titoli ta’ dejn mhux subordinati jistgħu wkoll jiġu rrapportati f’din il-kategorija (jiġifieri subordinazzjoni strutturali).</w:t>
            </w:r>
          </w:p>
          <w:p w14:paraId="7FE1B5AD" w14:textId="77777777" w:rsidR="00534D9A" w:rsidRDefault="003243B2">
            <w:pPr>
              <w:pStyle w:val="P68B1DB1-TableParagraph17"/>
              <w:spacing w:before="108"/>
              <w:ind w:left="85"/>
              <w:jc w:val="both"/>
            </w:pPr>
            <w:r>
              <w:t xml:space="preserve">F’din il-kategorija għandhom jiġu inklużi biss l-istrumenti subordinati li ma humiex rikonoxxuti bħala fondi proprji. </w:t>
            </w:r>
          </w:p>
          <w:p w14:paraId="7FE1B5AE" w14:textId="77777777" w:rsidR="00534D9A" w:rsidRDefault="003243B2">
            <w:pPr>
              <w:pStyle w:val="P68B1DB1-TableParagraph17"/>
              <w:spacing w:before="108"/>
              <w:ind w:left="85"/>
              <w:jc w:val="both"/>
              <w:rPr>
                <w:b/>
                <w:bCs/>
              </w:rPr>
            </w:pPr>
            <w:r>
              <w:t>Din ir-ringiela għandha tinkludi wkoll dik il-parti tal-obbligazzjonijiet subordinati li tikkwalifika fil-</w:t>
            </w:r>
            <w:r>
              <w:lastRenderedPageBreak/>
              <w:t xml:space="preserve">prinċipju bħala fondi proprji, iżda mhijiex inkluża fil-fondi proprji minħabba d-dispożizzjonijiet ta’ eliminazzjoni gradwali bħall-Artikolu 64 tar-Regolament (UE) Nru 575/2013 (maturità residwa) jew il-Parti 10 tar-Regolament (UE) Nru 575/2013 (impatt tal-anterjorità). </w:t>
            </w:r>
          </w:p>
        </w:tc>
      </w:tr>
      <w:tr w:rsidR="00534D9A" w14:paraId="7FE1B5B3" w14:textId="77777777">
        <w:tc>
          <w:tcPr>
            <w:tcW w:w="905" w:type="dxa"/>
            <w:tcBorders>
              <w:top w:val="single" w:sz="4" w:space="0" w:color="1A171C"/>
              <w:left w:val="nil"/>
              <w:bottom w:val="single" w:sz="4" w:space="0" w:color="1A171C"/>
              <w:right w:val="single" w:sz="4" w:space="0" w:color="1A171C"/>
            </w:tcBorders>
            <w:vAlign w:val="center"/>
          </w:tcPr>
          <w:p w14:paraId="7FE1B5B0" w14:textId="77777777" w:rsidR="00534D9A" w:rsidRDefault="003243B2">
            <w:pPr>
              <w:pStyle w:val="P68B1DB1-TableParagraph13"/>
              <w:spacing w:before="106"/>
              <w:ind w:left="-1"/>
            </w:pPr>
            <w:r>
              <w:lastRenderedPageBreak/>
              <w:t>0380–0382</w:t>
            </w:r>
          </w:p>
        </w:tc>
        <w:tc>
          <w:tcPr>
            <w:tcW w:w="8121" w:type="dxa"/>
            <w:tcBorders>
              <w:top w:val="single" w:sz="4" w:space="0" w:color="1A171C"/>
              <w:left w:val="single" w:sz="4" w:space="0" w:color="1A171C"/>
              <w:bottom w:val="single" w:sz="4" w:space="0" w:color="1A171C"/>
              <w:right w:val="nil"/>
            </w:tcBorders>
            <w:vAlign w:val="center"/>
          </w:tcPr>
          <w:p w14:paraId="7FE1B5B1" w14:textId="77777777" w:rsidR="00534D9A" w:rsidRDefault="003243B2">
            <w:pPr>
              <w:pStyle w:val="P68B1DB1-TableParagraph14"/>
              <w:spacing w:before="108"/>
              <w:ind w:left="85"/>
              <w:jc w:val="both"/>
              <w:rPr>
                <w:bCs/>
              </w:rPr>
            </w:pPr>
            <w:r>
              <w:t>Obbligazzjonijiet eliġibbli għall-MREL oħra</w:t>
            </w:r>
          </w:p>
          <w:p w14:paraId="7FE1B5B2" w14:textId="4506AA1E" w:rsidR="00534D9A" w:rsidRDefault="003243B2">
            <w:pPr>
              <w:pStyle w:val="P68B1DB1-TableParagraph13"/>
              <w:spacing w:before="108"/>
              <w:ind w:left="85"/>
              <w:jc w:val="both"/>
              <w:rPr>
                <w:b/>
                <w:bCs/>
              </w:rPr>
            </w:pPr>
            <w:r>
              <w:t>L-ammont ta’ obbligazzjonijiet li huwa eliġibbli għall-finijiet li l-entità relatriċi tissodisfa r-rekwiżit tal-Artikolu 45 tad-Direttiva 2014/59/UE f’konformità mal-Artikoli 45e jew 45f tagħha, kif applikabbli, iżda li ma jinqabadx fir-ringieli 0320 u 0340 sa 0370.</w:t>
            </w:r>
          </w:p>
        </w:tc>
      </w:tr>
      <w:tr w:rsidR="00534D9A" w14:paraId="7FE1B5B7" w14:textId="77777777">
        <w:tc>
          <w:tcPr>
            <w:tcW w:w="905" w:type="dxa"/>
            <w:tcBorders>
              <w:top w:val="single" w:sz="4" w:space="0" w:color="1A171C"/>
              <w:left w:val="nil"/>
              <w:bottom w:val="single" w:sz="4" w:space="0" w:color="1A171C"/>
              <w:right w:val="single" w:sz="4" w:space="0" w:color="1A171C"/>
            </w:tcBorders>
            <w:vAlign w:val="center"/>
          </w:tcPr>
          <w:p w14:paraId="7FE1B5B4" w14:textId="77777777" w:rsidR="00534D9A" w:rsidRDefault="003243B2">
            <w:pPr>
              <w:pStyle w:val="P68B1DB1-TableParagraph13"/>
              <w:spacing w:before="106"/>
              <w:ind w:left="-1"/>
            </w:pPr>
            <w:r>
              <w:t>0390</w:t>
            </w:r>
          </w:p>
        </w:tc>
        <w:tc>
          <w:tcPr>
            <w:tcW w:w="8121" w:type="dxa"/>
            <w:tcBorders>
              <w:top w:val="single" w:sz="4" w:space="0" w:color="1A171C"/>
              <w:left w:val="single" w:sz="4" w:space="0" w:color="1A171C"/>
              <w:bottom w:val="single" w:sz="4" w:space="0" w:color="1A171C"/>
              <w:right w:val="nil"/>
            </w:tcBorders>
            <w:vAlign w:val="center"/>
          </w:tcPr>
          <w:p w14:paraId="7FE1B5B5" w14:textId="77777777" w:rsidR="00534D9A" w:rsidRDefault="003243B2">
            <w:pPr>
              <w:pStyle w:val="P68B1DB1-TableParagraph14"/>
              <w:spacing w:before="108"/>
              <w:ind w:left="85"/>
              <w:jc w:val="both"/>
              <w:rPr>
                <w:bCs/>
              </w:rPr>
            </w:pPr>
            <w:r>
              <w:t>L-obbligazzjonijiet mhux finanzjarji</w:t>
            </w:r>
          </w:p>
          <w:p w14:paraId="7FE1B5B6" w14:textId="2BB92741" w:rsidR="00534D9A" w:rsidRDefault="003243B2">
            <w:pPr>
              <w:pStyle w:val="P68B1DB1-TableParagraph17"/>
              <w:spacing w:before="108"/>
              <w:ind w:left="85"/>
              <w:jc w:val="both"/>
              <w:rPr>
                <w:b/>
                <w:bCs/>
              </w:rPr>
            </w:pPr>
            <w:r>
              <w:t xml:space="preserve">L-ammont ta’ obbligazzjonijiet li mhumiex ikkunsidrati bħala obbligazzjonijiet finanzjarji f’konformità mal-qafas kontabilistiku applikabbli, bħal provvedimenti relatati ma’ litigazzjonijiet li għalihom hija soġġetta l-entità. </w:t>
            </w:r>
          </w:p>
        </w:tc>
      </w:tr>
      <w:tr w:rsidR="00534D9A" w14:paraId="7FE1B5BB" w14:textId="77777777">
        <w:tc>
          <w:tcPr>
            <w:tcW w:w="905" w:type="dxa"/>
            <w:tcBorders>
              <w:top w:val="single" w:sz="4" w:space="0" w:color="1A171C"/>
              <w:left w:val="nil"/>
              <w:bottom w:val="single" w:sz="4" w:space="0" w:color="1A171C"/>
              <w:right w:val="single" w:sz="4" w:space="0" w:color="1A171C"/>
            </w:tcBorders>
            <w:vAlign w:val="center"/>
          </w:tcPr>
          <w:p w14:paraId="7FE1B5B8" w14:textId="77777777" w:rsidR="00534D9A" w:rsidRDefault="003243B2">
            <w:pPr>
              <w:pStyle w:val="P68B1DB1-TableParagraph13"/>
              <w:spacing w:before="106"/>
              <w:ind w:left="-1"/>
            </w:pPr>
            <w:r>
              <w:t>0400</w:t>
            </w:r>
          </w:p>
        </w:tc>
        <w:tc>
          <w:tcPr>
            <w:tcW w:w="8121" w:type="dxa"/>
            <w:tcBorders>
              <w:top w:val="single" w:sz="4" w:space="0" w:color="1A171C"/>
              <w:left w:val="single" w:sz="4" w:space="0" w:color="1A171C"/>
              <w:bottom w:val="single" w:sz="4" w:space="0" w:color="1A171C"/>
              <w:right w:val="nil"/>
            </w:tcBorders>
            <w:vAlign w:val="center"/>
          </w:tcPr>
          <w:p w14:paraId="7FE1B5B9" w14:textId="77777777" w:rsidR="00534D9A" w:rsidRDefault="003243B2">
            <w:pPr>
              <w:pStyle w:val="P68B1DB1-TableParagraph14"/>
              <w:spacing w:before="108"/>
              <w:ind w:left="85"/>
              <w:jc w:val="both"/>
              <w:rPr>
                <w:bCs/>
              </w:rPr>
            </w:pPr>
            <w:r>
              <w:t>L-obbligazzjonijiet residwali</w:t>
            </w:r>
          </w:p>
          <w:p w14:paraId="7FE1B5BA" w14:textId="66DA2802" w:rsidR="00534D9A" w:rsidRDefault="003243B2">
            <w:pPr>
              <w:pStyle w:val="P68B1DB1-TableParagraph17"/>
              <w:spacing w:before="108"/>
              <w:ind w:left="85"/>
              <w:jc w:val="both"/>
              <w:rPr>
                <w:b/>
                <w:bCs/>
              </w:rPr>
            </w:pPr>
            <w:r>
              <w:t xml:space="preserve">L-ammont ta’ obbligazzjonijiet li mhuwiex irrapportat fir-ringieli minn 0100 sa 0390. </w:t>
            </w:r>
          </w:p>
        </w:tc>
      </w:tr>
      <w:tr w:rsidR="00534D9A" w14:paraId="7FE1B5C0" w14:textId="77777777">
        <w:tc>
          <w:tcPr>
            <w:tcW w:w="905" w:type="dxa"/>
            <w:tcBorders>
              <w:top w:val="single" w:sz="4" w:space="0" w:color="1A171C"/>
              <w:left w:val="nil"/>
              <w:bottom w:val="single" w:sz="4" w:space="0" w:color="1A171C"/>
              <w:right w:val="single" w:sz="4" w:space="0" w:color="1A171C"/>
            </w:tcBorders>
            <w:vAlign w:val="center"/>
          </w:tcPr>
          <w:p w14:paraId="7FE1B5BC" w14:textId="77777777" w:rsidR="00534D9A" w:rsidRDefault="003243B2">
            <w:pPr>
              <w:pStyle w:val="P68B1DB1-TableParagraph13"/>
              <w:spacing w:before="106"/>
              <w:ind w:left="-1"/>
            </w:pPr>
            <w:r>
              <w:t>0500</w:t>
            </w:r>
          </w:p>
        </w:tc>
        <w:tc>
          <w:tcPr>
            <w:tcW w:w="8121" w:type="dxa"/>
            <w:tcBorders>
              <w:top w:val="single" w:sz="4" w:space="0" w:color="1A171C"/>
              <w:left w:val="single" w:sz="4" w:space="0" w:color="1A171C"/>
              <w:bottom w:val="single" w:sz="4" w:space="0" w:color="1A171C"/>
              <w:right w:val="nil"/>
            </w:tcBorders>
            <w:vAlign w:val="center"/>
          </w:tcPr>
          <w:p w14:paraId="7FE1B5BD" w14:textId="77777777" w:rsidR="00534D9A" w:rsidRDefault="003243B2">
            <w:pPr>
              <w:pStyle w:val="P68B1DB1-TableParagraph14"/>
              <w:spacing w:before="108"/>
              <w:ind w:left="85"/>
              <w:jc w:val="both"/>
            </w:pPr>
            <w:r>
              <w:t>Fondi proprji</w:t>
            </w:r>
          </w:p>
          <w:p w14:paraId="7FE1B5BE" w14:textId="77777777" w:rsidR="00534D9A" w:rsidRDefault="003243B2">
            <w:pPr>
              <w:pStyle w:val="P68B1DB1-TableParagraph17"/>
              <w:spacing w:before="108"/>
              <w:ind w:left="85"/>
              <w:jc w:val="both"/>
            </w:pPr>
            <w:r>
              <w:t>L-Artikoli 4(1)(118) u 72 tar-Regolament (UE) Nru 575/2013</w:t>
            </w:r>
          </w:p>
          <w:p w14:paraId="7FE1B5BF" w14:textId="77777777" w:rsidR="00534D9A" w:rsidRDefault="003243B2">
            <w:pPr>
              <w:pStyle w:val="P68B1DB1-TableParagraph17"/>
              <w:spacing w:before="108"/>
              <w:ind w:left="85"/>
              <w:jc w:val="both"/>
            </w:pPr>
            <w:r>
              <w:t>L-istess definizzjoni bħal COREP (OF): —C 01.00; 010; 010</w:t>
            </w:r>
          </w:p>
        </w:tc>
      </w:tr>
      <w:tr w:rsidR="00534D9A" w14:paraId="7FE1B5C5" w14:textId="77777777">
        <w:tc>
          <w:tcPr>
            <w:tcW w:w="905" w:type="dxa"/>
            <w:tcBorders>
              <w:top w:val="single" w:sz="4" w:space="0" w:color="1A171C"/>
              <w:left w:val="nil"/>
              <w:bottom w:val="single" w:sz="4" w:space="0" w:color="1A171C"/>
              <w:right w:val="single" w:sz="4" w:space="0" w:color="1A171C"/>
            </w:tcBorders>
            <w:vAlign w:val="center"/>
          </w:tcPr>
          <w:p w14:paraId="7FE1B5C1" w14:textId="77777777" w:rsidR="00534D9A" w:rsidRDefault="003243B2">
            <w:pPr>
              <w:pStyle w:val="P68B1DB1-TableParagraph13"/>
              <w:spacing w:before="106"/>
              <w:ind w:left="-1"/>
            </w:pPr>
            <w:r>
              <w:t>0510</w:t>
            </w:r>
          </w:p>
        </w:tc>
        <w:tc>
          <w:tcPr>
            <w:tcW w:w="8121" w:type="dxa"/>
            <w:tcBorders>
              <w:top w:val="single" w:sz="4" w:space="0" w:color="1A171C"/>
              <w:left w:val="single" w:sz="4" w:space="0" w:color="1A171C"/>
              <w:bottom w:val="single" w:sz="4" w:space="0" w:color="1A171C"/>
              <w:right w:val="nil"/>
            </w:tcBorders>
            <w:vAlign w:val="center"/>
          </w:tcPr>
          <w:p w14:paraId="7FE1B5C2" w14:textId="77777777" w:rsidR="00534D9A" w:rsidRDefault="003243B2">
            <w:pPr>
              <w:pStyle w:val="P68B1DB1-TableParagraph14"/>
              <w:spacing w:before="108"/>
              <w:ind w:left="85"/>
              <w:jc w:val="both"/>
              <w:rPr>
                <w:bCs/>
              </w:rPr>
            </w:pPr>
            <w:r>
              <w:t>Il-Kapital ta’ Grad 1 tal-Ekwità Komuni</w:t>
            </w:r>
          </w:p>
          <w:p w14:paraId="7FE1B5C3" w14:textId="77777777" w:rsidR="00534D9A" w:rsidRDefault="003243B2">
            <w:pPr>
              <w:pStyle w:val="P68B1DB1-TableParagraph17"/>
              <w:spacing w:before="108"/>
              <w:ind w:left="85"/>
              <w:jc w:val="both"/>
            </w:pPr>
            <w:r>
              <w:t>L-Artikolu 50 tar-Regolament (UE) Nru 575/2013</w:t>
            </w:r>
          </w:p>
          <w:p w14:paraId="7FE1B5C4" w14:textId="77777777" w:rsidR="00534D9A" w:rsidRDefault="003243B2">
            <w:pPr>
              <w:pStyle w:val="P68B1DB1-TableParagraph17"/>
              <w:spacing w:before="108"/>
              <w:ind w:left="85"/>
              <w:jc w:val="both"/>
              <w:rPr>
                <w:b/>
                <w:bCs/>
              </w:rPr>
            </w:pPr>
            <w:r>
              <w:t>L-istess definizzjoni bħal COREP (OF): —C 01.00; 020; 010</w:t>
            </w:r>
          </w:p>
        </w:tc>
      </w:tr>
      <w:tr w:rsidR="00534D9A" w14:paraId="7FE1B5CA" w14:textId="77777777">
        <w:tc>
          <w:tcPr>
            <w:tcW w:w="905" w:type="dxa"/>
            <w:tcBorders>
              <w:top w:val="single" w:sz="4" w:space="0" w:color="1A171C"/>
              <w:left w:val="nil"/>
              <w:bottom w:val="single" w:sz="4" w:space="0" w:color="1A171C"/>
              <w:right w:val="single" w:sz="4" w:space="0" w:color="1A171C"/>
            </w:tcBorders>
            <w:vAlign w:val="center"/>
          </w:tcPr>
          <w:p w14:paraId="7FE1B5C6" w14:textId="77777777" w:rsidR="00534D9A" w:rsidRDefault="003243B2">
            <w:pPr>
              <w:pStyle w:val="P68B1DB1-TableParagraph13"/>
              <w:spacing w:before="106"/>
              <w:ind w:left="-1"/>
            </w:pPr>
            <w:r>
              <w:t>0511</w:t>
            </w:r>
          </w:p>
        </w:tc>
        <w:tc>
          <w:tcPr>
            <w:tcW w:w="8121" w:type="dxa"/>
            <w:tcBorders>
              <w:top w:val="single" w:sz="4" w:space="0" w:color="1A171C"/>
              <w:left w:val="single" w:sz="4" w:space="0" w:color="1A171C"/>
              <w:bottom w:val="single" w:sz="4" w:space="0" w:color="1A171C"/>
              <w:right w:val="nil"/>
            </w:tcBorders>
            <w:vAlign w:val="center"/>
          </w:tcPr>
          <w:p w14:paraId="7FE1B5C7" w14:textId="77777777" w:rsidR="00534D9A" w:rsidRDefault="003243B2">
            <w:pPr>
              <w:pStyle w:val="P68B1DB1-TableParagraph14"/>
              <w:spacing w:before="108"/>
              <w:ind w:left="85"/>
              <w:jc w:val="both"/>
              <w:rPr>
                <w:bCs/>
              </w:rPr>
            </w:pPr>
            <w:r>
              <w:t>Li tagħhom: l-istrumenti ta’ kapital/il-kapital tal-ishma</w:t>
            </w:r>
          </w:p>
          <w:p w14:paraId="7FE1B5C8" w14:textId="77777777" w:rsidR="00534D9A" w:rsidRDefault="003243B2">
            <w:pPr>
              <w:pStyle w:val="P68B1DB1-TableParagraph17"/>
              <w:spacing w:before="108"/>
              <w:ind w:left="85"/>
              <w:jc w:val="both"/>
            </w:pPr>
            <w:r>
              <w:t>L-istrumenti ġuridiċi li jikkostitwixxu (parti mill-) kapital tas-CET1 fl-għamla ta’ strumenti ta’ kapital/kapital tal-ishma</w:t>
            </w:r>
          </w:p>
          <w:p w14:paraId="7FE1B5C9" w14:textId="5A3DBB27" w:rsidR="00534D9A" w:rsidRDefault="003243B2">
            <w:pPr>
              <w:pStyle w:val="P68B1DB1-TableParagraph13"/>
              <w:spacing w:before="108"/>
              <w:ind w:left="85"/>
              <w:jc w:val="both"/>
            </w:pPr>
            <w:r>
              <w:t>L-ammont riportat (FINREP F01.03–020–010 + F01.03–040–010) huwa mifhum bħala l-valur nominali tal-istrumenti, filwaqt li l-ammont pendenti jirrappreżenta l-pretensjoni residwa tal-ishma fuq l-ekwità kontabilistika totali, jiġifieri inklużi r-riżervi tal-entità/grupp.</w:t>
            </w:r>
          </w:p>
        </w:tc>
      </w:tr>
      <w:tr w:rsidR="00534D9A" w14:paraId="7FE1B5CE" w14:textId="77777777">
        <w:tc>
          <w:tcPr>
            <w:tcW w:w="905" w:type="dxa"/>
            <w:tcBorders>
              <w:top w:val="single" w:sz="4" w:space="0" w:color="1A171C"/>
              <w:left w:val="nil"/>
              <w:bottom w:val="single" w:sz="4" w:space="0" w:color="1A171C"/>
              <w:right w:val="single" w:sz="4" w:space="0" w:color="1A171C"/>
            </w:tcBorders>
            <w:vAlign w:val="center"/>
          </w:tcPr>
          <w:p w14:paraId="7FE1B5CB" w14:textId="77777777" w:rsidR="00534D9A" w:rsidRDefault="003243B2">
            <w:pPr>
              <w:pStyle w:val="P68B1DB1-TableParagraph13"/>
              <w:spacing w:before="106"/>
              <w:ind w:left="-1"/>
            </w:pPr>
            <w:r>
              <w:t>0512</w:t>
            </w:r>
          </w:p>
        </w:tc>
        <w:tc>
          <w:tcPr>
            <w:tcW w:w="8121" w:type="dxa"/>
            <w:tcBorders>
              <w:top w:val="single" w:sz="4" w:space="0" w:color="1A171C"/>
              <w:left w:val="single" w:sz="4" w:space="0" w:color="1A171C"/>
              <w:bottom w:val="single" w:sz="4" w:space="0" w:color="1A171C"/>
              <w:right w:val="nil"/>
            </w:tcBorders>
            <w:vAlign w:val="center"/>
          </w:tcPr>
          <w:p w14:paraId="7FE1B5CC" w14:textId="77777777" w:rsidR="00534D9A" w:rsidRDefault="003243B2">
            <w:pPr>
              <w:pStyle w:val="P68B1DB1-TableParagraph14"/>
              <w:spacing w:before="108"/>
              <w:ind w:left="85"/>
              <w:jc w:val="both"/>
              <w:rPr>
                <w:bCs/>
              </w:rPr>
            </w:pPr>
            <w:r>
              <w:t>Li tagħhom: l-istrumenti klassifikati pari passu mal-ishma ordinarji</w:t>
            </w:r>
          </w:p>
          <w:p w14:paraId="7FE1B5CD" w14:textId="0D41ACA0" w:rsidR="00534D9A" w:rsidRDefault="003243B2">
            <w:pPr>
              <w:pStyle w:val="TableParagraph"/>
              <w:spacing w:before="108"/>
              <w:ind w:left="85"/>
              <w:jc w:val="both"/>
              <w:rPr>
                <w:rFonts w:ascii="Times New Roman" w:hAnsi="Times New Roman" w:cs="Times New Roman"/>
                <w:b/>
                <w:bCs/>
                <w:color w:val="000000" w:themeColor="text1"/>
                <w:sz w:val="20"/>
                <w:szCs w:val="20"/>
              </w:rPr>
            </w:pPr>
            <w:r>
              <w:rPr>
                <w:rFonts w:ascii="Times New Roman" w:eastAsia="Cambria" w:hAnsi="Times New Roman" w:cs="Times New Roman"/>
                <w:color w:val="000000" w:themeColor="text1"/>
                <w:sz w:val="20"/>
                <w:szCs w:val="20"/>
              </w:rPr>
              <w:t>L-istrumenti ġuridiċi li jikkostitwixxu (parti mill-) fondi proprji tas-CET1 fl-għamla ta’ strumenti li ma humiex strumenti kapitali/kapital tal-ishma, iżda klassifikati pari passu ma’ din il-kategorija.</w:t>
            </w:r>
            <w:r>
              <w:rPr>
                <w:rFonts w:ascii="Times New Roman" w:hAnsi="Times New Roman" w:cs="Times New Roman"/>
              </w:rPr>
              <w:t xml:space="preserve"> </w:t>
            </w:r>
            <w:bookmarkStart w:id="57" w:name="_Hlk170122776"/>
            <w:r>
              <w:rPr>
                <w:rFonts w:ascii="Times New Roman" w:eastAsia="Cambria" w:hAnsi="Times New Roman" w:cs="Times New Roman"/>
                <w:color w:val="000000" w:themeColor="text1"/>
                <w:sz w:val="20"/>
                <w:szCs w:val="20"/>
              </w:rPr>
              <w:t>Il-qligħ imfaddal u r-Riżervi ma għandhomx jiġu rrapportati f’din ir-ringiela.</w:t>
            </w:r>
            <w:bookmarkEnd w:id="57"/>
          </w:p>
        </w:tc>
      </w:tr>
      <w:tr w:rsidR="00534D9A" w14:paraId="7FE1B5D3" w14:textId="77777777">
        <w:tc>
          <w:tcPr>
            <w:tcW w:w="905" w:type="dxa"/>
            <w:tcBorders>
              <w:top w:val="single" w:sz="4" w:space="0" w:color="1A171C"/>
              <w:left w:val="nil"/>
              <w:bottom w:val="single" w:sz="4" w:space="0" w:color="1A171C"/>
              <w:right w:val="single" w:sz="4" w:space="0" w:color="1A171C"/>
            </w:tcBorders>
            <w:vAlign w:val="center"/>
          </w:tcPr>
          <w:p w14:paraId="7FE1B5CF" w14:textId="77777777" w:rsidR="00534D9A" w:rsidRDefault="003243B2">
            <w:pPr>
              <w:pStyle w:val="P68B1DB1-TableParagraph13"/>
              <w:spacing w:before="106"/>
              <w:ind w:left="-1"/>
            </w:pPr>
            <w:r>
              <w:t>0520</w:t>
            </w:r>
          </w:p>
        </w:tc>
        <w:tc>
          <w:tcPr>
            <w:tcW w:w="8121" w:type="dxa"/>
            <w:tcBorders>
              <w:top w:val="single" w:sz="4" w:space="0" w:color="1A171C"/>
              <w:left w:val="single" w:sz="4" w:space="0" w:color="1A171C"/>
              <w:bottom w:val="single" w:sz="4" w:space="0" w:color="1A171C"/>
              <w:right w:val="nil"/>
            </w:tcBorders>
            <w:vAlign w:val="center"/>
          </w:tcPr>
          <w:p w14:paraId="7FE1B5D0" w14:textId="77777777" w:rsidR="00534D9A" w:rsidRDefault="003243B2">
            <w:pPr>
              <w:pStyle w:val="P68B1DB1-TableParagraph14"/>
              <w:spacing w:before="108"/>
              <w:ind w:left="85"/>
              <w:jc w:val="both"/>
              <w:rPr>
                <w:bCs/>
              </w:rPr>
            </w:pPr>
            <w:r>
              <w:t>Kapital ta’ Grad 1 Addizzjonali</w:t>
            </w:r>
          </w:p>
          <w:p w14:paraId="7FE1B5D1" w14:textId="77777777" w:rsidR="00534D9A" w:rsidRDefault="003243B2">
            <w:pPr>
              <w:pStyle w:val="P68B1DB1-TableParagraph17"/>
              <w:spacing w:before="108"/>
              <w:ind w:left="85"/>
              <w:jc w:val="both"/>
            </w:pPr>
            <w:r>
              <w:t>L-Artikolu 61 tar-Regolament (UE) Nru 575/2013</w:t>
            </w:r>
          </w:p>
          <w:p w14:paraId="7FE1B5D2" w14:textId="77777777" w:rsidR="00534D9A" w:rsidRDefault="003243B2">
            <w:pPr>
              <w:pStyle w:val="P68B1DB1-TableParagraph17"/>
              <w:spacing w:before="108"/>
              <w:ind w:left="85"/>
              <w:jc w:val="both"/>
              <w:rPr>
                <w:b/>
                <w:bCs/>
              </w:rPr>
            </w:pPr>
            <w:r>
              <w:t>L-istess definizzjoni bħal COREP (OF): —C 01.00; 530; 010</w:t>
            </w:r>
          </w:p>
        </w:tc>
      </w:tr>
      <w:tr w:rsidR="00534D9A" w14:paraId="7FE1B5D7" w14:textId="77777777">
        <w:tc>
          <w:tcPr>
            <w:tcW w:w="905" w:type="dxa"/>
            <w:tcBorders>
              <w:top w:val="single" w:sz="4" w:space="0" w:color="1A171C"/>
              <w:left w:val="nil"/>
              <w:bottom w:val="single" w:sz="4" w:space="0" w:color="1A171C"/>
              <w:right w:val="single" w:sz="4" w:space="0" w:color="1A171C"/>
            </w:tcBorders>
            <w:vAlign w:val="center"/>
          </w:tcPr>
          <w:p w14:paraId="7FE1B5D4" w14:textId="77777777" w:rsidR="00534D9A" w:rsidRDefault="003243B2">
            <w:pPr>
              <w:pStyle w:val="P68B1DB1-TableParagraph13"/>
              <w:spacing w:before="106"/>
              <w:ind w:left="-1"/>
            </w:pPr>
            <w:r>
              <w:t>0521</w:t>
            </w:r>
          </w:p>
        </w:tc>
        <w:tc>
          <w:tcPr>
            <w:tcW w:w="8121" w:type="dxa"/>
            <w:tcBorders>
              <w:top w:val="single" w:sz="4" w:space="0" w:color="1A171C"/>
              <w:left w:val="single" w:sz="4" w:space="0" w:color="1A171C"/>
              <w:bottom w:val="single" w:sz="4" w:space="0" w:color="1A171C"/>
              <w:right w:val="nil"/>
            </w:tcBorders>
            <w:vAlign w:val="center"/>
          </w:tcPr>
          <w:p w14:paraId="7FE1B5D5" w14:textId="77777777" w:rsidR="00534D9A" w:rsidRDefault="003243B2">
            <w:pPr>
              <w:pStyle w:val="P68B1DB1-TableParagraph14"/>
              <w:spacing w:before="108"/>
              <w:ind w:left="85"/>
              <w:jc w:val="both"/>
              <w:rPr>
                <w:bCs/>
              </w:rPr>
            </w:pPr>
            <w:r>
              <w:t>Li tagħhom: (parti mill-) obbligazzjonijiet subordinati rikonoxxuti bħala fondi proprji</w:t>
            </w:r>
          </w:p>
          <w:p w14:paraId="7FE1B5D6" w14:textId="77777777" w:rsidR="00534D9A" w:rsidRDefault="003243B2">
            <w:pPr>
              <w:pStyle w:val="P68B1DB1-TableParagraph17"/>
              <w:spacing w:before="108"/>
              <w:ind w:left="85"/>
              <w:jc w:val="both"/>
              <w:rPr>
                <w:b/>
                <w:bCs/>
              </w:rPr>
            </w:pPr>
            <w:r>
              <w:t>L-istrumenti ġuridiċi li jikkostitwixxu (parti mill-) Grad 1 Addizzjonali.</w:t>
            </w:r>
          </w:p>
        </w:tc>
      </w:tr>
      <w:tr w:rsidR="00534D9A" w14:paraId="7FE1B5DC" w14:textId="77777777">
        <w:tc>
          <w:tcPr>
            <w:tcW w:w="905" w:type="dxa"/>
            <w:tcBorders>
              <w:top w:val="single" w:sz="4" w:space="0" w:color="1A171C"/>
              <w:left w:val="nil"/>
              <w:bottom w:val="single" w:sz="4" w:space="0" w:color="1A171C"/>
              <w:right w:val="single" w:sz="4" w:space="0" w:color="1A171C"/>
            </w:tcBorders>
            <w:vAlign w:val="center"/>
          </w:tcPr>
          <w:p w14:paraId="7FE1B5D8" w14:textId="77777777" w:rsidR="00534D9A" w:rsidRDefault="003243B2">
            <w:pPr>
              <w:pStyle w:val="P68B1DB1-TableParagraph13"/>
              <w:spacing w:before="106"/>
              <w:ind w:left="-1"/>
            </w:pPr>
            <w:r>
              <w:t>0530</w:t>
            </w:r>
          </w:p>
        </w:tc>
        <w:tc>
          <w:tcPr>
            <w:tcW w:w="8121" w:type="dxa"/>
            <w:tcBorders>
              <w:top w:val="single" w:sz="4" w:space="0" w:color="1A171C"/>
              <w:left w:val="single" w:sz="4" w:space="0" w:color="1A171C"/>
              <w:bottom w:val="single" w:sz="4" w:space="0" w:color="1A171C"/>
              <w:right w:val="nil"/>
            </w:tcBorders>
            <w:vAlign w:val="center"/>
          </w:tcPr>
          <w:p w14:paraId="7FE1B5D9" w14:textId="77777777" w:rsidR="00534D9A" w:rsidRDefault="003243B2">
            <w:pPr>
              <w:pStyle w:val="P68B1DB1-TableParagraph14"/>
              <w:spacing w:before="108"/>
              <w:ind w:left="85"/>
              <w:jc w:val="both"/>
              <w:rPr>
                <w:bCs/>
              </w:rPr>
            </w:pPr>
            <w:r>
              <w:t>Il-Kapital ta’ Grad 2</w:t>
            </w:r>
          </w:p>
          <w:p w14:paraId="7FE1B5DA" w14:textId="77777777" w:rsidR="00534D9A" w:rsidRDefault="003243B2">
            <w:pPr>
              <w:pStyle w:val="P68B1DB1-TableParagraph17"/>
              <w:spacing w:before="108"/>
              <w:ind w:left="85"/>
              <w:jc w:val="both"/>
            </w:pPr>
            <w:r>
              <w:t>L-Artikolu 71 tar-Regolament (UE) Nru 575/2013</w:t>
            </w:r>
          </w:p>
          <w:p w14:paraId="7FE1B5DB" w14:textId="77777777" w:rsidR="00534D9A" w:rsidRDefault="003243B2">
            <w:pPr>
              <w:pStyle w:val="P68B1DB1-TableParagraph17"/>
              <w:spacing w:before="108"/>
              <w:ind w:left="85"/>
              <w:jc w:val="both"/>
              <w:rPr>
                <w:b/>
                <w:bCs/>
              </w:rPr>
            </w:pPr>
            <w:r>
              <w:t>L-istess definizzjoni bħal COREP (OF): —C 01.00; 750; 010</w:t>
            </w:r>
          </w:p>
        </w:tc>
      </w:tr>
      <w:tr w:rsidR="00534D9A" w14:paraId="7FE1B5E0" w14:textId="77777777">
        <w:tc>
          <w:tcPr>
            <w:tcW w:w="905" w:type="dxa"/>
            <w:tcBorders>
              <w:top w:val="single" w:sz="4" w:space="0" w:color="1A171C"/>
              <w:left w:val="nil"/>
              <w:bottom w:val="single" w:sz="4" w:space="0" w:color="1A171C"/>
              <w:right w:val="single" w:sz="4" w:space="0" w:color="1A171C"/>
            </w:tcBorders>
            <w:vAlign w:val="center"/>
          </w:tcPr>
          <w:p w14:paraId="7FE1B5DD" w14:textId="77777777" w:rsidR="00534D9A" w:rsidRDefault="003243B2">
            <w:pPr>
              <w:pStyle w:val="P68B1DB1-TableParagraph13"/>
              <w:spacing w:before="106"/>
              <w:ind w:left="-1"/>
            </w:pPr>
            <w:r>
              <w:t>0531</w:t>
            </w:r>
          </w:p>
        </w:tc>
        <w:tc>
          <w:tcPr>
            <w:tcW w:w="8121" w:type="dxa"/>
            <w:tcBorders>
              <w:top w:val="single" w:sz="4" w:space="0" w:color="1A171C"/>
              <w:left w:val="single" w:sz="4" w:space="0" w:color="1A171C"/>
              <w:bottom w:val="single" w:sz="4" w:space="0" w:color="1A171C"/>
              <w:right w:val="nil"/>
            </w:tcBorders>
            <w:vAlign w:val="center"/>
          </w:tcPr>
          <w:p w14:paraId="7FE1B5DE" w14:textId="77777777" w:rsidR="00534D9A" w:rsidRDefault="003243B2">
            <w:pPr>
              <w:pStyle w:val="P68B1DB1-TableParagraph14"/>
              <w:spacing w:before="108"/>
              <w:ind w:left="85"/>
              <w:jc w:val="both"/>
              <w:rPr>
                <w:bCs/>
              </w:rPr>
            </w:pPr>
            <w:r>
              <w:t>Li tagħhom: (parti mill-) obbligazzjonijiet subordinati rikonoxxuti bħala fondi proprji</w:t>
            </w:r>
          </w:p>
          <w:p w14:paraId="7FE1B5DF" w14:textId="77777777" w:rsidR="00534D9A" w:rsidRDefault="003243B2">
            <w:pPr>
              <w:pStyle w:val="P68B1DB1-TableParagraph17"/>
              <w:spacing w:before="108"/>
              <w:ind w:left="85"/>
              <w:jc w:val="both"/>
              <w:rPr>
                <w:b/>
                <w:bCs/>
              </w:rPr>
            </w:pPr>
            <w:r>
              <w:lastRenderedPageBreak/>
              <w:t>Dan il-qsim jidentifika l-istrumenti ġuridiċi li jikkostitwixxu (parti mill-)fondi proprji ta’ Grad 2.</w:t>
            </w:r>
          </w:p>
        </w:tc>
      </w:tr>
      <w:tr w:rsidR="00534D9A" w14:paraId="7FE1B5E4" w14:textId="77777777">
        <w:tc>
          <w:tcPr>
            <w:tcW w:w="905" w:type="dxa"/>
            <w:tcBorders>
              <w:top w:val="single" w:sz="4" w:space="0" w:color="1A171C"/>
              <w:left w:val="nil"/>
              <w:bottom w:val="single" w:sz="4" w:space="0" w:color="1A171C"/>
              <w:right w:val="single" w:sz="4" w:space="0" w:color="1A171C"/>
            </w:tcBorders>
            <w:vAlign w:val="center"/>
          </w:tcPr>
          <w:p w14:paraId="7FE1B5E1" w14:textId="77777777" w:rsidR="00534D9A" w:rsidRDefault="003243B2">
            <w:pPr>
              <w:pStyle w:val="P68B1DB1-TableParagraph13"/>
              <w:spacing w:before="106"/>
              <w:ind w:left="-1"/>
            </w:pPr>
            <w:r>
              <w:lastRenderedPageBreak/>
              <w:t>0600</w:t>
            </w:r>
          </w:p>
        </w:tc>
        <w:tc>
          <w:tcPr>
            <w:tcW w:w="8121" w:type="dxa"/>
            <w:tcBorders>
              <w:top w:val="single" w:sz="4" w:space="0" w:color="1A171C"/>
              <w:left w:val="single" w:sz="4" w:space="0" w:color="1A171C"/>
              <w:bottom w:val="single" w:sz="4" w:space="0" w:color="1A171C"/>
              <w:right w:val="nil"/>
            </w:tcBorders>
            <w:vAlign w:val="center"/>
          </w:tcPr>
          <w:p w14:paraId="7FE1B5E2" w14:textId="77777777" w:rsidR="00534D9A" w:rsidRDefault="003243B2">
            <w:pPr>
              <w:pStyle w:val="P68B1DB1-TableParagraph14"/>
              <w:spacing w:before="108"/>
              <w:ind w:left="85"/>
              <w:jc w:val="both"/>
              <w:rPr>
                <w:bCs/>
              </w:rPr>
            </w:pPr>
            <w:r>
              <w:t>L-obbligazzjonijiet u l-fondi proprji totali inkluż l-obbligazzjonijiet derivattivi</w:t>
            </w:r>
          </w:p>
          <w:p w14:paraId="7FE1B5E3" w14:textId="77777777" w:rsidR="00534D9A" w:rsidRDefault="003243B2">
            <w:pPr>
              <w:pStyle w:val="P68B1DB1-TableParagraph17"/>
              <w:spacing w:before="108"/>
              <w:ind w:left="85"/>
              <w:jc w:val="both"/>
              <w:rPr>
                <w:b/>
                <w:bCs/>
              </w:rPr>
            </w:pPr>
            <w:r>
              <w:t>It-total tal-obbligazzjonijiet kollha rapportati f’dan il-mudell u l-ammont ta’ fondi proprji regolatorji. Għal dan l-għan, għandhom jiġu miżjuda l-ammonti kollha mil-linji ta’ hawn fuq. Fir-rigward tad-derivattivi, il-valur li jrid jintuża għandu jkun ir-ringiela 0334 “It-total tal-pożizzjonijiet ta’ obbligazzjonijiet netti bil-kunsiderazzjoni tar-regoli ta’ netting prudenzjali”.</w:t>
            </w:r>
          </w:p>
        </w:tc>
      </w:tr>
      <w:tr w:rsidR="00534D9A" w14:paraId="7FE1B607" w14:textId="77777777">
        <w:tc>
          <w:tcPr>
            <w:tcW w:w="905" w:type="dxa"/>
            <w:tcBorders>
              <w:top w:val="single" w:sz="4" w:space="0" w:color="1A171C"/>
              <w:left w:val="nil"/>
              <w:bottom w:val="single" w:sz="4" w:space="0" w:color="1A171C"/>
              <w:right w:val="single" w:sz="4" w:space="0" w:color="1A171C"/>
            </w:tcBorders>
            <w:vAlign w:val="center"/>
          </w:tcPr>
          <w:p w14:paraId="7FE1B602" w14:textId="77777777" w:rsidR="00534D9A" w:rsidRDefault="003243B2">
            <w:pPr>
              <w:pStyle w:val="P68B1DB1-TableParagraph13"/>
            </w:pPr>
            <w:r>
              <w:t>0800</w:t>
            </w:r>
          </w:p>
        </w:tc>
        <w:tc>
          <w:tcPr>
            <w:tcW w:w="8121" w:type="dxa"/>
            <w:tcBorders>
              <w:top w:val="single" w:sz="4" w:space="0" w:color="1A171C"/>
              <w:left w:val="single" w:sz="4" w:space="0" w:color="1A171C"/>
              <w:bottom w:val="single" w:sz="4" w:space="0" w:color="1A171C"/>
              <w:right w:val="nil"/>
            </w:tcBorders>
            <w:vAlign w:val="center"/>
          </w:tcPr>
          <w:p w14:paraId="7FE1B603" w14:textId="77777777" w:rsidR="00534D9A" w:rsidRDefault="003243B2">
            <w:pPr>
              <w:pStyle w:val="P68B1DB1-TableParagraph14"/>
              <w:jc w:val="both"/>
              <w:rPr>
                <w:bCs/>
              </w:rPr>
            </w:pPr>
            <w:r>
              <w:t>Total tal-Ekwità</w:t>
            </w:r>
          </w:p>
          <w:p w14:paraId="7FE1B604" w14:textId="77777777" w:rsidR="00534D9A" w:rsidRDefault="003243B2">
            <w:pPr>
              <w:pStyle w:val="P68B1DB1-Normal21"/>
              <w:spacing w:line="276" w:lineRule="auto"/>
              <w:jc w:val="both"/>
            </w:pPr>
            <w:r>
              <w:t>(FINREP F01.03–300–010) għall-ammont riportat.</w:t>
            </w:r>
          </w:p>
          <w:p w14:paraId="7FE1B605" w14:textId="44D71F77" w:rsidR="00534D9A" w:rsidRDefault="003243B2">
            <w:pPr>
              <w:pStyle w:val="P68B1DB1-Normal21"/>
              <w:spacing w:line="276" w:lineRule="auto"/>
              <w:jc w:val="both"/>
            </w:pPr>
            <w:r>
              <w:t>Dan it-total huwa ugwali għall-ekwità totali tal-karta tal-bilanċ.</w:t>
            </w:r>
          </w:p>
          <w:p w14:paraId="7FE1B606" w14:textId="77777777" w:rsidR="00534D9A" w:rsidRDefault="00534D9A">
            <w:pPr>
              <w:pStyle w:val="TableParagraph"/>
              <w:jc w:val="both"/>
              <w:rPr>
                <w:rFonts w:ascii="Times New Roman" w:hAnsi="Times New Roman" w:cs="Times New Roman"/>
                <w:b/>
                <w:bCs/>
                <w:color w:val="000000" w:themeColor="text1"/>
                <w:sz w:val="20"/>
                <w:szCs w:val="20"/>
              </w:rPr>
            </w:pPr>
          </w:p>
        </w:tc>
      </w:tr>
    </w:tbl>
    <w:p w14:paraId="7FE1B60E" w14:textId="77777777" w:rsidR="00534D9A" w:rsidRDefault="00534D9A">
      <w:pPr>
        <w:rPr>
          <w:rFonts w:ascii="Times New Roman" w:hAnsi="Times New Roman" w:cs="Times New Roman"/>
        </w:rPr>
      </w:pPr>
    </w:p>
    <w:p w14:paraId="7FE1B60F" w14:textId="1DD0504B" w:rsidR="00534D9A" w:rsidRDefault="003243B2">
      <w:pPr>
        <w:pStyle w:val="P68B1DB1-Instructionsberschrift25"/>
        <w:numPr>
          <w:ilvl w:val="1"/>
          <w:numId w:val="49"/>
        </w:numPr>
        <w:ind w:left="357" w:hanging="357"/>
      </w:pPr>
      <w:bookmarkStart w:id="58" w:name="_Toc492542323"/>
      <w:bookmarkStart w:id="59" w:name="_Toc81454181"/>
      <w:bookmarkStart w:id="60" w:name="_Toc208244995"/>
      <w:r>
        <w:t>Z 03.01 — Rekwiżiti ta’ fondi proprji — Istituzzjonijiet ta’ Kreditu (LIAB 2)</w:t>
      </w:r>
      <w:bookmarkEnd w:id="58"/>
      <w:bookmarkEnd w:id="59"/>
      <w:bookmarkEnd w:id="60"/>
    </w:p>
    <w:p w14:paraId="7FE1B610" w14:textId="77777777" w:rsidR="00534D9A" w:rsidRDefault="003243B2">
      <w:pPr>
        <w:pStyle w:val="Instructionsberschrift3"/>
      </w:pPr>
      <w:r>
        <w:t>Kummenti ġenerali</w:t>
      </w:r>
    </w:p>
    <w:p w14:paraId="7FE1B611" w14:textId="77777777" w:rsidR="00534D9A" w:rsidRDefault="003243B2">
      <w:pPr>
        <w:pStyle w:val="P68B1DB1-InstructionsText26"/>
        <w:numPr>
          <w:ilvl w:val="0"/>
          <w:numId w:val="232"/>
        </w:numPr>
        <w:spacing w:before="0"/>
      </w:pPr>
      <w:r>
        <w:t>Dan il-mudell jiġbor informazzjoni dwar ir-rekwiżiti ta’ fondi proprji għal entità jew grupp.</w:t>
      </w:r>
    </w:p>
    <w:p w14:paraId="7FE1B612" w14:textId="77777777" w:rsidR="00534D9A" w:rsidRDefault="003243B2">
      <w:pPr>
        <w:pStyle w:val="P68B1DB1-InstructionsText26"/>
        <w:numPr>
          <w:ilvl w:val="0"/>
          <w:numId w:val="232"/>
        </w:numPr>
        <w:spacing w:before="0"/>
      </w:pPr>
      <w:r>
        <w:t>L-informazzjoni kollha rrapportata għandha tirrifletti r-rekwiżiti ta’ fondi proprji applikabbli fid-data ta’ referenza tar-rapportar.</w:t>
      </w:r>
    </w:p>
    <w:p w14:paraId="7FE1B613" w14:textId="1B7809D4" w:rsidR="00534D9A" w:rsidRDefault="003243B2">
      <w:pPr>
        <w:pStyle w:val="P68B1DB1-InstructionsText26"/>
        <w:numPr>
          <w:ilvl w:val="0"/>
          <w:numId w:val="232"/>
        </w:numPr>
        <w:spacing w:before="0"/>
      </w:pPr>
      <w:r>
        <w:t>Bħala eċċezzjoni, l-informazzjoni dwar il-proporzjon tar-rekwiżit kapitali totali tal-SREP (TSCR) tal-0300 irrapportat f’din il-formola għandha tkun ibbażata fuq l-aħħar deċiżjoni uffiċjali disponibbli tal-SREP ikkomunikata sad-data ta’ rimessa ta’ dan ir-rapport mill-awtorità kompetenti.</w:t>
      </w:r>
    </w:p>
    <w:p w14:paraId="7FE1B614" w14:textId="77777777" w:rsidR="00534D9A" w:rsidRDefault="003243B2">
      <w:pPr>
        <w:pStyle w:val="P68B1DB1-InstructionsText26"/>
        <w:numPr>
          <w:ilvl w:val="0"/>
          <w:numId w:val="232"/>
        </w:numPr>
        <w:spacing w:before="0"/>
      </w:pPr>
      <w:r>
        <w:t xml:space="preserve">Għar-rapportar fuq bażi konsolidata jew individwali, jekk dawn il-punti tad-data diġà ġew irrapportati mill-entità fil-FINREP jew fil-COREP għall-istess data ta’ referenza u ambitu tar-rapportar (ara r-referenzi COREP/FINREP fl-istruzzjonijiet), l-entità relatriċi ma għandhiex għalfejn tirrapporta dawn il-punti tad-data għat-tieni darba. Id-data trid tiġi rrapportata biss, pereżempju, meta l-entità relatriċi tkun ġiet eżentata mill-obbligi ta’ rapportar finanzjarju jew prudenzjali, f’liema każ l-uniku sors </w:t>
      </w:r>
      <w:r>
        <w:t>ta’ data għall-awtoritajiet ta’ riżoluzzjoni għal dawn il-punti ta’ data huwa dan ir-rapport.</w:t>
      </w:r>
    </w:p>
    <w:p w14:paraId="7FE1B615" w14:textId="77777777" w:rsidR="00534D9A" w:rsidRDefault="00534D9A">
      <w:pPr>
        <w:pStyle w:val="InstructionsText2"/>
        <w:numPr>
          <w:ilvl w:val="0"/>
          <w:numId w:val="0"/>
        </w:numPr>
        <w:spacing w:before="0"/>
        <w:ind w:left="1440"/>
        <w:rPr>
          <w:rFonts w:ascii="Times New Roman" w:hAnsi="Times New Roman" w:cs="Times New Roman"/>
          <w:sz w:val="20"/>
          <w:szCs w:val="20"/>
        </w:rPr>
      </w:pPr>
    </w:p>
    <w:p w14:paraId="7FE1B61B" w14:textId="77777777" w:rsidR="00534D9A" w:rsidRDefault="003243B2">
      <w:pPr>
        <w:pStyle w:val="Instructionsberschrift3"/>
      </w:pPr>
      <w:r>
        <w:t>Struzzjonijiet li jikkonċernaw pożizzjonijiet speċifiċi</w:t>
      </w:r>
    </w:p>
    <w:p w14:paraId="7FE1B61C" w14:textId="77777777" w:rsidR="00534D9A" w:rsidRDefault="00534D9A">
      <w:pPr>
        <w:pStyle w:val="Instructionsberschrift3"/>
        <w:numPr>
          <w:ilvl w:val="0"/>
          <w:numId w:val="0"/>
        </w:numPr>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534D9A" w14:paraId="7FE1B61F"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61D" w14:textId="77777777" w:rsidR="00534D9A" w:rsidRDefault="003243B2">
            <w:pPr>
              <w:pStyle w:val="P68B1DB1-TableParagraph13"/>
              <w:spacing w:before="66"/>
              <w:rPr>
                <w:rFonts w:eastAsia="Cambria"/>
              </w:rPr>
            </w:pPr>
            <w:r>
              <w:t>Ringieli</w:t>
            </w:r>
          </w:p>
        </w:tc>
        <w:tc>
          <w:tcPr>
            <w:tcW w:w="8170" w:type="dxa"/>
            <w:tcBorders>
              <w:top w:val="single" w:sz="4" w:space="0" w:color="1A171C"/>
              <w:left w:val="single" w:sz="4" w:space="0" w:color="1A171C"/>
              <w:bottom w:val="single" w:sz="4" w:space="0" w:color="1A171C"/>
              <w:right w:val="nil"/>
            </w:tcBorders>
            <w:shd w:val="clear" w:color="auto" w:fill="E4E5E5"/>
          </w:tcPr>
          <w:p w14:paraId="7FE1B61E" w14:textId="77777777" w:rsidR="00534D9A" w:rsidRDefault="003243B2">
            <w:pPr>
              <w:pStyle w:val="P68B1DB1-TableParagraph13"/>
              <w:spacing w:before="66"/>
              <w:ind w:right="1"/>
              <w:jc w:val="center"/>
              <w:rPr>
                <w:rFonts w:eastAsia="Cambria"/>
              </w:rPr>
            </w:pPr>
            <w:r>
              <w:t>Struzzjonijiet</w:t>
            </w:r>
          </w:p>
        </w:tc>
      </w:tr>
      <w:tr w:rsidR="00534D9A" w14:paraId="7FE1B623" w14:textId="77777777">
        <w:tc>
          <w:tcPr>
            <w:tcW w:w="856" w:type="dxa"/>
            <w:tcBorders>
              <w:top w:val="single" w:sz="4" w:space="0" w:color="1A171C"/>
              <w:left w:val="nil"/>
              <w:bottom w:val="single" w:sz="4" w:space="0" w:color="1A171C"/>
              <w:right w:val="single" w:sz="4" w:space="0" w:color="1A171C"/>
            </w:tcBorders>
            <w:vAlign w:val="center"/>
          </w:tcPr>
          <w:p w14:paraId="7FE1B620" w14:textId="77777777" w:rsidR="00534D9A" w:rsidRDefault="003243B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7FE1B621" w14:textId="77777777" w:rsidR="00534D9A" w:rsidRDefault="003243B2">
            <w:pPr>
              <w:pStyle w:val="P68B1DB1-TableParagraph14"/>
              <w:spacing w:before="108"/>
              <w:rPr>
                <w:bCs/>
              </w:rPr>
            </w:pPr>
            <w:r>
              <w:t>L-Ammont Totali tal-Iskopertura għar-Riskju</w:t>
            </w:r>
          </w:p>
          <w:p w14:paraId="7FE1B622" w14:textId="77777777" w:rsidR="00534D9A" w:rsidRDefault="003243B2">
            <w:pPr>
              <w:pStyle w:val="P68B1DB1-TableParagraph17"/>
              <w:spacing w:before="108"/>
            </w:pPr>
            <w:r>
              <w:t>L-ammont imsemmi fil-Punt (a) tal-Artikolu 45(2) tad-Direttiva 2014/59/UE, ikkalkulat skont l-Artikolu 92(3) tar-Regolament (UE) Nru 575/2013.</w:t>
            </w:r>
          </w:p>
        </w:tc>
      </w:tr>
      <w:tr w:rsidR="00534D9A" w14:paraId="7FE1B627" w14:textId="77777777">
        <w:tc>
          <w:tcPr>
            <w:tcW w:w="856" w:type="dxa"/>
            <w:tcBorders>
              <w:top w:val="single" w:sz="4" w:space="0" w:color="1A171C"/>
              <w:left w:val="nil"/>
              <w:bottom w:val="single" w:sz="4" w:space="0" w:color="1A171C"/>
              <w:right w:val="single" w:sz="4" w:space="0" w:color="1A171C"/>
            </w:tcBorders>
            <w:vAlign w:val="center"/>
          </w:tcPr>
          <w:p w14:paraId="7FE1B624" w14:textId="77777777" w:rsidR="00534D9A" w:rsidRDefault="003243B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7FE1B625" w14:textId="77777777" w:rsidR="00534D9A" w:rsidRDefault="003243B2">
            <w:pPr>
              <w:pStyle w:val="P68B1DB1-TableParagraph14"/>
              <w:spacing w:before="108"/>
              <w:jc w:val="both"/>
              <w:rPr>
                <w:bCs/>
              </w:rPr>
            </w:pPr>
            <w:r>
              <w:t>Kejl tal-iskopertura totali</w:t>
            </w:r>
          </w:p>
          <w:p w14:paraId="7FE1B626" w14:textId="77777777" w:rsidR="00534D9A" w:rsidRDefault="003243B2">
            <w:pPr>
              <w:pStyle w:val="P68B1DB1-TableParagraph17"/>
              <w:spacing w:before="108"/>
              <w:jc w:val="both"/>
              <w:rPr>
                <w:b/>
                <w:bCs/>
              </w:rPr>
            </w:pPr>
            <w:r>
              <w:t>L-ammont imsemmi fil-Punt (b) tal-Artikolu 45(2) tad-Direttiva 2014/59/UE, ikkalkulat skont l-Artikoli 429 (4) u 429a tar-Regolament (UE) Nru 575/2013.</w:t>
            </w:r>
          </w:p>
        </w:tc>
      </w:tr>
      <w:tr w:rsidR="00534D9A" w14:paraId="7FE1B62A" w14:textId="77777777">
        <w:tc>
          <w:tcPr>
            <w:tcW w:w="856" w:type="dxa"/>
            <w:tcBorders>
              <w:top w:val="single" w:sz="4" w:space="0" w:color="1A171C"/>
              <w:left w:val="nil"/>
              <w:bottom w:val="single" w:sz="4" w:space="0" w:color="1A171C"/>
              <w:right w:val="single" w:sz="4" w:space="0" w:color="1A171C"/>
            </w:tcBorders>
            <w:vAlign w:val="center"/>
          </w:tcPr>
          <w:p w14:paraId="7FE1B628" w14:textId="77777777" w:rsidR="00534D9A" w:rsidRDefault="003243B2">
            <w:pPr>
              <w:pStyle w:val="P68B1DB1-TableParagraph13"/>
              <w:spacing w:before="106"/>
              <w:ind w:left="-1"/>
            </w:pPr>
            <w:r>
              <w:t>0210–0220</w:t>
            </w:r>
          </w:p>
        </w:tc>
        <w:tc>
          <w:tcPr>
            <w:tcW w:w="8170" w:type="dxa"/>
            <w:tcBorders>
              <w:top w:val="single" w:sz="4" w:space="0" w:color="1A171C"/>
              <w:left w:val="single" w:sz="4" w:space="0" w:color="1A171C"/>
              <w:bottom w:val="single" w:sz="4" w:space="0" w:color="1A171C"/>
              <w:right w:val="nil"/>
            </w:tcBorders>
            <w:vAlign w:val="center"/>
          </w:tcPr>
          <w:p w14:paraId="7FE1B629" w14:textId="77777777" w:rsidR="00534D9A" w:rsidRDefault="003243B2">
            <w:pPr>
              <w:pStyle w:val="P68B1DB1-TableParagraph14"/>
              <w:spacing w:before="108"/>
              <w:jc w:val="both"/>
              <w:rPr>
                <w:bCs/>
              </w:rPr>
            </w:pPr>
            <w:r>
              <w:t>Il-Kapital inizjali u r-Rekwiżiti tal-Proporzjon ta’ Ingranaġġ</w:t>
            </w:r>
          </w:p>
        </w:tc>
      </w:tr>
      <w:tr w:rsidR="00534D9A" w14:paraId="7FE1B62F" w14:textId="77777777">
        <w:tc>
          <w:tcPr>
            <w:tcW w:w="856" w:type="dxa"/>
            <w:tcBorders>
              <w:top w:val="single" w:sz="4" w:space="0" w:color="1A171C"/>
              <w:left w:val="nil"/>
              <w:bottom w:val="single" w:sz="4" w:space="0" w:color="1A171C"/>
              <w:right w:val="single" w:sz="4" w:space="0" w:color="1A171C"/>
            </w:tcBorders>
            <w:vAlign w:val="center"/>
          </w:tcPr>
          <w:p w14:paraId="7FE1B62B" w14:textId="77777777" w:rsidR="00534D9A" w:rsidRDefault="003243B2">
            <w:pPr>
              <w:pStyle w:val="P68B1DB1-TableParagraph13"/>
              <w:spacing w:before="106"/>
              <w:ind w:left="-1"/>
            </w:pPr>
            <w:r>
              <w:lastRenderedPageBreak/>
              <w:t>0210</w:t>
            </w:r>
          </w:p>
        </w:tc>
        <w:tc>
          <w:tcPr>
            <w:tcW w:w="8170" w:type="dxa"/>
            <w:tcBorders>
              <w:top w:val="single" w:sz="4" w:space="0" w:color="1A171C"/>
              <w:left w:val="single" w:sz="4" w:space="0" w:color="1A171C"/>
              <w:bottom w:val="single" w:sz="4" w:space="0" w:color="1A171C"/>
              <w:right w:val="nil"/>
            </w:tcBorders>
            <w:vAlign w:val="center"/>
          </w:tcPr>
          <w:p w14:paraId="7FE1B62C" w14:textId="77777777" w:rsidR="00534D9A" w:rsidRDefault="003243B2">
            <w:pPr>
              <w:pStyle w:val="P68B1DB1-TableParagraph14"/>
              <w:spacing w:before="108"/>
              <w:jc w:val="both"/>
              <w:rPr>
                <w:bCs/>
              </w:rPr>
            </w:pPr>
            <w:r>
              <w:t>Kapital inizjali</w:t>
            </w:r>
          </w:p>
          <w:p w14:paraId="7FE1B62D" w14:textId="77777777" w:rsidR="00534D9A" w:rsidRDefault="003243B2">
            <w:pPr>
              <w:pStyle w:val="P68B1DB1-TableParagraph17"/>
              <w:spacing w:before="108"/>
              <w:jc w:val="both"/>
            </w:pPr>
            <w:r>
              <w:t>L-ammont imsemmi fl-Artikoli 12 tad-Direttiva 2013/36/UE, l-Artikolu 93 tar-Regolament (UE) Nru 575/2013.</w:t>
            </w:r>
          </w:p>
          <w:p w14:paraId="7FE1B62E" w14:textId="77777777" w:rsidR="00534D9A" w:rsidRDefault="003243B2">
            <w:pPr>
              <w:pStyle w:val="P68B1DB1-TableParagraph17"/>
              <w:spacing w:before="108"/>
              <w:jc w:val="both"/>
              <w:rPr>
                <w:b/>
                <w:bCs/>
              </w:rPr>
            </w:pPr>
            <w:r>
              <w:t>L-ammont ta’ kapital inizjali meħtieġ bħala prekundizzjoni għall-awtorizzazzjoni sabiex tinbeda attività ta’ istituzzjoni.</w:t>
            </w:r>
          </w:p>
        </w:tc>
      </w:tr>
      <w:tr w:rsidR="00534D9A" w14:paraId="7FE1B633" w14:textId="77777777">
        <w:tc>
          <w:tcPr>
            <w:tcW w:w="856" w:type="dxa"/>
            <w:tcBorders>
              <w:top w:val="single" w:sz="4" w:space="0" w:color="1A171C"/>
              <w:left w:val="nil"/>
              <w:bottom w:val="single" w:sz="4" w:space="0" w:color="1A171C"/>
              <w:right w:val="single" w:sz="4" w:space="0" w:color="1A171C"/>
            </w:tcBorders>
            <w:vAlign w:val="center"/>
          </w:tcPr>
          <w:p w14:paraId="7FE1B630" w14:textId="77777777" w:rsidR="00534D9A" w:rsidRDefault="003243B2">
            <w:pPr>
              <w:pStyle w:val="P68B1DB1-TableParagraph13"/>
              <w:spacing w:before="106"/>
              <w:ind w:left="-1"/>
            </w:pPr>
            <w:r>
              <w:t>0220</w:t>
            </w:r>
          </w:p>
        </w:tc>
        <w:tc>
          <w:tcPr>
            <w:tcW w:w="8170" w:type="dxa"/>
            <w:tcBorders>
              <w:top w:val="single" w:sz="4" w:space="0" w:color="1A171C"/>
              <w:left w:val="single" w:sz="4" w:space="0" w:color="1A171C"/>
              <w:bottom w:val="single" w:sz="4" w:space="0" w:color="1A171C"/>
              <w:right w:val="nil"/>
            </w:tcBorders>
            <w:vAlign w:val="center"/>
          </w:tcPr>
          <w:p w14:paraId="7FE1B631" w14:textId="77777777" w:rsidR="00534D9A" w:rsidRDefault="003243B2">
            <w:pPr>
              <w:pStyle w:val="P68B1DB1-TableParagraph14"/>
              <w:spacing w:before="108"/>
              <w:jc w:val="both"/>
              <w:rPr>
                <w:bCs/>
              </w:rPr>
            </w:pPr>
            <w:r>
              <w:t>Rekwiżit tal-Proporzjon ta’ Ingranaġġ</w:t>
            </w:r>
          </w:p>
          <w:p w14:paraId="7FE1B632" w14:textId="77777777" w:rsidR="00534D9A" w:rsidRDefault="003243B2">
            <w:pPr>
              <w:pStyle w:val="P68B1DB1-TableParagraph13"/>
              <w:spacing w:before="108"/>
              <w:jc w:val="both"/>
            </w:pPr>
            <w:r>
              <w:t>Ir-rekwiżit tal-proporzjon ta’ ingranaġġ, eskluż ir-rekwiżit speċifikat fl-Artikolu 92 (1a) tar-Regolament (UE) Nru 575/2013, kif applikabbli għall-entità jew il-grupp, espress bħala perċentwal tal-kejl tal-iskopertura totali. Jekk ma jkun hemm l-ebda rekwiżit formali fis-seħħ, l-entitajiet għandhom iħallu din iċ-ċellola vojta.</w:t>
            </w:r>
          </w:p>
        </w:tc>
      </w:tr>
      <w:tr w:rsidR="00534D9A" w14:paraId="7FE1B63D" w14:textId="77777777">
        <w:tc>
          <w:tcPr>
            <w:tcW w:w="856" w:type="dxa"/>
            <w:tcBorders>
              <w:top w:val="single" w:sz="4" w:space="0" w:color="1A171C"/>
              <w:left w:val="nil"/>
              <w:bottom w:val="single" w:sz="4" w:space="0" w:color="1A171C"/>
              <w:right w:val="single" w:sz="4" w:space="0" w:color="1A171C"/>
            </w:tcBorders>
            <w:vAlign w:val="center"/>
          </w:tcPr>
          <w:p w14:paraId="7FE1B634" w14:textId="77777777" w:rsidR="00534D9A" w:rsidRDefault="003243B2">
            <w:pPr>
              <w:pStyle w:val="P68B1DB1-TableParagraph13"/>
              <w:spacing w:before="106"/>
              <w:ind w:left="-1"/>
            </w:pPr>
            <w:r>
              <w:t>0300</w:t>
            </w:r>
          </w:p>
        </w:tc>
        <w:tc>
          <w:tcPr>
            <w:tcW w:w="8170" w:type="dxa"/>
            <w:tcBorders>
              <w:top w:val="single" w:sz="4" w:space="0" w:color="1A171C"/>
              <w:left w:val="single" w:sz="4" w:space="0" w:color="1A171C"/>
              <w:bottom w:val="single" w:sz="4" w:space="0" w:color="1A171C"/>
              <w:right w:val="nil"/>
            </w:tcBorders>
            <w:vAlign w:val="center"/>
          </w:tcPr>
          <w:p w14:paraId="7FE1B635" w14:textId="77777777" w:rsidR="00534D9A" w:rsidRDefault="003243B2">
            <w:pPr>
              <w:pStyle w:val="P68B1DB1-TableParagraph14"/>
              <w:spacing w:before="108"/>
              <w:jc w:val="both"/>
              <w:rPr>
                <w:bCs/>
              </w:rPr>
            </w:pPr>
            <w:r>
              <w:t xml:space="preserve">Il-proporzjon totali ta’ rekwiżit ta’ kapital SREP (TSCR) </w:t>
            </w:r>
          </w:p>
          <w:p w14:paraId="7FE1B636" w14:textId="77777777" w:rsidR="00534D9A" w:rsidRDefault="003243B2">
            <w:pPr>
              <w:pStyle w:val="P68B1DB1-TableParagraph13"/>
              <w:spacing w:before="108"/>
              <w:jc w:val="both"/>
            </w:pPr>
            <w:r>
              <w:t>COREP (TA’): —C 03.00; 130; 010</w:t>
            </w:r>
          </w:p>
          <w:p w14:paraId="7FE1B637" w14:textId="77777777" w:rsidR="00534D9A" w:rsidRDefault="003243B2">
            <w:pPr>
              <w:pStyle w:val="P68B1DB1-InstructionsText22"/>
              <w:ind w:firstLine="0"/>
            </w:pPr>
            <w:r>
              <w:t>It-total ta’ (i) u (ii) kif ġej:</w:t>
            </w:r>
          </w:p>
          <w:p w14:paraId="7FE1B638" w14:textId="77777777" w:rsidR="00534D9A" w:rsidRDefault="003243B2">
            <w:pPr>
              <w:pStyle w:val="P68B1DB1-InstructionsText22"/>
              <w:numPr>
                <w:ilvl w:val="3"/>
                <w:numId w:val="49"/>
              </w:numPr>
            </w:pPr>
            <w:r>
              <w:t xml:space="preserve">il-proporzjon ta’ kapital totali (8 %) kif speċifikat fl-Artikolu 92(1)(c) tar-Regolament (UE) Nru 575/2013; </w:t>
            </w:r>
          </w:p>
          <w:p w14:paraId="7FE1B639" w14:textId="77777777" w:rsidR="00534D9A" w:rsidRDefault="003243B2">
            <w:pPr>
              <w:pStyle w:val="P68B1DB1-InstructionsText22"/>
              <w:numPr>
                <w:ilvl w:val="3"/>
                <w:numId w:val="49"/>
              </w:numPr>
            </w:pPr>
            <w:r>
              <w:t xml:space="preserve">il-proporzjon tar-rekwiżiti ta’ fondi proprji addizzjonali (ir-Rekwiżiti tal-Pilastru 2 — P2R) iddeterminat f’konformità mal-kriterji speċifikati fil- </w:t>
            </w:r>
            <w:r>
              <w:rPr>
                <w:i/>
              </w:rPr>
              <w:t xml:space="preserve">Linji Gwida tal-EBA dwar metodoloġiji u proċeduri komuni għall-proċess ta’ reviżjoni u evalwazzjoni superviżorji u l-ittestjar ta’ stress superviżorju </w:t>
            </w:r>
            <w:r>
              <w:t>(Linji Gwida SREP tal-EBA).</w:t>
            </w:r>
          </w:p>
          <w:p w14:paraId="7FE1B63A" w14:textId="77777777" w:rsidR="00534D9A" w:rsidRDefault="003243B2">
            <w:pPr>
              <w:pStyle w:val="P68B1DB1-InstructionsText22"/>
              <w:ind w:firstLine="0"/>
            </w:pPr>
            <w:r>
              <w:t>Din l-entrata għandha tirrifletti l-aħħar proporzjon, mid-data tar-rimessa, tar-rekwiżit kapitali totali tal-SREP (TSCR) kif ikkomunikat lill-istituzzjoni mill-awtorità kompetenti, jiġifieri għas-sottomissjoni bid-data ta’ referenza tal-31 ta’ Diċembru ta’ sena partikolari, irrapporta l-P2R applikabbli fis-sena ta’ wara. It-TSCR hija definita fit-Taqsima 1.2 tal-SSREP GL tal-EBA.</w:t>
            </w:r>
          </w:p>
          <w:p w14:paraId="7FE1B63B" w14:textId="77777777" w:rsidR="00534D9A" w:rsidRDefault="003243B2">
            <w:pPr>
              <w:pStyle w:val="P68B1DB1-InstructionsText22"/>
              <w:ind w:firstLine="0"/>
            </w:pPr>
            <w:r>
              <w:t>Meta entità relatriċi tkun entità ta’ riżoluzzjoni li ma kinitx soġġetta għal rekwiżit ta’ fondi proprji addizzjonali kif imsemmi fl-Artikolu 104a tad-Direttiva 2013/36/UE fil-livell konsolidat tal-grupp ta’ riżoluzzjoni, il-valur irrapportat għal (ii) hawn fuq huwa mistenni li jkun ir-riżultat tal-istima msemmija fl-Artikolu 1 tar-Regolament Delegat tal-Kummissjoni (UE) 2021/1118, iżda mwettaq b’mod preliminari mill-entità relatriċi.</w:t>
            </w:r>
          </w:p>
          <w:p w14:paraId="7FE1B63C" w14:textId="77777777" w:rsidR="00534D9A" w:rsidRDefault="003243B2">
            <w:pPr>
              <w:pStyle w:val="P68B1DB1-TableParagraph13"/>
              <w:spacing w:before="108"/>
              <w:jc w:val="both"/>
              <w:rPr>
                <w:b/>
                <w:bCs/>
              </w:rPr>
            </w:pPr>
            <w:r>
              <w:t>Jekk ma jkun ġie kkomunikat l-ebda rekwiżit ta’ fondi proprji addizzjonali mill-awtorità kompetenti u l-paragrafu ta’ hawn fuq ma japplikax, f’dak il-każ il-punt (i) biss għandu jiġi rrapportat.</w:t>
            </w:r>
          </w:p>
        </w:tc>
      </w:tr>
      <w:tr w:rsidR="00534D9A" w14:paraId="7FE1B643" w14:textId="77777777">
        <w:tc>
          <w:tcPr>
            <w:tcW w:w="856" w:type="dxa"/>
            <w:tcBorders>
              <w:top w:val="single" w:sz="4" w:space="0" w:color="1A171C"/>
              <w:left w:val="nil"/>
              <w:bottom w:val="single" w:sz="4" w:space="0" w:color="1A171C"/>
              <w:right w:val="single" w:sz="4" w:space="0" w:color="1A171C"/>
            </w:tcBorders>
            <w:vAlign w:val="center"/>
          </w:tcPr>
          <w:p w14:paraId="7FE1B63E" w14:textId="77777777" w:rsidR="00534D9A" w:rsidRDefault="003243B2">
            <w:pPr>
              <w:pStyle w:val="P68B1DB1-TableParagraph13"/>
              <w:spacing w:before="106"/>
              <w:ind w:left="-1"/>
            </w:pPr>
            <w:r>
              <w:t>0400</w:t>
            </w:r>
          </w:p>
        </w:tc>
        <w:tc>
          <w:tcPr>
            <w:tcW w:w="8170" w:type="dxa"/>
            <w:tcBorders>
              <w:top w:val="single" w:sz="4" w:space="0" w:color="1A171C"/>
              <w:left w:val="single" w:sz="4" w:space="0" w:color="1A171C"/>
              <w:bottom w:val="single" w:sz="4" w:space="0" w:color="1A171C"/>
              <w:right w:val="nil"/>
            </w:tcBorders>
            <w:vAlign w:val="center"/>
          </w:tcPr>
          <w:p w14:paraId="7FE1B63F" w14:textId="77777777" w:rsidR="00534D9A" w:rsidRDefault="003243B2">
            <w:pPr>
              <w:pStyle w:val="P68B1DB1-TableParagraph14"/>
              <w:spacing w:before="108"/>
              <w:jc w:val="both"/>
              <w:rPr>
                <w:bCs/>
              </w:rPr>
            </w:pPr>
            <w:r>
              <w:t>Rekwiżit ta’ Bafer Kombinat</w:t>
            </w:r>
          </w:p>
          <w:p w14:paraId="7FE1B640" w14:textId="7A5205D6" w:rsidR="00534D9A" w:rsidRDefault="003243B2">
            <w:pPr>
              <w:pStyle w:val="P68B1DB1-TableParagraph13"/>
              <w:spacing w:before="108"/>
              <w:jc w:val="both"/>
            </w:pPr>
            <w:r>
              <w:t>COREP (TA’): (Ċ) 04.00; 740; 010).</w:t>
            </w:r>
          </w:p>
          <w:p w14:paraId="7FE1B641" w14:textId="77777777" w:rsidR="00534D9A" w:rsidRDefault="003243B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Rekwiżit imsemmi f’</w:t>
            </w:r>
            <w:r>
              <w:rPr>
                <w:rStyle w:val="InstructionsTabelleberschrift"/>
                <w:rFonts w:ascii="Times New Roman" w:hAnsi="Times New Roman"/>
                <w:b w:val="0"/>
                <w:color w:val="000000" w:themeColor="text1"/>
                <w:szCs w:val="20"/>
                <w:u w:val="none"/>
              </w:rPr>
              <w:t xml:space="preserve"> p</w:t>
            </w:r>
            <w:r>
              <w:rPr>
                <w:rFonts w:ascii="Times New Roman" w:eastAsia="Cambria" w:hAnsi="Times New Roman" w:cs="Times New Roman"/>
                <w:color w:val="000000" w:themeColor="text1"/>
                <w:sz w:val="20"/>
                <w:szCs w:val="20"/>
              </w:rPr>
              <w:t>oint (6) tal-ewwel subparagrafu tal-Artikolu 128 tad-Direttiva 2013/36/UE.</w:t>
            </w:r>
          </w:p>
          <w:p w14:paraId="7FE1B642" w14:textId="37B6D097" w:rsidR="00534D9A" w:rsidRDefault="003243B2">
            <w:pPr>
              <w:pStyle w:val="P68B1DB1-TableParagraph13"/>
              <w:spacing w:before="108"/>
              <w:jc w:val="both"/>
            </w:pPr>
            <w:r>
              <w:t xml:space="preserve">F’każ li l-perimetru ta’ riżoluzzjoni jkun differenti minn dak prudenzjali, l-istima tal-elementi li jinkludu r-rekwiżit ta’ riżerva kombinata tal-entità ta’ riżoluzzjoni fil-livell konsolidat tal-grupp ta’ riżoluzzjoni ssegwi l-Artikolu 3(1) tar-Regolament Delegat tal-Kummissjoni (UE) 2021/1118, iżda jenħtieġ li titwettaq b’mod preliminari mill-entità relatriċi. </w:t>
            </w:r>
          </w:p>
        </w:tc>
      </w:tr>
      <w:tr w:rsidR="00534D9A" w14:paraId="7FE1B649" w14:textId="77777777">
        <w:tc>
          <w:tcPr>
            <w:tcW w:w="856" w:type="dxa"/>
            <w:tcBorders>
              <w:top w:val="single" w:sz="4" w:space="0" w:color="1A171C"/>
              <w:left w:val="nil"/>
              <w:bottom w:val="single" w:sz="4" w:space="0" w:color="1A171C"/>
              <w:right w:val="single" w:sz="4" w:space="0" w:color="1A171C"/>
            </w:tcBorders>
            <w:vAlign w:val="center"/>
          </w:tcPr>
          <w:p w14:paraId="7FE1B644" w14:textId="77777777" w:rsidR="00534D9A" w:rsidRDefault="003243B2">
            <w:pPr>
              <w:pStyle w:val="P68B1DB1-TableParagraph13"/>
              <w:spacing w:before="106"/>
              <w:ind w:left="-1"/>
            </w:pPr>
            <w:r>
              <w:t>0410</w:t>
            </w:r>
          </w:p>
        </w:tc>
        <w:tc>
          <w:tcPr>
            <w:tcW w:w="8170" w:type="dxa"/>
            <w:tcBorders>
              <w:top w:val="single" w:sz="4" w:space="0" w:color="1A171C"/>
              <w:left w:val="single" w:sz="4" w:space="0" w:color="1A171C"/>
              <w:bottom w:val="single" w:sz="4" w:space="0" w:color="1A171C"/>
              <w:right w:val="nil"/>
            </w:tcBorders>
            <w:vAlign w:val="center"/>
          </w:tcPr>
          <w:p w14:paraId="7FE1B645" w14:textId="77777777" w:rsidR="00534D9A" w:rsidRDefault="003243B2">
            <w:pPr>
              <w:pStyle w:val="P68B1DB1-TableParagraph14"/>
              <w:spacing w:before="108"/>
              <w:jc w:val="both"/>
              <w:rPr>
                <w:bCs/>
              </w:rPr>
            </w:pPr>
            <w:r>
              <w:t>Bafer ta’ Konservazzjoni tal-Kapital</w:t>
            </w:r>
          </w:p>
          <w:p w14:paraId="7FE1B646" w14:textId="7B6CEF6B" w:rsidR="00534D9A" w:rsidRDefault="003243B2">
            <w:pPr>
              <w:pStyle w:val="P68B1DB1-TableParagraph13"/>
              <w:spacing w:before="108"/>
              <w:jc w:val="both"/>
            </w:pPr>
            <w:r>
              <w:t>COREP (TA’): (Ċ) 04.00; 750; 010).</w:t>
            </w:r>
          </w:p>
          <w:p w14:paraId="7FE1B647" w14:textId="77777777" w:rsidR="00534D9A" w:rsidRDefault="003243B2">
            <w:pPr>
              <w:pStyle w:val="TableParagraph"/>
              <w:spacing w:before="108"/>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Ir-rekwiżit imsemmi</w:t>
            </w:r>
            <w:r>
              <w:rPr>
                <w:rStyle w:val="InstructionsTabelleberschrift"/>
                <w:rFonts w:ascii="Times New Roman" w:hAnsi="Times New Roman"/>
                <w:b w:val="0"/>
                <w:color w:val="000000" w:themeColor="text1"/>
                <w:szCs w:val="20"/>
                <w:u w:val="none"/>
              </w:rPr>
              <w:t xml:space="preserve"> </w:t>
            </w:r>
            <w:r>
              <w:rPr>
                <w:rFonts w:ascii="Times New Roman" w:eastAsia="Cambria" w:hAnsi="Times New Roman" w:cs="Times New Roman"/>
                <w:color w:val="000000" w:themeColor="text1"/>
                <w:sz w:val="20"/>
                <w:szCs w:val="20"/>
              </w:rPr>
              <w:t>fl-Artikoli 128 (1) u 129 tad-Direttiva 2013/36/UE.</w:t>
            </w:r>
          </w:p>
          <w:p w14:paraId="7FE1B648" w14:textId="77777777" w:rsidR="00534D9A" w:rsidRDefault="003243B2">
            <w:pPr>
              <w:pStyle w:val="P68B1DB1-TableParagraph13"/>
              <w:spacing w:before="108"/>
              <w:jc w:val="both"/>
              <w:rPr>
                <w:rFonts w:eastAsia="Cambria"/>
              </w:rPr>
            </w:pPr>
            <w:r>
              <w:t>F’każ li l-perimetru ta’ riżoluzzjoni jkun differenti minn dak prudenzjali, l-istima ta’ dan ir-rekwiżit ta’ riżerva tal-entità ta’ riżoluzzjoni fil-livell konsolidat tal-grupp ta’ riżoluzzjoni ssegwi l-Artikolu 3(2) tar-Regolament Delegat tal-Kummissjoni (UE) 2021/1118, iżda jenħtieġ li titwettaq b’mod preliminari mill-entità relatriċi.</w:t>
            </w:r>
          </w:p>
        </w:tc>
      </w:tr>
      <w:tr w:rsidR="00534D9A" w14:paraId="7FE1B64F" w14:textId="77777777">
        <w:tc>
          <w:tcPr>
            <w:tcW w:w="856" w:type="dxa"/>
            <w:tcBorders>
              <w:top w:val="single" w:sz="4" w:space="0" w:color="1A171C"/>
              <w:left w:val="nil"/>
              <w:bottom w:val="single" w:sz="4" w:space="0" w:color="1A171C"/>
              <w:right w:val="single" w:sz="4" w:space="0" w:color="1A171C"/>
            </w:tcBorders>
            <w:vAlign w:val="center"/>
          </w:tcPr>
          <w:p w14:paraId="7FE1B64A" w14:textId="77777777" w:rsidR="00534D9A" w:rsidRDefault="003243B2">
            <w:pPr>
              <w:pStyle w:val="P68B1DB1-TableParagraph13"/>
              <w:spacing w:before="106"/>
              <w:ind w:left="-1"/>
            </w:pPr>
            <w:r>
              <w:lastRenderedPageBreak/>
              <w:t>0420</w:t>
            </w:r>
          </w:p>
        </w:tc>
        <w:tc>
          <w:tcPr>
            <w:tcW w:w="8170" w:type="dxa"/>
            <w:tcBorders>
              <w:top w:val="single" w:sz="4" w:space="0" w:color="1A171C"/>
              <w:left w:val="single" w:sz="4" w:space="0" w:color="1A171C"/>
              <w:bottom w:val="single" w:sz="4" w:space="0" w:color="1A171C"/>
              <w:right w:val="nil"/>
            </w:tcBorders>
            <w:vAlign w:val="center"/>
          </w:tcPr>
          <w:p w14:paraId="7FE1B64B" w14:textId="77777777" w:rsidR="00534D9A" w:rsidRDefault="003243B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Buffer ta’ konservazzjoni dovut għal riskju makroprudenzjali jew sistemiku identifikat fil-livell ta’ Stat Membru</w:t>
            </w:r>
          </w:p>
          <w:p w14:paraId="7FE1B64C" w14:textId="77777777" w:rsidR="00534D9A" w:rsidRDefault="003243B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COREP (TA’): (Ċ) 04.00; 760; 010).</w:t>
            </w:r>
          </w:p>
          <w:p w14:paraId="7FE1B64D" w14:textId="1D29CF6A" w:rsidR="00534D9A" w:rsidRDefault="003243B2">
            <w:pPr>
              <w:rPr>
                <w:rStyle w:val="InstructionsTabelleberschrift"/>
                <w:rFonts w:ascii="Times New Roman" w:hAnsi="Times New Roman"/>
                <w:b w:val="0"/>
                <w:color w:val="000000" w:themeColor="text1"/>
                <w:szCs w:val="20"/>
                <w:u w:val="none"/>
              </w:rPr>
            </w:pPr>
            <w:r>
              <w:rPr>
                <w:rFonts w:ascii="Times New Roman" w:eastAsia="Cambria" w:hAnsi="Times New Roman" w:cs="Times New Roman"/>
                <w:color w:val="000000" w:themeColor="text1"/>
                <w:sz w:val="20"/>
                <w:szCs w:val="20"/>
              </w:rPr>
              <w:t>Rekwiżit imsemmi fl-Artikolu</w:t>
            </w:r>
            <w:r>
              <w:rPr>
                <w:rStyle w:val="InstructionsTabelleberschrift"/>
                <w:rFonts w:ascii="Times New Roman" w:hAnsi="Times New Roman"/>
                <w:b w:val="0"/>
                <w:color w:val="000000" w:themeColor="text1"/>
                <w:szCs w:val="20"/>
                <w:u w:val="none"/>
              </w:rPr>
              <w:t xml:space="preserve"> 458(2), il-punt d (vi) tar-Regolament (UE)</w:t>
            </w:r>
            <w:r>
              <w:rPr>
                <w:rStyle w:val="FootnoteReference"/>
                <w:rFonts w:cs="Times New Roman"/>
                <w:color w:val="000000" w:themeColor="text1"/>
              </w:rPr>
              <w:footnoteReference w:id="17"/>
            </w:r>
            <w:r>
              <w:rPr>
                <w:rStyle w:val="InstructionsTabelleberschrift"/>
                <w:rFonts w:ascii="Times New Roman" w:hAnsi="Times New Roman"/>
                <w:b w:val="0"/>
                <w:color w:val="000000" w:themeColor="text1"/>
                <w:szCs w:val="20"/>
                <w:u w:val="none"/>
              </w:rPr>
              <w:t xml:space="preserve"> Nru 575/2013</w:t>
            </w:r>
          </w:p>
          <w:p w14:paraId="7FE1B64E" w14:textId="77777777" w:rsidR="00534D9A" w:rsidRDefault="003243B2">
            <w:pPr>
              <w:pStyle w:val="P68B1DB1-TableParagraph13"/>
              <w:spacing w:before="108"/>
              <w:jc w:val="both"/>
              <w:rPr>
                <w:rFonts w:eastAsia="Cambria"/>
              </w:rPr>
            </w:pPr>
            <w:r>
              <w:t>F’każ li l-perimetru ta’ riżoluzzjoni jkun differenti minn dak prudenzjali, l-ammont irrapportat jikkorrispondi għar-riżerva applikabbli għall-iskoperturi tal-grupp ta’ riżoluzzjoni.</w:t>
            </w:r>
          </w:p>
        </w:tc>
      </w:tr>
      <w:tr w:rsidR="00534D9A" w14:paraId="7FE1B655" w14:textId="77777777">
        <w:tc>
          <w:tcPr>
            <w:tcW w:w="856" w:type="dxa"/>
            <w:tcBorders>
              <w:top w:val="single" w:sz="4" w:space="0" w:color="1A171C"/>
              <w:left w:val="nil"/>
              <w:bottom w:val="single" w:sz="4" w:space="0" w:color="1A171C"/>
              <w:right w:val="single" w:sz="4" w:space="0" w:color="1A171C"/>
            </w:tcBorders>
            <w:vAlign w:val="center"/>
          </w:tcPr>
          <w:p w14:paraId="7FE1B650" w14:textId="77777777" w:rsidR="00534D9A" w:rsidRDefault="003243B2">
            <w:pPr>
              <w:pStyle w:val="P68B1DB1-TableParagraph13"/>
              <w:spacing w:before="106"/>
              <w:ind w:left="-1"/>
            </w:pPr>
            <w:r>
              <w:t>0430</w:t>
            </w:r>
          </w:p>
        </w:tc>
        <w:tc>
          <w:tcPr>
            <w:tcW w:w="8170" w:type="dxa"/>
            <w:tcBorders>
              <w:top w:val="single" w:sz="4" w:space="0" w:color="1A171C"/>
              <w:left w:val="single" w:sz="4" w:space="0" w:color="1A171C"/>
              <w:bottom w:val="single" w:sz="4" w:space="0" w:color="1A171C"/>
              <w:right w:val="nil"/>
            </w:tcBorders>
            <w:vAlign w:val="center"/>
          </w:tcPr>
          <w:p w14:paraId="7FE1B651" w14:textId="77777777" w:rsidR="00534D9A" w:rsidRDefault="003243B2">
            <w:pPr>
              <w:pStyle w:val="P68B1DB1-TableParagraph14"/>
              <w:spacing w:before="108"/>
              <w:jc w:val="both"/>
              <w:rPr>
                <w:bCs/>
              </w:rPr>
            </w:pPr>
            <w:r>
              <w:t xml:space="preserve">Buffer Kapitali Kontroċikliku Speċifiku għall-Istituzzjoni </w:t>
            </w:r>
          </w:p>
          <w:p w14:paraId="7FE1B652" w14:textId="77777777" w:rsidR="00534D9A" w:rsidRDefault="003243B2">
            <w:pPr>
              <w:rPr>
                <w:rStyle w:val="InstructionsTabelleberschrift"/>
                <w:rFonts w:ascii="Times New Roman" w:hAnsi="Times New Roman"/>
                <w:b w:val="0"/>
                <w:bCs w:val="0"/>
                <w:color w:val="000000" w:themeColor="text1"/>
                <w:szCs w:val="20"/>
                <w:u w:val="none"/>
              </w:rPr>
            </w:pPr>
            <w:r>
              <w:rPr>
                <w:rStyle w:val="InstructionsTabelleberschrift"/>
                <w:rFonts w:ascii="Times New Roman" w:hAnsi="Times New Roman"/>
                <w:b w:val="0"/>
                <w:bCs w:val="0"/>
                <w:color w:val="000000" w:themeColor="text1"/>
                <w:szCs w:val="20"/>
                <w:u w:val="none"/>
              </w:rPr>
              <w:t>(ara COREP (OF): (Ċ) 04.00; 770; 010).</w:t>
            </w:r>
          </w:p>
          <w:p w14:paraId="7FE1B653" w14:textId="77777777" w:rsidR="00534D9A" w:rsidRDefault="003243B2">
            <w:pPr>
              <w:pStyle w:val="P68B1DB1-TableParagraph17"/>
              <w:spacing w:before="108"/>
              <w:jc w:val="both"/>
            </w:pPr>
            <w:r>
              <w:t>Ir-rekwiżit imsemmi fl-Artikoli 128 (2), 130, 135–140 tad-Direttiva 2013/36/UE.</w:t>
            </w:r>
          </w:p>
          <w:p w14:paraId="7FE1B654" w14:textId="77777777" w:rsidR="00534D9A" w:rsidRDefault="003243B2">
            <w:pPr>
              <w:pStyle w:val="P68B1DB1-TableParagraph13"/>
              <w:spacing w:before="108"/>
              <w:jc w:val="both"/>
              <w:rPr>
                <w:rFonts w:eastAsia="Cambria"/>
              </w:rPr>
            </w:pPr>
            <w:r>
              <w:t>F’każ li l-perimetru ta’ riżoluzzjoni jkun differenti minn dak prudenzjali, l-ammont irrapportat jikkorrispondi għar-rekwiżit ta’ riżerva applikabbli għall-iskoperturi tal-grupp ta’ riżoluzzjoni.</w:t>
            </w:r>
          </w:p>
        </w:tc>
      </w:tr>
      <w:tr w:rsidR="00534D9A" w14:paraId="7FE1B65B" w14:textId="77777777">
        <w:tc>
          <w:tcPr>
            <w:tcW w:w="856" w:type="dxa"/>
            <w:tcBorders>
              <w:top w:val="single" w:sz="4" w:space="0" w:color="1A171C"/>
              <w:left w:val="nil"/>
              <w:bottom w:val="single" w:sz="4" w:space="0" w:color="1A171C"/>
              <w:right w:val="single" w:sz="4" w:space="0" w:color="1A171C"/>
            </w:tcBorders>
            <w:vAlign w:val="center"/>
          </w:tcPr>
          <w:p w14:paraId="7FE1B656" w14:textId="77777777" w:rsidR="00534D9A" w:rsidRDefault="003243B2">
            <w:pPr>
              <w:pStyle w:val="P68B1DB1-TableParagraph13"/>
              <w:spacing w:before="106"/>
              <w:ind w:left="-1"/>
            </w:pPr>
            <w:r>
              <w:t>0440</w:t>
            </w:r>
          </w:p>
        </w:tc>
        <w:tc>
          <w:tcPr>
            <w:tcW w:w="8170" w:type="dxa"/>
            <w:tcBorders>
              <w:top w:val="single" w:sz="4" w:space="0" w:color="1A171C"/>
              <w:left w:val="single" w:sz="4" w:space="0" w:color="1A171C"/>
              <w:bottom w:val="single" w:sz="4" w:space="0" w:color="1A171C"/>
              <w:right w:val="nil"/>
            </w:tcBorders>
            <w:vAlign w:val="center"/>
          </w:tcPr>
          <w:p w14:paraId="7FE1B657" w14:textId="77777777" w:rsidR="00534D9A" w:rsidRDefault="003243B2">
            <w:pPr>
              <w:pStyle w:val="P68B1DB1-TableParagraph14"/>
              <w:spacing w:before="108"/>
              <w:jc w:val="both"/>
              <w:rPr>
                <w:bCs/>
              </w:rPr>
            </w:pPr>
            <w:r>
              <w:t>Buffer tar-Riskju Sistemiku</w:t>
            </w:r>
          </w:p>
          <w:p w14:paraId="7FE1B658" w14:textId="77777777" w:rsidR="00534D9A" w:rsidRDefault="003243B2">
            <w:pPr>
              <w:pStyle w:val="P68B1DB1-TableParagraph13"/>
              <w:spacing w:before="108"/>
              <w:jc w:val="both"/>
            </w:pPr>
            <w:r>
              <w:t>(ara COREP (OF): (Ċ) 04.00; 780; 010)</w:t>
            </w:r>
          </w:p>
          <w:p w14:paraId="7FE1B659" w14:textId="77777777" w:rsidR="00534D9A" w:rsidRDefault="003243B2">
            <w:pPr>
              <w:pStyle w:val="P68B1DB1-TableParagraph17"/>
              <w:spacing w:before="108"/>
              <w:jc w:val="both"/>
            </w:pPr>
            <w:r>
              <w:t>Rekwiżit imsemmi fl-Artikoli 128 (5), 133 u 134 tad-Direttiva 2013/36/UE</w:t>
            </w:r>
          </w:p>
          <w:p w14:paraId="7FE1B65A" w14:textId="77777777" w:rsidR="00534D9A" w:rsidRDefault="003243B2">
            <w:pPr>
              <w:pStyle w:val="TableParagraph"/>
              <w:spacing w:before="10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F’każ li l-perimetru ta’ riżoluzzjoni jkun differenti minn dak prudenzjali, l-istima ta’ dan ir-rekwiżit ta’ riżerva tal-entità ta’ riżoluzzjoni fil-livell konsolidat tal-grupp ta’ riżoluzzjoni ssegwi l-Artikolu 3(5) tar-Regolament Delegat tal-Kummissjoni (UE) 2021/1118, iżda jenħtieġ li</w:t>
            </w:r>
            <w:r>
              <w:t xml:space="preserve"> </w:t>
            </w:r>
            <w:r>
              <w:rPr>
                <w:rFonts w:ascii="Times New Roman" w:hAnsi="Times New Roman" w:cs="Times New Roman"/>
                <w:color w:val="000000" w:themeColor="text1"/>
                <w:sz w:val="20"/>
                <w:szCs w:val="20"/>
              </w:rPr>
              <w:t xml:space="preserve">titwettaq b’mod preliminari mill-entità relatriċi. </w:t>
            </w:r>
          </w:p>
        </w:tc>
      </w:tr>
      <w:tr w:rsidR="00534D9A" w14:paraId="7FE1B661" w14:textId="77777777">
        <w:tc>
          <w:tcPr>
            <w:tcW w:w="856" w:type="dxa"/>
            <w:tcBorders>
              <w:top w:val="single" w:sz="4" w:space="0" w:color="1A171C"/>
              <w:left w:val="nil"/>
              <w:bottom w:val="single" w:sz="4" w:space="0" w:color="1A171C"/>
              <w:right w:val="single" w:sz="4" w:space="0" w:color="1A171C"/>
            </w:tcBorders>
            <w:vAlign w:val="center"/>
          </w:tcPr>
          <w:p w14:paraId="7FE1B65C" w14:textId="77777777" w:rsidR="00534D9A" w:rsidRDefault="003243B2">
            <w:pPr>
              <w:pStyle w:val="P68B1DB1-TableParagraph13"/>
              <w:spacing w:before="106"/>
              <w:ind w:left="-1"/>
            </w:pPr>
            <w:r>
              <w:t>0450</w:t>
            </w:r>
          </w:p>
        </w:tc>
        <w:tc>
          <w:tcPr>
            <w:tcW w:w="8170" w:type="dxa"/>
            <w:tcBorders>
              <w:top w:val="single" w:sz="4" w:space="0" w:color="1A171C"/>
              <w:left w:val="single" w:sz="4" w:space="0" w:color="1A171C"/>
              <w:bottom w:val="single" w:sz="4" w:space="0" w:color="1A171C"/>
              <w:right w:val="nil"/>
            </w:tcBorders>
            <w:vAlign w:val="center"/>
          </w:tcPr>
          <w:p w14:paraId="7FE1B65D" w14:textId="77777777" w:rsidR="00534D9A" w:rsidRDefault="003243B2">
            <w:pPr>
              <w:pStyle w:val="P68B1DB1-TableParagraph14"/>
              <w:spacing w:before="108"/>
              <w:jc w:val="both"/>
              <w:rPr>
                <w:bCs/>
              </w:rPr>
            </w:pPr>
            <w:r>
              <w:t>Bafer ta’ Istituzzjoni Globali Sistematikament Importanti</w:t>
            </w:r>
          </w:p>
          <w:p w14:paraId="7FE1B65E" w14:textId="77777777" w:rsidR="00534D9A" w:rsidRDefault="003243B2">
            <w:pPr>
              <w:pStyle w:val="P68B1DB1-TableParagraph17"/>
              <w:spacing w:before="108"/>
              <w:jc w:val="both"/>
            </w:pPr>
            <w:r>
              <w:t>COREP (TA’): —C 04.00; 800; 010</w:t>
            </w:r>
          </w:p>
          <w:p w14:paraId="7FE1B65F" w14:textId="77777777" w:rsidR="00534D9A" w:rsidRDefault="003243B2">
            <w:pPr>
              <w:pStyle w:val="P68B1DB1-TableParagraph17"/>
              <w:spacing w:before="108"/>
              <w:jc w:val="both"/>
            </w:pPr>
            <w:r>
              <w:t>Ir-rekwiżit imsemmi fl-Artikoli 128 (3) u 131 tad-Direttiva 2013/36/UE.</w:t>
            </w:r>
          </w:p>
          <w:p w14:paraId="7FE1B660" w14:textId="77777777" w:rsidR="00534D9A" w:rsidRDefault="003243B2">
            <w:pPr>
              <w:pStyle w:val="TableParagraph"/>
              <w:spacing w:before="108"/>
              <w:jc w:val="both"/>
              <w:rPr>
                <w:rFonts w:ascii="Times New Roman" w:eastAsia="Cambria" w:hAnsi="Times New Roman" w:cs="Times New Roman"/>
                <w:color w:val="000000" w:themeColor="text1"/>
                <w:sz w:val="20"/>
                <w:szCs w:val="20"/>
              </w:rPr>
            </w:pPr>
            <w:r>
              <w:rPr>
                <w:rFonts w:ascii="Times New Roman" w:hAnsi="Times New Roman" w:cs="Times New Roman"/>
                <w:color w:val="000000" w:themeColor="text1"/>
                <w:sz w:val="20"/>
                <w:szCs w:val="20"/>
              </w:rPr>
              <w:t>F’każ li l-perimetru ta’ riżoluzzjoni jkun differenti minn dak prudenzjali, l-istima ta’ dan ir-rekwiżit ta’ riżerva tal-entità ta’ riżoluzzjoni fil-livell konsolidat tal-grupp ta’ riżoluzzjoni ssegwi l-Artikolu 3(3) tar-Regolament Delegat tal-Kummissjoni (UE) 2021/1118, iżda jenħtieġ li</w:t>
            </w:r>
            <w:r>
              <w:t xml:space="preserve"> </w:t>
            </w:r>
            <w:r>
              <w:rPr>
                <w:rFonts w:ascii="Times New Roman" w:hAnsi="Times New Roman" w:cs="Times New Roman"/>
                <w:color w:val="000000" w:themeColor="text1"/>
                <w:sz w:val="20"/>
                <w:szCs w:val="20"/>
              </w:rPr>
              <w:t xml:space="preserve">titwettaq b’mod preliminari mill-entità relatriċi. </w:t>
            </w:r>
          </w:p>
        </w:tc>
      </w:tr>
      <w:tr w:rsidR="00534D9A" w14:paraId="7FE1B667" w14:textId="77777777">
        <w:tc>
          <w:tcPr>
            <w:tcW w:w="856" w:type="dxa"/>
            <w:tcBorders>
              <w:top w:val="single" w:sz="4" w:space="0" w:color="1A171C"/>
              <w:left w:val="nil"/>
              <w:bottom w:val="single" w:sz="4" w:space="0" w:color="1A171C"/>
              <w:right w:val="single" w:sz="4" w:space="0" w:color="1A171C"/>
            </w:tcBorders>
            <w:vAlign w:val="center"/>
          </w:tcPr>
          <w:p w14:paraId="7FE1B662" w14:textId="77777777" w:rsidR="00534D9A" w:rsidRDefault="003243B2">
            <w:pPr>
              <w:pStyle w:val="P68B1DB1-TableParagraph13"/>
              <w:spacing w:before="106"/>
              <w:ind w:left="-1"/>
            </w:pPr>
            <w:r>
              <w:t>0460</w:t>
            </w:r>
          </w:p>
        </w:tc>
        <w:tc>
          <w:tcPr>
            <w:tcW w:w="8170" w:type="dxa"/>
            <w:tcBorders>
              <w:top w:val="single" w:sz="4" w:space="0" w:color="1A171C"/>
              <w:left w:val="single" w:sz="4" w:space="0" w:color="1A171C"/>
              <w:bottom w:val="single" w:sz="4" w:space="0" w:color="1A171C"/>
              <w:right w:val="nil"/>
            </w:tcBorders>
            <w:vAlign w:val="center"/>
          </w:tcPr>
          <w:p w14:paraId="7FE1B664" w14:textId="41571241" w:rsidR="00534D9A" w:rsidRDefault="003243B2">
            <w:pPr>
              <w:pStyle w:val="P68B1DB1-TableParagraph13"/>
              <w:spacing w:before="108"/>
              <w:jc w:val="both"/>
            </w:pPr>
            <w:r>
              <w:t xml:space="preserve">Riżerva ta’ </w:t>
            </w:r>
            <w:r>
              <w:rPr>
                <w:b/>
              </w:rPr>
              <w:t>Istituzzjoni Sistemikament Importanti Oħra</w:t>
            </w:r>
            <w:r>
              <w:t xml:space="preserve">l-Artikoli 128 punt (4) u 131 tad-Direttiva 2013/36/UE </w:t>
            </w:r>
          </w:p>
          <w:p w14:paraId="7FE1B665" w14:textId="77777777" w:rsidR="00534D9A" w:rsidRDefault="003243B2">
            <w:pPr>
              <w:pStyle w:val="P68B1DB1-TableParagraph13"/>
              <w:spacing w:before="108"/>
              <w:jc w:val="both"/>
            </w:pPr>
            <w:r>
              <w:t xml:space="preserve">COREP (TA’): —C 04.00; 810; 010 </w:t>
            </w:r>
          </w:p>
          <w:p w14:paraId="7FE1B666" w14:textId="77777777" w:rsidR="00534D9A" w:rsidRDefault="003243B2">
            <w:pPr>
              <w:pStyle w:val="P68B1DB1-TableParagraph13"/>
              <w:spacing w:before="108"/>
              <w:jc w:val="both"/>
              <w:rPr>
                <w:b/>
                <w:bCs/>
              </w:rPr>
            </w:pPr>
            <w:r>
              <w:t>L-ammont irrapportat għandu jirrappreżenta l-ammont ta’ fondi proprji meħtieġa biex jiġu ssodisfati r-rekwiżiti tal-bafer kapitali rispettivi fid-data tar-rapportar.</w:t>
            </w:r>
          </w:p>
        </w:tc>
      </w:tr>
      <w:tr w:rsidR="00534D9A" w14:paraId="7FE1B670" w14:textId="77777777">
        <w:tc>
          <w:tcPr>
            <w:tcW w:w="856" w:type="dxa"/>
            <w:tcBorders>
              <w:top w:val="single" w:sz="4" w:space="0" w:color="1A171C"/>
              <w:left w:val="nil"/>
              <w:bottom w:val="single" w:sz="4" w:space="0" w:color="1A171C"/>
              <w:right w:val="single" w:sz="4" w:space="0" w:color="1A171C"/>
            </w:tcBorders>
            <w:vAlign w:val="center"/>
          </w:tcPr>
          <w:p w14:paraId="7FE1B668" w14:textId="77777777" w:rsidR="00534D9A" w:rsidRDefault="003243B2">
            <w:pPr>
              <w:pStyle w:val="P68B1DB1-TableParagraph13"/>
              <w:spacing w:before="106"/>
              <w:ind w:left="-1"/>
            </w:pPr>
            <w:r>
              <w:t>0500</w:t>
            </w:r>
          </w:p>
        </w:tc>
        <w:tc>
          <w:tcPr>
            <w:tcW w:w="8170" w:type="dxa"/>
            <w:tcBorders>
              <w:top w:val="single" w:sz="4" w:space="0" w:color="1A171C"/>
              <w:left w:val="single" w:sz="4" w:space="0" w:color="1A171C"/>
              <w:bottom w:val="single" w:sz="4" w:space="0" w:color="1A171C"/>
              <w:right w:val="nil"/>
            </w:tcBorders>
            <w:vAlign w:val="center"/>
          </w:tcPr>
          <w:p w14:paraId="7FE1B669" w14:textId="77777777" w:rsidR="00534D9A" w:rsidRDefault="003243B2">
            <w:pPr>
              <w:pStyle w:val="P68B1DB1-TableParagraph14"/>
              <w:spacing w:before="108"/>
              <w:jc w:val="both"/>
              <w:rPr>
                <w:bCs/>
              </w:rPr>
            </w:pPr>
            <w:r>
              <w:t xml:space="preserve">Proporzjoni tar-Rekwiżit Kapitali Ġenerali (OCR) </w:t>
            </w:r>
          </w:p>
          <w:p w14:paraId="7FE1B66A" w14:textId="77777777" w:rsidR="00534D9A" w:rsidRDefault="003243B2">
            <w:pPr>
              <w:pStyle w:val="P68B1DB1-TableParagraph13"/>
              <w:spacing w:before="108"/>
              <w:jc w:val="both"/>
            </w:pPr>
            <w:r>
              <w:t xml:space="preserve">COREP (TA’): —C 03.00; 160; 010 </w:t>
            </w:r>
          </w:p>
          <w:p w14:paraId="7FE1B66B" w14:textId="77777777" w:rsidR="00534D9A" w:rsidRDefault="003243B2">
            <w:pPr>
              <w:pStyle w:val="P68B1DB1-TableParagraph13"/>
              <w:spacing w:before="108"/>
              <w:jc w:val="both"/>
            </w:pPr>
            <w:r>
              <w:t xml:space="preserve">It-total ta’ (i) u (ii) kif ġej: </w:t>
            </w:r>
          </w:p>
          <w:p w14:paraId="7FE1B66C" w14:textId="77777777" w:rsidR="00534D9A" w:rsidRDefault="003243B2">
            <w:pPr>
              <w:pStyle w:val="P68B1DB1-TableParagraph13"/>
              <w:numPr>
                <w:ilvl w:val="3"/>
                <w:numId w:val="211"/>
              </w:numPr>
              <w:spacing w:before="108"/>
              <w:ind w:left="931" w:hanging="567"/>
              <w:jc w:val="both"/>
            </w:pPr>
            <w:r>
              <w:t xml:space="preserve">il-proporzjon TSCR imsemmi fir-ringiela 0300; </w:t>
            </w:r>
          </w:p>
          <w:p w14:paraId="7FE1B66D" w14:textId="77777777" w:rsidR="00534D9A" w:rsidRDefault="003243B2">
            <w:pPr>
              <w:pStyle w:val="P68B1DB1-TableParagraph13"/>
              <w:numPr>
                <w:ilvl w:val="3"/>
                <w:numId w:val="211"/>
              </w:numPr>
              <w:spacing w:before="108"/>
              <w:ind w:left="931" w:hanging="567"/>
              <w:jc w:val="both"/>
            </w:pPr>
            <w:r>
              <w:t xml:space="preserve">sa fejn dan ikun legalment applikabbli, il-proporzjon tar-rekwiżit ta’ bafer kombinat imsemmi fil-punt 6 tal-Artikolu 128 tad-Direttiva 2013/36/UE. </w:t>
            </w:r>
          </w:p>
          <w:p w14:paraId="7FE1B66E" w14:textId="77777777" w:rsidR="00534D9A" w:rsidRDefault="003243B2">
            <w:pPr>
              <w:pStyle w:val="P68B1DB1-TableParagraph13"/>
              <w:spacing w:before="108"/>
              <w:jc w:val="both"/>
            </w:pPr>
            <w:r>
              <w:t xml:space="preserve">Din l-entrata għandha tirrifletti l-proporzjon tar-rekwiżit kapitali kumplessiv (OCR) kif definit fit-Taqsima 1.2 tal-Linji Gwida SREP tal-EBA. </w:t>
            </w:r>
          </w:p>
          <w:p w14:paraId="7FE1B66F" w14:textId="77777777" w:rsidR="00534D9A" w:rsidRDefault="003243B2">
            <w:pPr>
              <w:pStyle w:val="P68B1DB1-TableParagraph13"/>
              <w:spacing w:before="108"/>
              <w:jc w:val="both"/>
              <w:rPr>
                <w:b/>
                <w:bCs/>
              </w:rPr>
            </w:pPr>
            <w:r>
              <w:t>Jekk ma tkunx japplika l-ebda bafer, għandu jiġi rrapportat biss il-punt (i).</w:t>
            </w:r>
          </w:p>
        </w:tc>
      </w:tr>
    </w:tbl>
    <w:p w14:paraId="7FE1B712" w14:textId="77777777" w:rsidR="00534D9A" w:rsidRDefault="00534D9A">
      <w:pPr>
        <w:rPr>
          <w:rFonts w:ascii="Times New Roman" w:hAnsi="Times New Roman" w:cs="Times New Roman"/>
        </w:rPr>
      </w:pPr>
    </w:p>
    <w:p w14:paraId="7FE1B713" w14:textId="77777777" w:rsidR="00534D9A" w:rsidRDefault="00534D9A">
      <w:pPr>
        <w:rPr>
          <w:rFonts w:ascii="Times New Roman" w:hAnsi="Times New Roman" w:cs="Times New Roman"/>
        </w:rPr>
      </w:pPr>
    </w:p>
    <w:p w14:paraId="7FE1B714" w14:textId="77777777" w:rsidR="00534D9A" w:rsidRDefault="003243B2">
      <w:pPr>
        <w:pStyle w:val="P68B1DB1-Instructionsberschrift25"/>
        <w:numPr>
          <w:ilvl w:val="1"/>
          <w:numId w:val="49"/>
        </w:numPr>
        <w:ind w:left="357" w:hanging="357"/>
      </w:pPr>
      <w:bookmarkStart w:id="61" w:name="_Toc208244996"/>
      <w:r>
        <w:lastRenderedPageBreak/>
        <w:t>Z 03.02 — Rekwiżiti ta’ fondi proprji — Ditti ta’ Investiment (LIAB 3)</w:t>
      </w:r>
      <w:bookmarkEnd w:id="61"/>
    </w:p>
    <w:p w14:paraId="7FE1B715" w14:textId="77777777" w:rsidR="00534D9A" w:rsidRDefault="003243B2">
      <w:pPr>
        <w:pStyle w:val="Instructionsberschrift3"/>
      </w:pPr>
      <w:r>
        <w:t>Kummenti ġenerali</w:t>
      </w:r>
    </w:p>
    <w:p w14:paraId="7FE1B716" w14:textId="77777777" w:rsidR="00534D9A" w:rsidRDefault="003243B2">
      <w:pPr>
        <w:pStyle w:val="Instructionsberschrift3"/>
        <w:numPr>
          <w:ilvl w:val="4"/>
          <w:numId w:val="260"/>
        </w:numPr>
      </w:pPr>
      <w:r>
        <w:t>Dan il-mudell jiġbor informazzjoni dwar ir-rekwiżiti ta’ fondi proprji għal entità jew grupp.</w:t>
      </w:r>
    </w:p>
    <w:p w14:paraId="7FE1B717" w14:textId="1213D388" w:rsidR="00534D9A" w:rsidRDefault="003243B2">
      <w:pPr>
        <w:pStyle w:val="Instructionsberschrift3"/>
        <w:numPr>
          <w:ilvl w:val="4"/>
          <w:numId w:val="260"/>
        </w:numPr>
      </w:pPr>
      <w:r>
        <w:t>L-informazzjoni kollha rrapportata għandha tirrifletti r-rekwiżiti ta’ fondi proprji applikabbli fid-data ta’ referenza tar-rapportar.</w:t>
      </w:r>
    </w:p>
    <w:p w14:paraId="666AF7EE" w14:textId="2B6DCE12" w:rsidR="00534D9A" w:rsidRDefault="003243B2">
      <w:pPr>
        <w:pStyle w:val="P68B1DB1-ListParagraph23"/>
        <w:numPr>
          <w:ilvl w:val="4"/>
          <w:numId w:val="260"/>
        </w:numPr>
      </w:pPr>
      <w:r>
        <w:t>Għar-rapportar fuq bażi konsolidata jew individwali, jekk dawn il-punti tad-data diġà ġew irrapportati mill-entità fl-IFREP għall-istess data ta’ referenza u ambitu tar-rapportar (ara r-referenzi tal-IFREP fl-istruzzjonijiet), l-entità relatriċi ma għandhiex għalfejn tirrapporta dawn il-punti tad-data għat-tieni darba. Id-data trid tiġi rrapportata biss, pereżempju, meta l-entità relatriċi tkun ġiet eżentata mill-obbligi ta’ rapportar finanzjarju jew prudenzjali, f’liema każ l-uniku sors ta’ data għall-awto</w:t>
      </w:r>
      <w:r>
        <w:t>ritajiet ta’ riżoluzzjoni għal dawn il-punti ta’ data huwa dan ir-rapport.</w:t>
      </w:r>
    </w:p>
    <w:p w14:paraId="1DA6CBB2" w14:textId="77777777" w:rsidR="00534D9A" w:rsidRDefault="00534D9A">
      <w:pPr>
        <w:pStyle w:val="Instructionsberschrift3"/>
        <w:numPr>
          <w:ilvl w:val="4"/>
          <w:numId w:val="260"/>
        </w:numPr>
      </w:pPr>
    </w:p>
    <w:p w14:paraId="7FE1B718" w14:textId="4C8CE473" w:rsidR="00534D9A" w:rsidRDefault="00534D9A">
      <w:pPr>
        <w:pStyle w:val="InstructionsText2"/>
        <w:numPr>
          <w:ilvl w:val="0"/>
          <w:numId w:val="0"/>
        </w:numPr>
        <w:spacing w:before="0"/>
        <w:ind w:left="1440"/>
        <w:rPr>
          <w:rFonts w:ascii="Times New Roman" w:hAnsi="Times New Roman" w:cs="Times New Roman"/>
          <w:sz w:val="20"/>
          <w:szCs w:val="20"/>
        </w:rPr>
      </w:pPr>
    </w:p>
    <w:p w14:paraId="7FE1B719" w14:textId="77777777" w:rsidR="00534D9A" w:rsidRDefault="003243B2">
      <w:pPr>
        <w:pStyle w:val="Instructionsberschrift3"/>
      </w:pPr>
      <w:r>
        <w:t>Struzzjonijiet li jikkonċernaw pożizzjonijiet speċifiċi</w:t>
      </w:r>
    </w:p>
    <w:p w14:paraId="7FE1B71A" w14:textId="77777777" w:rsidR="00534D9A" w:rsidRDefault="00534D9A">
      <w:pPr>
        <w:pStyle w:val="Instructionsberschrift3"/>
        <w:numPr>
          <w:ilvl w:val="0"/>
          <w:numId w:val="0"/>
        </w:numPr>
        <w:ind w:left="720" w:hanging="432"/>
      </w:pPr>
    </w:p>
    <w:tbl>
      <w:tblPr>
        <w:tblW w:w="0" w:type="auto"/>
        <w:tblCellMar>
          <w:top w:w="57" w:type="dxa"/>
          <w:left w:w="57" w:type="dxa"/>
          <w:bottom w:w="57" w:type="dxa"/>
          <w:right w:w="0" w:type="dxa"/>
        </w:tblCellMar>
        <w:tblLook w:val="01E0" w:firstRow="1" w:lastRow="1" w:firstColumn="1" w:lastColumn="1" w:noHBand="0" w:noVBand="0"/>
      </w:tblPr>
      <w:tblGrid>
        <w:gridCol w:w="856"/>
        <w:gridCol w:w="8170"/>
      </w:tblGrid>
      <w:tr w:rsidR="00534D9A" w14:paraId="7FE1B71D" w14:textId="77777777">
        <w:trPr>
          <w:tblHeader/>
        </w:trPr>
        <w:tc>
          <w:tcPr>
            <w:tcW w:w="856" w:type="dxa"/>
            <w:tcBorders>
              <w:top w:val="single" w:sz="4" w:space="0" w:color="1A171C"/>
              <w:left w:val="nil"/>
              <w:bottom w:val="single" w:sz="4" w:space="0" w:color="1A171C"/>
              <w:right w:val="single" w:sz="4" w:space="0" w:color="1A171C"/>
            </w:tcBorders>
            <w:shd w:val="clear" w:color="auto" w:fill="E4E5E5"/>
          </w:tcPr>
          <w:p w14:paraId="7FE1B71B" w14:textId="77777777" w:rsidR="00534D9A" w:rsidRDefault="003243B2">
            <w:pPr>
              <w:pStyle w:val="P68B1DB1-TableParagraph13"/>
              <w:spacing w:before="66"/>
              <w:rPr>
                <w:rFonts w:eastAsia="Cambria"/>
              </w:rPr>
            </w:pPr>
            <w:r>
              <w:t>Ringieli</w:t>
            </w:r>
          </w:p>
        </w:tc>
        <w:tc>
          <w:tcPr>
            <w:tcW w:w="8170" w:type="dxa"/>
            <w:tcBorders>
              <w:top w:val="single" w:sz="4" w:space="0" w:color="1A171C"/>
              <w:left w:val="single" w:sz="4" w:space="0" w:color="1A171C"/>
              <w:bottom w:val="single" w:sz="4" w:space="0" w:color="1A171C"/>
              <w:right w:val="nil"/>
            </w:tcBorders>
            <w:shd w:val="clear" w:color="auto" w:fill="E4E5E5"/>
          </w:tcPr>
          <w:p w14:paraId="7FE1B71C" w14:textId="77777777" w:rsidR="00534D9A" w:rsidRDefault="003243B2">
            <w:pPr>
              <w:pStyle w:val="P68B1DB1-TableParagraph13"/>
              <w:spacing w:before="66"/>
              <w:ind w:right="1"/>
              <w:jc w:val="center"/>
              <w:rPr>
                <w:rFonts w:eastAsia="Cambria"/>
              </w:rPr>
            </w:pPr>
            <w:r>
              <w:t>Struzzjonijiet</w:t>
            </w:r>
          </w:p>
        </w:tc>
      </w:tr>
      <w:tr w:rsidR="00534D9A" w14:paraId="7FE1B722" w14:textId="77777777">
        <w:tc>
          <w:tcPr>
            <w:tcW w:w="856" w:type="dxa"/>
            <w:tcBorders>
              <w:top w:val="single" w:sz="4" w:space="0" w:color="1A171C"/>
              <w:left w:val="nil"/>
              <w:bottom w:val="single" w:sz="4" w:space="0" w:color="1A171C"/>
              <w:right w:val="single" w:sz="4" w:space="0" w:color="1A171C"/>
            </w:tcBorders>
            <w:vAlign w:val="center"/>
          </w:tcPr>
          <w:p w14:paraId="7FE1B71E" w14:textId="77777777" w:rsidR="00534D9A" w:rsidRDefault="003243B2">
            <w:pPr>
              <w:pStyle w:val="P68B1DB1-TableParagraph13"/>
              <w:spacing w:before="106"/>
              <w:ind w:left="-1"/>
              <w:rPr>
                <w:rFonts w:eastAsia="Cambria"/>
                <w:b/>
              </w:rPr>
            </w:pPr>
            <w:r>
              <w:t>0100</w:t>
            </w:r>
          </w:p>
        </w:tc>
        <w:tc>
          <w:tcPr>
            <w:tcW w:w="8170" w:type="dxa"/>
            <w:tcBorders>
              <w:top w:val="single" w:sz="4" w:space="0" w:color="1A171C"/>
              <w:left w:val="single" w:sz="4" w:space="0" w:color="1A171C"/>
              <w:bottom w:val="single" w:sz="4" w:space="0" w:color="1A171C"/>
              <w:right w:val="nil"/>
            </w:tcBorders>
            <w:vAlign w:val="center"/>
          </w:tcPr>
          <w:p w14:paraId="0E4C8C5E" w14:textId="5424F59B" w:rsidR="00534D9A" w:rsidRDefault="003243B2">
            <w:pPr>
              <w:rPr>
                <w:rStyle w:val="InstructionsTabelleberschrift"/>
                <w:rFonts w:ascii="Times New Roman" w:hAnsi="Times New Roman"/>
                <w:color w:val="000000" w:themeColor="text1"/>
                <w:szCs w:val="20"/>
                <w:u w:val="none"/>
              </w:rPr>
            </w:pPr>
            <w:r>
              <w:rPr>
                <w:rStyle w:val="InstructionsTabelleberschrift"/>
                <w:rFonts w:ascii="Times New Roman" w:hAnsi="Times New Roman"/>
                <w:color w:val="000000" w:themeColor="text1"/>
                <w:szCs w:val="20"/>
                <w:u w:val="none"/>
              </w:rPr>
              <w:t xml:space="preserve">Rekwiżit ta’ fondi proprji totali </w:t>
            </w:r>
            <w:r>
              <w:rPr>
                <w:rStyle w:val="InstructionsTabelleberschrift"/>
                <w:rFonts w:ascii="Times New Roman" w:hAnsi="Times New Roman"/>
                <w:color w:val="000000" w:themeColor="text1"/>
                <w:szCs w:val="20"/>
              </w:rPr>
              <w:t>(IFREP I 02.01 r0130)</w:t>
            </w:r>
          </w:p>
          <w:p w14:paraId="29B1A135" w14:textId="77777777" w:rsidR="00534D9A" w:rsidRDefault="00534D9A">
            <w:pPr>
              <w:rPr>
                <w:rStyle w:val="InstructionsTabelleberschrift"/>
                <w:rFonts w:ascii="Times New Roman" w:hAnsi="Times New Roman"/>
                <w:color w:val="000000" w:themeColor="text1"/>
                <w:szCs w:val="20"/>
                <w:u w:val="none"/>
              </w:rPr>
            </w:pPr>
          </w:p>
          <w:p w14:paraId="4F8C79FA" w14:textId="210F9E6A" w:rsidR="00534D9A" w:rsidRDefault="003243B2">
            <w:pPr>
              <w:pStyle w:val="P68B1DB1-TableParagraph17"/>
              <w:spacing w:before="108"/>
            </w:pPr>
            <w:r>
              <w:t>Ir-rekwiżit ta’ fondi proprji totali ta’ ditta tal-investiment għandu jkun jikkonsisti mis-somma tar-rekwiżiti tal-fondi proprji tagħha applikabbli fid-data ta’ referenza, ir-rekwiżit ta’ fondi proprji addizzjonali kif irrapportati fir-ringiela 0120 u l-gwida tal-fondi proprji addizzjonali kif irrapportati fir-ringiela 0130.</w:t>
            </w:r>
          </w:p>
          <w:p w14:paraId="7FE1B721" w14:textId="77777777" w:rsidR="00534D9A" w:rsidRDefault="00534D9A">
            <w:pPr>
              <w:pStyle w:val="TableParagraph"/>
              <w:spacing w:before="108"/>
              <w:rPr>
                <w:rFonts w:ascii="Times New Roman" w:hAnsi="Times New Roman" w:cs="Times New Roman"/>
                <w:color w:val="000000" w:themeColor="text1"/>
                <w:sz w:val="20"/>
                <w:szCs w:val="20"/>
              </w:rPr>
            </w:pPr>
          </w:p>
        </w:tc>
      </w:tr>
      <w:tr w:rsidR="00534D9A" w14:paraId="7FE1B728" w14:textId="77777777">
        <w:tc>
          <w:tcPr>
            <w:tcW w:w="856" w:type="dxa"/>
            <w:tcBorders>
              <w:top w:val="single" w:sz="4" w:space="0" w:color="1A171C"/>
              <w:left w:val="nil"/>
              <w:bottom w:val="single" w:sz="4" w:space="0" w:color="1A171C"/>
              <w:right w:val="single" w:sz="4" w:space="0" w:color="1A171C"/>
            </w:tcBorders>
            <w:vAlign w:val="center"/>
          </w:tcPr>
          <w:p w14:paraId="7FE1B723" w14:textId="6F3D19E1" w:rsidR="00534D9A" w:rsidRDefault="003243B2">
            <w:pPr>
              <w:pStyle w:val="P68B1DB1-TableParagraph13"/>
              <w:spacing w:before="106"/>
              <w:ind w:left="-1"/>
            </w:pPr>
            <w:r>
              <w:t>0110</w:t>
            </w:r>
          </w:p>
        </w:tc>
        <w:tc>
          <w:tcPr>
            <w:tcW w:w="8170" w:type="dxa"/>
            <w:tcBorders>
              <w:top w:val="single" w:sz="4" w:space="0" w:color="1A171C"/>
              <w:left w:val="single" w:sz="4" w:space="0" w:color="1A171C"/>
              <w:bottom w:val="single" w:sz="4" w:space="0" w:color="1A171C"/>
              <w:right w:val="nil"/>
            </w:tcBorders>
            <w:vAlign w:val="center"/>
          </w:tcPr>
          <w:p w14:paraId="1CBC0494" w14:textId="1616B09F" w:rsidR="00534D9A" w:rsidRDefault="003243B2">
            <w:pPr>
              <w:pStyle w:val="TableParagraph"/>
              <w:spacing w:before="108"/>
              <w:rPr>
                <w:rFonts w:ascii="Times New Roman" w:hAnsi="Times New Roman" w:cs="Times New Roman"/>
                <w:b/>
                <w:bCs/>
                <w:color w:val="000000" w:themeColor="text1"/>
                <w:sz w:val="20"/>
                <w:szCs w:val="20"/>
              </w:rPr>
            </w:pPr>
            <w:r>
              <w:rPr>
                <w:rStyle w:val="InstructionsTabelleberschrift"/>
                <w:rFonts w:ascii="Times New Roman" w:hAnsi="Times New Roman"/>
                <w:color w:val="000000" w:themeColor="text1"/>
                <w:szCs w:val="20"/>
              </w:rPr>
              <w:t xml:space="preserve">Rekwiżit ta’ </w:t>
            </w:r>
            <w:r>
              <w:rPr>
                <w:rFonts w:ascii="Times New Roman" w:hAnsi="Times New Roman" w:cs="Times New Roman"/>
                <w:b/>
                <w:color w:val="000000" w:themeColor="text1"/>
                <w:sz w:val="20"/>
                <w:szCs w:val="20"/>
              </w:rPr>
              <w:t xml:space="preserve">Fondi Proprji </w:t>
            </w:r>
            <w:r>
              <w:rPr>
                <w:rStyle w:val="InstructionsTabelleberschrift"/>
                <w:rFonts w:ascii="Times New Roman" w:hAnsi="Times New Roman"/>
                <w:color w:val="000000" w:themeColor="text1"/>
                <w:szCs w:val="20"/>
              </w:rPr>
              <w:t>(IFREP I 02.01 r0010)</w:t>
            </w:r>
          </w:p>
          <w:p w14:paraId="74086713" w14:textId="7F827C2E" w:rsidR="00534D9A" w:rsidRDefault="003243B2">
            <w:pPr>
              <w:pStyle w:val="P68B1DB1-TableParagraph17"/>
              <w:spacing w:before="108"/>
            </w:pPr>
            <w:r>
              <w:t>L-Artikolu 11.1 tar-Regolament (UE) 2019/2033.</w:t>
            </w:r>
          </w:p>
          <w:p w14:paraId="016729EC" w14:textId="77777777" w:rsidR="00534D9A" w:rsidRDefault="003243B2">
            <w:pPr>
              <w:pStyle w:val="P68B1DB1-TableParagraph17"/>
              <w:spacing w:before="108"/>
            </w:pPr>
            <w:r>
              <w:t>L-ammont għandu jkun l-ammont mingħajr applikazzjoni tal-Artikolu 57(3), (4) jew (6) tar-Regolament (UE) 2019/2033.</w:t>
            </w:r>
          </w:p>
          <w:p w14:paraId="7FE1B727" w14:textId="77777777" w:rsidR="00534D9A" w:rsidRDefault="00534D9A">
            <w:pPr>
              <w:pStyle w:val="TableParagraph"/>
              <w:spacing w:before="108"/>
              <w:jc w:val="both"/>
              <w:rPr>
                <w:rFonts w:ascii="Times New Roman" w:eastAsia="Cambria" w:hAnsi="Times New Roman" w:cs="Times New Roman"/>
                <w:color w:val="000000" w:themeColor="text1"/>
                <w:sz w:val="20"/>
                <w:szCs w:val="20"/>
              </w:rPr>
            </w:pPr>
          </w:p>
        </w:tc>
      </w:tr>
      <w:tr w:rsidR="00534D9A" w14:paraId="7FE1B72F" w14:textId="77777777">
        <w:tc>
          <w:tcPr>
            <w:tcW w:w="856" w:type="dxa"/>
            <w:tcBorders>
              <w:top w:val="single" w:sz="4" w:space="0" w:color="1A171C"/>
              <w:left w:val="nil"/>
              <w:bottom w:val="single" w:sz="4" w:space="0" w:color="1A171C"/>
              <w:right w:val="single" w:sz="4" w:space="0" w:color="1A171C"/>
            </w:tcBorders>
            <w:vAlign w:val="center"/>
          </w:tcPr>
          <w:p w14:paraId="7FE1B729" w14:textId="4BE2E84C" w:rsidR="00534D9A" w:rsidRDefault="003243B2">
            <w:pPr>
              <w:pStyle w:val="P68B1DB1-TableParagraph13"/>
              <w:spacing w:before="106"/>
              <w:ind w:left="-1"/>
            </w:pPr>
            <w:r>
              <w:t>0120</w:t>
            </w:r>
          </w:p>
        </w:tc>
        <w:tc>
          <w:tcPr>
            <w:tcW w:w="8170" w:type="dxa"/>
            <w:tcBorders>
              <w:top w:val="single" w:sz="4" w:space="0" w:color="1A171C"/>
              <w:left w:val="single" w:sz="4" w:space="0" w:color="1A171C"/>
              <w:bottom w:val="single" w:sz="4" w:space="0" w:color="1A171C"/>
              <w:right w:val="nil"/>
            </w:tcBorders>
            <w:vAlign w:val="center"/>
          </w:tcPr>
          <w:p w14:paraId="694F6CD4" w14:textId="5AF6818D" w:rsidR="00534D9A" w:rsidRDefault="003243B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Rekwiżit ta’ fondi proprji addizzjonali </w:t>
            </w:r>
            <w:r>
              <w:rPr>
                <w:rStyle w:val="InstructionsTabelleberschrift"/>
                <w:rFonts w:ascii="Times New Roman" w:hAnsi="Times New Roman"/>
                <w:color w:val="000000" w:themeColor="text1"/>
                <w:szCs w:val="20"/>
              </w:rPr>
              <w:t>(IFREP I 02.01 r0110)</w:t>
            </w:r>
          </w:p>
          <w:p w14:paraId="05BFD23E" w14:textId="06165C78" w:rsidR="00534D9A" w:rsidRDefault="003243B2">
            <w:pPr>
              <w:pStyle w:val="P68B1DB1-TableParagraph17"/>
              <w:spacing w:before="108"/>
              <w:jc w:val="both"/>
            </w:pPr>
            <w:r>
              <w:t>Artikolu 40, Direttiva (UE) 2019/2034.</w:t>
            </w:r>
          </w:p>
          <w:p w14:paraId="2AF15530" w14:textId="77777777" w:rsidR="00534D9A" w:rsidRDefault="003243B2">
            <w:pPr>
              <w:pStyle w:val="P68B1DB1-TableParagraph13"/>
              <w:spacing w:before="108"/>
              <w:jc w:val="both"/>
            </w:pPr>
            <w:r>
              <w:t xml:space="preserve">Fondi proprji addizzjonali meħtieġa wara l-SREP. </w:t>
            </w:r>
          </w:p>
          <w:p w14:paraId="7FE1B72E" w14:textId="77777777" w:rsidR="00534D9A" w:rsidRDefault="00534D9A">
            <w:pPr>
              <w:pStyle w:val="TableParagraph"/>
              <w:spacing w:before="108"/>
              <w:rPr>
                <w:rFonts w:ascii="Times New Roman" w:eastAsia="Cambria" w:hAnsi="Times New Roman" w:cs="Times New Roman"/>
                <w:color w:val="000000" w:themeColor="text1"/>
                <w:sz w:val="20"/>
                <w:szCs w:val="20"/>
              </w:rPr>
            </w:pPr>
          </w:p>
        </w:tc>
      </w:tr>
      <w:tr w:rsidR="00534D9A" w14:paraId="7FE1B738" w14:textId="77777777">
        <w:tc>
          <w:tcPr>
            <w:tcW w:w="856" w:type="dxa"/>
            <w:tcBorders>
              <w:top w:val="single" w:sz="4" w:space="0" w:color="1A171C"/>
              <w:left w:val="nil"/>
              <w:bottom w:val="single" w:sz="4" w:space="0" w:color="1A171C"/>
              <w:right w:val="single" w:sz="4" w:space="0" w:color="1A171C"/>
            </w:tcBorders>
            <w:vAlign w:val="center"/>
          </w:tcPr>
          <w:p w14:paraId="7FE1B730" w14:textId="22E6147A" w:rsidR="00534D9A" w:rsidRDefault="003243B2">
            <w:pPr>
              <w:pStyle w:val="P68B1DB1-TableParagraph13"/>
              <w:spacing w:before="106"/>
              <w:ind w:left="-1"/>
            </w:pPr>
            <w:r>
              <w:t>0130</w:t>
            </w:r>
          </w:p>
        </w:tc>
        <w:tc>
          <w:tcPr>
            <w:tcW w:w="8170" w:type="dxa"/>
            <w:tcBorders>
              <w:top w:val="single" w:sz="4" w:space="0" w:color="1A171C"/>
              <w:left w:val="single" w:sz="4" w:space="0" w:color="1A171C"/>
              <w:bottom w:val="single" w:sz="4" w:space="0" w:color="1A171C"/>
              <w:right w:val="nil"/>
            </w:tcBorders>
            <w:vAlign w:val="center"/>
          </w:tcPr>
          <w:p w14:paraId="721CC100" w14:textId="6FAC5E97" w:rsidR="00534D9A" w:rsidRDefault="003243B2">
            <w:pPr>
              <w:pStyle w:val="TableParagraph"/>
              <w:spacing w:before="108"/>
              <w:jc w:val="both"/>
              <w:rPr>
                <w:rFonts w:ascii="Times New Roman" w:hAnsi="Times New Roman" w:cs="Times New Roman"/>
                <w:b/>
                <w:bCs/>
                <w:color w:val="000000" w:themeColor="text1"/>
                <w:sz w:val="20"/>
                <w:szCs w:val="20"/>
              </w:rPr>
            </w:pPr>
            <w:r>
              <w:rPr>
                <w:rFonts w:ascii="Times New Roman" w:hAnsi="Times New Roman" w:cs="Times New Roman"/>
                <w:b/>
                <w:color w:val="000000" w:themeColor="text1"/>
                <w:sz w:val="20"/>
                <w:szCs w:val="20"/>
              </w:rPr>
              <w:t xml:space="preserve">Gwida addizzjonali dwar il-fondi proprji </w:t>
            </w:r>
            <w:r>
              <w:rPr>
                <w:rStyle w:val="InstructionsTabelleberschrift"/>
                <w:rFonts w:ascii="Times New Roman" w:hAnsi="Times New Roman"/>
                <w:color w:val="000000" w:themeColor="text1"/>
                <w:szCs w:val="20"/>
              </w:rPr>
              <w:t>(IFREP I 02.01 r0120)</w:t>
            </w:r>
          </w:p>
          <w:p w14:paraId="4094919F" w14:textId="67C4E4FA" w:rsidR="00534D9A" w:rsidRDefault="003243B2">
            <w:pPr>
              <w:pStyle w:val="P68B1DB1-TableParagraph17"/>
              <w:spacing w:before="108"/>
            </w:pPr>
            <w:r>
              <w:t>Artikolu 41 tad-Direttiva (UE) 2019/2034.</w:t>
            </w:r>
          </w:p>
          <w:p w14:paraId="1EA34579" w14:textId="77777777" w:rsidR="00534D9A" w:rsidRDefault="003243B2">
            <w:pPr>
              <w:pStyle w:val="P68B1DB1-TableParagraph17"/>
              <w:spacing w:before="108"/>
            </w:pPr>
            <w:r>
              <w:t>Fondi proprji addizzjonali meħtieġa bħala gwida addizzjonali dwar il-fondi proprji.</w:t>
            </w:r>
          </w:p>
          <w:p w14:paraId="7FE1B736" w14:textId="77777777" w:rsidR="00534D9A" w:rsidRDefault="00534D9A">
            <w:pPr>
              <w:pStyle w:val="TableParagraph"/>
              <w:spacing w:before="108"/>
              <w:jc w:val="both"/>
              <w:rPr>
                <w:rStyle w:val="InstructionsTabelleberschrift"/>
                <w:rFonts w:ascii="Times New Roman" w:eastAsia="Cambria" w:hAnsi="Times New Roman"/>
                <w:b w:val="0"/>
                <w:bCs w:val="0"/>
                <w:color w:val="000000" w:themeColor="text1"/>
                <w:szCs w:val="20"/>
                <w:u w:val="none"/>
              </w:rPr>
            </w:pPr>
          </w:p>
          <w:p w14:paraId="7FE1B737" w14:textId="77777777" w:rsidR="00534D9A" w:rsidRDefault="00534D9A">
            <w:pPr>
              <w:pStyle w:val="TableParagraph"/>
              <w:spacing w:before="108"/>
              <w:jc w:val="both"/>
              <w:rPr>
                <w:rFonts w:ascii="Times New Roman" w:hAnsi="Times New Roman" w:cs="Times New Roman"/>
                <w:b/>
                <w:bCs/>
                <w:color w:val="000000" w:themeColor="text1"/>
                <w:sz w:val="20"/>
                <w:szCs w:val="20"/>
              </w:rPr>
            </w:pPr>
          </w:p>
        </w:tc>
      </w:tr>
    </w:tbl>
    <w:p w14:paraId="7FE1B741" w14:textId="77777777" w:rsidR="00534D9A" w:rsidRDefault="00534D9A">
      <w:pPr>
        <w:pStyle w:val="Instructionsberschrift3"/>
        <w:numPr>
          <w:ilvl w:val="0"/>
          <w:numId w:val="0"/>
        </w:numPr>
        <w:ind w:left="720" w:hanging="432"/>
      </w:pPr>
    </w:p>
    <w:p w14:paraId="7FE1B742" w14:textId="77777777" w:rsidR="00534D9A" w:rsidRDefault="00534D9A">
      <w:pPr>
        <w:pStyle w:val="Instructionsberschrift3"/>
        <w:numPr>
          <w:ilvl w:val="0"/>
          <w:numId w:val="0"/>
        </w:numPr>
        <w:ind w:left="720" w:hanging="432"/>
      </w:pPr>
    </w:p>
    <w:p w14:paraId="7FE1B743" w14:textId="77777777" w:rsidR="00534D9A" w:rsidRDefault="00534D9A">
      <w:pPr>
        <w:pStyle w:val="Instructionsberschrift3"/>
        <w:numPr>
          <w:ilvl w:val="0"/>
          <w:numId w:val="0"/>
        </w:numPr>
        <w:ind w:left="720" w:hanging="432"/>
      </w:pPr>
    </w:p>
    <w:p w14:paraId="7FE1B744" w14:textId="49BA0C03" w:rsidR="00534D9A" w:rsidRDefault="00534D9A">
      <w:pPr>
        <w:rPr>
          <w:rFonts w:ascii="Times New Roman" w:hAnsi="Times New Roman" w:cs="Times New Roman"/>
          <w:color w:val="000000" w:themeColor="text1"/>
          <w:sz w:val="20"/>
          <w:szCs w:val="20"/>
        </w:rPr>
      </w:pPr>
    </w:p>
    <w:p w14:paraId="7FE1B745" w14:textId="016BA1E4" w:rsidR="00534D9A" w:rsidRDefault="003243B2">
      <w:pPr>
        <w:pStyle w:val="P68B1DB1-Instructionsberschrift25"/>
        <w:numPr>
          <w:ilvl w:val="1"/>
          <w:numId w:val="49"/>
        </w:numPr>
        <w:ind w:left="357" w:hanging="357"/>
      </w:pPr>
      <w:bookmarkStart w:id="62" w:name="_Toc492542324"/>
      <w:bookmarkStart w:id="63" w:name="_Toc81454182"/>
      <w:bookmarkStart w:id="64" w:name="_Toc208244997"/>
      <w:r>
        <w:t>Z 04.00 — Interkonnessjonijiet finanzjarji intragrupp (LIAB 4)</w:t>
      </w:r>
      <w:bookmarkEnd w:id="62"/>
      <w:bookmarkEnd w:id="63"/>
      <w:bookmarkEnd w:id="64"/>
    </w:p>
    <w:p w14:paraId="7FE1B746" w14:textId="77777777" w:rsidR="00534D9A" w:rsidRDefault="003243B2">
      <w:pPr>
        <w:pStyle w:val="Instructionsberschrift3"/>
      </w:pPr>
      <w:r>
        <w:t>Kummenti ġenerali</w:t>
      </w:r>
    </w:p>
    <w:p w14:paraId="7FE1B747" w14:textId="3BB98E0B" w:rsidR="00534D9A" w:rsidRDefault="003243B2">
      <w:pPr>
        <w:pStyle w:val="P68B1DB1-InstructionsText26"/>
        <w:numPr>
          <w:ilvl w:val="0"/>
          <w:numId w:val="232"/>
        </w:numPr>
        <w:spacing w:before="0"/>
      </w:pPr>
      <w:r>
        <w:t xml:space="preserve">Din il-formola teħtieġ informazzjoni dwar obbligazzjonijiet intragrupp, strumenti kapitali u garanziji. </w:t>
      </w:r>
    </w:p>
    <w:p w14:paraId="7FE1B748" w14:textId="588B1EC0" w:rsidR="00534D9A" w:rsidRDefault="003243B2">
      <w:pPr>
        <w:pStyle w:val="P68B1DB1-InstructionsText26"/>
        <w:numPr>
          <w:ilvl w:val="0"/>
          <w:numId w:val="232"/>
        </w:numPr>
        <w:spacing w:before="0"/>
      </w:pPr>
      <w:r>
        <w:t>Għandhom jiġu rrapportati l-interkonnessjonijiet finanzjarji kollha bejn l-entitajiet ġuridiċi li huma inklużi fir-rapporti finanzjarji konsolidati. L-ammonti rapportati għandhom ikunu aggregati meta dawn ikunu jappartjenu għall-istess kontropartijiet (kemm l-emittent kif ukoll l-entità garantita, u l-kreditur, id-detentur jew il-fornitur ta’ garanzija) u l-istess tip ta’ obbligazzjonijiet, strumenti kapitali jew garanziji.</w:t>
      </w:r>
    </w:p>
    <w:p w14:paraId="7FE1B749" w14:textId="77777777" w:rsidR="00534D9A" w:rsidRDefault="003243B2">
      <w:pPr>
        <w:pStyle w:val="P68B1DB1-InstructionsText26"/>
        <w:numPr>
          <w:ilvl w:val="0"/>
          <w:numId w:val="232"/>
        </w:numPr>
        <w:spacing w:before="0"/>
      </w:pPr>
      <w:r>
        <w:t>Il-kombinament ta’ valuri rapportati fil-kolonni 0020, 0040 u 0050 ta’ dan il-mudell jifforma kodiċi primarju li jrid ikun uniku għal kull ringiela tal-mudell.</w:t>
      </w:r>
    </w:p>
    <w:p w14:paraId="7FE1B74A" w14:textId="77777777" w:rsidR="00534D9A" w:rsidRDefault="003243B2">
      <w:pPr>
        <w:pStyle w:val="P68B1DB1-Instructionsberschrift312"/>
      </w:pPr>
      <w:r>
        <w:t>Struzzjonijiet li jikkonċernaw pożizzjonijiet speċifiċi</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534D9A" w14:paraId="7FE1B74D"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4B" w14:textId="77777777" w:rsidR="00534D9A" w:rsidRDefault="003243B2">
            <w:pPr>
              <w:pStyle w:val="P68B1DB1-TableParagraph13"/>
              <w:spacing w:before="66"/>
              <w:rPr>
                <w:rFonts w:eastAsia="Cambria"/>
              </w:rPr>
            </w:pPr>
            <w:r>
              <w:t>Kolonni</w:t>
            </w:r>
          </w:p>
        </w:tc>
        <w:tc>
          <w:tcPr>
            <w:tcW w:w="8119" w:type="dxa"/>
            <w:tcBorders>
              <w:top w:val="single" w:sz="4" w:space="0" w:color="1A171C"/>
              <w:left w:val="single" w:sz="4" w:space="0" w:color="1A171C"/>
              <w:bottom w:val="single" w:sz="4" w:space="0" w:color="1A171C"/>
              <w:right w:val="nil"/>
            </w:tcBorders>
            <w:shd w:val="clear" w:color="auto" w:fill="E4E5E5"/>
          </w:tcPr>
          <w:p w14:paraId="7FE1B74C" w14:textId="77777777" w:rsidR="00534D9A" w:rsidRDefault="003243B2">
            <w:pPr>
              <w:pStyle w:val="P68B1DB1-TableParagraph13"/>
              <w:spacing w:before="66"/>
              <w:ind w:right="1"/>
              <w:jc w:val="center"/>
              <w:rPr>
                <w:rFonts w:eastAsia="Cambria"/>
              </w:rPr>
            </w:pPr>
            <w:r>
              <w:t>Struzzjonijiet</w:t>
            </w:r>
          </w:p>
        </w:tc>
      </w:tr>
      <w:tr w:rsidR="00534D9A" w14:paraId="7FE1B751" w14:textId="77777777">
        <w:tc>
          <w:tcPr>
            <w:tcW w:w="907" w:type="dxa"/>
            <w:tcBorders>
              <w:top w:val="single" w:sz="4" w:space="0" w:color="1A171C"/>
              <w:left w:val="nil"/>
              <w:bottom w:val="single" w:sz="4" w:space="0" w:color="1A171C"/>
              <w:right w:val="single" w:sz="4" w:space="0" w:color="1A171C"/>
            </w:tcBorders>
            <w:vAlign w:val="center"/>
          </w:tcPr>
          <w:p w14:paraId="7FE1B74E" w14:textId="6C279506" w:rsidR="00534D9A" w:rsidRDefault="003243B2">
            <w:pPr>
              <w:pStyle w:val="P68B1DB1-TableParagraph13"/>
              <w:spacing w:before="106"/>
              <w:ind w:left="-1"/>
            </w:pPr>
            <w:r>
              <w:t xml:space="preserve">0010–0025 </w:t>
            </w:r>
          </w:p>
        </w:tc>
        <w:tc>
          <w:tcPr>
            <w:tcW w:w="8119" w:type="dxa"/>
            <w:tcBorders>
              <w:top w:val="single" w:sz="4" w:space="0" w:color="1A171C"/>
              <w:left w:val="single" w:sz="4" w:space="0" w:color="1A171C"/>
              <w:bottom w:val="single" w:sz="4" w:space="0" w:color="1A171C"/>
              <w:right w:val="nil"/>
            </w:tcBorders>
            <w:vAlign w:val="center"/>
          </w:tcPr>
          <w:p w14:paraId="7FE1B74F" w14:textId="77777777" w:rsidR="00534D9A" w:rsidRDefault="003243B2">
            <w:pPr>
              <w:pStyle w:val="P68B1DB1-TableParagraph14"/>
              <w:spacing w:before="108"/>
              <w:ind w:left="85"/>
              <w:jc w:val="both"/>
              <w:rPr>
                <w:bCs/>
              </w:rPr>
            </w:pPr>
            <w:r>
              <w:t>Emittent jew entità garantita</w:t>
            </w:r>
          </w:p>
          <w:p w14:paraId="7FE1B750" w14:textId="77777777" w:rsidR="00534D9A" w:rsidRDefault="003243B2">
            <w:pPr>
              <w:pStyle w:val="P68B1DB1-TableParagraph17"/>
              <w:spacing w:before="108"/>
              <w:ind w:left="85"/>
              <w:jc w:val="both"/>
            </w:pPr>
            <w:r>
              <w:t>L-entità ġuridika li toħroġ l-obbligazzjonijiet jew l-istrument ta’ kapital, jew li tkun l-entità garantita.</w:t>
            </w:r>
          </w:p>
        </w:tc>
      </w:tr>
      <w:tr w:rsidR="00534D9A" w14:paraId="7FE1B755" w14:textId="77777777">
        <w:tc>
          <w:tcPr>
            <w:tcW w:w="907" w:type="dxa"/>
            <w:tcBorders>
              <w:top w:val="single" w:sz="4" w:space="0" w:color="1A171C"/>
              <w:left w:val="nil"/>
              <w:bottom w:val="single" w:sz="4" w:space="0" w:color="1A171C"/>
              <w:right w:val="single" w:sz="4" w:space="0" w:color="1A171C"/>
            </w:tcBorders>
            <w:vAlign w:val="center"/>
          </w:tcPr>
          <w:p w14:paraId="7FE1B752" w14:textId="77777777" w:rsidR="00534D9A" w:rsidRDefault="003243B2">
            <w:pPr>
              <w:pStyle w:val="P68B1DB1-TableParagraph13"/>
              <w:spacing w:before="106"/>
              <w:ind w:left="-1"/>
            </w:pPr>
            <w:r>
              <w:t xml:space="preserve">0010 </w:t>
            </w:r>
          </w:p>
        </w:tc>
        <w:tc>
          <w:tcPr>
            <w:tcW w:w="8119" w:type="dxa"/>
            <w:tcBorders>
              <w:top w:val="single" w:sz="4" w:space="0" w:color="1A171C"/>
              <w:left w:val="single" w:sz="4" w:space="0" w:color="1A171C"/>
              <w:bottom w:val="single" w:sz="4" w:space="0" w:color="1A171C"/>
              <w:right w:val="nil"/>
            </w:tcBorders>
            <w:vAlign w:val="center"/>
          </w:tcPr>
          <w:p w14:paraId="7FE1B753" w14:textId="77777777" w:rsidR="00534D9A" w:rsidRDefault="003243B2">
            <w:pPr>
              <w:pStyle w:val="P68B1DB1-TableParagraph14"/>
              <w:spacing w:before="108"/>
              <w:ind w:left="85"/>
              <w:jc w:val="both"/>
              <w:rPr>
                <w:bCs/>
              </w:rPr>
            </w:pPr>
            <w:r>
              <w:t xml:space="preserve">Isem l-entità </w:t>
            </w:r>
          </w:p>
          <w:p w14:paraId="7FE1B754" w14:textId="77777777" w:rsidR="00534D9A" w:rsidRDefault="003243B2">
            <w:pPr>
              <w:pStyle w:val="P68B1DB1-TableParagraph17"/>
              <w:spacing w:before="108"/>
              <w:ind w:left="85"/>
              <w:jc w:val="both"/>
            </w:pPr>
            <w:r>
              <w:t xml:space="preserve">Irid ikun differenti mill-isem tal-Entità elenkat fil-kolonna 0030. </w:t>
            </w:r>
          </w:p>
        </w:tc>
      </w:tr>
      <w:tr w:rsidR="00534D9A" w14:paraId="7FE1B75C" w14:textId="77777777">
        <w:tc>
          <w:tcPr>
            <w:tcW w:w="907" w:type="dxa"/>
            <w:tcBorders>
              <w:top w:val="single" w:sz="4" w:space="0" w:color="1A171C"/>
              <w:left w:val="nil"/>
              <w:bottom w:val="single" w:sz="4" w:space="0" w:color="1A171C"/>
              <w:right w:val="single" w:sz="4" w:space="0" w:color="1A171C"/>
            </w:tcBorders>
            <w:vAlign w:val="center"/>
          </w:tcPr>
          <w:p w14:paraId="7FE1B756" w14:textId="77777777" w:rsidR="00534D9A" w:rsidRDefault="003243B2">
            <w:pPr>
              <w:pStyle w:val="P68B1DB1-TableParagraph13"/>
              <w:spacing w:before="106"/>
              <w:ind w:left="-1"/>
            </w:pPr>
            <w:r>
              <w:t xml:space="preserve">0020 </w:t>
            </w:r>
          </w:p>
        </w:tc>
        <w:tc>
          <w:tcPr>
            <w:tcW w:w="8119" w:type="dxa"/>
            <w:tcBorders>
              <w:top w:val="single" w:sz="4" w:space="0" w:color="1A171C"/>
              <w:left w:val="single" w:sz="4" w:space="0" w:color="1A171C"/>
              <w:bottom w:val="single" w:sz="4" w:space="0" w:color="1A171C"/>
              <w:right w:val="nil"/>
            </w:tcBorders>
            <w:vAlign w:val="center"/>
          </w:tcPr>
          <w:p w14:paraId="7FE1B757" w14:textId="77777777" w:rsidR="00534D9A" w:rsidRDefault="003243B2">
            <w:pPr>
              <w:pStyle w:val="P68B1DB1-TableParagraph14"/>
              <w:spacing w:before="108"/>
              <w:ind w:left="85"/>
              <w:jc w:val="both"/>
              <w:rPr>
                <w:bCs/>
              </w:rPr>
            </w:pPr>
            <w:r>
              <w:t>Numru</w:t>
            </w:r>
          </w:p>
          <w:p w14:paraId="22E99FB3" w14:textId="77777777" w:rsidR="00534D9A" w:rsidRDefault="003243B2">
            <w:pPr>
              <w:pStyle w:val="P68B1DB1-TableParagraph17"/>
              <w:spacing w:before="108"/>
              <w:ind w:left="85"/>
              <w:jc w:val="both"/>
            </w:pPr>
            <w:r>
              <w:t xml:space="preserve">Il-kodiċi tal-emittent jew tad-destinatarju ta’ garanzija. </w:t>
            </w:r>
          </w:p>
          <w:p w14:paraId="4BE5BA2E" w14:textId="5E7AE5A4" w:rsidR="00534D9A" w:rsidRDefault="003243B2">
            <w:pPr>
              <w:pStyle w:val="P68B1DB1-TableParagraph17"/>
              <w:spacing w:before="108"/>
              <w:ind w:left="85"/>
              <w:jc w:val="both"/>
            </w:pPr>
            <w:r>
              <w:t>Għall-istituzzjonijiet b’Identifikatur ta’ Entità Ġuridika (LEI), il-kodiċi alfanumeriku tal-LEI b’ 20 ċifri;</w:t>
            </w:r>
          </w:p>
          <w:p w14:paraId="7FE1B758" w14:textId="458CE8E3" w:rsidR="00534D9A" w:rsidRDefault="003243B2">
            <w:pPr>
              <w:pStyle w:val="P68B1DB1-TableParagraph17"/>
              <w:spacing w:before="108"/>
              <w:ind w:left="85"/>
              <w:jc w:val="both"/>
            </w:pPr>
            <w:r>
              <w:t>Jekk ma jkunx disponibbli, uża l-kodiċi MFI jew kodiċi b’kodifikazzjoni uniformi applikabbli fl-Unjoni.</w:t>
            </w:r>
          </w:p>
          <w:p w14:paraId="7FE1B759" w14:textId="77777777" w:rsidR="00534D9A" w:rsidRDefault="003243B2">
            <w:pPr>
              <w:pStyle w:val="P68B1DB1-TableParagraph17"/>
              <w:spacing w:before="108"/>
              <w:ind w:left="85"/>
              <w:jc w:val="both"/>
            </w:pPr>
            <w:r>
              <w:t>Il-kodiċi għandu jkun uniku u użat b’mod konsistenti fil-mudelli kollha.</w:t>
            </w:r>
          </w:p>
          <w:p w14:paraId="7FE1B75A" w14:textId="77777777" w:rsidR="00534D9A" w:rsidRDefault="003243B2">
            <w:pPr>
              <w:pStyle w:val="P68B1DB1-TableParagraph17"/>
              <w:spacing w:before="108"/>
              <w:ind w:left="85"/>
              <w:jc w:val="both"/>
            </w:pPr>
            <w:r>
              <w:t>Il-kodiċi jrid ikun differenti mill-kodiċi elenkat fil-kolonna 0040.</w:t>
            </w:r>
          </w:p>
          <w:p w14:paraId="7FE1B75B" w14:textId="77777777" w:rsidR="00534D9A" w:rsidRDefault="00534D9A">
            <w:pPr>
              <w:pStyle w:val="TableParagraph"/>
              <w:spacing w:before="108"/>
              <w:ind w:left="85"/>
              <w:jc w:val="both"/>
              <w:rPr>
                <w:rFonts w:ascii="Times New Roman" w:eastAsia="Cambria" w:hAnsi="Times New Roman" w:cs="Times New Roman"/>
                <w:color w:val="000000" w:themeColor="text1"/>
                <w:sz w:val="20"/>
                <w:szCs w:val="20"/>
              </w:rPr>
            </w:pPr>
          </w:p>
        </w:tc>
      </w:tr>
      <w:tr w:rsidR="00534D9A" w14:paraId="7FE1B763" w14:textId="77777777">
        <w:tc>
          <w:tcPr>
            <w:tcW w:w="907" w:type="dxa"/>
            <w:tcBorders>
              <w:top w:val="single" w:sz="4" w:space="0" w:color="1A171C"/>
              <w:left w:val="nil"/>
              <w:bottom w:val="single" w:sz="4" w:space="0" w:color="1A171C"/>
              <w:right w:val="single" w:sz="4" w:space="0" w:color="1A171C"/>
            </w:tcBorders>
            <w:vAlign w:val="center"/>
          </w:tcPr>
          <w:p w14:paraId="7FE1B75D" w14:textId="77777777" w:rsidR="00534D9A" w:rsidRDefault="003243B2">
            <w:pPr>
              <w:pStyle w:val="P68B1DB1-TableParagraph13"/>
              <w:spacing w:before="106"/>
              <w:ind w:left="-1"/>
            </w:pPr>
            <w:r>
              <w:t>0025</w:t>
            </w:r>
          </w:p>
        </w:tc>
        <w:tc>
          <w:tcPr>
            <w:tcW w:w="8119" w:type="dxa"/>
            <w:tcBorders>
              <w:top w:val="single" w:sz="4" w:space="0" w:color="1A171C"/>
              <w:left w:val="single" w:sz="4" w:space="0" w:color="1A171C"/>
              <w:bottom w:val="single" w:sz="4" w:space="0" w:color="1A171C"/>
              <w:right w:val="nil"/>
            </w:tcBorders>
            <w:vAlign w:val="center"/>
          </w:tcPr>
          <w:p w14:paraId="7FE1B75E" w14:textId="77777777" w:rsidR="00534D9A" w:rsidRDefault="003243B2">
            <w:pPr>
              <w:pStyle w:val="P68B1DB1-TableParagraph14"/>
              <w:spacing w:before="108"/>
              <w:ind w:left="85"/>
              <w:jc w:val="both"/>
              <w:rPr>
                <w:bCs/>
              </w:rPr>
            </w:pPr>
            <w:r>
              <w:t>Tip ta’ kodiċi</w:t>
            </w:r>
          </w:p>
          <w:p w14:paraId="7FE1B75F" w14:textId="2A2E5952" w:rsidR="00534D9A" w:rsidRDefault="003243B2">
            <w:pPr>
              <w:pStyle w:val="P68B1DB1-TableParagraph13"/>
              <w:spacing w:before="108"/>
              <w:ind w:left="85"/>
              <w:jc w:val="both"/>
              <w:rPr>
                <w:bCs/>
              </w:rPr>
            </w:pPr>
            <w:r>
              <w:t xml:space="preserve">Il-kodiċi għandu jkun l-istess bħal dak irrapportat fil-formola Z 01.01 (ORG 1). </w:t>
            </w:r>
          </w:p>
          <w:p w14:paraId="7FE1B761" w14:textId="635A8A91" w:rsidR="00534D9A" w:rsidRDefault="003243B2">
            <w:pPr>
              <w:pStyle w:val="P68B1DB1-TableParagraph13"/>
              <w:spacing w:before="108"/>
              <w:ind w:left="85"/>
              <w:jc w:val="both"/>
              <w:rPr>
                <w:bCs/>
              </w:rPr>
            </w:pPr>
            <w:r>
              <w:t>Għandha tintgħażel fost l-għażliet li ġejjin: “Kodiċi LEI”, “kodiċi MFI” jew “Tip ta’ identifikatur, minbarra l-kodiċi LEI jew MFI.</w:t>
            </w:r>
          </w:p>
          <w:p w14:paraId="7FE1B762" w14:textId="77777777" w:rsidR="00534D9A" w:rsidRDefault="003243B2">
            <w:pPr>
              <w:pStyle w:val="P68B1DB1-TableParagraph13"/>
              <w:spacing w:before="108"/>
              <w:ind w:left="85"/>
              <w:jc w:val="both"/>
              <w:rPr>
                <w:b/>
                <w:bCs/>
              </w:rPr>
            </w:pPr>
            <w:r>
              <w:t>Għall-identifikazzjoni ta’ entitajiet jew destinatarji ta’ investiment, il-par Kodiċi u Tip għandhom jintużaw b’mod konsistenti fil-mudelli kollha.</w:t>
            </w:r>
          </w:p>
        </w:tc>
      </w:tr>
      <w:tr w:rsidR="00534D9A" w14:paraId="7FE1B767" w14:textId="77777777">
        <w:tc>
          <w:tcPr>
            <w:tcW w:w="907" w:type="dxa"/>
            <w:tcBorders>
              <w:top w:val="single" w:sz="4" w:space="0" w:color="1A171C"/>
              <w:left w:val="nil"/>
              <w:bottom w:val="single" w:sz="4" w:space="0" w:color="1A171C"/>
              <w:right w:val="single" w:sz="4" w:space="0" w:color="1A171C"/>
            </w:tcBorders>
            <w:vAlign w:val="center"/>
          </w:tcPr>
          <w:p w14:paraId="7FE1B764" w14:textId="2382C727" w:rsidR="00534D9A" w:rsidRDefault="003243B2">
            <w:pPr>
              <w:pStyle w:val="P68B1DB1-TableParagraph13"/>
              <w:spacing w:before="106"/>
              <w:ind w:left="-1"/>
            </w:pPr>
            <w:r>
              <w:t xml:space="preserve">0030–0045 </w:t>
            </w:r>
          </w:p>
        </w:tc>
        <w:tc>
          <w:tcPr>
            <w:tcW w:w="8119" w:type="dxa"/>
            <w:tcBorders>
              <w:top w:val="single" w:sz="4" w:space="0" w:color="1A171C"/>
              <w:left w:val="single" w:sz="4" w:space="0" w:color="1A171C"/>
              <w:bottom w:val="single" w:sz="4" w:space="0" w:color="1A171C"/>
              <w:right w:val="nil"/>
            </w:tcBorders>
            <w:vAlign w:val="center"/>
          </w:tcPr>
          <w:p w14:paraId="7FE1B765" w14:textId="77777777" w:rsidR="00534D9A" w:rsidRDefault="003243B2">
            <w:pPr>
              <w:pStyle w:val="P68B1DB1-TableParagraph14"/>
              <w:spacing w:before="108"/>
              <w:ind w:left="85"/>
              <w:jc w:val="both"/>
              <w:rPr>
                <w:bCs/>
              </w:rPr>
            </w:pPr>
            <w:r>
              <w:t>Kreditur, detentur jew fornitur ta’ garanzija</w:t>
            </w:r>
          </w:p>
          <w:p w14:paraId="7FE1B766" w14:textId="77777777" w:rsidR="00534D9A" w:rsidRDefault="003243B2">
            <w:pPr>
              <w:pStyle w:val="P68B1DB1-TableParagraph17"/>
              <w:spacing w:before="108"/>
              <w:ind w:left="85"/>
              <w:jc w:val="both"/>
            </w:pPr>
            <w:r>
              <w:t>Entità ġuridika li tkun il-kreditur għall-obbligazzjoni, id-detentur tal-istrument ta’ kapital jew tipprovdi l-garanzija.</w:t>
            </w:r>
          </w:p>
        </w:tc>
      </w:tr>
      <w:tr w:rsidR="00534D9A" w14:paraId="7FE1B76B" w14:textId="77777777">
        <w:tc>
          <w:tcPr>
            <w:tcW w:w="907" w:type="dxa"/>
            <w:tcBorders>
              <w:top w:val="single" w:sz="4" w:space="0" w:color="1A171C"/>
              <w:left w:val="nil"/>
              <w:bottom w:val="single" w:sz="4" w:space="0" w:color="1A171C"/>
              <w:right w:val="single" w:sz="4" w:space="0" w:color="1A171C"/>
            </w:tcBorders>
            <w:vAlign w:val="center"/>
          </w:tcPr>
          <w:p w14:paraId="7FE1B768" w14:textId="77777777" w:rsidR="00534D9A" w:rsidRDefault="003243B2">
            <w:pPr>
              <w:pStyle w:val="P68B1DB1-TableParagraph13"/>
              <w:spacing w:before="106"/>
              <w:ind w:left="-1"/>
            </w:pPr>
            <w:r>
              <w:lastRenderedPageBreak/>
              <w:t xml:space="preserve">0030 </w:t>
            </w:r>
          </w:p>
        </w:tc>
        <w:tc>
          <w:tcPr>
            <w:tcW w:w="8119" w:type="dxa"/>
            <w:tcBorders>
              <w:top w:val="single" w:sz="4" w:space="0" w:color="1A171C"/>
              <w:left w:val="single" w:sz="4" w:space="0" w:color="1A171C"/>
              <w:bottom w:val="single" w:sz="4" w:space="0" w:color="1A171C"/>
              <w:right w:val="nil"/>
            </w:tcBorders>
            <w:vAlign w:val="center"/>
          </w:tcPr>
          <w:p w14:paraId="7FE1B769" w14:textId="77777777" w:rsidR="00534D9A" w:rsidRDefault="003243B2">
            <w:pPr>
              <w:pStyle w:val="P68B1DB1-TableParagraph14"/>
              <w:spacing w:before="108"/>
              <w:ind w:left="85"/>
              <w:jc w:val="both"/>
              <w:rPr>
                <w:bCs/>
              </w:rPr>
            </w:pPr>
            <w:r>
              <w:t xml:space="preserve">Isem l-entità </w:t>
            </w:r>
          </w:p>
          <w:p w14:paraId="7FE1B76A" w14:textId="77777777" w:rsidR="00534D9A" w:rsidRDefault="003243B2">
            <w:pPr>
              <w:pStyle w:val="P68B1DB1-TableParagraph17"/>
              <w:spacing w:before="108"/>
              <w:ind w:left="85"/>
              <w:jc w:val="both"/>
            </w:pPr>
            <w:r>
              <w:t xml:space="preserve">Irid ikun differenti mill-isem tal-entità elenkat fil-kolonna 0010. </w:t>
            </w:r>
          </w:p>
        </w:tc>
      </w:tr>
      <w:tr w:rsidR="00534D9A" w14:paraId="7FE1B771" w14:textId="77777777">
        <w:tc>
          <w:tcPr>
            <w:tcW w:w="907" w:type="dxa"/>
            <w:tcBorders>
              <w:top w:val="single" w:sz="4" w:space="0" w:color="1A171C"/>
              <w:left w:val="nil"/>
              <w:bottom w:val="single" w:sz="4" w:space="0" w:color="1A171C"/>
              <w:right w:val="single" w:sz="4" w:space="0" w:color="1A171C"/>
            </w:tcBorders>
            <w:vAlign w:val="center"/>
          </w:tcPr>
          <w:p w14:paraId="7FE1B76C" w14:textId="77777777" w:rsidR="00534D9A" w:rsidRDefault="003243B2">
            <w:pPr>
              <w:pStyle w:val="P68B1DB1-TableParagraph13"/>
              <w:spacing w:before="106"/>
              <w:ind w:left="-1"/>
            </w:pPr>
            <w:r>
              <w:t xml:space="preserve">0040 </w:t>
            </w:r>
          </w:p>
        </w:tc>
        <w:tc>
          <w:tcPr>
            <w:tcW w:w="8119" w:type="dxa"/>
            <w:tcBorders>
              <w:top w:val="single" w:sz="4" w:space="0" w:color="1A171C"/>
              <w:left w:val="single" w:sz="4" w:space="0" w:color="1A171C"/>
              <w:bottom w:val="single" w:sz="4" w:space="0" w:color="1A171C"/>
              <w:right w:val="nil"/>
            </w:tcBorders>
            <w:vAlign w:val="center"/>
          </w:tcPr>
          <w:p w14:paraId="7FE1B76D" w14:textId="77777777" w:rsidR="00534D9A" w:rsidRDefault="003243B2">
            <w:pPr>
              <w:pStyle w:val="P68B1DB1-TableParagraph14"/>
              <w:spacing w:before="108"/>
              <w:ind w:left="85"/>
              <w:jc w:val="both"/>
              <w:rPr>
                <w:bCs/>
              </w:rPr>
            </w:pPr>
            <w:r>
              <w:t>Numru</w:t>
            </w:r>
          </w:p>
          <w:p w14:paraId="07AEB6DE" w14:textId="77777777" w:rsidR="00534D9A" w:rsidRDefault="003243B2">
            <w:pPr>
              <w:pStyle w:val="P68B1DB1-TableParagraph17"/>
              <w:spacing w:before="108"/>
              <w:ind w:left="85"/>
              <w:jc w:val="both"/>
            </w:pPr>
            <w:r>
              <w:t xml:space="preserve">Il-kodiċi tal-Kreditur, tas-sottoskrittur jew tal-fornitur tal-garanzija. </w:t>
            </w:r>
          </w:p>
          <w:p w14:paraId="706B20DB" w14:textId="77777777" w:rsidR="00534D9A" w:rsidRDefault="003243B2">
            <w:pPr>
              <w:pStyle w:val="P68B1DB1-TableParagraph17"/>
              <w:spacing w:before="108"/>
              <w:ind w:left="85"/>
              <w:jc w:val="both"/>
            </w:pPr>
            <w:r>
              <w:t>Għall-istituzzjonijiet b’Identifikatur ta’ Entità Ġuridika (LEI), il-kodiċi alfanumeriku tal-LEI b’ 20 ċifri;</w:t>
            </w:r>
          </w:p>
          <w:p w14:paraId="69DCA339" w14:textId="67781040" w:rsidR="00534D9A" w:rsidRDefault="003243B2">
            <w:pPr>
              <w:pStyle w:val="P68B1DB1-TableParagraph17"/>
              <w:spacing w:before="108"/>
              <w:ind w:left="85"/>
              <w:jc w:val="both"/>
            </w:pPr>
            <w:r>
              <w:t>Jekk ma jkunx disponibbli, uża l-kodiċi MFI jew kodiċi b’kodifikazzjoni uniformi applikabbli fl-Unjoni.</w:t>
            </w:r>
          </w:p>
          <w:p w14:paraId="7FE1B76F" w14:textId="02D6147D" w:rsidR="00534D9A" w:rsidRDefault="003243B2">
            <w:pPr>
              <w:pStyle w:val="P68B1DB1-TableParagraph17"/>
              <w:spacing w:before="108"/>
              <w:ind w:left="85"/>
              <w:jc w:val="both"/>
            </w:pPr>
            <w:r>
              <w:t>Il-kodiċi għandu jkun uniku u użat b’mod konsistenti fil-mudelli kollha.</w:t>
            </w:r>
          </w:p>
          <w:p w14:paraId="1E86BFA0" w14:textId="77777777" w:rsidR="00534D9A" w:rsidRDefault="003243B2">
            <w:pPr>
              <w:pStyle w:val="P68B1DB1-TableParagraph17"/>
              <w:spacing w:before="108"/>
              <w:ind w:left="85"/>
              <w:jc w:val="both"/>
            </w:pPr>
            <w:r>
              <w:t>Irid ikun differenti mill-kodiċi elenkat fil-kolonna 0020.</w:t>
            </w:r>
          </w:p>
          <w:p w14:paraId="7FE1B770" w14:textId="276B100A" w:rsidR="00534D9A" w:rsidRDefault="003243B2">
            <w:pPr>
              <w:pStyle w:val="P68B1DB1-TableParagraph13"/>
              <w:spacing w:before="108"/>
              <w:ind w:left="85"/>
              <w:jc w:val="both"/>
              <w:rPr>
                <w:rFonts w:eastAsia="Cambria"/>
              </w:rPr>
            </w:pPr>
            <w:r>
              <w:t>Meta l-Kreditur, id-detentur jew il-fornitur ta’ garanzija jkun entità fi grupp, il-kodiċi għandu jkun l-istess bħal dak irrapportat fil-formola Z 01.01 (ORG 1). Għall-identifikazzjoni ta’ entitajiet jew destinatarji ta’ investiment, il-par Kodiċi u Tip għandhom jintużaw b’mod konsistenti fil-mudelli kollha.</w:t>
            </w:r>
          </w:p>
        </w:tc>
      </w:tr>
      <w:tr w:rsidR="00534D9A" w14:paraId="7FE1B778" w14:textId="77777777">
        <w:tc>
          <w:tcPr>
            <w:tcW w:w="907" w:type="dxa"/>
            <w:tcBorders>
              <w:top w:val="single" w:sz="4" w:space="0" w:color="1A171C"/>
              <w:left w:val="nil"/>
              <w:bottom w:val="single" w:sz="4" w:space="0" w:color="1A171C"/>
              <w:right w:val="single" w:sz="4" w:space="0" w:color="1A171C"/>
            </w:tcBorders>
            <w:vAlign w:val="center"/>
          </w:tcPr>
          <w:p w14:paraId="7FE1B772" w14:textId="77777777" w:rsidR="00534D9A" w:rsidRDefault="003243B2">
            <w:pPr>
              <w:pStyle w:val="P68B1DB1-TableParagraph13"/>
              <w:spacing w:before="106"/>
              <w:ind w:left="-1"/>
            </w:pPr>
            <w:r>
              <w:t>0045</w:t>
            </w:r>
          </w:p>
        </w:tc>
        <w:tc>
          <w:tcPr>
            <w:tcW w:w="8119" w:type="dxa"/>
            <w:tcBorders>
              <w:top w:val="single" w:sz="4" w:space="0" w:color="1A171C"/>
              <w:left w:val="single" w:sz="4" w:space="0" w:color="1A171C"/>
              <w:bottom w:val="single" w:sz="4" w:space="0" w:color="1A171C"/>
              <w:right w:val="nil"/>
            </w:tcBorders>
            <w:vAlign w:val="center"/>
          </w:tcPr>
          <w:p w14:paraId="7FE1B773" w14:textId="77777777" w:rsidR="00534D9A" w:rsidRDefault="003243B2">
            <w:pPr>
              <w:pStyle w:val="P68B1DB1-TableParagraph14"/>
              <w:spacing w:before="108"/>
              <w:ind w:left="85"/>
              <w:jc w:val="both"/>
              <w:rPr>
                <w:bCs/>
              </w:rPr>
            </w:pPr>
            <w:r>
              <w:t>Tip ta’ kodiċi</w:t>
            </w:r>
          </w:p>
          <w:p w14:paraId="00DFF190" w14:textId="04144C55" w:rsidR="00534D9A" w:rsidRDefault="00534D9A">
            <w:pPr>
              <w:pStyle w:val="TableParagraph"/>
              <w:spacing w:before="108"/>
              <w:ind w:left="85"/>
              <w:jc w:val="both"/>
              <w:rPr>
                <w:rFonts w:ascii="Times New Roman" w:hAnsi="Times New Roman" w:cs="Times New Roman"/>
                <w:bCs/>
                <w:color w:val="000000" w:themeColor="text1"/>
                <w:sz w:val="20"/>
                <w:szCs w:val="20"/>
              </w:rPr>
            </w:pPr>
          </w:p>
          <w:p w14:paraId="1CBCA0DC" w14:textId="04764F45" w:rsidR="00534D9A" w:rsidRDefault="003243B2">
            <w:pPr>
              <w:pStyle w:val="P68B1DB1-TableParagraph13"/>
              <w:spacing w:before="108" w:line="276" w:lineRule="auto"/>
              <w:ind w:left="85"/>
              <w:jc w:val="both"/>
              <w:rPr>
                <w:color w:val="000000"/>
              </w:rPr>
            </w:pPr>
            <w:bookmarkStart w:id="65" w:name="_Hlk191377037"/>
            <w:r>
              <w:t>Għandha tintgħażel fost l-għażliet li ġejjin: “Kodiċi LEI”, “kodiċi MFI” jew “Tip ta’ identifikatur, minbarra LEI jew kodiċi MFI”.</w:t>
            </w:r>
            <w:bookmarkEnd w:id="65"/>
          </w:p>
          <w:p w14:paraId="072CFC22" w14:textId="7B94F65F" w:rsidR="00534D9A" w:rsidRDefault="003243B2">
            <w:pPr>
              <w:pStyle w:val="P68B1DB1-TableParagraph13"/>
              <w:spacing w:before="108" w:line="276" w:lineRule="auto"/>
              <w:ind w:left="85"/>
              <w:jc w:val="both"/>
              <w:rPr>
                <w:color w:val="000000"/>
              </w:rPr>
            </w:pPr>
            <w:r>
              <w:t>It-tip tal-kodiċi għandu jiġi rapportat dejjem.</w:t>
            </w:r>
          </w:p>
          <w:p w14:paraId="63D16443" w14:textId="77777777" w:rsidR="00534D9A" w:rsidRDefault="003243B2">
            <w:pPr>
              <w:pStyle w:val="P68B1DB1-TableParagraph13"/>
              <w:spacing w:before="108" w:line="276" w:lineRule="auto"/>
              <w:ind w:left="85"/>
              <w:jc w:val="both"/>
              <w:rPr>
                <w:color w:val="000000"/>
              </w:rPr>
            </w:pPr>
            <w:r>
              <w:t>Meta l-Kreditur, id-detentur jew il-fornitur tal-garanzija ma jkunx entità fi grupp, it-tip ta’ kodiċi għandu preferibbilment ikun il-kodiċi LEI.</w:t>
            </w:r>
          </w:p>
          <w:p w14:paraId="7FE1B777" w14:textId="69660BC3" w:rsidR="00534D9A" w:rsidRDefault="00534D9A">
            <w:pPr>
              <w:pStyle w:val="TableParagraph"/>
              <w:spacing w:before="108"/>
              <w:ind w:left="85"/>
              <w:jc w:val="both"/>
              <w:rPr>
                <w:rFonts w:ascii="Times New Roman" w:hAnsi="Times New Roman" w:cs="Times New Roman"/>
                <w:b/>
                <w:bCs/>
                <w:color w:val="000000" w:themeColor="text1"/>
                <w:sz w:val="20"/>
                <w:szCs w:val="20"/>
              </w:rPr>
            </w:pPr>
          </w:p>
        </w:tc>
      </w:tr>
      <w:tr w:rsidR="00534D9A" w14:paraId="7FE1B77C" w14:textId="77777777">
        <w:tc>
          <w:tcPr>
            <w:tcW w:w="907" w:type="dxa"/>
            <w:tcBorders>
              <w:top w:val="single" w:sz="4" w:space="0" w:color="1A171C"/>
              <w:left w:val="nil"/>
              <w:bottom w:val="single" w:sz="4" w:space="0" w:color="1A171C"/>
              <w:right w:val="single" w:sz="4" w:space="0" w:color="1A171C"/>
            </w:tcBorders>
            <w:vAlign w:val="center"/>
          </w:tcPr>
          <w:p w14:paraId="7FE1B779" w14:textId="77777777" w:rsidR="00534D9A" w:rsidRDefault="003243B2">
            <w:pPr>
              <w:pStyle w:val="P68B1DB1-TableParagraph13"/>
              <w:spacing w:before="106"/>
              <w:ind w:left="-1"/>
            </w:pPr>
            <w:r>
              <w:t xml:space="preserve">0050–0080 </w:t>
            </w:r>
          </w:p>
        </w:tc>
        <w:tc>
          <w:tcPr>
            <w:tcW w:w="8119" w:type="dxa"/>
            <w:tcBorders>
              <w:top w:val="single" w:sz="4" w:space="0" w:color="1A171C"/>
              <w:left w:val="single" w:sz="4" w:space="0" w:color="1A171C"/>
              <w:bottom w:val="single" w:sz="4" w:space="0" w:color="1A171C"/>
              <w:right w:val="nil"/>
            </w:tcBorders>
            <w:vAlign w:val="center"/>
          </w:tcPr>
          <w:p w14:paraId="7FE1B77A" w14:textId="77777777" w:rsidR="00534D9A" w:rsidRDefault="003243B2">
            <w:pPr>
              <w:pStyle w:val="P68B1DB1-TableParagraph14"/>
              <w:spacing w:before="108"/>
              <w:ind w:left="85"/>
              <w:jc w:val="both"/>
              <w:rPr>
                <w:bCs/>
              </w:rPr>
            </w:pPr>
            <w:r>
              <w:t>L-interkonnessjoni finanzjarja</w:t>
            </w:r>
          </w:p>
          <w:p w14:paraId="7FE1B77B" w14:textId="079D8C41" w:rsidR="00534D9A" w:rsidRDefault="003243B2">
            <w:pPr>
              <w:pStyle w:val="P68B1DB1-TableParagraph17"/>
              <w:spacing w:before="108"/>
              <w:ind w:left="85"/>
              <w:jc w:val="both"/>
            </w:pPr>
            <w:r>
              <w:t>Dan il-qasam jiddeskrivi l-interkonnessjoni finanzjarja bejn l-entitajiet ġuridiċi kollha.</w:t>
            </w:r>
          </w:p>
        </w:tc>
      </w:tr>
      <w:tr w:rsidR="00534D9A" w14:paraId="7FE1B7A9" w14:textId="77777777">
        <w:tc>
          <w:tcPr>
            <w:tcW w:w="907" w:type="dxa"/>
            <w:tcBorders>
              <w:top w:val="single" w:sz="4" w:space="0" w:color="1A171C"/>
              <w:left w:val="nil"/>
              <w:bottom w:val="single" w:sz="4" w:space="0" w:color="1A171C"/>
              <w:right w:val="single" w:sz="4" w:space="0" w:color="1A171C"/>
            </w:tcBorders>
            <w:vAlign w:val="center"/>
          </w:tcPr>
          <w:p w14:paraId="7FE1B77D" w14:textId="77777777" w:rsidR="00534D9A" w:rsidRDefault="003243B2">
            <w:pPr>
              <w:pStyle w:val="P68B1DB1-TableParagraph13"/>
              <w:spacing w:before="106"/>
              <w:ind w:left="-1"/>
            </w:pPr>
            <w:r>
              <w:t xml:space="preserve">0050 </w:t>
            </w:r>
          </w:p>
        </w:tc>
        <w:tc>
          <w:tcPr>
            <w:tcW w:w="8119" w:type="dxa"/>
            <w:tcBorders>
              <w:top w:val="single" w:sz="4" w:space="0" w:color="1A171C"/>
              <w:left w:val="single" w:sz="4" w:space="0" w:color="1A171C"/>
              <w:bottom w:val="single" w:sz="4" w:space="0" w:color="1A171C"/>
              <w:right w:val="nil"/>
            </w:tcBorders>
            <w:vAlign w:val="center"/>
          </w:tcPr>
          <w:p w14:paraId="7FE1B77E" w14:textId="77777777" w:rsidR="00534D9A" w:rsidRDefault="003243B2">
            <w:pPr>
              <w:pStyle w:val="P68B1DB1-TableParagraph14"/>
              <w:spacing w:before="108"/>
              <w:ind w:left="85"/>
              <w:jc w:val="both"/>
              <w:rPr>
                <w:bCs/>
              </w:rPr>
            </w:pPr>
            <w:r>
              <w:t>Tip</w:t>
            </w:r>
          </w:p>
          <w:p w14:paraId="7FE1B77F" w14:textId="77777777" w:rsidR="00534D9A" w:rsidRDefault="003243B2">
            <w:pPr>
              <w:pStyle w:val="P68B1DB1-TableParagraph17"/>
              <w:spacing w:before="108"/>
              <w:ind w:left="85"/>
              <w:jc w:val="both"/>
            </w:pPr>
            <w:r>
              <w:t>Irid jintgħażel mil-lista li ġejja:</w:t>
            </w:r>
          </w:p>
          <w:p w14:paraId="7FE1B780" w14:textId="77777777" w:rsidR="00534D9A" w:rsidRDefault="003243B2">
            <w:pPr>
              <w:pStyle w:val="P68B1DB1-TableParagraph24"/>
              <w:spacing w:before="108"/>
              <w:ind w:left="85"/>
              <w:jc w:val="both"/>
            </w:pPr>
            <w:r>
              <w:t>L-Obbligazzjonijiet Intragrupp</w:t>
            </w:r>
          </w:p>
          <w:p w14:paraId="7FE1B781" w14:textId="77777777" w:rsidR="00534D9A" w:rsidRDefault="00534D9A">
            <w:pPr>
              <w:pStyle w:val="TableParagraph"/>
              <w:spacing w:before="108"/>
              <w:ind w:left="85"/>
              <w:jc w:val="both"/>
              <w:rPr>
                <w:rFonts w:ascii="Times New Roman" w:eastAsia="Cambria" w:hAnsi="Times New Roman" w:cs="Times New Roman"/>
                <w:color w:val="000000" w:themeColor="text1"/>
                <w:sz w:val="20"/>
                <w:szCs w:val="20"/>
                <w:u w:val="single"/>
              </w:rPr>
            </w:pPr>
          </w:p>
          <w:p w14:paraId="7FE1B782" w14:textId="421A42AD" w:rsidR="00534D9A" w:rsidRDefault="003243B2">
            <w:pPr>
              <w:pStyle w:val="P68B1DB1-ListParagraph25"/>
              <w:numPr>
                <w:ilvl w:val="0"/>
                <w:numId w:val="54"/>
              </w:numPr>
              <w:autoSpaceDE w:val="0"/>
              <w:autoSpaceDN w:val="0"/>
              <w:adjustRightInd w:val="0"/>
              <w:ind w:left="539" w:hanging="454"/>
              <w:contextualSpacing/>
              <w:jc w:val="both"/>
            </w:pPr>
            <w:r>
              <w:t xml:space="preserve">Obbligazzjonijiet esklużi mir-rikapitalizzazzjoni </w:t>
            </w:r>
          </w:p>
          <w:p w14:paraId="7FE1B783" w14:textId="047CAF02" w:rsidR="00534D9A" w:rsidRDefault="003243B2">
            <w:pPr>
              <w:pStyle w:val="P68B1DB1-ListParagraph25"/>
              <w:autoSpaceDE w:val="0"/>
              <w:autoSpaceDN w:val="0"/>
              <w:adjustRightInd w:val="0"/>
              <w:ind w:left="539"/>
              <w:contextualSpacing/>
              <w:jc w:val="both"/>
            </w:pPr>
            <w:r>
              <w:t>L-istess definizzjoni bħal Z 02.00 (LIAB 1), ir-ringiela 0100</w:t>
            </w:r>
          </w:p>
          <w:p w14:paraId="7FE1B784" w14:textId="77777777" w:rsidR="00534D9A" w:rsidRDefault="003243B2">
            <w:pPr>
              <w:pStyle w:val="P68B1DB1-ListParagraph25"/>
              <w:numPr>
                <w:ilvl w:val="0"/>
                <w:numId w:val="54"/>
              </w:numPr>
              <w:autoSpaceDE w:val="0"/>
              <w:autoSpaceDN w:val="0"/>
              <w:adjustRightInd w:val="0"/>
              <w:ind w:left="539" w:hanging="454"/>
              <w:contextualSpacing/>
              <w:jc w:val="both"/>
            </w:pPr>
            <w:r>
              <w:t>Depożiti, mhux koperti iżda preferenzjali</w:t>
            </w:r>
          </w:p>
          <w:p w14:paraId="7FE1B785" w14:textId="69E9007C" w:rsidR="00534D9A" w:rsidRDefault="003243B2">
            <w:pPr>
              <w:pStyle w:val="P68B1DB1-ListParagraph25"/>
              <w:autoSpaceDE w:val="0"/>
              <w:autoSpaceDN w:val="0"/>
              <w:adjustRightInd w:val="0"/>
              <w:ind w:left="539"/>
              <w:jc w:val="both"/>
            </w:pPr>
            <w:r>
              <w:t>L-istess definizzjoni bħal Z 02.00 (LIAB 1), ir-ringiela 0310</w:t>
            </w:r>
          </w:p>
          <w:p w14:paraId="7FE1B786" w14:textId="77777777" w:rsidR="00534D9A" w:rsidRDefault="003243B2">
            <w:pPr>
              <w:pStyle w:val="P68B1DB1-ListParagraph25"/>
              <w:numPr>
                <w:ilvl w:val="0"/>
                <w:numId w:val="54"/>
              </w:numPr>
              <w:autoSpaceDE w:val="0"/>
              <w:autoSpaceDN w:val="0"/>
              <w:adjustRightInd w:val="0"/>
              <w:ind w:left="539" w:hanging="454"/>
              <w:contextualSpacing/>
              <w:jc w:val="both"/>
            </w:pPr>
            <w:r>
              <w:t>Depożiti, mhux koperti u mhux preferenzjali</w:t>
            </w:r>
          </w:p>
          <w:p w14:paraId="7FE1B787" w14:textId="4FA7AC10" w:rsidR="00534D9A" w:rsidRDefault="003243B2">
            <w:pPr>
              <w:pStyle w:val="P68B1DB1-ListParagraph25"/>
              <w:autoSpaceDE w:val="0"/>
              <w:autoSpaceDN w:val="0"/>
              <w:adjustRightInd w:val="0"/>
              <w:ind w:left="539"/>
              <w:jc w:val="both"/>
            </w:pPr>
            <w:r>
              <w:t>L-istess definizzjoni bħal Z 02.00 (LIAB 1), ir-ringiela 0320</w:t>
            </w:r>
          </w:p>
          <w:p w14:paraId="7FE1B788" w14:textId="77777777" w:rsidR="00534D9A" w:rsidRDefault="003243B2">
            <w:pPr>
              <w:pStyle w:val="P68B1DB1-ListParagraph25"/>
              <w:numPr>
                <w:ilvl w:val="0"/>
                <w:numId w:val="54"/>
              </w:numPr>
              <w:autoSpaceDE w:val="0"/>
              <w:autoSpaceDN w:val="0"/>
              <w:adjustRightInd w:val="0"/>
              <w:ind w:left="539" w:hanging="454"/>
              <w:contextualSpacing/>
              <w:jc w:val="both"/>
            </w:pPr>
            <w:r>
              <w:t>Obbligazzjonijiet li jirriżultaw minn derivattivi (Ammonti tal-Close-Out)</w:t>
            </w:r>
          </w:p>
          <w:p w14:paraId="7FE1B789" w14:textId="5DAB7051" w:rsidR="00534D9A" w:rsidRDefault="003243B2">
            <w:pPr>
              <w:pStyle w:val="P68B1DB1-ListParagraph25"/>
              <w:autoSpaceDE w:val="0"/>
              <w:autoSpaceDN w:val="0"/>
              <w:adjustRightInd w:val="0"/>
              <w:ind w:left="539"/>
              <w:jc w:val="both"/>
            </w:pPr>
            <w:r>
              <w:t>L-istess definizzjoni bħal Z 02.00 (LIAB 1), ir-ringiela 0330</w:t>
            </w:r>
          </w:p>
          <w:p w14:paraId="7FE1B78A" w14:textId="77777777" w:rsidR="00534D9A" w:rsidRDefault="003243B2">
            <w:pPr>
              <w:pStyle w:val="P68B1DB1-ListParagraph25"/>
              <w:numPr>
                <w:ilvl w:val="0"/>
                <w:numId w:val="54"/>
              </w:numPr>
              <w:autoSpaceDE w:val="0"/>
              <w:autoSpaceDN w:val="0"/>
              <w:adjustRightInd w:val="0"/>
              <w:ind w:left="539" w:hanging="454"/>
              <w:contextualSpacing/>
              <w:jc w:val="both"/>
            </w:pPr>
            <w:r>
              <w:t>L-obbligazzjonijiet garantiti mhux kollateralizzati</w:t>
            </w:r>
          </w:p>
          <w:p w14:paraId="7FE1B78B" w14:textId="5B0021F4" w:rsidR="00534D9A" w:rsidRDefault="003243B2">
            <w:pPr>
              <w:pStyle w:val="P68B1DB1-ListParagraph25"/>
              <w:autoSpaceDE w:val="0"/>
              <w:autoSpaceDN w:val="0"/>
              <w:adjustRightInd w:val="0"/>
              <w:ind w:left="539"/>
              <w:jc w:val="both"/>
            </w:pPr>
            <w:r>
              <w:t>L-istess definizzjoni bħal Z 02.00 (LIAB 1), ir-ringiela 0340</w:t>
            </w:r>
          </w:p>
          <w:p w14:paraId="7FE1B78C" w14:textId="77777777" w:rsidR="00534D9A" w:rsidRDefault="003243B2">
            <w:pPr>
              <w:pStyle w:val="P68B1DB1-ListParagraph25"/>
              <w:numPr>
                <w:ilvl w:val="0"/>
                <w:numId w:val="54"/>
              </w:numPr>
              <w:autoSpaceDE w:val="0"/>
              <w:autoSpaceDN w:val="0"/>
              <w:adjustRightInd w:val="0"/>
              <w:ind w:left="539" w:hanging="454"/>
              <w:contextualSpacing/>
              <w:jc w:val="both"/>
            </w:pPr>
            <w:r>
              <w:t>Noti strutturati</w:t>
            </w:r>
          </w:p>
          <w:p w14:paraId="7FE1B78D" w14:textId="7DF4D7F4" w:rsidR="00534D9A" w:rsidRDefault="003243B2">
            <w:pPr>
              <w:pStyle w:val="P68B1DB1-ListParagraph25"/>
              <w:autoSpaceDE w:val="0"/>
              <w:autoSpaceDN w:val="0"/>
              <w:adjustRightInd w:val="0"/>
              <w:ind w:left="539"/>
              <w:jc w:val="both"/>
            </w:pPr>
            <w:r>
              <w:t>L-istess definizzjoni bħal Z 02.00 (LIAB 1), ir-ringiela 0350</w:t>
            </w:r>
          </w:p>
          <w:p w14:paraId="7FE1B78E" w14:textId="77777777" w:rsidR="00534D9A" w:rsidRDefault="003243B2">
            <w:pPr>
              <w:pStyle w:val="P68B1DB1-ListParagraph25"/>
              <w:numPr>
                <w:ilvl w:val="0"/>
                <w:numId w:val="54"/>
              </w:numPr>
              <w:autoSpaceDE w:val="0"/>
              <w:autoSpaceDN w:val="0"/>
              <w:adjustRightInd w:val="0"/>
              <w:ind w:left="539" w:hanging="454"/>
              <w:contextualSpacing/>
              <w:jc w:val="both"/>
            </w:pPr>
            <w:r>
              <w:t>Obbligazzjonijiet prijoritarji mhux garantiti</w:t>
            </w:r>
          </w:p>
          <w:p w14:paraId="7FE1B78F" w14:textId="67CE577E" w:rsidR="00534D9A" w:rsidRDefault="003243B2">
            <w:pPr>
              <w:pStyle w:val="P68B1DB1-ListParagraph25"/>
              <w:autoSpaceDE w:val="0"/>
              <w:autoSpaceDN w:val="0"/>
              <w:adjustRightInd w:val="0"/>
              <w:ind w:left="539"/>
              <w:jc w:val="both"/>
            </w:pPr>
            <w:r>
              <w:t>L-istess definizzjoni bħal Z 02.00 (LIAB 1), ir-ringiela 0360</w:t>
            </w:r>
          </w:p>
          <w:p w14:paraId="7FE1B790" w14:textId="77777777" w:rsidR="00534D9A" w:rsidRDefault="003243B2">
            <w:pPr>
              <w:pStyle w:val="P68B1DB1-ListParagraph25"/>
              <w:numPr>
                <w:ilvl w:val="0"/>
                <w:numId w:val="54"/>
              </w:numPr>
              <w:autoSpaceDE w:val="0"/>
              <w:autoSpaceDN w:val="0"/>
              <w:adjustRightInd w:val="0"/>
              <w:ind w:left="539" w:hanging="454"/>
              <w:contextualSpacing/>
              <w:jc w:val="both"/>
            </w:pPr>
            <w:r>
              <w:t>Obbligazzjonijiet prijoritarji mhux bi preferenza</w:t>
            </w:r>
          </w:p>
          <w:p w14:paraId="7FE1B791" w14:textId="6BECB3BB" w:rsidR="00534D9A" w:rsidRDefault="003243B2">
            <w:pPr>
              <w:pStyle w:val="P68B1DB1-ListParagraph25"/>
              <w:autoSpaceDE w:val="0"/>
              <w:autoSpaceDN w:val="0"/>
              <w:adjustRightInd w:val="0"/>
              <w:ind w:left="539"/>
              <w:contextualSpacing/>
              <w:jc w:val="both"/>
            </w:pPr>
            <w:r>
              <w:t>L-istess definizzjoni bħal Z 02.00 (LIAB 1), ir-ringiela 0365</w:t>
            </w:r>
          </w:p>
          <w:p w14:paraId="7FE1B792" w14:textId="77777777" w:rsidR="00534D9A" w:rsidRDefault="003243B2">
            <w:pPr>
              <w:pStyle w:val="P68B1DB1-ListParagraph25"/>
              <w:numPr>
                <w:ilvl w:val="0"/>
                <w:numId w:val="54"/>
              </w:numPr>
              <w:autoSpaceDE w:val="0"/>
              <w:autoSpaceDN w:val="0"/>
              <w:adjustRightInd w:val="0"/>
              <w:ind w:left="539" w:hanging="454"/>
              <w:contextualSpacing/>
              <w:jc w:val="both"/>
            </w:pPr>
            <w:r>
              <w:lastRenderedPageBreak/>
              <w:t>Obbligazzjonijiet subordinati</w:t>
            </w:r>
          </w:p>
          <w:p w14:paraId="7FE1B793" w14:textId="1719A947" w:rsidR="00534D9A" w:rsidRDefault="003243B2">
            <w:pPr>
              <w:pStyle w:val="P68B1DB1-ListParagraph25"/>
              <w:autoSpaceDE w:val="0"/>
              <w:autoSpaceDN w:val="0"/>
              <w:adjustRightInd w:val="0"/>
              <w:ind w:left="539"/>
              <w:jc w:val="both"/>
            </w:pPr>
            <w:r>
              <w:t>L-istess definizzjoni bħal Z 02.00 (LIAB 1), ir-ringiela 0370</w:t>
            </w:r>
          </w:p>
          <w:p w14:paraId="7FE1B794" w14:textId="77777777" w:rsidR="00534D9A" w:rsidRDefault="003243B2">
            <w:pPr>
              <w:pStyle w:val="P68B1DB1-ListParagraph25"/>
              <w:numPr>
                <w:ilvl w:val="0"/>
                <w:numId w:val="54"/>
              </w:numPr>
              <w:autoSpaceDE w:val="0"/>
              <w:autoSpaceDN w:val="0"/>
              <w:adjustRightInd w:val="0"/>
              <w:ind w:left="539" w:hanging="454"/>
              <w:contextualSpacing/>
              <w:jc w:val="both"/>
            </w:pPr>
            <w:r>
              <w:t>Obbligazzjonijiet eliġibbli għall-MREL oħra</w:t>
            </w:r>
          </w:p>
          <w:p w14:paraId="7FE1B795" w14:textId="18D60D2B" w:rsidR="00534D9A" w:rsidRDefault="003243B2">
            <w:pPr>
              <w:pStyle w:val="P68B1DB1-ListParagraph25"/>
              <w:autoSpaceDE w:val="0"/>
              <w:autoSpaceDN w:val="0"/>
              <w:adjustRightInd w:val="0"/>
              <w:ind w:left="539"/>
              <w:jc w:val="both"/>
            </w:pPr>
            <w:r>
              <w:t>L-istess definizzjoni bħal Z 02.00 (LIAB 1), ir-ringiela 0380</w:t>
            </w:r>
          </w:p>
          <w:p w14:paraId="7FE1B796" w14:textId="77777777" w:rsidR="00534D9A" w:rsidRDefault="003243B2">
            <w:pPr>
              <w:pStyle w:val="P68B1DB1-ListParagraph25"/>
              <w:numPr>
                <w:ilvl w:val="0"/>
                <w:numId w:val="54"/>
              </w:numPr>
              <w:autoSpaceDE w:val="0"/>
              <w:autoSpaceDN w:val="0"/>
              <w:adjustRightInd w:val="0"/>
              <w:ind w:left="539" w:hanging="454"/>
              <w:contextualSpacing/>
              <w:jc w:val="both"/>
            </w:pPr>
            <w:r>
              <w:t>L-obbligazzjonijiet mhux finanzjarji</w:t>
            </w:r>
          </w:p>
          <w:p w14:paraId="7FE1B797" w14:textId="03D8AF00" w:rsidR="00534D9A" w:rsidRDefault="003243B2">
            <w:pPr>
              <w:pStyle w:val="P68B1DB1-ListParagraph25"/>
              <w:autoSpaceDE w:val="0"/>
              <w:autoSpaceDN w:val="0"/>
              <w:adjustRightInd w:val="0"/>
              <w:ind w:left="539"/>
              <w:jc w:val="both"/>
            </w:pPr>
            <w:r>
              <w:t>L-istess definizzjoni bħal Z 02.00 (LIAB 1), ir-ringiela 0390</w:t>
            </w:r>
          </w:p>
          <w:p w14:paraId="7FE1B798" w14:textId="77777777" w:rsidR="00534D9A" w:rsidRDefault="003243B2">
            <w:pPr>
              <w:pStyle w:val="P68B1DB1-ListParagraph25"/>
              <w:numPr>
                <w:ilvl w:val="0"/>
                <w:numId w:val="54"/>
              </w:numPr>
              <w:autoSpaceDE w:val="0"/>
              <w:autoSpaceDN w:val="0"/>
              <w:adjustRightInd w:val="0"/>
              <w:ind w:left="539" w:hanging="454"/>
              <w:contextualSpacing/>
              <w:jc w:val="both"/>
            </w:pPr>
            <w:r>
              <w:t>L-obbligazzjonijiet residwali</w:t>
            </w:r>
          </w:p>
          <w:p w14:paraId="7FE1B799" w14:textId="5E01E641" w:rsidR="00534D9A" w:rsidRDefault="003243B2">
            <w:pPr>
              <w:pStyle w:val="P68B1DB1-ListParagraph25"/>
              <w:autoSpaceDE w:val="0"/>
              <w:autoSpaceDN w:val="0"/>
              <w:adjustRightInd w:val="0"/>
              <w:ind w:left="539"/>
              <w:jc w:val="both"/>
            </w:pPr>
            <w:r>
              <w:t>L-istess definizzjoni bħal Z 02.00 (LIAB 1), ir-ringiela 0400. Kull obbligazzjoni li mhijiex koperta minn xi entrata preċedenti.</w:t>
            </w:r>
          </w:p>
          <w:p w14:paraId="7FE1B79A" w14:textId="77777777" w:rsidR="00534D9A" w:rsidRDefault="003243B2">
            <w:pPr>
              <w:pStyle w:val="P68B1DB1-ListParagraph25"/>
              <w:numPr>
                <w:ilvl w:val="0"/>
                <w:numId w:val="54"/>
              </w:numPr>
              <w:autoSpaceDE w:val="0"/>
              <w:autoSpaceDN w:val="0"/>
              <w:adjustRightInd w:val="0"/>
              <w:ind w:left="539" w:hanging="454"/>
              <w:contextualSpacing/>
              <w:jc w:val="both"/>
            </w:pPr>
            <w:r>
              <w:t>Il-Kapital ta’ Grad 2</w:t>
            </w:r>
          </w:p>
          <w:p w14:paraId="7FE1B79B" w14:textId="1DC09C8A" w:rsidR="00534D9A" w:rsidRDefault="003243B2">
            <w:pPr>
              <w:pStyle w:val="P68B1DB1-ListParagraph25"/>
              <w:autoSpaceDE w:val="0"/>
              <w:autoSpaceDN w:val="0"/>
              <w:adjustRightInd w:val="0"/>
              <w:ind w:left="539"/>
              <w:jc w:val="both"/>
            </w:pPr>
            <w:r>
              <w:t>L-istess definizzjoni bħal Z 02.00 (LIAB 1), ir-ringiela 0530</w:t>
            </w:r>
          </w:p>
          <w:p w14:paraId="7FE1B79C" w14:textId="77777777" w:rsidR="00534D9A" w:rsidRDefault="003243B2">
            <w:pPr>
              <w:pStyle w:val="P68B1DB1-ListParagraph25"/>
              <w:numPr>
                <w:ilvl w:val="0"/>
                <w:numId w:val="54"/>
              </w:numPr>
              <w:autoSpaceDE w:val="0"/>
              <w:autoSpaceDN w:val="0"/>
              <w:adjustRightInd w:val="0"/>
              <w:ind w:left="539" w:hanging="454"/>
              <w:contextualSpacing/>
              <w:jc w:val="both"/>
            </w:pPr>
            <w:r>
              <w:t>Kapital tal-Grad 1 Addizzjonali</w:t>
            </w:r>
          </w:p>
          <w:p w14:paraId="7FE1B79D" w14:textId="5EB7A3D7" w:rsidR="00534D9A" w:rsidRDefault="003243B2">
            <w:pPr>
              <w:pStyle w:val="P68B1DB1-ListParagraph25"/>
              <w:autoSpaceDE w:val="0"/>
              <w:autoSpaceDN w:val="0"/>
              <w:adjustRightInd w:val="0"/>
              <w:ind w:left="539"/>
              <w:jc w:val="both"/>
            </w:pPr>
            <w:r>
              <w:t>L-istess definizzjoni bħal Z 02.00 (LIAB 1), ir-ringiela 0520</w:t>
            </w:r>
          </w:p>
          <w:p w14:paraId="7FE1B79E" w14:textId="77777777" w:rsidR="00534D9A" w:rsidRDefault="003243B2">
            <w:pPr>
              <w:pStyle w:val="P68B1DB1-ListParagraph25"/>
              <w:numPr>
                <w:ilvl w:val="0"/>
                <w:numId w:val="54"/>
              </w:numPr>
              <w:autoSpaceDE w:val="0"/>
              <w:autoSpaceDN w:val="0"/>
              <w:adjustRightInd w:val="0"/>
              <w:ind w:left="539" w:hanging="454"/>
              <w:contextualSpacing/>
              <w:jc w:val="both"/>
            </w:pPr>
            <w:r>
              <w:t>Il-Kapital ta’ Grad 1 tal-Ekwità Komuni</w:t>
            </w:r>
          </w:p>
          <w:p w14:paraId="7FE1B79F" w14:textId="3DF796DF" w:rsidR="00534D9A" w:rsidRDefault="003243B2">
            <w:pPr>
              <w:pStyle w:val="P68B1DB1-ListParagraph25"/>
              <w:autoSpaceDE w:val="0"/>
              <w:autoSpaceDN w:val="0"/>
              <w:adjustRightInd w:val="0"/>
              <w:ind w:left="539"/>
              <w:jc w:val="both"/>
            </w:pPr>
            <w:r>
              <w:t>L-istess definizzjoni bħal Z 02.00 (LIAB 1), ir-ringiela 0510</w:t>
            </w:r>
          </w:p>
          <w:p w14:paraId="7FE1B7A0" w14:textId="77777777" w:rsidR="00534D9A" w:rsidRDefault="003243B2">
            <w:pPr>
              <w:pStyle w:val="P68B1DB1-TableParagraph24"/>
              <w:spacing w:before="108"/>
              <w:ind w:left="85"/>
              <w:jc w:val="both"/>
            </w:pPr>
            <w:r>
              <w:t>Garanziji intragrupp</w:t>
            </w:r>
          </w:p>
          <w:p w14:paraId="7FE1B7A1" w14:textId="426DD2CE" w:rsidR="00534D9A" w:rsidRDefault="003243B2">
            <w:pPr>
              <w:pStyle w:val="P68B1DB1-ListParagraph25"/>
              <w:numPr>
                <w:ilvl w:val="0"/>
                <w:numId w:val="55"/>
              </w:numPr>
              <w:autoSpaceDE w:val="0"/>
              <w:autoSpaceDN w:val="0"/>
              <w:adjustRightInd w:val="0"/>
              <w:ind w:left="539" w:hanging="454"/>
              <w:contextualSpacing/>
              <w:jc w:val="both"/>
            </w:pPr>
            <w:r>
              <w:t>Garanziji ta’ Ħruġ</w:t>
            </w:r>
          </w:p>
          <w:p w14:paraId="7FE1B7A2" w14:textId="77777777" w:rsidR="00534D9A" w:rsidRDefault="003243B2">
            <w:pPr>
              <w:pStyle w:val="P68B1DB1-ListParagraph25"/>
              <w:autoSpaceDE w:val="0"/>
              <w:autoSpaceDN w:val="0"/>
              <w:adjustRightInd w:val="0"/>
              <w:ind w:left="539"/>
              <w:jc w:val="both"/>
            </w:pPr>
            <w:r>
              <w:t>Garanziji dwar strumenti/obbligazzjonijiet speċifiċi li nħarġu</w:t>
            </w:r>
          </w:p>
          <w:p w14:paraId="7FE1B7A3" w14:textId="71CD6004" w:rsidR="00534D9A" w:rsidRDefault="003243B2">
            <w:pPr>
              <w:pStyle w:val="P68B1DB1-ListParagraph25"/>
              <w:numPr>
                <w:ilvl w:val="0"/>
                <w:numId w:val="55"/>
              </w:numPr>
              <w:autoSpaceDE w:val="0"/>
              <w:autoSpaceDN w:val="0"/>
              <w:adjustRightInd w:val="0"/>
              <w:ind w:left="539" w:hanging="454"/>
              <w:contextualSpacing/>
              <w:jc w:val="both"/>
            </w:pPr>
            <w:r>
              <w:t>Garanziji tal-Kontroparti</w:t>
            </w:r>
          </w:p>
          <w:p w14:paraId="7FE1B7A4" w14:textId="77777777" w:rsidR="00534D9A" w:rsidRDefault="003243B2">
            <w:pPr>
              <w:pStyle w:val="P68B1DB1-ListParagraph25"/>
              <w:autoSpaceDE w:val="0"/>
              <w:autoSpaceDN w:val="0"/>
              <w:adjustRightInd w:val="0"/>
              <w:ind w:left="539"/>
              <w:jc w:val="both"/>
            </w:pPr>
            <w:r>
              <w:t>Garanziji mogħtija lil kontroparti speċifika tal-istituzzjoni</w:t>
            </w:r>
          </w:p>
          <w:p w14:paraId="7FE1B7A5" w14:textId="50A984E1" w:rsidR="00534D9A" w:rsidRDefault="003243B2">
            <w:pPr>
              <w:pStyle w:val="P68B1DB1-ListParagraph25"/>
              <w:numPr>
                <w:ilvl w:val="0"/>
                <w:numId w:val="55"/>
              </w:numPr>
              <w:autoSpaceDE w:val="0"/>
              <w:autoSpaceDN w:val="0"/>
              <w:adjustRightInd w:val="0"/>
              <w:ind w:left="539" w:hanging="454"/>
              <w:contextualSpacing/>
              <w:jc w:val="both"/>
            </w:pPr>
            <w:r>
              <w:t>Garanziji bla limitu</w:t>
            </w:r>
          </w:p>
          <w:p w14:paraId="7FE1B7A6" w14:textId="77777777" w:rsidR="00534D9A" w:rsidRDefault="003243B2">
            <w:pPr>
              <w:pStyle w:val="P68B1DB1-ListParagraph25"/>
              <w:autoSpaceDE w:val="0"/>
              <w:autoSpaceDN w:val="0"/>
              <w:adjustRightInd w:val="0"/>
              <w:ind w:left="539"/>
              <w:jc w:val="both"/>
            </w:pPr>
            <w:r>
              <w:t xml:space="preserve">Il-garanziji ġenerali mhux limitati għal ammont fiss </w:t>
            </w:r>
          </w:p>
          <w:p w14:paraId="7FE1B7A7" w14:textId="391BAF8D" w:rsidR="00534D9A" w:rsidRDefault="003243B2">
            <w:pPr>
              <w:pStyle w:val="P68B1DB1-ListParagraph25"/>
              <w:numPr>
                <w:ilvl w:val="0"/>
                <w:numId w:val="55"/>
              </w:numPr>
              <w:autoSpaceDE w:val="0"/>
              <w:autoSpaceDN w:val="0"/>
              <w:adjustRightInd w:val="0"/>
              <w:ind w:left="539" w:hanging="454"/>
              <w:contextualSpacing/>
              <w:jc w:val="both"/>
            </w:pPr>
            <w:r>
              <w:t>Garanziji oħrajn</w:t>
            </w:r>
          </w:p>
          <w:p w14:paraId="7FE1B7A8" w14:textId="77777777" w:rsidR="00534D9A" w:rsidRDefault="003243B2">
            <w:pPr>
              <w:pStyle w:val="P68B1DB1-ListParagraph25"/>
              <w:autoSpaceDE w:val="0"/>
              <w:autoSpaceDN w:val="0"/>
              <w:adjustRightInd w:val="0"/>
              <w:ind w:left="539"/>
              <w:jc w:val="both"/>
            </w:pPr>
            <w:r>
              <w:t xml:space="preserve">Kull tip ta’ garanzija mhux koperta mit-tipi preċedenti. </w:t>
            </w:r>
          </w:p>
        </w:tc>
      </w:tr>
      <w:tr w:rsidR="00534D9A" w14:paraId="7FE1B7AE" w14:textId="77777777">
        <w:tc>
          <w:tcPr>
            <w:tcW w:w="907" w:type="dxa"/>
            <w:tcBorders>
              <w:top w:val="single" w:sz="4" w:space="0" w:color="1A171C"/>
              <w:left w:val="nil"/>
              <w:bottom w:val="single" w:sz="4" w:space="0" w:color="1A171C"/>
              <w:right w:val="single" w:sz="4" w:space="0" w:color="1A171C"/>
            </w:tcBorders>
            <w:vAlign w:val="center"/>
          </w:tcPr>
          <w:p w14:paraId="7FE1B7AA" w14:textId="0E2AA2E7" w:rsidR="00534D9A" w:rsidRDefault="003243B2">
            <w:pPr>
              <w:pStyle w:val="P68B1DB1-TableParagraph13"/>
              <w:spacing w:before="106"/>
              <w:ind w:left="-1"/>
            </w:pPr>
            <w:r>
              <w:lastRenderedPageBreak/>
              <w:t>0060–0080</w:t>
            </w:r>
          </w:p>
        </w:tc>
        <w:tc>
          <w:tcPr>
            <w:tcW w:w="8119" w:type="dxa"/>
            <w:tcBorders>
              <w:top w:val="single" w:sz="4" w:space="0" w:color="1A171C"/>
              <w:left w:val="single" w:sz="4" w:space="0" w:color="1A171C"/>
              <w:bottom w:val="single" w:sz="4" w:space="0" w:color="1A171C"/>
              <w:right w:val="nil"/>
            </w:tcBorders>
            <w:vAlign w:val="center"/>
          </w:tcPr>
          <w:p w14:paraId="7FE1B7AB" w14:textId="77777777" w:rsidR="00534D9A" w:rsidRDefault="003243B2">
            <w:pPr>
              <w:pStyle w:val="P68B1DB1-TableParagraph14"/>
              <w:spacing w:before="108"/>
              <w:ind w:left="85"/>
              <w:jc w:val="both"/>
              <w:rPr>
                <w:bCs/>
              </w:rPr>
            </w:pPr>
            <w:r>
              <w:t>L-ammont pendenti</w:t>
            </w:r>
          </w:p>
          <w:p w14:paraId="7FE1B7AC" w14:textId="0BB5F57D" w:rsidR="00534D9A" w:rsidRDefault="003243B2">
            <w:pPr>
              <w:pStyle w:val="P68B1DB1-TableParagraph17"/>
              <w:spacing w:before="108"/>
              <w:ind w:left="85"/>
              <w:jc w:val="both"/>
            </w:pPr>
            <w:r>
              <w:t>Għal obbligazzjonijiet fil-kolonna 0050, l-ammont pendenti tal-obbligazzjonijiet intragrupp; għal obbligazzjonijiet li jirriżultaw minn derivattivi, l-ammonti ta’ close-out kif definiti għall-finijiet tal-formola Z 02.00 (LIAB 1), ir-ringiela 0333.</w:t>
            </w:r>
          </w:p>
          <w:p w14:paraId="7FE1B7AD" w14:textId="75442B42" w:rsidR="00534D9A" w:rsidRDefault="003243B2">
            <w:pPr>
              <w:pStyle w:val="P68B1DB1-TableParagraph17"/>
              <w:spacing w:before="108"/>
              <w:ind w:left="85"/>
              <w:jc w:val="both"/>
            </w:pPr>
            <w:r>
              <w:t xml:space="preserve">Għall-garanziji fil-kolonna 0050, l-ammont massimu potenzjali ta’ pagamenti futuri taħt il-garanzija </w:t>
            </w:r>
          </w:p>
        </w:tc>
      </w:tr>
      <w:tr w:rsidR="00534D9A" w14:paraId="7FE1B7B2" w14:textId="77777777">
        <w:tc>
          <w:tcPr>
            <w:tcW w:w="907" w:type="dxa"/>
            <w:tcBorders>
              <w:top w:val="single" w:sz="4" w:space="0" w:color="1A171C"/>
              <w:left w:val="nil"/>
              <w:bottom w:val="single" w:sz="4" w:space="0" w:color="1A171C"/>
              <w:right w:val="single" w:sz="4" w:space="0" w:color="1A171C"/>
            </w:tcBorders>
            <w:vAlign w:val="center"/>
          </w:tcPr>
          <w:p w14:paraId="7FE1B7AF" w14:textId="77777777" w:rsidR="00534D9A" w:rsidRDefault="003243B2">
            <w:pPr>
              <w:pStyle w:val="P68B1DB1-TableParagraph13"/>
              <w:spacing w:before="106"/>
              <w:ind w:left="-1"/>
            </w:pPr>
            <w:r>
              <w:t>0070</w:t>
            </w:r>
          </w:p>
        </w:tc>
        <w:tc>
          <w:tcPr>
            <w:tcW w:w="8119" w:type="dxa"/>
            <w:tcBorders>
              <w:top w:val="single" w:sz="4" w:space="0" w:color="1A171C"/>
              <w:left w:val="single" w:sz="4" w:space="0" w:color="1A171C"/>
              <w:bottom w:val="single" w:sz="4" w:space="0" w:color="1A171C"/>
              <w:right w:val="nil"/>
            </w:tcBorders>
            <w:vAlign w:val="center"/>
          </w:tcPr>
          <w:p w14:paraId="7FE1B7B0" w14:textId="77777777" w:rsidR="00534D9A" w:rsidRDefault="003243B2">
            <w:pPr>
              <w:pStyle w:val="P68B1DB1-TableParagraph14"/>
              <w:spacing w:before="108"/>
              <w:ind w:left="85"/>
              <w:jc w:val="both"/>
              <w:rPr>
                <w:bCs/>
              </w:rPr>
            </w:pPr>
            <w:r>
              <w:t>li minnu maħruġ skont liġi ta’ pajjiż terz</w:t>
            </w:r>
          </w:p>
          <w:p w14:paraId="7FE1B7B1" w14:textId="77777777" w:rsidR="00534D9A" w:rsidRDefault="003243B2">
            <w:pPr>
              <w:pStyle w:val="P68B1DB1-TableParagraph13"/>
              <w:spacing w:before="108"/>
              <w:ind w:left="85"/>
              <w:jc w:val="both"/>
              <w:rPr>
                <w:bCs/>
              </w:rPr>
            </w:pPr>
            <w:r>
              <w:t>Is-sehem, f’ammont monetarju, tal-ammont pendenti li huwa rregolat mil-liġi ta’ pajjiż terz.</w:t>
            </w:r>
          </w:p>
        </w:tc>
      </w:tr>
      <w:tr w:rsidR="00534D9A" w14:paraId="7FE1B7B6" w14:textId="77777777">
        <w:tc>
          <w:tcPr>
            <w:tcW w:w="907" w:type="dxa"/>
            <w:tcBorders>
              <w:top w:val="single" w:sz="4" w:space="0" w:color="1A171C"/>
              <w:left w:val="nil"/>
              <w:bottom w:val="single" w:sz="4" w:space="0" w:color="1A171C"/>
              <w:right w:val="single" w:sz="4" w:space="0" w:color="1A171C"/>
            </w:tcBorders>
            <w:vAlign w:val="center"/>
          </w:tcPr>
          <w:p w14:paraId="7FE1B7B3" w14:textId="77777777" w:rsidR="00534D9A" w:rsidRDefault="003243B2">
            <w:pPr>
              <w:pStyle w:val="P68B1DB1-TableParagraph13"/>
              <w:spacing w:before="106"/>
              <w:ind w:left="-1"/>
            </w:pPr>
            <w:r>
              <w:t>0080</w:t>
            </w:r>
          </w:p>
        </w:tc>
        <w:tc>
          <w:tcPr>
            <w:tcW w:w="8119" w:type="dxa"/>
            <w:tcBorders>
              <w:top w:val="single" w:sz="4" w:space="0" w:color="1A171C"/>
              <w:left w:val="single" w:sz="4" w:space="0" w:color="1A171C"/>
              <w:bottom w:val="single" w:sz="4" w:space="0" w:color="1A171C"/>
              <w:right w:val="nil"/>
            </w:tcBorders>
            <w:vAlign w:val="center"/>
          </w:tcPr>
          <w:p w14:paraId="7FE1B7B4" w14:textId="77777777" w:rsidR="00534D9A" w:rsidRDefault="003243B2">
            <w:pPr>
              <w:pStyle w:val="P68B1DB1-TableParagraph14"/>
              <w:spacing w:before="108"/>
              <w:ind w:left="85"/>
              <w:jc w:val="both"/>
              <w:rPr>
                <w:rFonts w:eastAsia="Cambria"/>
              </w:rPr>
            </w:pPr>
            <w:r>
              <w:t>li tagħhom: Eliġibbli għall-MREL</w:t>
            </w:r>
          </w:p>
          <w:p w14:paraId="7FE1B7B5" w14:textId="77777777"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L-ammont ta’ fondi proprji u obbligazzjonijiet eliġibbli biex jissodisfaw ir-rekwiżit tal-Artikolu 45 tad-Direttiva 2014/59/UE f’konformità mal-Artikolu 45e jew 45f ta’ dik id-Direttiva, kif applikabbli.</w:t>
            </w:r>
            <w:r>
              <w:rPr>
                <w:rFonts w:ascii="Times New Roman" w:hAnsi="Times New Roman" w:cs="Times New Roman"/>
              </w:rPr>
              <w:t xml:space="preserve"> </w:t>
            </w:r>
            <w:r>
              <w:rPr>
                <w:rFonts w:ascii="Times New Roman" w:eastAsia="Cambria" w:hAnsi="Times New Roman" w:cs="Times New Roman"/>
                <w:color w:val="000000" w:themeColor="text1"/>
                <w:sz w:val="20"/>
                <w:szCs w:val="20"/>
              </w:rPr>
              <w:t>Għandhom jiġu rrapportati biss dawk il-fondi proprji u l-obbligazzjonijiet li jissodisfaw il-kriterji tal-Artikolu 45b jew l-Artikolu 45f(2) tad-Direttiva 2014/59/UE, kif applikabbli, b’kunsiderazzjoni, fejn rilevanti, tal-Artikolu 89(2) tal-BRRD, u l-Artikolu 55 tal-BRRD.</w:t>
            </w:r>
          </w:p>
        </w:tc>
      </w:tr>
    </w:tbl>
    <w:p w14:paraId="7FE1B7B7" w14:textId="77777777" w:rsidR="00534D9A" w:rsidRDefault="00534D9A">
      <w:pPr>
        <w:jc w:val="both"/>
        <w:rPr>
          <w:rFonts w:ascii="Times New Roman" w:hAnsi="Times New Roman" w:cs="Times New Roman"/>
          <w:color w:val="000000" w:themeColor="text1"/>
          <w:sz w:val="20"/>
          <w:szCs w:val="20"/>
        </w:rPr>
      </w:pPr>
    </w:p>
    <w:p w14:paraId="7FE1B7B8" w14:textId="548121DF" w:rsidR="00534D9A" w:rsidRDefault="003243B2">
      <w:pPr>
        <w:pStyle w:val="P68B1DB1-Instructionsberschrift25"/>
        <w:numPr>
          <w:ilvl w:val="1"/>
          <w:numId w:val="49"/>
        </w:numPr>
        <w:ind w:left="357" w:hanging="357"/>
      </w:pPr>
      <w:bookmarkStart w:id="66" w:name="_Toc492542325"/>
      <w:bookmarkStart w:id="67" w:name="_Toc81454183"/>
      <w:bookmarkStart w:id="68" w:name="_Toc208244998"/>
      <w:r>
        <w:t>Kontropartijiet Maġġuri (LIAB 5 &amp;6)</w:t>
      </w:r>
      <w:bookmarkEnd w:id="66"/>
      <w:bookmarkEnd w:id="67"/>
      <w:bookmarkEnd w:id="68"/>
    </w:p>
    <w:p w14:paraId="7FE1B7B9" w14:textId="77777777" w:rsidR="00534D9A" w:rsidRDefault="003243B2">
      <w:pPr>
        <w:pStyle w:val="Instructionsberschrift3"/>
      </w:pPr>
      <w:r>
        <w:t>Kummenti ġenerali</w:t>
      </w:r>
    </w:p>
    <w:p w14:paraId="7FE1B7BA" w14:textId="77777777" w:rsidR="00534D9A" w:rsidRDefault="003243B2">
      <w:pPr>
        <w:pStyle w:val="P68B1DB1-InstructionsText26"/>
        <w:numPr>
          <w:ilvl w:val="0"/>
          <w:numId w:val="232"/>
        </w:numPr>
        <w:spacing w:before="0"/>
      </w:pPr>
      <w:r>
        <w:t>Dawn il-mudelli jiġbru informazzjoni dwar l-obbligazzjonijiet lejn kontropartijiet ewlenin (Z 05.01) u entrati li ma jidhrux fil-karta bilanċjali riċevuti minn kontropartijiet ewlenin (Z 05.02). L-ammonti rapportati għandhom jiġu aggregati meta jappartjenu għall-istess kontroparti u l-istess tip ta’ obbligazzjonijiet jew entrati li ma jidhrux fil-karta bilanċjali.</w:t>
      </w:r>
    </w:p>
    <w:p w14:paraId="7FE1B7BB" w14:textId="77777777" w:rsidR="00534D9A" w:rsidRDefault="003243B2">
      <w:pPr>
        <w:pStyle w:val="P68B1DB1-InstructionsText26"/>
        <w:numPr>
          <w:ilvl w:val="0"/>
          <w:numId w:val="232"/>
        </w:numPr>
        <w:spacing w:before="0"/>
      </w:pPr>
      <w:r>
        <w:t xml:space="preserve">L-obbligazzjonijiet u l-entrati li ma jidhrux fil-karta bilanċjali, li l-kontroparti tagħhom ma tistax tkun identifikata, ma għandhomx jiġu rrapportati f’dawn il-mudelli. Obbligazzjonijiet </w:t>
      </w:r>
      <w:r>
        <w:lastRenderedPageBreak/>
        <w:t>u entrati li ma jidhrux fil-karta bilanċjali, li l-kontroparti tagħhom tkun entità inkluża fir-rapporti finanzjarji kkonsolidati ma għandhomx jiġu rrapportati.</w:t>
      </w:r>
    </w:p>
    <w:p w14:paraId="7FE1B7BC" w14:textId="04BE316A" w:rsidR="00534D9A" w:rsidRDefault="00534D9A">
      <w:pPr>
        <w:pStyle w:val="InstructionsText2"/>
        <w:numPr>
          <w:ilvl w:val="0"/>
          <w:numId w:val="0"/>
        </w:numPr>
        <w:spacing w:before="0"/>
        <w:ind w:left="753" w:hanging="720"/>
        <w:rPr>
          <w:rFonts w:ascii="Times New Roman" w:hAnsi="Times New Roman" w:cs="Times New Roman"/>
          <w:sz w:val="20"/>
          <w:szCs w:val="20"/>
        </w:rPr>
      </w:pPr>
    </w:p>
    <w:p w14:paraId="7FE1B7BD" w14:textId="77777777" w:rsidR="00534D9A" w:rsidRDefault="003243B2">
      <w:pPr>
        <w:pStyle w:val="P68B1DB1-Instructionsberschrift25"/>
        <w:numPr>
          <w:ilvl w:val="1"/>
          <w:numId w:val="49"/>
        </w:numPr>
        <w:ind w:left="357" w:hanging="357"/>
      </w:pPr>
      <w:bookmarkStart w:id="69" w:name="_Toc81454184"/>
      <w:bookmarkStart w:id="70" w:name="_Toc208244999"/>
      <w:r>
        <w:t>Z 05.01 — Kontropartijiet ewlenin tal-obbligazzjonijiet (LIAB 5)</w:t>
      </w:r>
      <w:bookmarkEnd w:id="70"/>
    </w:p>
    <w:p w14:paraId="7FE1B7BE" w14:textId="0F7A6C34" w:rsidR="00534D9A" w:rsidRDefault="003243B2">
      <w:pPr>
        <w:pStyle w:val="P68B1DB1-body26"/>
      </w:pPr>
      <w:r>
        <w:t>Struzzjonijiet li jikkonċernaw pożizzjonijiet speċifiċi</w:t>
      </w:r>
      <w:bookmarkEnd w:id="69"/>
    </w:p>
    <w:p w14:paraId="7FE1B7BF" w14:textId="77777777" w:rsidR="00534D9A" w:rsidRDefault="003243B2">
      <w:pPr>
        <w:pStyle w:val="P68B1DB1-InstructionsText26"/>
        <w:numPr>
          <w:ilvl w:val="0"/>
          <w:numId w:val="232"/>
        </w:numPr>
        <w:spacing w:before="0"/>
      </w:pPr>
      <w:r>
        <w:t>Il-kombinament ta’ valuri rapportati fil-kolonni 0020 u 0060 ta’ dan il-mudell jifforma kodiċi primarju li jrid ikun uniku għal kull ringiela tal-mudell.</w:t>
      </w:r>
    </w:p>
    <w:tbl>
      <w:tblPr>
        <w:tblW w:w="0" w:type="auto"/>
        <w:tblCellMar>
          <w:top w:w="57" w:type="dxa"/>
          <w:left w:w="57" w:type="dxa"/>
          <w:bottom w:w="57" w:type="dxa"/>
          <w:right w:w="0" w:type="dxa"/>
        </w:tblCellMar>
        <w:tblLook w:val="01E0" w:firstRow="1" w:lastRow="1" w:firstColumn="1" w:lastColumn="1" w:noHBand="0" w:noVBand="0"/>
      </w:tblPr>
      <w:tblGrid>
        <w:gridCol w:w="907"/>
        <w:gridCol w:w="8119"/>
      </w:tblGrid>
      <w:tr w:rsidR="00534D9A" w14:paraId="7FE1B7C2" w14:textId="77777777">
        <w:trPr>
          <w:tblHeader/>
        </w:trPr>
        <w:tc>
          <w:tcPr>
            <w:tcW w:w="907" w:type="dxa"/>
            <w:tcBorders>
              <w:top w:val="single" w:sz="4" w:space="0" w:color="1A171C"/>
              <w:left w:val="nil"/>
              <w:bottom w:val="single" w:sz="4" w:space="0" w:color="1A171C"/>
              <w:right w:val="single" w:sz="4" w:space="0" w:color="1A171C"/>
            </w:tcBorders>
            <w:shd w:val="clear" w:color="auto" w:fill="E4E5E5"/>
          </w:tcPr>
          <w:p w14:paraId="7FE1B7C0" w14:textId="77777777" w:rsidR="00534D9A" w:rsidRDefault="003243B2">
            <w:pPr>
              <w:pStyle w:val="P68B1DB1-TableParagraph13"/>
              <w:spacing w:before="66"/>
              <w:rPr>
                <w:rFonts w:eastAsia="Cambria"/>
              </w:rPr>
            </w:pPr>
            <w:r>
              <w:t>Kolonni</w:t>
            </w:r>
          </w:p>
        </w:tc>
        <w:tc>
          <w:tcPr>
            <w:tcW w:w="8119" w:type="dxa"/>
            <w:tcBorders>
              <w:top w:val="single" w:sz="4" w:space="0" w:color="1A171C"/>
              <w:left w:val="single" w:sz="4" w:space="0" w:color="1A171C"/>
              <w:bottom w:val="single" w:sz="4" w:space="0" w:color="1A171C"/>
              <w:right w:val="nil"/>
            </w:tcBorders>
            <w:shd w:val="clear" w:color="auto" w:fill="E4E5E5"/>
          </w:tcPr>
          <w:p w14:paraId="7FE1B7C1" w14:textId="77777777" w:rsidR="00534D9A" w:rsidRDefault="003243B2">
            <w:pPr>
              <w:pStyle w:val="P68B1DB1-TableParagraph13"/>
              <w:spacing w:before="66"/>
              <w:ind w:right="1"/>
              <w:jc w:val="center"/>
              <w:rPr>
                <w:rFonts w:eastAsia="Cambria"/>
              </w:rPr>
            </w:pPr>
            <w:r>
              <w:t>Struzzjonijiet</w:t>
            </w:r>
          </w:p>
        </w:tc>
      </w:tr>
      <w:tr w:rsidR="00534D9A" w14:paraId="7FE1B7CC" w14:textId="77777777">
        <w:tc>
          <w:tcPr>
            <w:tcW w:w="907" w:type="dxa"/>
            <w:tcBorders>
              <w:top w:val="single" w:sz="4" w:space="0" w:color="1A171C"/>
              <w:left w:val="nil"/>
              <w:bottom w:val="single" w:sz="4" w:space="0" w:color="1A171C"/>
              <w:right w:val="single" w:sz="4" w:space="0" w:color="1A171C"/>
            </w:tcBorders>
            <w:vAlign w:val="center"/>
          </w:tcPr>
          <w:p w14:paraId="7FE1B7C3" w14:textId="77777777" w:rsidR="00534D9A" w:rsidRDefault="003243B2">
            <w:pPr>
              <w:pStyle w:val="P68B1DB1-TableParagraph17"/>
              <w:spacing w:before="108"/>
              <w:ind w:left="85"/>
              <w:jc w:val="both"/>
            </w:pPr>
            <w:r>
              <w:t>0010–0050</w:t>
            </w:r>
          </w:p>
        </w:tc>
        <w:tc>
          <w:tcPr>
            <w:tcW w:w="8119" w:type="dxa"/>
            <w:tcBorders>
              <w:top w:val="single" w:sz="4" w:space="0" w:color="1A171C"/>
              <w:left w:val="single" w:sz="4" w:space="0" w:color="1A171C"/>
              <w:bottom w:val="single" w:sz="4" w:space="0" w:color="1A171C"/>
              <w:right w:val="nil"/>
            </w:tcBorders>
            <w:vAlign w:val="center"/>
          </w:tcPr>
          <w:p w14:paraId="7FE1B7C4" w14:textId="77777777" w:rsidR="00534D9A" w:rsidRDefault="003243B2">
            <w:pPr>
              <w:pStyle w:val="P68B1DB1-TableParagraph14"/>
              <w:spacing w:before="108"/>
              <w:ind w:left="85"/>
              <w:jc w:val="both"/>
              <w:rPr>
                <w:bCs/>
              </w:rPr>
            </w:pPr>
            <w:r>
              <w:t>Kontroparti</w:t>
            </w:r>
          </w:p>
          <w:p w14:paraId="7FE1B7C5" w14:textId="77777777" w:rsidR="00534D9A" w:rsidRDefault="003243B2">
            <w:pPr>
              <w:pStyle w:val="P68B1DB1-TableParagraph17"/>
              <w:spacing w:before="108"/>
              <w:ind w:left="85"/>
              <w:jc w:val="both"/>
            </w:pPr>
            <w:r>
              <w:t xml:space="preserve">Informazzjoni dwar il-kontroparti ewlenija li fir-rigward tagħha tfeġġ l-obbligazzjoni </w:t>
            </w:r>
          </w:p>
          <w:p w14:paraId="7FE1B7C6" w14:textId="77777777" w:rsidR="00534D9A" w:rsidRDefault="003243B2">
            <w:pPr>
              <w:pStyle w:val="P68B1DB1-TableParagraph17"/>
              <w:spacing w:before="108"/>
              <w:ind w:left="85"/>
              <w:jc w:val="both"/>
            </w:pPr>
            <w:r>
              <w:t>Il-kontropartijiet ewlenin għandhom jiġu identifikati billi jinġabar it-total tal-ammonti pendenti tal-obbligazzjonijiet kollha tal-entità jew grupp dwar liema jiġi rapportat il-mudell, lil kull kontroparti jew grupp ta’ klijenti konnessi, bl-esklużjoni tal-obbligazzjonijiet vis-à-vis entitajiet inklużi fir-rapporti finanzjarji kkonsolidati.</w:t>
            </w:r>
          </w:p>
          <w:p w14:paraId="7FE1B7C7" w14:textId="77777777" w:rsidR="00534D9A" w:rsidRDefault="003243B2">
            <w:pPr>
              <w:pStyle w:val="P68B1DB1-TableParagraph17"/>
              <w:spacing w:before="108"/>
              <w:ind w:left="85"/>
              <w:jc w:val="both"/>
            </w:pPr>
            <w:r>
              <w:t>Il-kontropartijiet u l-gruppi ta’ kontropartijiet konnessi jiġu mbagħad ikklassifikati skont ammont pendenti aggregat sabiex jiġu identifikati l-ewwel 10 kontropartijiet ewlenin, li dwarhom għandha tingħata informazzjoni f’dan il-mudell.</w:t>
            </w:r>
          </w:p>
          <w:p w14:paraId="7FE1B7CB" w14:textId="1879B990" w:rsidR="00534D9A" w:rsidRDefault="003243B2">
            <w:pPr>
              <w:pStyle w:val="P68B1DB1-TableParagraph17"/>
              <w:spacing w:before="108"/>
              <w:ind w:left="85"/>
              <w:jc w:val="both"/>
              <w:rPr>
                <w:b/>
                <w:bCs/>
              </w:rPr>
            </w:pPr>
            <w:r>
              <w:t xml:space="preserve">Id-definizzjoni ta’ “grupp ta’ kontropartijiet konnessi” għandha timxi fuq id-definizzjoni ta’ “grupp ta’ klijenti konnessi” stipulata fil-punt 39 tal-Artikolu 4(1) tar-Regolament (UE) Nru 575/2013. </w:t>
            </w:r>
          </w:p>
        </w:tc>
      </w:tr>
      <w:tr w:rsidR="00534D9A" w14:paraId="7FE1B7D1" w14:textId="77777777">
        <w:tc>
          <w:tcPr>
            <w:tcW w:w="907" w:type="dxa"/>
            <w:tcBorders>
              <w:top w:val="single" w:sz="4" w:space="0" w:color="1A171C"/>
              <w:left w:val="nil"/>
              <w:bottom w:val="single" w:sz="4" w:space="0" w:color="1A171C"/>
              <w:right w:val="single" w:sz="4" w:space="0" w:color="1A171C"/>
            </w:tcBorders>
            <w:vAlign w:val="center"/>
          </w:tcPr>
          <w:p w14:paraId="7FE1B7CD" w14:textId="77777777" w:rsidR="00534D9A" w:rsidRDefault="003243B2">
            <w:pPr>
              <w:pStyle w:val="P68B1DB1-TableParagraph17"/>
              <w:spacing w:before="108"/>
              <w:ind w:left="85"/>
              <w:jc w:val="both"/>
            </w:pPr>
            <w:r>
              <w:t>0010</w:t>
            </w:r>
          </w:p>
        </w:tc>
        <w:tc>
          <w:tcPr>
            <w:tcW w:w="8119" w:type="dxa"/>
            <w:tcBorders>
              <w:top w:val="single" w:sz="4" w:space="0" w:color="1A171C"/>
              <w:left w:val="single" w:sz="4" w:space="0" w:color="1A171C"/>
              <w:bottom w:val="single" w:sz="4" w:space="0" w:color="1A171C"/>
              <w:right w:val="nil"/>
            </w:tcBorders>
            <w:vAlign w:val="center"/>
          </w:tcPr>
          <w:p w14:paraId="7FE1B7CE" w14:textId="77777777" w:rsidR="00534D9A" w:rsidRDefault="003243B2">
            <w:pPr>
              <w:pStyle w:val="P68B1DB1-TableParagraph14"/>
              <w:spacing w:before="108"/>
              <w:ind w:left="85"/>
              <w:jc w:val="both"/>
              <w:rPr>
                <w:bCs/>
              </w:rPr>
            </w:pPr>
            <w:r>
              <w:t>Isem l-entità</w:t>
            </w:r>
          </w:p>
          <w:p w14:paraId="7FE1B7CF" w14:textId="77777777" w:rsidR="00534D9A" w:rsidRDefault="003243B2">
            <w:pPr>
              <w:pStyle w:val="P68B1DB1-Normal18"/>
              <w:spacing w:before="108"/>
              <w:ind w:left="85"/>
              <w:jc w:val="both"/>
            </w:pPr>
            <w:r>
              <w:t>Isem il-kontroparti ewlenija jew, meta applikabbli, isem ta’ grupp ta’ klijenti konnessi.</w:t>
            </w:r>
          </w:p>
          <w:p w14:paraId="7FE1B7D0" w14:textId="77777777" w:rsidR="00534D9A" w:rsidRDefault="003243B2">
            <w:pPr>
              <w:pStyle w:val="P68B1DB1-TableParagraph17"/>
              <w:spacing w:before="108"/>
              <w:ind w:left="85"/>
              <w:jc w:val="both"/>
            </w:pPr>
            <w:r>
              <w:t>L-isem ta’ grupp ta’ klijenti konnessi għandu jkun l-isem tal-kumpanija omm jew, meta l-grupp ta’ klijenti konnessi ma jkollux omm, l-isem kummerċjali tal-grupp.</w:t>
            </w:r>
          </w:p>
        </w:tc>
      </w:tr>
      <w:tr w:rsidR="00534D9A" w14:paraId="7FE1B7D6" w14:textId="77777777">
        <w:tc>
          <w:tcPr>
            <w:tcW w:w="907" w:type="dxa"/>
            <w:tcBorders>
              <w:top w:val="single" w:sz="4" w:space="0" w:color="1A171C"/>
              <w:left w:val="nil"/>
              <w:bottom w:val="single" w:sz="4" w:space="0" w:color="1A171C"/>
              <w:right w:val="single" w:sz="4" w:space="0" w:color="1A171C"/>
            </w:tcBorders>
            <w:vAlign w:val="center"/>
          </w:tcPr>
          <w:p w14:paraId="7FE1B7D2" w14:textId="77777777" w:rsidR="00534D9A" w:rsidRDefault="003243B2">
            <w:pPr>
              <w:pStyle w:val="P68B1DB1-TableParagraph17"/>
              <w:spacing w:before="108"/>
              <w:ind w:left="85"/>
              <w:jc w:val="both"/>
            </w:pPr>
            <w:r>
              <w:t>0020</w:t>
            </w:r>
          </w:p>
        </w:tc>
        <w:tc>
          <w:tcPr>
            <w:tcW w:w="8119" w:type="dxa"/>
            <w:tcBorders>
              <w:top w:val="single" w:sz="4" w:space="0" w:color="1A171C"/>
              <w:left w:val="single" w:sz="4" w:space="0" w:color="1A171C"/>
              <w:bottom w:val="single" w:sz="4" w:space="0" w:color="1A171C"/>
              <w:right w:val="nil"/>
            </w:tcBorders>
            <w:vAlign w:val="center"/>
          </w:tcPr>
          <w:p w14:paraId="7FE1B7D3" w14:textId="77777777" w:rsidR="00534D9A" w:rsidRDefault="003243B2">
            <w:pPr>
              <w:pStyle w:val="P68B1DB1-TableParagraph14"/>
              <w:spacing w:before="108"/>
              <w:ind w:left="85"/>
              <w:jc w:val="both"/>
              <w:rPr>
                <w:bCs/>
              </w:rPr>
            </w:pPr>
            <w:r>
              <w:t>Numru</w:t>
            </w:r>
          </w:p>
          <w:p w14:paraId="188AB748" w14:textId="77777777" w:rsidR="00534D9A" w:rsidRDefault="003243B2">
            <w:pPr>
              <w:pStyle w:val="P68B1DB1-TableParagraph17"/>
              <w:spacing w:before="108"/>
            </w:pPr>
            <w:r>
              <w:t xml:space="preserve">Il-kodiċi tal-kontroparti ewlenija jew tal-grupp ta’ klijenti konnessi. </w:t>
            </w:r>
          </w:p>
          <w:p w14:paraId="0DD02B7A" w14:textId="4FE17D24" w:rsidR="00534D9A" w:rsidRDefault="003243B2">
            <w:pPr>
              <w:pStyle w:val="P68B1DB1-TableParagraph13"/>
              <w:spacing w:before="108"/>
              <w:rPr>
                <w:bCs/>
              </w:rPr>
            </w:pPr>
            <w:r>
              <w:t>Għall-istituzzjonijiet b’Identifikatur ta’ Entità Ġuridika (LEI), il-kodiċi alfanumeriku tal-LEI b’ 20 ċifri;</w:t>
            </w:r>
          </w:p>
          <w:p w14:paraId="7FE1B7D4" w14:textId="10D08A5A" w:rsidR="00534D9A" w:rsidRDefault="003243B2">
            <w:pPr>
              <w:pStyle w:val="P68B1DB1-TableParagraph13"/>
              <w:spacing w:before="108"/>
              <w:jc w:val="both"/>
              <w:rPr>
                <w:rFonts w:eastAsia="Cambria"/>
              </w:rPr>
            </w:pPr>
            <w:r>
              <w:t>Jekk ma jkunx disponibbli, uża l-kodiċi MFI jew kodiċi b’kodifikazzjoni uniformi applikabbli fl-Unjoni.</w:t>
            </w:r>
          </w:p>
          <w:p w14:paraId="7FE1B7D5" w14:textId="77777777" w:rsidR="00534D9A" w:rsidRDefault="003243B2">
            <w:pPr>
              <w:pStyle w:val="P68B1DB1-TableParagraph17"/>
              <w:spacing w:before="108"/>
              <w:ind w:left="85"/>
              <w:jc w:val="both"/>
            </w:pPr>
            <w:r>
              <w:t>Il-kodiċi għandu jkun uniku u użat b’mod konsistenti fil-mudelli kollha.</w:t>
            </w:r>
          </w:p>
        </w:tc>
      </w:tr>
      <w:tr w:rsidR="00534D9A" w14:paraId="7FE1B7DB" w14:textId="77777777">
        <w:tc>
          <w:tcPr>
            <w:tcW w:w="907" w:type="dxa"/>
            <w:tcBorders>
              <w:top w:val="single" w:sz="4" w:space="0" w:color="1A171C"/>
              <w:left w:val="nil"/>
              <w:bottom w:val="single" w:sz="4" w:space="0" w:color="1A171C"/>
              <w:right w:val="single" w:sz="4" w:space="0" w:color="1A171C"/>
            </w:tcBorders>
            <w:vAlign w:val="center"/>
          </w:tcPr>
          <w:p w14:paraId="7FE1B7D7" w14:textId="77777777" w:rsidR="00534D9A" w:rsidRDefault="003243B2">
            <w:pPr>
              <w:pStyle w:val="P68B1DB1-TableParagraph17"/>
              <w:spacing w:before="108"/>
              <w:ind w:left="85"/>
              <w:jc w:val="both"/>
            </w:pPr>
            <w:r>
              <w:t>0025</w:t>
            </w:r>
          </w:p>
        </w:tc>
        <w:tc>
          <w:tcPr>
            <w:tcW w:w="8119" w:type="dxa"/>
            <w:tcBorders>
              <w:top w:val="single" w:sz="4" w:space="0" w:color="1A171C"/>
              <w:left w:val="single" w:sz="4" w:space="0" w:color="1A171C"/>
              <w:bottom w:val="single" w:sz="4" w:space="0" w:color="1A171C"/>
              <w:right w:val="nil"/>
            </w:tcBorders>
            <w:vAlign w:val="center"/>
          </w:tcPr>
          <w:p w14:paraId="7FE1B7D8" w14:textId="77777777" w:rsidR="00534D9A" w:rsidRDefault="003243B2">
            <w:pPr>
              <w:pStyle w:val="P68B1DB1-TableParagraph14"/>
              <w:spacing w:before="108"/>
              <w:ind w:left="85"/>
              <w:jc w:val="both"/>
              <w:rPr>
                <w:bCs/>
              </w:rPr>
            </w:pPr>
            <w:r>
              <w:t>Tip ta’ kodiċi</w:t>
            </w:r>
          </w:p>
          <w:p w14:paraId="2BEBBD8E" w14:textId="55A001F3" w:rsidR="00534D9A" w:rsidRDefault="003243B2">
            <w:pPr>
              <w:pStyle w:val="P68B1DB1-TableParagraph13"/>
              <w:spacing w:before="108"/>
              <w:rPr>
                <w:bCs/>
              </w:rPr>
            </w:pPr>
            <w:r>
              <w:t>Għandha tintgħażel fost l-għażliet li ġejjin: “Kodiċi LEI”, “kodiċi MFI” jew “Tip ta’ identifikatur, minbarra LEI jew kodiċi MFI”.</w:t>
            </w:r>
          </w:p>
          <w:p w14:paraId="5CA49443" w14:textId="30D8A3AF" w:rsidR="00534D9A" w:rsidRDefault="003243B2">
            <w:pPr>
              <w:pStyle w:val="P68B1DB1-TableParagraph13"/>
              <w:spacing w:before="108" w:line="276" w:lineRule="auto"/>
              <w:ind w:left="85"/>
              <w:jc w:val="both"/>
              <w:rPr>
                <w:color w:val="000000"/>
              </w:rPr>
            </w:pPr>
            <w:r>
              <w:t>L-identifikazzjoni tal-entitajiet għandha ssir b’mod konsistenti fil-mudelli kollha.</w:t>
            </w:r>
          </w:p>
          <w:p w14:paraId="7FE1B7DA" w14:textId="4204707F" w:rsidR="00534D9A" w:rsidRDefault="00534D9A">
            <w:pPr>
              <w:pStyle w:val="TableParagraph"/>
              <w:spacing w:before="108"/>
              <w:rPr>
                <w:rFonts w:ascii="Times New Roman" w:hAnsi="Times New Roman" w:cs="Times New Roman"/>
                <w:color w:val="000000" w:themeColor="text1"/>
                <w:sz w:val="20"/>
                <w:szCs w:val="20"/>
              </w:rPr>
            </w:pPr>
          </w:p>
        </w:tc>
      </w:tr>
      <w:tr w:rsidR="00534D9A" w14:paraId="7FE1B7DF" w14:textId="77777777">
        <w:tc>
          <w:tcPr>
            <w:tcW w:w="907" w:type="dxa"/>
            <w:tcBorders>
              <w:top w:val="single" w:sz="4" w:space="0" w:color="1A171C"/>
              <w:left w:val="nil"/>
              <w:bottom w:val="single" w:sz="4" w:space="0" w:color="1A171C"/>
              <w:right w:val="single" w:sz="4" w:space="0" w:color="1A171C"/>
            </w:tcBorders>
            <w:vAlign w:val="center"/>
          </w:tcPr>
          <w:p w14:paraId="7FE1B7DC" w14:textId="77777777" w:rsidR="00534D9A" w:rsidRDefault="003243B2">
            <w:pPr>
              <w:pStyle w:val="P68B1DB1-TableParagraph17"/>
              <w:spacing w:before="108"/>
              <w:ind w:left="85"/>
              <w:jc w:val="both"/>
            </w:pPr>
            <w:r>
              <w:t>0030</w:t>
            </w:r>
          </w:p>
        </w:tc>
        <w:tc>
          <w:tcPr>
            <w:tcW w:w="8119" w:type="dxa"/>
            <w:tcBorders>
              <w:top w:val="single" w:sz="4" w:space="0" w:color="1A171C"/>
              <w:left w:val="single" w:sz="4" w:space="0" w:color="1A171C"/>
              <w:bottom w:val="single" w:sz="4" w:space="0" w:color="1A171C"/>
              <w:right w:val="nil"/>
            </w:tcBorders>
            <w:vAlign w:val="center"/>
          </w:tcPr>
          <w:p w14:paraId="7FE1B7DD" w14:textId="77777777" w:rsidR="00534D9A" w:rsidRDefault="003243B2">
            <w:pPr>
              <w:pStyle w:val="P68B1DB1-TableParagraph14"/>
              <w:spacing w:before="108"/>
              <w:ind w:left="85"/>
              <w:jc w:val="both"/>
              <w:rPr>
                <w:bCs/>
              </w:rPr>
            </w:pPr>
            <w:r>
              <w:t>Grupp jew individwu</w:t>
            </w:r>
          </w:p>
          <w:p w14:paraId="4E4D0057" w14:textId="77777777" w:rsidR="00534D9A" w:rsidRDefault="003243B2">
            <w:pPr>
              <w:pStyle w:val="P68B1DB1-Normal18"/>
              <w:ind w:left="85"/>
            </w:pPr>
            <w:r>
              <w:t>L-istituzzjoni għandha tirrapporta:</w:t>
            </w:r>
          </w:p>
          <w:p w14:paraId="0242F822" w14:textId="5242FFA2" w:rsidR="00534D9A" w:rsidRDefault="003243B2">
            <w:pPr>
              <w:pStyle w:val="P68B1DB1-ListParagraph25"/>
              <w:numPr>
                <w:ilvl w:val="0"/>
                <w:numId w:val="297"/>
              </w:numPr>
            </w:pPr>
            <w:r>
              <w:t>Kontropartijiet individwali</w:t>
            </w:r>
          </w:p>
          <w:p w14:paraId="7FE1B7DE" w14:textId="6F55D54C" w:rsidR="00534D9A" w:rsidRDefault="003243B2">
            <w:pPr>
              <w:pStyle w:val="P68B1DB1-ListParagraph25"/>
              <w:numPr>
                <w:ilvl w:val="0"/>
                <w:numId w:val="297"/>
              </w:numPr>
            </w:pPr>
            <w:r>
              <w:t>Gruppi ta’ klijenti konnessi.</w:t>
            </w:r>
          </w:p>
        </w:tc>
      </w:tr>
      <w:tr w:rsidR="00534D9A" w14:paraId="7FE1B7E4" w14:textId="77777777">
        <w:tc>
          <w:tcPr>
            <w:tcW w:w="907" w:type="dxa"/>
            <w:tcBorders>
              <w:top w:val="single" w:sz="4" w:space="0" w:color="1A171C"/>
              <w:left w:val="nil"/>
              <w:bottom w:val="single" w:sz="4" w:space="0" w:color="1A171C"/>
              <w:right w:val="single" w:sz="4" w:space="0" w:color="1A171C"/>
            </w:tcBorders>
            <w:vAlign w:val="center"/>
          </w:tcPr>
          <w:p w14:paraId="7FE1B7E0" w14:textId="77777777" w:rsidR="00534D9A" w:rsidRDefault="003243B2">
            <w:pPr>
              <w:pStyle w:val="P68B1DB1-TableParagraph17"/>
              <w:spacing w:before="108"/>
              <w:ind w:left="85"/>
              <w:jc w:val="both"/>
            </w:pPr>
            <w:r>
              <w:t>0040</w:t>
            </w:r>
          </w:p>
        </w:tc>
        <w:tc>
          <w:tcPr>
            <w:tcW w:w="8119" w:type="dxa"/>
            <w:tcBorders>
              <w:top w:val="single" w:sz="4" w:space="0" w:color="1A171C"/>
              <w:left w:val="single" w:sz="4" w:space="0" w:color="1A171C"/>
              <w:bottom w:val="single" w:sz="4" w:space="0" w:color="1A171C"/>
              <w:right w:val="nil"/>
            </w:tcBorders>
            <w:vAlign w:val="center"/>
          </w:tcPr>
          <w:p w14:paraId="7FE1B7E1" w14:textId="77777777" w:rsidR="00534D9A" w:rsidRDefault="003243B2">
            <w:pPr>
              <w:pStyle w:val="P68B1DB1-TableParagraph14"/>
              <w:spacing w:before="108"/>
              <w:ind w:left="85"/>
              <w:jc w:val="both"/>
              <w:rPr>
                <w:bCs/>
              </w:rPr>
            </w:pPr>
            <w:r>
              <w:t>Pajjiż</w:t>
            </w:r>
          </w:p>
          <w:p w14:paraId="7FE1B7E2" w14:textId="77777777" w:rsidR="00534D9A" w:rsidRDefault="003243B2">
            <w:pPr>
              <w:pStyle w:val="P68B1DB1-Normal18"/>
              <w:spacing w:before="108"/>
              <w:ind w:left="85"/>
              <w:contextualSpacing/>
              <w:jc w:val="both"/>
            </w:pPr>
            <w:r>
              <w:lastRenderedPageBreak/>
              <w:t xml:space="preserve">Il-kodiċi ISO 3166–1-alpha-2 tal-pajjiż ta’ inkorporazzjoni tal-kontroparti. Dan jinkludi kodiċijiet psewdo-ISO għall-organizzazzjonijiet internazzjonali, disponibbli fl-aħħar edizzjoni tal-“Vademecum tal-Bilanċ tal-Pagamenti” tal-Eurostat. </w:t>
            </w:r>
          </w:p>
          <w:p w14:paraId="7FE1B7E3" w14:textId="77777777" w:rsidR="00534D9A" w:rsidRDefault="003243B2">
            <w:pPr>
              <w:pStyle w:val="P68B1DB1-TableParagraph17"/>
              <w:spacing w:before="108"/>
              <w:ind w:left="85"/>
              <w:jc w:val="both"/>
            </w:pPr>
            <w:r>
              <w:t xml:space="preserve">Il-pajjiż huwa ddeterminat b’referenza għall-uffiċċju rreġistrat tal-kontroparti. Għall-gruppi ta’ klijenti konnessi, il-pajjiż ta’ inkorporazzjoni tal-kumpanija omm. </w:t>
            </w:r>
          </w:p>
        </w:tc>
      </w:tr>
      <w:tr w:rsidR="00534D9A" w14:paraId="7FE1B7EF" w14:textId="77777777">
        <w:tc>
          <w:tcPr>
            <w:tcW w:w="907" w:type="dxa"/>
            <w:tcBorders>
              <w:top w:val="single" w:sz="4" w:space="0" w:color="1A171C"/>
              <w:left w:val="nil"/>
              <w:bottom w:val="single" w:sz="4" w:space="0" w:color="1A171C"/>
              <w:right w:val="single" w:sz="4" w:space="0" w:color="1A171C"/>
            </w:tcBorders>
            <w:vAlign w:val="center"/>
          </w:tcPr>
          <w:p w14:paraId="7FE1B7E5" w14:textId="77777777" w:rsidR="00534D9A" w:rsidRDefault="003243B2">
            <w:pPr>
              <w:pStyle w:val="P68B1DB1-TableParagraph17"/>
              <w:spacing w:before="108"/>
              <w:ind w:left="85"/>
              <w:jc w:val="both"/>
            </w:pPr>
            <w:r>
              <w:lastRenderedPageBreak/>
              <w:t>0050</w:t>
            </w:r>
          </w:p>
        </w:tc>
        <w:tc>
          <w:tcPr>
            <w:tcW w:w="8119" w:type="dxa"/>
            <w:tcBorders>
              <w:top w:val="single" w:sz="4" w:space="0" w:color="1A171C"/>
              <w:left w:val="single" w:sz="4" w:space="0" w:color="1A171C"/>
              <w:bottom w:val="single" w:sz="4" w:space="0" w:color="1A171C"/>
              <w:right w:val="nil"/>
            </w:tcBorders>
            <w:vAlign w:val="center"/>
          </w:tcPr>
          <w:p w14:paraId="7FE1B7E6" w14:textId="77777777" w:rsidR="00534D9A" w:rsidRDefault="003243B2">
            <w:pPr>
              <w:pStyle w:val="P68B1DB1-TableParagraph14"/>
              <w:spacing w:before="108"/>
              <w:ind w:left="85"/>
              <w:jc w:val="both"/>
              <w:rPr>
                <w:bCs/>
              </w:rPr>
            </w:pPr>
            <w:r>
              <w:t>Settur</w:t>
            </w:r>
          </w:p>
          <w:p w14:paraId="7FE1B7E7" w14:textId="77777777" w:rsidR="00534D9A" w:rsidRDefault="003243B2">
            <w:pPr>
              <w:pStyle w:val="P68B1DB1-TableParagraph17"/>
              <w:spacing w:before="108"/>
              <w:ind w:left="85"/>
              <w:jc w:val="both"/>
            </w:pPr>
            <w:r>
              <w:t>Għal kull kontroparti għandu jiġu allokat settur wieħed abbażi tal-klassijiet tas-settur ekonomiku FINREP (FINREP, l-Anness V, il-Parti 1, il-Kapitolu 6):</w:t>
            </w:r>
          </w:p>
          <w:p w14:paraId="7FE1B7E8" w14:textId="77777777" w:rsidR="00534D9A" w:rsidRDefault="003243B2">
            <w:pPr>
              <w:pStyle w:val="P68B1DB1-List127"/>
              <w:numPr>
                <w:ilvl w:val="0"/>
                <w:numId w:val="64"/>
              </w:numPr>
            </w:pPr>
            <w:r>
              <w:t>Banek Ċentrali</w:t>
            </w:r>
          </w:p>
          <w:p w14:paraId="7FE1B7E9" w14:textId="77777777" w:rsidR="00534D9A" w:rsidRDefault="003243B2">
            <w:pPr>
              <w:pStyle w:val="P68B1DB1-List127"/>
              <w:numPr>
                <w:ilvl w:val="0"/>
                <w:numId w:val="64"/>
              </w:numPr>
            </w:pPr>
            <w:r>
              <w:t>Gvernijiet Estiżi</w:t>
            </w:r>
          </w:p>
          <w:p w14:paraId="7FE1B7EA" w14:textId="77777777" w:rsidR="00534D9A" w:rsidRDefault="003243B2">
            <w:pPr>
              <w:pStyle w:val="P68B1DB1-List127"/>
              <w:numPr>
                <w:ilvl w:val="0"/>
                <w:numId w:val="64"/>
              </w:numPr>
            </w:pPr>
            <w:r>
              <w:t xml:space="preserve">Istituzzjonijiet ta’ kreditu: </w:t>
            </w:r>
          </w:p>
          <w:p w14:paraId="7FE1B7EB" w14:textId="77777777" w:rsidR="00534D9A" w:rsidRDefault="003243B2">
            <w:pPr>
              <w:pStyle w:val="P68B1DB1-List127"/>
              <w:numPr>
                <w:ilvl w:val="0"/>
                <w:numId w:val="64"/>
              </w:numPr>
            </w:pPr>
            <w:r>
              <w:t>Korporazzjonijiet finanzjarji oħra</w:t>
            </w:r>
          </w:p>
          <w:p w14:paraId="7FE1B7EC" w14:textId="77777777" w:rsidR="00534D9A" w:rsidRDefault="003243B2">
            <w:pPr>
              <w:pStyle w:val="P68B1DB1-List127"/>
              <w:numPr>
                <w:ilvl w:val="0"/>
                <w:numId w:val="64"/>
              </w:numPr>
            </w:pPr>
            <w:r>
              <w:t>Korporazzjonijiet mhux finanzjarji</w:t>
            </w:r>
          </w:p>
          <w:p w14:paraId="7FE1B7ED" w14:textId="77777777" w:rsidR="00534D9A" w:rsidRDefault="003243B2">
            <w:pPr>
              <w:pStyle w:val="P68B1DB1-List127"/>
              <w:numPr>
                <w:ilvl w:val="0"/>
                <w:numId w:val="64"/>
              </w:numPr>
            </w:pPr>
            <w:r>
              <w:t>Unitajiet domestiċi</w:t>
            </w:r>
          </w:p>
          <w:p w14:paraId="7FE1B7EE" w14:textId="77777777" w:rsidR="00534D9A" w:rsidRDefault="003243B2">
            <w:pPr>
              <w:pStyle w:val="P68B1DB1-TableParagraph17"/>
              <w:spacing w:before="108"/>
              <w:ind w:left="85"/>
              <w:jc w:val="both"/>
            </w:pPr>
            <w:r>
              <w:t>Għal gruppi ta’ klijenti konnessi, l-ebda settur ma jiġi rrapportat.</w:t>
            </w:r>
          </w:p>
        </w:tc>
      </w:tr>
      <w:tr w:rsidR="00534D9A" w14:paraId="7FE1B800" w14:textId="77777777">
        <w:tc>
          <w:tcPr>
            <w:tcW w:w="907" w:type="dxa"/>
            <w:tcBorders>
              <w:top w:val="single" w:sz="4" w:space="0" w:color="1A171C"/>
              <w:left w:val="nil"/>
              <w:bottom w:val="single" w:sz="4" w:space="0" w:color="1A171C"/>
              <w:right w:val="single" w:sz="4" w:space="0" w:color="1A171C"/>
            </w:tcBorders>
            <w:vAlign w:val="center"/>
          </w:tcPr>
          <w:p w14:paraId="7FE1B7F0" w14:textId="77777777" w:rsidR="00534D9A" w:rsidRDefault="003243B2">
            <w:pPr>
              <w:pStyle w:val="P68B1DB1-TableParagraph17"/>
              <w:spacing w:before="108"/>
              <w:ind w:left="85"/>
              <w:jc w:val="both"/>
            </w:pPr>
            <w:r>
              <w:t>0060</w:t>
            </w:r>
          </w:p>
        </w:tc>
        <w:tc>
          <w:tcPr>
            <w:tcW w:w="8119" w:type="dxa"/>
            <w:tcBorders>
              <w:top w:val="single" w:sz="4" w:space="0" w:color="1A171C"/>
              <w:left w:val="single" w:sz="4" w:space="0" w:color="1A171C"/>
              <w:bottom w:val="single" w:sz="4" w:space="0" w:color="1A171C"/>
              <w:right w:val="nil"/>
            </w:tcBorders>
            <w:vAlign w:val="center"/>
          </w:tcPr>
          <w:p w14:paraId="7FE1B7F1" w14:textId="77777777" w:rsidR="00534D9A" w:rsidRDefault="003243B2">
            <w:pPr>
              <w:pStyle w:val="P68B1DB1-TableParagraph14"/>
              <w:spacing w:before="108"/>
              <w:ind w:left="85"/>
              <w:jc w:val="both"/>
              <w:rPr>
                <w:bCs/>
              </w:rPr>
            </w:pPr>
            <w:r>
              <w:t>Tip</w:t>
            </w:r>
          </w:p>
          <w:p w14:paraId="7FE1B7F2" w14:textId="43CE2DD3" w:rsidR="00534D9A" w:rsidRDefault="003243B2">
            <w:pPr>
              <w:pStyle w:val="P68B1DB1-Normal18"/>
              <w:spacing w:before="108"/>
              <w:ind w:left="85"/>
              <w:jc w:val="both"/>
            </w:pPr>
            <w:r>
              <w:t>It-tip ta’ obbligazzjoni għandu jkun wieħed mit-tipi ta’ obbligazzjoni elenkati fil-mudell Z 02.00 — Struttura tal-Obbligazzjonijiet (LIAB 1), jiġifieri:</w:t>
            </w:r>
          </w:p>
          <w:p w14:paraId="7FE1B7F3" w14:textId="4AE4B095" w:rsidR="00534D9A" w:rsidRDefault="003243B2">
            <w:pPr>
              <w:pStyle w:val="P68B1DB1-ListParagraph25"/>
              <w:numPr>
                <w:ilvl w:val="0"/>
                <w:numId w:val="298"/>
              </w:numPr>
              <w:spacing w:before="108"/>
              <w:jc w:val="both"/>
            </w:pPr>
            <w:r>
              <w:t>L-obbligazzjonijiet esklużi mir-rikapitalizzazzjoni interna;</w:t>
            </w:r>
          </w:p>
          <w:p w14:paraId="7FE1B7F4" w14:textId="4257143A" w:rsidR="00534D9A" w:rsidRDefault="003243B2">
            <w:pPr>
              <w:pStyle w:val="P68B1DB1-ListParagraph25"/>
              <w:numPr>
                <w:ilvl w:val="0"/>
                <w:numId w:val="298"/>
              </w:numPr>
              <w:spacing w:before="108"/>
              <w:jc w:val="both"/>
            </w:pPr>
            <w:r>
              <w:t>Id-depożiti, mhux koperti iżda preferenzjali;</w:t>
            </w:r>
          </w:p>
          <w:p w14:paraId="7FE1B7F5" w14:textId="21AFD595" w:rsidR="00534D9A" w:rsidRDefault="003243B2">
            <w:pPr>
              <w:pStyle w:val="P68B1DB1-ListParagraph25"/>
              <w:numPr>
                <w:ilvl w:val="0"/>
                <w:numId w:val="298"/>
              </w:numPr>
              <w:spacing w:before="108"/>
              <w:jc w:val="both"/>
            </w:pPr>
            <w:r>
              <w:t>Id-depożiti, mhux koperti u mhux preferenzjali;</w:t>
            </w:r>
          </w:p>
          <w:p w14:paraId="7FE1B7F6" w14:textId="71A166CE" w:rsidR="00534D9A" w:rsidRDefault="003243B2">
            <w:pPr>
              <w:pStyle w:val="P68B1DB1-ListParagraph25"/>
              <w:numPr>
                <w:ilvl w:val="0"/>
                <w:numId w:val="298"/>
              </w:numPr>
              <w:spacing w:before="108"/>
              <w:jc w:val="both"/>
            </w:pPr>
            <w:r>
              <w:t>Obbligazzjonijiet li jirriżultaw minn derivattivi</w:t>
            </w:r>
          </w:p>
          <w:p w14:paraId="7FE1B7F7" w14:textId="57F1D715" w:rsidR="00534D9A" w:rsidRDefault="003243B2">
            <w:pPr>
              <w:pStyle w:val="P68B1DB1-ListParagraph25"/>
              <w:numPr>
                <w:ilvl w:val="0"/>
                <w:numId w:val="298"/>
              </w:numPr>
              <w:spacing w:before="108"/>
              <w:jc w:val="both"/>
            </w:pPr>
            <w:r>
              <w:t>Obbligazzjonijiet garantiti mhux ikkollateralizzati</w:t>
            </w:r>
          </w:p>
          <w:p w14:paraId="7FE1B7F8" w14:textId="73D53058" w:rsidR="00534D9A" w:rsidRDefault="003243B2">
            <w:pPr>
              <w:pStyle w:val="P68B1DB1-ListParagraph25"/>
              <w:numPr>
                <w:ilvl w:val="0"/>
                <w:numId w:val="298"/>
              </w:numPr>
              <w:spacing w:before="108"/>
              <w:jc w:val="both"/>
            </w:pPr>
            <w:r>
              <w:t>Noti strutturati</w:t>
            </w:r>
          </w:p>
          <w:p w14:paraId="7FE1B7F9" w14:textId="54AC9980" w:rsidR="00534D9A" w:rsidRDefault="003243B2">
            <w:pPr>
              <w:pStyle w:val="P68B1DB1-ListParagraph25"/>
              <w:numPr>
                <w:ilvl w:val="0"/>
                <w:numId w:val="298"/>
              </w:numPr>
              <w:spacing w:before="108"/>
              <w:jc w:val="both"/>
            </w:pPr>
            <w:r>
              <w:t>Obbligazzjonijiet prijoritarji mhux garantiti</w:t>
            </w:r>
          </w:p>
          <w:p w14:paraId="7FE1B7FA" w14:textId="7C89B550" w:rsidR="00534D9A" w:rsidRDefault="003243B2">
            <w:pPr>
              <w:pStyle w:val="P68B1DB1-ListParagraph25"/>
              <w:numPr>
                <w:ilvl w:val="0"/>
                <w:numId w:val="298"/>
              </w:numPr>
              <w:spacing w:before="108"/>
              <w:jc w:val="both"/>
            </w:pPr>
            <w:r>
              <w:t>Obbligazzjonijiet prijoritarji mhux bi preferenza</w:t>
            </w:r>
          </w:p>
          <w:p w14:paraId="7FE1B7FB" w14:textId="49FDBAE5" w:rsidR="00534D9A" w:rsidRDefault="003243B2">
            <w:pPr>
              <w:pStyle w:val="P68B1DB1-ListParagraph25"/>
              <w:numPr>
                <w:ilvl w:val="0"/>
                <w:numId w:val="298"/>
              </w:numPr>
              <w:spacing w:before="108"/>
              <w:jc w:val="both"/>
            </w:pPr>
            <w:r>
              <w:t>L-obbligazzjonijiet subordinati (mhux rikonoxxuti bħala fondi proprji)</w:t>
            </w:r>
          </w:p>
          <w:p w14:paraId="7FE1B7FC" w14:textId="25F7AE59" w:rsidR="00534D9A" w:rsidRDefault="003243B2">
            <w:pPr>
              <w:pStyle w:val="P68B1DB1-ListParagraph25"/>
              <w:numPr>
                <w:ilvl w:val="0"/>
                <w:numId w:val="298"/>
              </w:numPr>
              <w:spacing w:before="108"/>
              <w:jc w:val="both"/>
            </w:pPr>
            <w:r>
              <w:t>Obbligazzjonijiet eliġibbli għall-MREL oħra</w:t>
            </w:r>
          </w:p>
          <w:p w14:paraId="7FE1B7FD" w14:textId="29E846ED" w:rsidR="00534D9A" w:rsidRDefault="003243B2">
            <w:pPr>
              <w:pStyle w:val="P68B1DB1-ListParagraph25"/>
              <w:numPr>
                <w:ilvl w:val="0"/>
                <w:numId w:val="298"/>
              </w:numPr>
              <w:spacing w:before="108"/>
              <w:jc w:val="both"/>
            </w:pPr>
            <w:r>
              <w:t>L-obbligazzjonijiet mhux finanzjarji</w:t>
            </w:r>
          </w:p>
          <w:p w14:paraId="7FE1B7FE" w14:textId="4EF5CD96" w:rsidR="00534D9A" w:rsidRDefault="003243B2">
            <w:pPr>
              <w:pStyle w:val="P68B1DB1-ListParagraph25"/>
              <w:numPr>
                <w:ilvl w:val="0"/>
                <w:numId w:val="298"/>
              </w:numPr>
              <w:spacing w:before="108"/>
              <w:jc w:val="both"/>
            </w:pPr>
            <w:r>
              <w:t>L-obbligazzjonijiet residwali</w:t>
            </w:r>
          </w:p>
          <w:p w14:paraId="7FE1B7FF" w14:textId="77777777" w:rsidR="00534D9A" w:rsidRDefault="003243B2">
            <w:pPr>
              <w:pStyle w:val="P68B1DB1-TableParagraph17"/>
              <w:spacing w:before="108"/>
              <w:ind w:left="85"/>
              <w:jc w:val="both"/>
            </w:pPr>
            <w:r>
              <w:t>Jekk l-obbligazzjonijiet vis-à-vis kontroparti ewlenija jikkonsistu f’aktar minn wieħed mit-tipi msemmija hawn fuq, kull tip ta’ obbligazzjoni għandu jiġi rrapportat f’ringiela separata.</w:t>
            </w:r>
          </w:p>
        </w:tc>
      </w:tr>
      <w:tr w:rsidR="00534D9A" w14:paraId="7FE1B804" w14:textId="77777777">
        <w:tc>
          <w:tcPr>
            <w:tcW w:w="907" w:type="dxa"/>
            <w:tcBorders>
              <w:top w:val="single" w:sz="4" w:space="0" w:color="1A171C"/>
              <w:left w:val="nil"/>
              <w:bottom w:val="single" w:sz="4" w:space="0" w:color="1A171C"/>
              <w:right w:val="single" w:sz="4" w:space="0" w:color="1A171C"/>
            </w:tcBorders>
            <w:vAlign w:val="center"/>
          </w:tcPr>
          <w:p w14:paraId="7FE1B801" w14:textId="77777777" w:rsidR="00534D9A" w:rsidRDefault="003243B2">
            <w:pPr>
              <w:pStyle w:val="P68B1DB1-TableParagraph17"/>
              <w:spacing w:before="108"/>
              <w:ind w:left="85"/>
              <w:jc w:val="both"/>
            </w:pPr>
            <w:r>
              <w:t>0070</w:t>
            </w:r>
          </w:p>
        </w:tc>
        <w:tc>
          <w:tcPr>
            <w:tcW w:w="8119" w:type="dxa"/>
            <w:tcBorders>
              <w:top w:val="single" w:sz="4" w:space="0" w:color="1A171C"/>
              <w:left w:val="single" w:sz="4" w:space="0" w:color="1A171C"/>
              <w:bottom w:val="single" w:sz="4" w:space="0" w:color="1A171C"/>
              <w:right w:val="nil"/>
            </w:tcBorders>
            <w:vAlign w:val="center"/>
          </w:tcPr>
          <w:p w14:paraId="7FE1B802" w14:textId="77777777" w:rsidR="00534D9A" w:rsidRDefault="003243B2">
            <w:pPr>
              <w:pStyle w:val="P68B1DB1-TableParagraph14"/>
              <w:spacing w:before="108"/>
              <w:ind w:left="85"/>
              <w:jc w:val="both"/>
              <w:rPr>
                <w:bCs/>
              </w:rPr>
            </w:pPr>
            <w:r>
              <w:t>Ammont</w:t>
            </w:r>
          </w:p>
          <w:p w14:paraId="7FE1B803" w14:textId="46DCC504" w:rsidR="00534D9A" w:rsidRDefault="003243B2">
            <w:pPr>
              <w:pStyle w:val="P68B1DB1-TableParagraph17"/>
              <w:spacing w:before="108"/>
              <w:ind w:left="85"/>
              <w:jc w:val="both"/>
            </w:pPr>
            <w:r>
              <w:t>L-ammont għandu jkun ekwivalenti għad-definizzjoni ta’ “ammont pendenti” kif preskritt fil-mudell Z 02.00 — Struttura tal-Obbligazzjonijiet. Fil-każ ta’ obbligazzjonijiet li jirriżultaw minn derivattivi, għandhom jiġu rrapportati l-ammonti ta’ close-out kif definiti għall-finijiet tar-ringiela 0333 mudell Z 02.00 (LIAB 1).</w:t>
            </w:r>
          </w:p>
        </w:tc>
      </w:tr>
    </w:tbl>
    <w:p w14:paraId="7FE1B805" w14:textId="77777777" w:rsidR="00534D9A" w:rsidRDefault="00534D9A">
      <w:pPr>
        <w:pStyle w:val="body"/>
        <w:rPr>
          <w:rFonts w:ascii="Times New Roman" w:hAnsi="Times New Roman" w:cs="Times New Roman"/>
          <w:color w:val="000000" w:themeColor="text1"/>
          <w:sz w:val="20"/>
          <w:szCs w:val="20"/>
        </w:rPr>
      </w:pPr>
    </w:p>
    <w:p w14:paraId="7FE1B806" w14:textId="1E7EF5E9" w:rsidR="00534D9A" w:rsidRDefault="003243B2">
      <w:pPr>
        <w:pStyle w:val="P68B1DB1-Instructionsberschrift25"/>
        <w:numPr>
          <w:ilvl w:val="1"/>
          <w:numId w:val="49"/>
        </w:numPr>
        <w:ind w:left="357" w:hanging="357"/>
      </w:pPr>
      <w:bookmarkStart w:id="71" w:name="_Toc81454185"/>
      <w:bookmarkStart w:id="72" w:name="_Toc208245000"/>
      <w:r>
        <w:t>Z 05.02 — Kontropartijiet ewlenin li ma jidhrux fil-karta bilanċjali (LIAB 6)</w:t>
      </w:r>
      <w:bookmarkEnd w:id="72"/>
    </w:p>
    <w:p w14:paraId="7FE1B807" w14:textId="77777777" w:rsidR="00534D9A" w:rsidRDefault="003243B2">
      <w:pPr>
        <w:pStyle w:val="P68B1DB1-body26"/>
      </w:pPr>
      <w:r>
        <w:t>Struzzjonijiet li jikkonċernaw pożizzjonijiet speċifiċi</w:t>
      </w:r>
      <w:bookmarkEnd w:id="71"/>
    </w:p>
    <w:p w14:paraId="7FE1B808" w14:textId="77777777" w:rsidR="00534D9A" w:rsidRDefault="003243B2">
      <w:pPr>
        <w:pStyle w:val="P68B1DB1-InstructionsText26"/>
        <w:numPr>
          <w:ilvl w:val="0"/>
          <w:numId w:val="232"/>
        </w:numPr>
        <w:spacing w:before="0"/>
      </w:pPr>
      <w:r>
        <w:lastRenderedPageBreak/>
        <w:t>Il-kombinament ta’ valuri rapportati fil-kolonni 0020 u 0060 ta’ dan il-mudell jifforma kodiċi primarju li jrid ikun uniku għal kull ringiela tal-mudell.</w:t>
      </w:r>
    </w:p>
    <w:tbl>
      <w:tblPr>
        <w:tblW w:w="0" w:type="auto"/>
        <w:tblCellMar>
          <w:top w:w="57" w:type="dxa"/>
          <w:left w:w="57" w:type="dxa"/>
          <w:bottom w:w="57" w:type="dxa"/>
          <w:right w:w="0" w:type="dxa"/>
        </w:tblCellMar>
        <w:tblLook w:val="01E0" w:firstRow="1" w:lastRow="1" w:firstColumn="1" w:lastColumn="1" w:noHBand="0" w:noVBand="0"/>
      </w:tblPr>
      <w:tblGrid>
        <w:gridCol w:w="908"/>
        <w:gridCol w:w="8118"/>
      </w:tblGrid>
      <w:tr w:rsidR="00534D9A" w14:paraId="7FE1B80B" w14:textId="77777777">
        <w:trPr>
          <w:tblHeader/>
        </w:trPr>
        <w:tc>
          <w:tcPr>
            <w:tcW w:w="909" w:type="dxa"/>
            <w:tcBorders>
              <w:top w:val="single" w:sz="4" w:space="0" w:color="1A171C"/>
              <w:left w:val="nil"/>
              <w:bottom w:val="single" w:sz="4" w:space="0" w:color="1A171C"/>
              <w:right w:val="single" w:sz="4" w:space="0" w:color="1A171C"/>
            </w:tcBorders>
            <w:shd w:val="clear" w:color="auto" w:fill="E4E5E5"/>
          </w:tcPr>
          <w:p w14:paraId="7FE1B809" w14:textId="77777777" w:rsidR="00534D9A" w:rsidRDefault="003243B2">
            <w:pPr>
              <w:pStyle w:val="P68B1DB1-TableParagraph17"/>
              <w:spacing w:before="108"/>
              <w:ind w:left="85"/>
              <w:jc w:val="both"/>
            </w:pPr>
            <w:r>
              <w:t>Kolonni</w:t>
            </w:r>
          </w:p>
        </w:tc>
        <w:tc>
          <w:tcPr>
            <w:tcW w:w="8174" w:type="dxa"/>
            <w:tcBorders>
              <w:top w:val="single" w:sz="4" w:space="0" w:color="1A171C"/>
              <w:left w:val="single" w:sz="4" w:space="0" w:color="1A171C"/>
              <w:bottom w:val="single" w:sz="4" w:space="0" w:color="1A171C"/>
              <w:right w:val="nil"/>
            </w:tcBorders>
            <w:shd w:val="clear" w:color="auto" w:fill="E4E5E5"/>
          </w:tcPr>
          <w:p w14:paraId="7FE1B80A" w14:textId="77777777" w:rsidR="00534D9A" w:rsidRDefault="003243B2">
            <w:pPr>
              <w:pStyle w:val="P68B1DB1-TableParagraph17"/>
              <w:spacing w:before="108"/>
              <w:ind w:left="85" w:right="1"/>
              <w:jc w:val="both"/>
            </w:pPr>
            <w:r>
              <w:t>Struzzjonijiet</w:t>
            </w:r>
          </w:p>
        </w:tc>
      </w:tr>
      <w:tr w:rsidR="00534D9A" w14:paraId="7FE1B813" w14:textId="77777777">
        <w:tc>
          <w:tcPr>
            <w:tcW w:w="909" w:type="dxa"/>
            <w:tcBorders>
              <w:top w:val="single" w:sz="4" w:space="0" w:color="1A171C"/>
              <w:left w:val="nil"/>
              <w:bottom w:val="single" w:sz="4" w:space="0" w:color="1A171C"/>
              <w:right w:val="single" w:sz="4" w:space="0" w:color="1A171C"/>
            </w:tcBorders>
            <w:vAlign w:val="center"/>
          </w:tcPr>
          <w:p w14:paraId="7FE1B80C" w14:textId="77777777" w:rsidR="00534D9A" w:rsidRDefault="003243B2">
            <w:pPr>
              <w:pStyle w:val="P68B1DB1-TableParagraph17"/>
              <w:spacing w:before="108"/>
              <w:ind w:left="85"/>
              <w:jc w:val="both"/>
            </w:pPr>
            <w:r>
              <w:t>0010–0050</w:t>
            </w:r>
          </w:p>
        </w:tc>
        <w:tc>
          <w:tcPr>
            <w:tcW w:w="8174" w:type="dxa"/>
            <w:tcBorders>
              <w:top w:val="single" w:sz="4" w:space="0" w:color="1A171C"/>
              <w:left w:val="single" w:sz="4" w:space="0" w:color="1A171C"/>
              <w:bottom w:val="single" w:sz="4" w:space="0" w:color="1A171C"/>
              <w:right w:val="nil"/>
            </w:tcBorders>
            <w:vAlign w:val="center"/>
          </w:tcPr>
          <w:p w14:paraId="7FE1B80D" w14:textId="58163846" w:rsidR="00534D9A" w:rsidRDefault="003243B2">
            <w:pPr>
              <w:pStyle w:val="P68B1DB1-TableParagraph14"/>
              <w:spacing w:before="108"/>
              <w:ind w:left="85"/>
              <w:jc w:val="both"/>
              <w:rPr>
                <w:bCs/>
              </w:rPr>
            </w:pPr>
            <w:r>
              <w:t>Kontroparti</w:t>
            </w:r>
          </w:p>
          <w:p w14:paraId="7FE1B80E" w14:textId="77777777" w:rsidR="00534D9A" w:rsidRDefault="003243B2">
            <w:pPr>
              <w:pStyle w:val="P68B1DB1-TableParagraph17"/>
              <w:spacing w:before="108"/>
              <w:ind w:left="85"/>
              <w:jc w:val="both"/>
            </w:pPr>
            <w:r>
              <w:t>L-informazzjoni dwar il-kontropartijiet ewlenin li ma jidhrux fil-karta bilanċjali.</w:t>
            </w:r>
          </w:p>
          <w:p w14:paraId="7FE1B80F" w14:textId="77777777" w:rsidR="00534D9A" w:rsidRDefault="003243B2">
            <w:pPr>
              <w:pStyle w:val="P68B1DB1-TableParagraph17"/>
              <w:spacing w:before="108"/>
              <w:ind w:left="85"/>
              <w:jc w:val="both"/>
            </w:pPr>
            <w:r>
              <w:t>Il-kontropartijiet ewlenin li ma jidhrux fil-karta bilanċjali għandhom jiġu identifikati billi jinġabar it-total tal-ammont nominali tal-impenji u tal-garanziji finanzjarji riċevuti (kif definiti għall-iskopijiet tal-FINREP, il-mudell F 09) mill-entità jew mill-entitajiet tal-grupp li għalihom jiġi rrapportat il-mudell mill-kontropartijiet jew mill-grupp ta’ klijenti konnessi. Il-kontropartijiet ewlenin li ma jidhrux fil-karta bilanċjali għandhom jeskludu l-entitajiet inklużi fir-rapporti finanzjarji konsol</w:t>
            </w:r>
            <w:r>
              <w:t>idati tal-grupp. Il-kontropartijiet u l-gruppi ta’ klijenti konnessi jiġu mbagħad klassifikati skont l-ammont pendenti aggregat sabiex jiġu identifikati l-ewwel 10 kontropartijiet ewlenin li ma jidhrux fil-karta bilanċjali, li fuqhom għandha tingħata informazzjoni f’dan il-mudell.</w:t>
            </w:r>
          </w:p>
          <w:p w14:paraId="7FE1B810" w14:textId="0F5F36E1" w:rsidR="00534D9A" w:rsidRDefault="003243B2">
            <w:pPr>
              <w:pStyle w:val="P68B1DB1-Normal18"/>
              <w:spacing w:line="257" w:lineRule="auto"/>
              <w:ind w:left="25"/>
              <w:jc w:val="both"/>
            </w:pPr>
            <w:r>
              <w:t>Id-derivattivi ma għandhomx jiġu inklużi fl-ogħla għaxar gradi deskritti hawn fuq: irrapporta lista separata tal-5 kontropartijiet ewlenin tad-derivattivi li ma jidhrux fil-karta bilanċjali biex tevita r-rapport Z 05.02 li fih biss bilanċi derivattivi.</w:t>
            </w:r>
          </w:p>
          <w:p w14:paraId="7FE1B812" w14:textId="5E923404" w:rsidR="00534D9A" w:rsidRDefault="00534D9A">
            <w:pPr>
              <w:pStyle w:val="TableParagraph"/>
              <w:spacing w:before="108"/>
              <w:jc w:val="both"/>
              <w:rPr>
                <w:rFonts w:ascii="Times New Roman" w:eastAsia="Cambria" w:hAnsi="Times New Roman" w:cs="Times New Roman"/>
                <w:color w:val="000000" w:themeColor="text1"/>
                <w:sz w:val="20"/>
                <w:szCs w:val="20"/>
              </w:rPr>
            </w:pPr>
          </w:p>
        </w:tc>
      </w:tr>
      <w:tr w:rsidR="00534D9A" w14:paraId="7FE1B818" w14:textId="77777777">
        <w:tc>
          <w:tcPr>
            <w:tcW w:w="909" w:type="dxa"/>
            <w:tcBorders>
              <w:top w:val="single" w:sz="4" w:space="0" w:color="1A171C"/>
              <w:left w:val="nil"/>
              <w:bottom w:val="single" w:sz="4" w:space="0" w:color="1A171C"/>
              <w:right w:val="single" w:sz="4" w:space="0" w:color="1A171C"/>
            </w:tcBorders>
            <w:vAlign w:val="center"/>
          </w:tcPr>
          <w:p w14:paraId="7FE1B814" w14:textId="77777777" w:rsidR="00534D9A" w:rsidRDefault="003243B2">
            <w:pPr>
              <w:pStyle w:val="P68B1DB1-TableParagraph17"/>
              <w:spacing w:before="108"/>
              <w:ind w:left="85"/>
              <w:jc w:val="both"/>
            </w:pPr>
            <w:r>
              <w:t>0010</w:t>
            </w:r>
          </w:p>
        </w:tc>
        <w:tc>
          <w:tcPr>
            <w:tcW w:w="8174" w:type="dxa"/>
            <w:tcBorders>
              <w:top w:val="single" w:sz="4" w:space="0" w:color="1A171C"/>
              <w:left w:val="single" w:sz="4" w:space="0" w:color="1A171C"/>
              <w:bottom w:val="single" w:sz="4" w:space="0" w:color="1A171C"/>
              <w:right w:val="nil"/>
            </w:tcBorders>
            <w:vAlign w:val="center"/>
          </w:tcPr>
          <w:p w14:paraId="7FE1B815" w14:textId="77777777" w:rsidR="00534D9A" w:rsidRDefault="003243B2">
            <w:pPr>
              <w:pStyle w:val="P68B1DB1-TableParagraph14"/>
              <w:spacing w:before="108"/>
              <w:ind w:left="85"/>
              <w:jc w:val="both"/>
              <w:rPr>
                <w:bCs/>
              </w:rPr>
            </w:pPr>
            <w:r>
              <w:t>Isem l-entità</w:t>
            </w:r>
          </w:p>
          <w:p w14:paraId="7FE1B816" w14:textId="77777777" w:rsidR="00534D9A" w:rsidRDefault="003243B2">
            <w:pPr>
              <w:pStyle w:val="P68B1DB1-Normal18"/>
              <w:spacing w:before="108"/>
              <w:ind w:left="85"/>
              <w:jc w:val="both"/>
            </w:pPr>
            <w:r>
              <w:t>Isem il-kontroparti ewlenija jew, meta applikabbli, isem ta’ grupp ta’ klijenti konnessi.</w:t>
            </w:r>
          </w:p>
          <w:p w14:paraId="7FE1B817" w14:textId="29E2618F" w:rsidR="00534D9A" w:rsidRDefault="003243B2">
            <w:pPr>
              <w:pStyle w:val="P68B1DB1-TableParagraph17"/>
              <w:spacing w:before="108"/>
              <w:ind w:left="85"/>
              <w:jc w:val="both"/>
            </w:pPr>
            <w:r>
              <w:t>L-isem ta’ grupp ta’ klijenti konnessi għandu jkun l-isem tal-kumpanija omm jew, meta l-grupp ta’ klijenti konnessi ma jkollux omm, l-isem kummerċjali tal-grupp.</w:t>
            </w:r>
          </w:p>
        </w:tc>
      </w:tr>
      <w:tr w:rsidR="00534D9A" w14:paraId="7FE1B81D" w14:textId="77777777">
        <w:tc>
          <w:tcPr>
            <w:tcW w:w="909" w:type="dxa"/>
            <w:tcBorders>
              <w:top w:val="single" w:sz="4" w:space="0" w:color="1A171C"/>
              <w:left w:val="nil"/>
              <w:bottom w:val="single" w:sz="4" w:space="0" w:color="1A171C"/>
              <w:right w:val="single" w:sz="4" w:space="0" w:color="1A171C"/>
            </w:tcBorders>
            <w:vAlign w:val="center"/>
          </w:tcPr>
          <w:p w14:paraId="7FE1B819" w14:textId="77777777" w:rsidR="00534D9A" w:rsidRDefault="003243B2">
            <w:pPr>
              <w:pStyle w:val="P68B1DB1-TableParagraph17"/>
              <w:spacing w:before="108"/>
              <w:ind w:left="85"/>
              <w:jc w:val="both"/>
            </w:pPr>
            <w:r>
              <w:t>0020</w:t>
            </w:r>
          </w:p>
        </w:tc>
        <w:tc>
          <w:tcPr>
            <w:tcW w:w="8174" w:type="dxa"/>
            <w:tcBorders>
              <w:top w:val="single" w:sz="4" w:space="0" w:color="1A171C"/>
              <w:left w:val="single" w:sz="4" w:space="0" w:color="1A171C"/>
              <w:bottom w:val="single" w:sz="4" w:space="0" w:color="1A171C"/>
              <w:right w:val="nil"/>
            </w:tcBorders>
            <w:vAlign w:val="center"/>
          </w:tcPr>
          <w:p w14:paraId="7FE1B81A" w14:textId="77777777" w:rsidR="00534D9A" w:rsidRDefault="003243B2">
            <w:pPr>
              <w:pStyle w:val="P68B1DB1-TableParagraph14"/>
              <w:spacing w:before="108"/>
              <w:ind w:left="85"/>
              <w:jc w:val="both"/>
              <w:rPr>
                <w:bCs/>
              </w:rPr>
            </w:pPr>
            <w:r>
              <w:t>Numru</w:t>
            </w:r>
          </w:p>
          <w:p w14:paraId="7FE1B81B" w14:textId="77777777" w:rsidR="00534D9A" w:rsidRDefault="003243B2">
            <w:pPr>
              <w:pStyle w:val="P68B1DB1-TableParagraph17"/>
              <w:spacing w:before="108"/>
              <w:ind w:left="85"/>
              <w:jc w:val="both"/>
            </w:pPr>
            <w:r>
              <w:t>Il-kodiċi tal-kontroparti ewlenija jew tal-grupp ta’ klijenti konnessi. Għall-istituzzjonijiet, il-kodiċi għandu jkun il-kodiċi alfanumeriku LEI, b’20 ċifra. Għal entitajiet oħra, il-kodiċi għandu jkun il-kodiċi alfanumeriku LEI b’20 figura, jew jekk ma jkunx disponibbli, kodiċi b’kodifikazzjoni uniformi applikabbli fl-Unjoni, jew jekk ma jkunx disponibbli, kodiċi nazzjonali.</w:t>
            </w:r>
          </w:p>
          <w:p w14:paraId="7FE1B81C" w14:textId="6CC57833" w:rsidR="00534D9A" w:rsidRDefault="003243B2">
            <w:pPr>
              <w:pStyle w:val="P68B1DB1-TableParagraph17"/>
              <w:spacing w:before="108"/>
              <w:ind w:left="85"/>
              <w:jc w:val="both"/>
            </w:pPr>
            <w:r>
              <w:t>Il-kodiċi għandu jkun uniku u użat b’mod konsistenti fil-mudelli kollha.</w:t>
            </w:r>
          </w:p>
        </w:tc>
      </w:tr>
      <w:tr w:rsidR="00534D9A" w14:paraId="7FE1B823" w14:textId="77777777">
        <w:tc>
          <w:tcPr>
            <w:tcW w:w="909" w:type="dxa"/>
            <w:tcBorders>
              <w:top w:val="single" w:sz="4" w:space="0" w:color="1A171C"/>
              <w:left w:val="nil"/>
              <w:bottom w:val="single" w:sz="4" w:space="0" w:color="1A171C"/>
              <w:right w:val="single" w:sz="4" w:space="0" w:color="1A171C"/>
            </w:tcBorders>
            <w:vAlign w:val="center"/>
          </w:tcPr>
          <w:p w14:paraId="7FE1B81E" w14:textId="77777777" w:rsidR="00534D9A" w:rsidRDefault="003243B2">
            <w:pPr>
              <w:pStyle w:val="P68B1DB1-TableParagraph17"/>
              <w:spacing w:before="108"/>
              <w:ind w:left="85"/>
              <w:jc w:val="both"/>
            </w:pPr>
            <w:r>
              <w:t>0025</w:t>
            </w:r>
          </w:p>
        </w:tc>
        <w:tc>
          <w:tcPr>
            <w:tcW w:w="8174" w:type="dxa"/>
            <w:tcBorders>
              <w:top w:val="single" w:sz="4" w:space="0" w:color="1A171C"/>
              <w:left w:val="single" w:sz="4" w:space="0" w:color="1A171C"/>
              <w:bottom w:val="single" w:sz="4" w:space="0" w:color="1A171C"/>
              <w:right w:val="nil"/>
            </w:tcBorders>
            <w:vAlign w:val="center"/>
          </w:tcPr>
          <w:p w14:paraId="7FE1B81F" w14:textId="77777777" w:rsidR="00534D9A" w:rsidRDefault="003243B2">
            <w:pPr>
              <w:pStyle w:val="P68B1DB1-TableParagraph14"/>
              <w:spacing w:before="108"/>
              <w:ind w:left="85"/>
              <w:jc w:val="both"/>
              <w:rPr>
                <w:bCs/>
              </w:rPr>
            </w:pPr>
            <w:r>
              <w:t>Tip ta’ kodiċi</w:t>
            </w:r>
          </w:p>
          <w:p w14:paraId="7FE1B821" w14:textId="6020ACA4" w:rsidR="00534D9A" w:rsidRDefault="003243B2">
            <w:pPr>
              <w:pStyle w:val="P68B1DB1-TableParagraph13"/>
              <w:spacing w:before="108"/>
            </w:pPr>
            <w:r>
              <w:t>Għandha tintgħażel fost l-għażliet li ġejjin: “Kodiċi LEI”, “kodiċi MFI” jew “Tip ta’ identifikatur, minbarra LEI jew kodiċi MFI”.</w:t>
            </w:r>
          </w:p>
          <w:p w14:paraId="7FE1B822" w14:textId="77777777" w:rsidR="00534D9A" w:rsidRDefault="003243B2">
            <w:pPr>
              <w:pStyle w:val="P68B1DB1-TableParagraph13"/>
              <w:spacing w:before="108"/>
              <w:ind w:left="85"/>
              <w:jc w:val="both"/>
              <w:rPr>
                <w:b/>
                <w:bCs/>
              </w:rPr>
            </w:pPr>
            <w:r>
              <w:t>L-identifikazzjoni tal-entitajiet għandha ssir b’mod konsistenti fil-mudelli kollha.</w:t>
            </w:r>
          </w:p>
        </w:tc>
      </w:tr>
      <w:tr w:rsidR="00534D9A" w14:paraId="7FE1B827" w14:textId="77777777">
        <w:tc>
          <w:tcPr>
            <w:tcW w:w="909" w:type="dxa"/>
            <w:tcBorders>
              <w:top w:val="single" w:sz="4" w:space="0" w:color="1A171C"/>
              <w:left w:val="nil"/>
              <w:bottom w:val="single" w:sz="4" w:space="0" w:color="1A171C"/>
              <w:right w:val="single" w:sz="4" w:space="0" w:color="1A171C"/>
            </w:tcBorders>
            <w:vAlign w:val="center"/>
          </w:tcPr>
          <w:p w14:paraId="7FE1B824" w14:textId="77777777" w:rsidR="00534D9A" w:rsidRDefault="003243B2">
            <w:pPr>
              <w:pStyle w:val="P68B1DB1-TableParagraph17"/>
              <w:spacing w:before="108"/>
              <w:ind w:left="85"/>
              <w:jc w:val="both"/>
            </w:pPr>
            <w:r>
              <w:t>0030</w:t>
            </w:r>
          </w:p>
        </w:tc>
        <w:tc>
          <w:tcPr>
            <w:tcW w:w="8174" w:type="dxa"/>
            <w:tcBorders>
              <w:top w:val="single" w:sz="4" w:space="0" w:color="1A171C"/>
              <w:left w:val="single" w:sz="4" w:space="0" w:color="1A171C"/>
              <w:bottom w:val="single" w:sz="4" w:space="0" w:color="1A171C"/>
              <w:right w:val="nil"/>
            </w:tcBorders>
            <w:vAlign w:val="center"/>
          </w:tcPr>
          <w:p w14:paraId="7FE1B825" w14:textId="77777777" w:rsidR="00534D9A" w:rsidRDefault="003243B2">
            <w:pPr>
              <w:pStyle w:val="P68B1DB1-TableParagraph14"/>
              <w:spacing w:before="108"/>
              <w:ind w:left="85"/>
              <w:jc w:val="both"/>
              <w:rPr>
                <w:bCs/>
              </w:rPr>
            </w:pPr>
            <w:r>
              <w:t>Grupp jew individwu</w:t>
            </w:r>
          </w:p>
          <w:p w14:paraId="2E0A09DE" w14:textId="77777777" w:rsidR="00534D9A" w:rsidRDefault="003243B2">
            <w:pPr>
              <w:pStyle w:val="P68B1DB1-Normal18"/>
              <w:ind w:left="85"/>
            </w:pPr>
            <w:r>
              <w:t>L-istituzzjoni għandha tirrapporta:</w:t>
            </w:r>
          </w:p>
          <w:p w14:paraId="52295733" w14:textId="77777777" w:rsidR="00534D9A" w:rsidRDefault="003243B2">
            <w:pPr>
              <w:pStyle w:val="P68B1DB1-ListParagraph25"/>
              <w:numPr>
                <w:ilvl w:val="0"/>
                <w:numId w:val="297"/>
              </w:numPr>
            </w:pPr>
            <w:r>
              <w:t>Kontropartijiet individwali</w:t>
            </w:r>
          </w:p>
          <w:p w14:paraId="7FE1B826" w14:textId="76B98F2C" w:rsidR="00534D9A" w:rsidRDefault="003243B2">
            <w:pPr>
              <w:pStyle w:val="P68B1DB1-TableParagraph17"/>
              <w:numPr>
                <w:ilvl w:val="0"/>
                <w:numId w:val="297"/>
              </w:numPr>
              <w:spacing w:before="108"/>
              <w:jc w:val="both"/>
            </w:pPr>
            <w:r>
              <w:t>Gruppi ta’ klijenti konnessi.</w:t>
            </w:r>
          </w:p>
        </w:tc>
      </w:tr>
      <w:tr w:rsidR="00534D9A" w14:paraId="7FE1B82C" w14:textId="77777777">
        <w:tc>
          <w:tcPr>
            <w:tcW w:w="909" w:type="dxa"/>
            <w:tcBorders>
              <w:top w:val="single" w:sz="4" w:space="0" w:color="1A171C"/>
              <w:left w:val="nil"/>
              <w:bottom w:val="single" w:sz="4" w:space="0" w:color="1A171C"/>
              <w:right w:val="single" w:sz="4" w:space="0" w:color="1A171C"/>
            </w:tcBorders>
            <w:vAlign w:val="center"/>
          </w:tcPr>
          <w:p w14:paraId="7FE1B828" w14:textId="77777777" w:rsidR="00534D9A" w:rsidRDefault="003243B2">
            <w:pPr>
              <w:pStyle w:val="P68B1DB1-TableParagraph17"/>
              <w:spacing w:before="108"/>
              <w:ind w:left="85"/>
              <w:jc w:val="both"/>
            </w:pPr>
            <w:r>
              <w:t>0040</w:t>
            </w:r>
          </w:p>
        </w:tc>
        <w:tc>
          <w:tcPr>
            <w:tcW w:w="8174" w:type="dxa"/>
            <w:tcBorders>
              <w:top w:val="single" w:sz="4" w:space="0" w:color="1A171C"/>
              <w:left w:val="single" w:sz="4" w:space="0" w:color="1A171C"/>
              <w:bottom w:val="single" w:sz="4" w:space="0" w:color="1A171C"/>
              <w:right w:val="nil"/>
            </w:tcBorders>
            <w:vAlign w:val="center"/>
          </w:tcPr>
          <w:p w14:paraId="7FE1B829" w14:textId="77777777" w:rsidR="00534D9A" w:rsidRDefault="003243B2">
            <w:pPr>
              <w:pStyle w:val="P68B1DB1-TableParagraph14"/>
              <w:spacing w:before="108"/>
              <w:ind w:left="85"/>
              <w:jc w:val="both"/>
              <w:rPr>
                <w:bCs/>
              </w:rPr>
            </w:pPr>
            <w:r>
              <w:t>Pajjiż</w:t>
            </w:r>
          </w:p>
          <w:p w14:paraId="7FE1B82A" w14:textId="77777777" w:rsidR="00534D9A" w:rsidRDefault="003243B2">
            <w:pPr>
              <w:pStyle w:val="P68B1DB1-Normal18"/>
              <w:spacing w:before="108"/>
              <w:ind w:left="85"/>
              <w:contextualSpacing/>
              <w:jc w:val="both"/>
            </w:pPr>
            <w:r>
              <w:t xml:space="preserve">Il-kodiċi ISO 3166–1-alpha-2 tal-pajjiż ta’ inkorporazzjoni tal-kontroparti. Dan jinkludi kodiċijiet psewdo-ISO għall-organizzazzjonijiet internazzjonali, disponibbli fl-aħħar edizzjoni tal-“Vademecum tal-Bilanċ tal-Pagamenti” tal-Eurostat. </w:t>
            </w:r>
          </w:p>
          <w:p w14:paraId="7FE1B82B" w14:textId="47B683FE" w:rsidR="00534D9A" w:rsidRDefault="003243B2">
            <w:pPr>
              <w:pStyle w:val="P68B1DB1-TableParagraph17"/>
              <w:spacing w:before="108"/>
              <w:ind w:left="85"/>
              <w:jc w:val="both"/>
            </w:pPr>
            <w:r>
              <w:t>Il-pajjiż huwa ddeterminat b’referenza għall-uffiċċju rreġistrat tal-kontroparti. Għall-gruppi ta’ klijenti konnessi, il-pajjiż ta’ inkorporazzjoni tal-kumpanija omm.</w:t>
            </w:r>
          </w:p>
        </w:tc>
      </w:tr>
      <w:tr w:rsidR="00534D9A" w14:paraId="7FE1B837" w14:textId="77777777">
        <w:tc>
          <w:tcPr>
            <w:tcW w:w="909" w:type="dxa"/>
            <w:tcBorders>
              <w:top w:val="single" w:sz="4" w:space="0" w:color="1A171C"/>
              <w:left w:val="nil"/>
              <w:bottom w:val="single" w:sz="4" w:space="0" w:color="1A171C"/>
              <w:right w:val="single" w:sz="4" w:space="0" w:color="1A171C"/>
            </w:tcBorders>
            <w:vAlign w:val="center"/>
          </w:tcPr>
          <w:p w14:paraId="7FE1B82D" w14:textId="77777777" w:rsidR="00534D9A" w:rsidRDefault="003243B2">
            <w:pPr>
              <w:pStyle w:val="P68B1DB1-TableParagraph17"/>
              <w:spacing w:before="108"/>
              <w:ind w:left="85"/>
              <w:jc w:val="both"/>
            </w:pPr>
            <w:r>
              <w:t>0050</w:t>
            </w:r>
          </w:p>
        </w:tc>
        <w:tc>
          <w:tcPr>
            <w:tcW w:w="8174" w:type="dxa"/>
            <w:tcBorders>
              <w:top w:val="single" w:sz="4" w:space="0" w:color="1A171C"/>
              <w:left w:val="single" w:sz="4" w:space="0" w:color="1A171C"/>
              <w:bottom w:val="single" w:sz="4" w:space="0" w:color="1A171C"/>
              <w:right w:val="nil"/>
            </w:tcBorders>
            <w:vAlign w:val="center"/>
          </w:tcPr>
          <w:p w14:paraId="7FE1B82E" w14:textId="77777777" w:rsidR="00534D9A" w:rsidRDefault="003243B2">
            <w:pPr>
              <w:pStyle w:val="P68B1DB1-TableParagraph14"/>
              <w:spacing w:before="108"/>
              <w:ind w:left="85"/>
              <w:jc w:val="both"/>
              <w:rPr>
                <w:bCs/>
              </w:rPr>
            </w:pPr>
            <w:r>
              <w:t>Settur</w:t>
            </w:r>
          </w:p>
          <w:p w14:paraId="7FE1B82F" w14:textId="77777777" w:rsidR="00534D9A" w:rsidRDefault="003243B2">
            <w:pPr>
              <w:pStyle w:val="P68B1DB1-TableParagraph17"/>
              <w:spacing w:before="108"/>
              <w:ind w:left="85"/>
              <w:jc w:val="both"/>
            </w:pPr>
            <w:r>
              <w:t>Għal kull kontroparti għandu jiġu allokat settur wieħed abbażi tal-klassijiet tas-settur ekonomiku FINREP (FINREP, l-Anness V, il-Parti 1, il-Kapitolu 6):</w:t>
            </w:r>
          </w:p>
          <w:p w14:paraId="7FE1B830" w14:textId="77777777" w:rsidR="00534D9A" w:rsidRDefault="003243B2">
            <w:pPr>
              <w:pStyle w:val="P68B1DB1-List127"/>
              <w:numPr>
                <w:ilvl w:val="0"/>
                <w:numId w:val="64"/>
              </w:numPr>
            </w:pPr>
            <w:r>
              <w:lastRenderedPageBreak/>
              <w:t>Banek Ċentrali</w:t>
            </w:r>
          </w:p>
          <w:p w14:paraId="7FE1B831" w14:textId="77777777" w:rsidR="00534D9A" w:rsidRDefault="003243B2">
            <w:pPr>
              <w:pStyle w:val="P68B1DB1-List127"/>
              <w:numPr>
                <w:ilvl w:val="0"/>
                <w:numId w:val="64"/>
              </w:numPr>
            </w:pPr>
            <w:r>
              <w:t>Gvernijiet Estiżi</w:t>
            </w:r>
          </w:p>
          <w:p w14:paraId="7FE1B832" w14:textId="77777777" w:rsidR="00534D9A" w:rsidRDefault="003243B2">
            <w:pPr>
              <w:pStyle w:val="P68B1DB1-List127"/>
              <w:numPr>
                <w:ilvl w:val="0"/>
                <w:numId w:val="64"/>
              </w:numPr>
            </w:pPr>
            <w:r>
              <w:t xml:space="preserve">Istituzzjonijiet ta’ kreditu: </w:t>
            </w:r>
          </w:p>
          <w:p w14:paraId="7FE1B833" w14:textId="77777777" w:rsidR="00534D9A" w:rsidRDefault="003243B2">
            <w:pPr>
              <w:pStyle w:val="P68B1DB1-List127"/>
              <w:numPr>
                <w:ilvl w:val="0"/>
                <w:numId w:val="64"/>
              </w:numPr>
            </w:pPr>
            <w:r>
              <w:t>Korporazzjonijiet finanzjarji oħra</w:t>
            </w:r>
          </w:p>
          <w:p w14:paraId="7FE1B834" w14:textId="77777777" w:rsidR="00534D9A" w:rsidRDefault="003243B2">
            <w:pPr>
              <w:pStyle w:val="P68B1DB1-List127"/>
              <w:numPr>
                <w:ilvl w:val="0"/>
                <w:numId w:val="64"/>
              </w:numPr>
            </w:pPr>
            <w:r>
              <w:t>Korporazzjonijiet mhux finanzjarji</w:t>
            </w:r>
          </w:p>
          <w:p w14:paraId="7FE1B835" w14:textId="77777777" w:rsidR="00534D9A" w:rsidRDefault="003243B2">
            <w:pPr>
              <w:pStyle w:val="P68B1DB1-List127"/>
              <w:numPr>
                <w:ilvl w:val="0"/>
                <w:numId w:val="64"/>
              </w:numPr>
            </w:pPr>
            <w:r>
              <w:t>Unitajiet domestiċi</w:t>
            </w:r>
          </w:p>
          <w:p w14:paraId="7FE1B836" w14:textId="3FF28E9A" w:rsidR="00534D9A" w:rsidRDefault="003243B2">
            <w:pPr>
              <w:pStyle w:val="P68B1DB1-TableParagraph17"/>
              <w:spacing w:before="108"/>
              <w:ind w:left="85"/>
              <w:jc w:val="both"/>
            </w:pPr>
            <w:r>
              <w:t>Għal gruppi ta’ klijenti konnessi, l-ebda settur ma jiġi rrapportat.</w:t>
            </w:r>
          </w:p>
        </w:tc>
      </w:tr>
      <w:tr w:rsidR="00534D9A" w14:paraId="7FE1B840" w14:textId="77777777">
        <w:tc>
          <w:tcPr>
            <w:tcW w:w="909" w:type="dxa"/>
            <w:tcBorders>
              <w:top w:val="single" w:sz="4" w:space="0" w:color="1A171C"/>
              <w:left w:val="nil"/>
              <w:bottom w:val="single" w:sz="4" w:space="0" w:color="1A171C"/>
              <w:right w:val="single" w:sz="4" w:space="0" w:color="1A171C"/>
            </w:tcBorders>
            <w:vAlign w:val="center"/>
          </w:tcPr>
          <w:p w14:paraId="7FE1B838" w14:textId="77777777" w:rsidR="00534D9A" w:rsidRDefault="003243B2">
            <w:pPr>
              <w:pStyle w:val="P68B1DB1-TableParagraph17"/>
              <w:spacing w:before="108"/>
              <w:ind w:left="85"/>
              <w:jc w:val="both"/>
            </w:pPr>
            <w:r>
              <w:lastRenderedPageBreak/>
              <w:t>0060</w:t>
            </w:r>
          </w:p>
        </w:tc>
        <w:tc>
          <w:tcPr>
            <w:tcW w:w="8174" w:type="dxa"/>
            <w:tcBorders>
              <w:top w:val="single" w:sz="4" w:space="0" w:color="1A171C"/>
              <w:left w:val="single" w:sz="4" w:space="0" w:color="1A171C"/>
              <w:bottom w:val="single" w:sz="4" w:space="0" w:color="1A171C"/>
              <w:right w:val="nil"/>
            </w:tcBorders>
            <w:vAlign w:val="center"/>
          </w:tcPr>
          <w:p w14:paraId="7FE1B839" w14:textId="77777777" w:rsidR="00534D9A" w:rsidRDefault="003243B2">
            <w:pPr>
              <w:pStyle w:val="P68B1DB1-TableParagraph14"/>
              <w:spacing w:before="108"/>
              <w:ind w:left="85"/>
              <w:jc w:val="both"/>
              <w:rPr>
                <w:bCs/>
              </w:rPr>
            </w:pPr>
            <w:r>
              <w:t>Tip</w:t>
            </w:r>
          </w:p>
          <w:p w14:paraId="7FE1B83A" w14:textId="77777777" w:rsidR="00534D9A" w:rsidRDefault="003243B2">
            <w:pPr>
              <w:pStyle w:val="P68B1DB1-TableParagraph17"/>
              <w:spacing w:before="108"/>
              <w:ind w:left="85"/>
              <w:jc w:val="both"/>
            </w:pPr>
            <w:r>
              <w:t>It-tip ta’ skopertura li ma tidhirx fil-karta bilanċjali għandu jkun wieħed minn dawn li ġejjin skont kif definiti f’FINREP, il-mudell F 09.02:</w:t>
            </w:r>
          </w:p>
          <w:p w14:paraId="7FE1B83B" w14:textId="57556FED" w:rsidR="00534D9A" w:rsidRDefault="003243B2">
            <w:pPr>
              <w:pStyle w:val="P68B1DB1-TableParagraph17"/>
              <w:numPr>
                <w:ilvl w:val="0"/>
                <w:numId w:val="299"/>
              </w:numPr>
              <w:spacing w:before="108"/>
              <w:jc w:val="both"/>
            </w:pPr>
            <w:r>
              <w:t>Impenji ta’ self riċevuti</w:t>
            </w:r>
          </w:p>
          <w:p w14:paraId="7FE1B83C" w14:textId="03B3C9F7" w:rsidR="00534D9A" w:rsidRDefault="003243B2">
            <w:pPr>
              <w:pStyle w:val="P68B1DB1-TableParagraph17"/>
              <w:numPr>
                <w:ilvl w:val="0"/>
                <w:numId w:val="299"/>
              </w:numPr>
              <w:spacing w:before="108"/>
              <w:jc w:val="both"/>
            </w:pPr>
            <w:r>
              <w:t>Garanziji finanzjarji riċevuti</w:t>
            </w:r>
          </w:p>
          <w:p w14:paraId="7FE1B83D" w14:textId="2357CDAB" w:rsidR="00534D9A" w:rsidRDefault="003243B2">
            <w:pPr>
              <w:pStyle w:val="P68B1DB1-TableParagraph17"/>
              <w:numPr>
                <w:ilvl w:val="0"/>
                <w:numId w:val="299"/>
              </w:numPr>
              <w:spacing w:before="108"/>
              <w:jc w:val="both"/>
            </w:pPr>
            <w:r>
              <w:t>Impenji oħra riċevuti</w:t>
            </w:r>
          </w:p>
          <w:p w14:paraId="7FE1B83E" w14:textId="7A79D0CA" w:rsidR="00534D9A" w:rsidRDefault="003243B2">
            <w:pPr>
              <w:pStyle w:val="P68B1DB1-TableParagraph17"/>
              <w:numPr>
                <w:ilvl w:val="0"/>
                <w:numId w:val="299"/>
              </w:numPr>
              <w:spacing w:before="108"/>
              <w:jc w:val="both"/>
            </w:pPr>
            <w:r>
              <w:t>Strumenti Derivattivi</w:t>
            </w:r>
          </w:p>
          <w:p w14:paraId="7FE1B83F" w14:textId="77777777" w:rsidR="00534D9A" w:rsidRDefault="003243B2">
            <w:pPr>
              <w:pStyle w:val="P68B1DB1-TableParagraph17"/>
              <w:spacing w:before="108"/>
              <w:ind w:left="85"/>
              <w:jc w:val="both"/>
            </w:pPr>
            <w:r>
              <w:t>Jekk l-entrati li ma jidhrux fil-karta bilanċjali riċevuti minn kontroparti ewlenija jkunu jikkonsistu f’aktar minn wieħed mit-tipi msemmija hawn fuq, kull tip ta’ entrata li ma tidhirx fil-karta bilanċjali għandu jiġi rrapportat f’ringiela separata.</w:t>
            </w:r>
          </w:p>
        </w:tc>
      </w:tr>
      <w:tr w:rsidR="00534D9A" w14:paraId="7FE1B844" w14:textId="77777777">
        <w:tc>
          <w:tcPr>
            <w:tcW w:w="909" w:type="dxa"/>
            <w:tcBorders>
              <w:top w:val="single" w:sz="4" w:space="0" w:color="1A171C"/>
              <w:left w:val="nil"/>
              <w:bottom w:val="single" w:sz="4" w:space="0" w:color="1A171C"/>
              <w:right w:val="single" w:sz="4" w:space="0" w:color="1A171C"/>
            </w:tcBorders>
            <w:vAlign w:val="center"/>
          </w:tcPr>
          <w:p w14:paraId="7FE1B841" w14:textId="77777777" w:rsidR="00534D9A" w:rsidRDefault="003243B2">
            <w:pPr>
              <w:pStyle w:val="P68B1DB1-TableParagraph17"/>
              <w:spacing w:before="108"/>
              <w:ind w:left="85"/>
              <w:jc w:val="both"/>
            </w:pPr>
            <w:r>
              <w:t>0070</w:t>
            </w:r>
          </w:p>
        </w:tc>
        <w:tc>
          <w:tcPr>
            <w:tcW w:w="8174" w:type="dxa"/>
            <w:tcBorders>
              <w:top w:val="single" w:sz="4" w:space="0" w:color="1A171C"/>
              <w:left w:val="single" w:sz="4" w:space="0" w:color="1A171C"/>
              <w:bottom w:val="single" w:sz="4" w:space="0" w:color="1A171C"/>
              <w:right w:val="nil"/>
            </w:tcBorders>
            <w:vAlign w:val="center"/>
          </w:tcPr>
          <w:p w14:paraId="7FE1B842" w14:textId="77777777" w:rsidR="00534D9A" w:rsidRDefault="003243B2">
            <w:pPr>
              <w:pStyle w:val="P68B1DB1-TableParagraph14"/>
              <w:spacing w:before="108"/>
              <w:ind w:left="85"/>
              <w:jc w:val="both"/>
              <w:rPr>
                <w:bCs/>
              </w:rPr>
            </w:pPr>
            <w:r>
              <w:t xml:space="preserve">Ammont </w:t>
            </w:r>
          </w:p>
          <w:p w14:paraId="7FE1B843" w14:textId="7853FDD0" w:rsidR="00534D9A" w:rsidRDefault="003243B2">
            <w:pPr>
              <w:pStyle w:val="P68B1DB1-TableParagraph17"/>
              <w:spacing w:before="108"/>
              <w:ind w:left="85"/>
              <w:jc w:val="both"/>
              <w:rPr>
                <w:bCs/>
              </w:rPr>
            </w:pPr>
            <w:r>
              <w:t>L-ammont għandu jkun ekwivalenti għad-definizzjoni ta’ “ammont pendenti” kif preskritt fil-FINREP F 09.02. F’każ ta’ obbligazzjonijiet li jirriżultaw minn derivattivi, għandhom jiġu rrapportati l-ammonti tal-close-out kif definiti għall-iskopijiet tar-ringiela 0333, il-mudell Z 02.00.</w:t>
            </w:r>
          </w:p>
        </w:tc>
      </w:tr>
    </w:tbl>
    <w:p w14:paraId="7FE1B845" w14:textId="77777777" w:rsidR="00534D9A" w:rsidRDefault="00534D9A">
      <w:pPr>
        <w:rPr>
          <w:rFonts w:ascii="Times New Roman" w:hAnsi="Times New Roman" w:cs="Times New Roman"/>
          <w:color w:val="000000" w:themeColor="text1"/>
          <w:sz w:val="20"/>
          <w:szCs w:val="20"/>
        </w:rPr>
      </w:pPr>
    </w:p>
    <w:p w14:paraId="7FE1B846" w14:textId="77777777" w:rsidR="00534D9A" w:rsidRDefault="00534D9A">
      <w:pPr>
        <w:rPr>
          <w:rFonts w:ascii="Times New Roman" w:eastAsia="MS Mincho" w:hAnsi="Times New Roman" w:cs="Times New Roman"/>
          <w:color w:val="000000" w:themeColor="text1"/>
          <w:sz w:val="20"/>
          <w:szCs w:val="20"/>
        </w:rPr>
      </w:pPr>
    </w:p>
    <w:p w14:paraId="7FE1B849" w14:textId="5330C525" w:rsidR="00534D9A" w:rsidRDefault="003243B2">
      <w:pPr>
        <w:pStyle w:val="P68B1DB1-Instructionsberschrift25"/>
        <w:numPr>
          <w:ilvl w:val="1"/>
          <w:numId w:val="49"/>
        </w:numPr>
        <w:ind w:left="357" w:hanging="357"/>
      </w:pPr>
      <w:bookmarkStart w:id="73" w:name="_Toc164271339"/>
      <w:bookmarkStart w:id="74" w:name="_Toc164271391"/>
      <w:bookmarkStart w:id="75" w:name="_Toc167799457"/>
      <w:bookmarkStart w:id="76" w:name="_Toc172723013"/>
      <w:bookmarkStart w:id="77" w:name="_Toc172723111"/>
      <w:bookmarkStart w:id="78" w:name="_Toc172723205"/>
      <w:bookmarkStart w:id="79" w:name="_Toc172723349"/>
      <w:bookmarkStart w:id="80" w:name="_Toc172723401"/>
      <w:bookmarkStart w:id="81" w:name="_Toc172723459"/>
      <w:bookmarkStart w:id="82" w:name="_Toc172723526"/>
      <w:bookmarkStart w:id="83" w:name="_Toc184218419"/>
      <w:bookmarkStart w:id="84" w:name="_Toc164271340"/>
      <w:bookmarkStart w:id="85" w:name="_Toc164271392"/>
      <w:bookmarkStart w:id="86" w:name="_Toc167799458"/>
      <w:bookmarkStart w:id="87" w:name="_Toc172723014"/>
      <w:bookmarkStart w:id="88" w:name="_Toc172723112"/>
      <w:bookmarkStart w:id="89" w:name="_Toc172723206"/>
      <w:bookmarkStart w:id="90" w:name="_Toc172723350"/>
      <w:bookmarkStart w:id="91" w:name="_Toc172723402"/>
      <w:bookmarkStart w:id="92" w:name="_Toc172723460"/>
      <w:bookmarkStart w:id="93" w:name="_Toc172723527"/>
      <w:bookmarkStart w:id="94" w:name="_Toc184218420"/>
      <w:bookmarkStart w:id="95" w:name="_Toc492542326"/>
      <w:bookmarkStart w:id="96" w:name="_Toc160027685"/>
      <w:bookmarkStart w:id="97" w:name="_Toc160027756"/>
      <w:bookmarkStart w:id="98" w:name="_Toc160027839"/>
      <w:bookmarkStart w:id="99" w:name="_Toc20824500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Z 06.00 — Assigurazzjoni ta’ depożitu (LIAB 7)</w:t>
      </w:r>
      <w:bookmarkEnd w:id="95"/>
      <w:bookmarkEnd w:id="96"/>
      <w:bookmarkEnd w:id="97"/>
      <w:bookmarkEnd w:id="98"/>
      <w:bookmarkEnd w:id="99"/>
    </w:p>
    <w:p w14:paraId="7FE1B84A" w14:textId="77777777" w:rsidR="00534D9A" w:rsidRDefault="003243B2">
      <w:pPr>
        <w:pStyle w:val="Instructionsberschrift3"/>
      </w:pPr>
      <w:r>
        <w:t>Kummenti ġenerali</w:t>
      </w:r>
    </w:p>
    <w:p w14:paraId="7FE1B84B" w14:textId="77777777" w:rsidR="00534D9A" w:rsidRDefault="003243B2">
      <w:pPr>
        <w:pStyle w:val="P68B1DB1-InstructionsText26"/>
        <w:numPr>
          <w:ilvl w:val="0"/>
          <w:numId w:val="71"/>
        </w:numPr>
        <w:spacing w:before="0"/>
        <w:ind w:left="714" w:hanging="357"/>
      </w:pPr>
      <w:r>
        <w:t>Dan il-mudell jagħti ħarsa ġenerali lejn l-assigurazzjoni tad-depożiti fi grupp u l-Iskemi ta’ Garanzija tad-Depożiti li tagħhom ikunu membri l-entitajiet ġuridiċi rilevanti.</w:t>
      </w:r>
    </w:p>
    <w:p w14:paraId="7FE1B84C" w14:textId="77777777" w:rsidR="00534D9A" w:rsidRDefault="003243B2">
      <w:pPr>
        <w:pStyle w:val="P68B1DB1-InstructionsText26"/>
        <w:numPr>
          <w:ilvl w:val="0"/>
          <w:numId w:val="71"/>
        </w:numPr>
        <w:spacing w:before="0"/>
        <w:ind w:left="714" w:hanging="357"/>
      </w:pPr>
      <w:r>
        <w:t>Kull istituzzjoni ta’ kreditu li tappartjeni għall-grupp għandha tiġi rrapportata f’ringiela separata.</w:t>
      </w:r>
    </w:p>
    <w:p w14:paraId="7FE1B84D" w14:textId="77777777" w:rsidR="00534D9A" w:rsidRDefault="003243B2">
      <w:pPr>
        <w:pStyle w:val="Instructionsberschrift3"/>
        <w:numPr>
          <w:ilvl w:val="0"/>
          <w:numId w:val="0"/>
        </w:numPr>
        <w:ind w:left="720"/>
      </w:pPr>
      <w:r>
        <w:t>Struzzjonijiet li jikkonċernaw pożizzjonijiet speċifiċi</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34D9A" w14:paraId="7FE1B850" w14:textId="77777777">
        <w:tc>
          <w:tcPr>
            <w:tcW w:w="1191" w:type="dxa"/>
            <w:tcBorders>
              <w:top w:val="single" w:sz="4" w:space="0" w:color="1A171C"/>
              <w:left w:val="nil"/>
              <w:bottom w:val="single" w:sz="4" w:space="0" w:color="1A171C"/>
              <w:right w:val="single" w:sz="4" w:space="0" w:color="1A171C"/>
            </w:tcBorders>
            <w:shd w:val="clear" w:color="auto" w:fill="E4E5E5"/>
          </w:tcPr>
          <w:p w14:paraId="7FE1B84E" w14:textId="77777777" w:rsidR="00534D9A" w:rsidRDefault="003243B2">
            <w:pPr>
              <w:pStyle w:val="P68B1DB1-TableParagraph17"/>
              <w:spacing w:before="108"/>
              <w:ind w:left="85"/>
              <w:jc w:val="both"/>
            </w:pPr>
            <w:r>
              <w:t>Kolonni</w:t>
            </w:r>
          </w:p>
        </w:tc>
        <w:tc>
          <w:tcPr>
            <w:tcW w:w="7892" w:type="dxa"/>
            <w:tcBorders>
              <w:top w:val="single" w:sz="4" w:space="0" w:color="1A171C"/>
              <w:left w:val="single" w:sz="4" w:space="0" w:color="1A171C"/>
              <w:bottom w:val="single" w:sz="4" w:space="0" w:color="1A171C"/>
              <w:right w:val="nil"/>
            </w:tcBorders>
            <w:shd w:val="clear" w:color="auto" w:fill="E4E5E5"/>
          </w:tcPr>
          <w:p w14:paraId="7FE1B84F" w14:textId="77777777" w:rsidR="00534D9A" w:rsidRDefault="003243B2">
            <w:pPr>
              <w:pStyle w:val="P68B1DB1-TableParagraph17"/>
              <w:spacing w:before="108"/>
              <w:ind w:left="85" w:right="1"/>
              <w:jc w:val="both"/>
            </w:pPr>
            <w:r>
              <w:t>Struzzjonijiet</w:t>
            </w:r>
          </w:p>
        </w:tc>
      </w:tr>
      <w:tr w:rsidR="00534D9A" w14:paraId="7FE1B853" w14:textId="77777777">
        <w:tc>
          <w:tcPr>
            <w:tcW w:w="1191" w:type="dxa"/>
            <w:tcBorders>
              <w:top w:val="single" w:sz="4" w:space="0" w:color="1A171C"/>
              <w:left w:val="nil"/>
              <w:bottom w:val="single" w:sz="4" w:space="0" w:color="1A171C"/>
              <w:right w:val="single" w:sz="4" w:space="0" w:color="1A171C"/>
            </w:tcBorders>
          </w:tcPr>
          <w:p w14:paraId="7FE1B851" w14:textId="77777777" w:rsidR="00534D9A" w:rsidRDefault="003243B2">
            <w:pPr>
              <w:pStyle w:val="P68B1DB1-TableParagraph17"/>
              <w:spacing w:before="108"/>
              <w:ind w:left="85"/>
              <w:jc w:val="both"/>
            </w:pPr>
            <w:r>
              <w:t>0010–0020</w:t>
            </w:r>
          </w:p>
        </w:tc>
        <w:tc>
          <w:tcPr>
            <w:tcW w:w="7892" w:type="dxa"/>
            <w:tcBorders>
              <w:top w:val="single" w:sz="4" w:space="0" w:color="1A171C"/>
              <w:left w:val="single" w:sz="4" w:space="0" w:color="1A171C"/>
              <w:bottom w:val="single" w:sz="4" w:space="0" w:color="1A171C"/>
              <w:right w:val="nil"/>
            </w:tcBorders>
          </w:tcPr>
          <w:p w14:paraId="7FE1B852" w14:textId="5BBDBB82" w:rsidR="00534D9A" w:rsidRDefault="003243B2">
            <w:pPr>
              <w:pStyle w:val="P68B1DB1-TableParagraph14"/>
              <w:spacing w:before="108"/>
              <w:ind w:left="85"/>
              <w:jc w:val="both"/>
              <w:rPr>
                <w:rFonts w:eastAsia="Cambria"/>
              </w:rPr>
            </w:pPr>
            <w:r>
              <w:t>Entità legali</w:t>
            </w:r>
          </w:p>
        </w:tc>
      </w:tr>
      <w:tr w:rsidR="00534D9A" w14:paraId="7FE1B857" w14:textId="77777777">
        <w:tc>
          <w:tcPr>
            <w:tcW w:w="1191" w:type="dxa"/>
            <w:tcBorders>
              <w:top w:val="single" w:sz="4" w:space="0" w:color="1A171C"/>
              <w:left w:val="nil"/>
              <w:bottom w:val="single" w:sz="4" w:space="0" w:color="1A171C"/>
              <w:right w:val="single" w:sz="4" w:space="0" w:color="1A171C"/>
            </w:tcBorders>
          </w:tcPr>
          <w:p w14:paraId="7FE1B854" w14:textId="77777777" w:rsidR="00534D9A" w:rsidRDefault="003243B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855" w14:textId="77777777" w:rsidR="00534D9A" w:rsidRDefault="003243B2">
            <w:pPr>
              <w:pStyle w:val="P68B1DB1-TableParagraph14"/>
              <w:spacing w:before="108"/>
              <w:ind w:left="85"/>
              <w:jc w:val="both"/>
              <w:rPr>
                <w:bCs/>
              </w:rPr>
            </w:pPr>
            <w:r>
              <w:t>L-Isem tal-Entità</w:t>
            </w:r>
          </w:p>
          <w:p w14:paraId="7FE1B856" w14:textId="16A1B5FB" w:rsidR="00534D9A" w:rsidRDefault="003243B2">
            <w:pPr>
              <w:pStyle w:val="P68B1DB1-TableParagraph17"/>
              <w:spacing w:before="108"/>
              <w:ind w:left="85"/>
              <w:jc w:val="both"/>
            </w:pPr>
            <w:r>
              <w:t xml:space="preserve">L-isem tal-entità kif irrapportat f’Z 01.01 — Entità legali (ORG 1). </w:t>
            </w:r>
          </w:p>
        </w:tc>
      </w:tr>
      <w:tr w:rsidR="00534D9A" w14:paraId="7FE1B85C" w14:textId="77777777">
        <w:tc>
          <w:tcPr>
            <w:tcW w:w="1191" w:type="dxa"/>
            <w:tcBorders>
              <w:top w:val="single" w:sz="4" w:space="0" w:color="1A171C"/>
              <w:left w:val="nil"/>
              <w:bottom w:val="single" w:sz="4" w:space="0" w:color="1A171C"/>
              <w:right w:val="single" w:sz="4" w:space="0" w:color="1A171C"/>
            </w:tcBorders>
          </w:tcPr>
          <w:p w14:paraId="7FE1B858" w14:textId="77777777" w:rsidR="00534D9A" w:rsidRDefault="003243B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859" w14:textId="77777777" w:rsidR="00534D9A" w:rsidRDefault="003243B2">
            <w:pPr>
              <w:pStyle w:val="P68B1DB1-TableParagraph14"/>
              <w:spacing w:before="108"/>
              <w:ind w:left="85"/>
              <w:jc w:val="both"/>
              <w:rPr>
                <w:bCs/>
              </w:rPr>
            </w:pPr>
            <w:r>
              <w:t xml:space="preserve">Numru </w:t>
            </w:r>
          </w:p>
          <w:p w14:paraId="7FE1B85A" w14:textId="532EB445" w:rsidR="00534D9A" w:rsidRDefault="003243B2">
            <w:pPr>
              <w:pStyle w:val="P68B1DB1-TableParagraph17"/>
              <w:spacing w:before="108"/>
              <w:ind w:left="85"/>
              <w:jc w:val="both"/>
            </w:pPr>
            <w:r>
              <w:t>Il-kodiċi tal-entità, kif irrapportat f’Z 01.01 — Entità legali (ORG 1).</w:t>
            </w:r>
          </w:p>
          <w:p w14:paraId="7FE1B85B" w14:textId="77777777" w:rsidR="00534D9A" w:rsidRDefault="003243B2">
            <w:pPr>
              <w:pStyle w:val="P68B1DB1-TableParagraph17"/>
              <w:spacing w:before="108"/>
              <w:ind w:left="85"/>
              <w:jc w:val="both"/>
            </w:pPr>
            <w:r>
              <w:t>Dan huwa identifikatur tar-ringiela u jrid ikun uniku għal kull ringiela fil-mudell.</w:t>
            </w:r>
          </w:p>
        </w:tc>
      </w:tr>
      <w:tr w:rsidR="00534D9A" w14:paraId="7FE1B85F" w14:textId="77777777">
        <w:tc>
          <w:tcPr>
            <w:tcW w:w="1191" w:type="dxa"/>
            <w:tcBorders>
              <w:top w:val="single" w:sz="4" w:space="0" w:color="1A171C"/>
              <w:left w:val="nil"/>
              <w:bottom w:val="single" w:sz="4" w:space="0" w:color="1A171C"/>
              <w:right w:val="single" w:sz="4" w:space="0" w:color="1A171C"/>
            </w:tcBorders>
          </w:tcPr>
          <w:p w14:paraId="7FE1B85D" w14:textId="77777777" w:rsidR="00534D9A" w:rsidRDefault="003243B2">
            <w:pPr>
              <w:pStyle w:val="P68B1DB1-TableParagraph17"/>
              <w:spacing w:before="108"/>
              <w:ind w:left="85"/>
              <w:jc w:val="both"/>
            </w:pPr>
            <w:r>
              <w:t>0030–0040</w:t>
            </w:r>
          </w:p>
        </w:tc>
        <w:tc>
          <w:tcPr>
            <w:tcW w:w="7892" w:type="dxa"/>
            <w:tcBorders>
              <w:top w:val="single" w:sz="4" w:space="0" w:color="1A171C"/>
              <w:left w:val="single" w:sz="4" w:space="0" w:color="1A171C"/>
              <w:bottom w:val="single" w:sz="4" w:space="0" w:color="1A171C"/>
              <w:right w:val="nil"/>
            </w:tcBorders>
          </w:tcPr>
          <w:p w14:paraId="7FE1B85E" w14:textId="77777777" w:rsidR="00534D9A" w:rsidRDefault="003243B2">
            <w:pPr>
              <w:pStyle w:val="P68B1DB1-TableParagraph14"/>
              <w:spacing w:before="108"/>
              <w:ind w:left="85"/>
              <w:jc w:val="both"/>
              <w:rPr>
                <w:bCs/>
              </w:rPr>
            </w:pPr>
            <w:r>
              <w:t>Sħubija SGD</w:t>
            </w:r>
          </w:p>
        </w:tc>
      </w:tr>
      <w:tr w:rsidR="00534D9A" w14:paraId="7FE1B8AE" w14:textId="77777777">
        <w:tc>
          <w:tcPr>
            <w:tcW w:w="1191" w:type="dxa"/>
            <w:tcBorders>
              <w:top w:val="single" w:sz="4" w:space="0" w:color="1A171C"/>
              <w:left w:val="nil"/>
              <w:bottom w:val="single" w:sz="4" w:space="0" w:color="1A171C"/>
              <w:right w:val="single" w:sz="4" w:space="0" w:color="1A171C"/>
            </w:tcBorders>
          </w:tcPr>
          <w:p w14:paraId="7FE1B860" w14:textId="77777777" w:rsidR="00534D9A" w:rsidRDefault="003243B2">
            <w:pPr>
              <w:pStyle w:val="P68B1DB1-TableParagraph17"/>
              <w:spacing w:before="108"/>
              <w:ind w:left="85"/>
              <w:jc w:val="both"/>
            </w:pPr>
            <w:r>
              <w:lastRenderedPageBreak/>
              <w:t>0030</w:t>
            </w:r>
          </w:p>
        </w:tc>
        <w:tc>
          <w:tcPr>
            <w:tcW w:w="7892" w:type="dxa"/>
            <w:tcBorders>
              <w:top w:val="single" w:sz="4" w:space="0" w:color="1A171C"/>
              <w:left w:val="single" w:sz="4" w:space="0" w:color="1A171C"/>
              <w:bottom w:val="single" w:sz="4" w:space="0" w:color="1A171C"/>
              <w:right w:val="nil"/>
            </w:tcBorders>
          </w:tcPr>
          <w:p w14:paraId="7FE1B861" w14:textId="77777777" w:rsidR="00534D9A" w:rsidRDefault="003243B2">
            <w:pPr>
              <w:pStyle w:val="P68B1DB1-TableParagraph14"/>
              <w:spacing w:before="108"/>
              <w:ind w:left="85"/>
              <w:jc w:val="both"/>
              <w:rPr>
                <w:bCs/>
              </w:rPr>
            </w:pPr>
            <w:r>
              <w:t>DGS</w:t>
            </w:r>
          </w:p>
          <w:p w14:paraId="7FE1B862" w14:textId="41C69940" w:rsidR="00534D9A" w:rsidRDefault="003243B2">
            <w:pPr>
              <w:pStyle w:val="P68B1DB1-TableParagraph17"/>
              <w:spacing w:before="108"/>
              <w:ind w:left="85"/>
              <w:jc w:val="both"/>
            </w:pPr>
            <w:r>
              <w:t>L-Artikolu 4(3) tad-Direttiva 2014/49/UE</w:t>
            </w:r>
          </w:p>
          <w:p w14:paraId="7FE1B863" w14:textId="77777777" w:rsidR="00534D9A" w:rsidRDefault="003243B2">
            <w:pPr>
              <w:pStyle w:val="P68B1DB1-TableParagraph17"/>
              <w:spacing w:before="108"/>
              <w:ind w:left="85"/>
              <w:jc w:val="both"/>
            </w:pPr>
            <w:r>
              <w:t>L-isem tal-iSGD rikonoxxuta uffiċjalment li l-entità tkun membru tagħha permezz tal-applikazzjoni tad-Direttiva 2014/49/UE. Din għandha tkun l-iSGD fl-Istat Membru ta’ inkorporazzjoni tal-entità, bl-esklużjoni ta’ SGD oħra li, fi Stati Membri oħra, jistgħu jipprovdu protezzjoni addizzjonali (“top-up”) lill-konsumaturi tal-Entità f’fergħa f’dak l-Istat Membru. Meta istituzzjoni tkun membru ta’ IPS li tkun ukoll uffiċjalment rikonoxxuta bħala SGD skont l-Artikolu 4(2) tad-Direttiva 2014/49/UE, l-isem tal-iSGD</w:t>
            </w:r>
            <w:r>
              <w:t xml:space="preserve"> għandu jkun identiku għall-isem tal-IPS fir-ringiela 050.</w:t>
            </w:r>
          </w:p>
          <w:p w14:paraId="7FE1B864" w14:textId="77777777" w:rsidR="00534D9A" w:rsidRDefault="003243B2">
            <w:pPr>
              <w:pStyle w:val="P68B1DB1-TableParagraph17"/>
              <w:spacing w:before="108"/>
              <w:ind w:left="85"/>
              <w:jc w:val="both"/>
            </w:pPr>
            <w:r>
              <w:t>L-iSGD għandha tintgħażel, għal kull pajjiż ta’ inkorporazzjoni tal-entità, fost dawn li ġejjin:</w:t>
            </w:r>
          </w:p>
          <w:p w14:paraId="7FE1B865" w14:textId="77777777" w:rsidR="00534D9A" w:rsidRDefault="003243B2">
            <w:pPr>
              <w:pStyle w:val="P68B1DB1-TableParagraph28"/>
              <w:spacing w:before="108"/>
              <w:ind w:left="85"/>
              <w:jc w:val="both"/>
            </w:pPr>
            <w:r>
              <w:t>Għall-Awstrija</w:t>
            </w:r>
          </w:p>
          <w:p w14:paraId="7FE1B866" w14:textId="7AF21273" w:rsidR="00534D9A" w:rsidRDefault="003243B2">
            <w:pPr>
              <w:pStyle w:val="P68B1DB1-TableParagraph17"/>
              <w:numPr>
                <w:ilvl w:val="0"/>
                <w:numId w:val="70"/>
              </w:numPr>
              <w:spacing w:before="108"/>
              <w:jc w:val="both"/>
            </w:pPr>
            <w:r>
              <w:t xml:space="preserve">“Einlagensicherung AUSTRIA Ges.m.b.H.” </w:t>
            </w:r>
          </w:p>
          <w:p w14:paraId="7FE1B867" w14:textId="77777777" w:rsidR="00534D9A" w:rsidRDefault="003243B2">
            <w:pPr>
              <w:pStyle w:val="P68B1DB1-TableParagraph17"/>
              <w:numPr>
                <w:ilvl w:val="0"/>
                <w:numId w:val="70"/>
              </w:numPr>
              <w:spacing w:before="108"/>
              <w:jc w:val="both"/>
            </w:pPr>
            <w:r>
              <w:t>“Sparkassen-Haftungs GmbH”</w:t>
            </w:r>
          </w:p>
          <w:p w14:paraId="7FE1B868" w14:textId="77777777" w:rsidR="00534D9A" w:rsidRDefault="003243B2">
            <w:pPr>
              <w:pStyle w:val="P68B1DB1-TableParagraph17"/>
              <w:numPr>
                <w:ilvl w:val="0"/>
                <w:numId w:val="70"/>
              </w:numPr>
              <w:spacing w:before="108"/>
              <w:jc w:val="both"/>
            </w:pPr>
            <w:r>
              <w:t>“Österreichische Raiffeisen-Sicherungseinrichtung eGen”</w:t>
            </w:r>
          </w:p>
          <w:p w14:paraId="7FE1B869" w14:textId="77777777" w:rsidR="00534D9A" w:rsidRDefault="003243B2">
            <w:pPr>
              <w:pStyle w:val="P68B1DB1-TableParagraph28"/>
              <w:spacing w:before="108"/>
              <w:ind w:left="85"/>
              <w:jc w:val="both"/>
            </w:pPr>
            <w:r>
              <w:t>Il-Belġju</w:t>
            </w:r>
          </w:p>
          <w:p w14:paraId="7FE1B86A" w14:textId="77777777" w:rsidR="00534D9A" w:rsidRDefault="003243B2">
            <w:pPr>
              <w:pStyle w:val="P68B1DB1-TableParagraph17"/>
              <w:numPr>
                <w:ilvl w:val="0"/>
                <w:numId w:val="70"/>
              </w:numPr>
              <w:spacing w:before="108"/>
              <w:jc w:val="both"/>
            </w:pPr>
            <w:r>
              <w:t>“Garantiefonds voor financiële diensten/Fonds de garantie pour les services financiers”</w:t>
            </w:r>
          </w:p>
          <w:p w14:paraId="7FE1B86B" w14:textId="77777777" w:rsidR="00534D9A" w:rsidRDefault="003243B2">
            <w:pPr>
              <w:pStyle w:val="P68B1DB1-TableParagraph28"/>
              <w:spacing w:before="108"/>
              <w:ind w:left="85"/>
              <w:jc w:val="both"/>
            </w:pPr>
            <w:r>
              <w:t>Il-Bulgarija</w:t>
            </w:r>
          </w:p>
          <w:p w14:paraId="7FE1B86C" w14:textId="33BABCB1" w:rsidR="00534D9A" w:rsidRDefault="003243B2">
            <w:pPr>
              <w:pStyle w:val="P68B1DB1-TableParagraph17"/>
              <w:numPr>
                <w:ilvl w:val="0"/>
                <w:numId w:val="70"/>
              </w:numPr>
              <w:spacing w:before="108"/>
              <w:jc w:val="both"/>
            </w:pPr>
            <w:r>
              <w:t>Il- “Ġabra’ leaves’’ Il-bċejjeċ ta’ dak li jkun,</w:t>
            </w:r>
          </w:p>
          <w:p w14:paraId="7FE1B86D" w14:textId="77777777" w:rsidR="00534D9A" w:rsidRDefault="003243B2">
            <w:pPr>
              <w:pStyle w:val="P68B1DB1-TableParagraph28"/>
              <w:spacing w:before="108"/>
              <w:ind w:left="85"/>
              <w:jc w:val="both"/>
            </w:pPr>
            <w:r>
              <w:t>Il-Kroazja</w:t>
            </w:r>
          </w:p>
          <w:p w14:paraId="7FE1B86E" w14:textId="77777777" w:rsidR="00534D9A" w:rsidRDefault="003243B2">
            <w:pPr>
              <w:pStyle w:val="P68B1DB1-TableParagraph17"/>
              <w:numPr>
                <w:ilvl w:val="0"/>
                <w:numId w:val="70"/>
              </w:numPr>
              <w:spacing w:before="108"/>
              <w:jc w:val="both"/>
            </w:pPr>
            <w:r>
              <w:t>“Hrvatska agencija za osiguranje depozita”</w:t>
            </w:r>
          </w:p>
          <w:p w14:paraId="7FE1B86F" w14:textId="77777777" w:rsidR="00534D9A" w:rsidRDefault="003243B2">
            <w:pPr>
              <w:pStyle w:val="P68B1DB1-TableParagraph28"/>
              <w:spacing w:before="108"/>
              <w:ind w:left="85"/>
              <w:jc w:val="both"/>
            </w:pPr>
            <w:r>
              <w:t>Ċ</w:t>
            </w:r>
            <w:r>
              <w:t>ipru</w:t>
            </w:r>
          </w:p>
          <w:p w14:paraId="7FE1B870" w14:textId="77777777" w:rsidR="00534D9A" w:rsidRDefault="003243B2">
            <w:pPr>
              <w:pStyle w:val="P68B1DB1-TableParagraph17"/>
              <w:numPr>
                <w:ilvl w:val="0"/>
                <w:numId w:val="70"/>
              </w:numPr>
              <w:spacing w:before="108"/>
              <w:jc w:val="both"/>
            </w:pPr>
            <w:r>
              <w:t>“Σύστημα Εγγύησης των Καταθέσεων και Εξυγίανσης Πιστωτικών και Άλλων Ιδρυμάτων”</w:t>
            </w:r>
          </w:p>
          <w:p w14:paraId="7FE1B871" w14:textId="77777777" w:rsidR="00534D9A" w:rsidRDefault="003243B2">
            <w:pPr>
              <w:pStyle w:val="P68B1DB1-TableParagraph28"/>
              <w:spacing w:before="108"/>
              <w:ind w:left="85"/>
              <w:jc w:val="both"/>
            </w:pPr>
            <w:r>
              <w:t>Iċ-Ċek</w:t>
            </w:r>
          </w:p>
          <w:p w14:paraId="7FE1B872" w14:textId="77777777" w:rsidR="00534D9A" w:rsidRDefault="003243B2">
            <w:pPr>
              <w:pStyle w:val="P68B1DB1-TableParagraph17"/>
              <w:numPr>
                <w:ilvl w:val="0"/>
                <w:numId w:val="70"/>
              </w:numPr>
              <w:spacing w:before="108"/>
              <w:jc w:val="both"/>
            </w:pPr>
            <w:r>
              <w:t>“Garanční systém finančního trhu”</w:t>
            </w:r>
          </w:p>
          <w:p w14:paraId="7FE1B873" w14:textId="77777777" w:rsidR="00534D9A" w:rsidRDefault="003243B2">
            <w:pPr>
              <w:pStyle w:val="P68B1DB1-TableParagraph28"/>
              <w:spacing w:before="108"/>
              <w:ind w:left="85"/>
              <w:jc w:val="both"/>
            </w:pPr>
            <w:r>
              <w:t>Danimarka</w:t>
            </w:r>
          </w:p>
          <w:p w14:paraId="7FE1B874" w14:textId="77777777" w:rsidR="00534D9A" w:rsidRDefault="003243B2">
            <w:pPr>
              <w:pStyle w:val="P68B1DB1-TableParagraph17"/>
              <w:numPr>
                <w:ilvl w:val="0"/>
                <w:numId w:val="70"/>
              </w:numPr>
              <w:spacing w:before="108"/>
              <w:jc w:val="both"/>
            </w:pPr>
            <w:r>
              <w:t>“Garantiformuen”</w:t>
            </w:r>
          </w:p>
          <w:p w14:paraId="7FE1B875" w14:textId="77777777" w:rsidR="00534D9A" w:rsidRDefault="003243B2">
            <w:pPr>
              <w:pStyle w:val="P68B1DB1-TableParagraph28"/>
              <w:spacing w:before="108"/>
              <w:ind w:left="85"/>
              <w:jc w:val="both"/>
            </w:pPr>
            <w:r>
              <w:t xml:space="preserve">L-Estonja </w:t>
            </w:r>
          </w:p>
          <w:p w14:paraId="7FE1B876" w14:textId="77777777" w:rsidR="00534D9A" w:rsidRDefault="003243B2">
            <w:pPr>
              <w:pStyle w:val="P68B1DB1-TableParagraph17"/>
              <w:numPr>
                <w:ilvl w:val="0"/>
                <w:numId w:val="70"/>
              </w:numPr>
              <w:spacing w:before="108"/>
              <w:jc w:val="both"/>
            </w:pPr>
            <w:r>
              <w:t>“Tagastisfond”</w:t>
            </w:r>
          </w:p>
          <w:p w14:paraId="7FE1B877" w14:textId="77777777" w:rsidR="00534D9A" w:rsidRDefault="003243B2">
            <w:pPr>
              <w:pStyle w:val="P68B1DB1-TableParagraph28"/>
              <w:spacing w:before="108"/>
              <w:ind w:left="85"/>
              <w:jc w:val="both"/>
            </w:pPr>
            <w:r>
              <w:t xml:space="preserve">Il-Finlandja </w:t>
            </w:r>
          </w:p>
          <w:p w14:paraId="7FE1B878" w14:textId="77777777" w:rsidR="00534D9A" w:rsidRDefault="003243B2">
            <w:pPr>
              <w:pStyle w:val="P68B1DB1-TableParagraph17"/>
              <w:numPr>
                <w:ilvl w:val="0"/>
                <w:numId w:val="70"/>
              </w:numPr>
              <w:spacing w:before="108"/>
              <w:jc w:val="both"/>
            </w:pPr>
            <w:r>
              <w:t>“Talletussuojarahasto”</w:t>
            </w:r>
          </w:p>
          <w:p w14:paraId="7FE1B879" w14:textId="77777777" w:rsidR="00534D9A" w:rsidRDefault="003243B2">
            <w:pPr>
              <w:pStyle w:val="P68B1DB1-TableParagraph28"/>
              <w:spacing w:before="108"/>
              <w:ind w:left="85"/>
              <w:jc w:val="both"/>
            </w:pPr>
            <w:r>
              <w:t>Franza</w:t>
            </w:r>
          </w:p>
          <w:p w14:paraId="7FE1B87A" w14:textId="77777777" w:rsidR="00534D9A" w:rsidRDefault="003243B2">
            <w:pPr>
              <w:pStyle w:val="P68B1DB1-TableParagraph17"/>
              <w:numPr>
                <w:ilvl w:val="0"/>
                <w:numId w:val="70"/>
              </w:numPr>
              <w:spacing w:before="108"/>
              <w:jc w:val="both"/>
            </w:pPr>
            <w:r>
              <w:t>“Fonds de Garantie des Dépôts et de Résolution”</w:t>
            </w:r>
          </w:p>
          <w:p w14:paraId="7FE1B87B" w14:textId="77777777" w:rsidR="00534D9A" w:rsidRDefault="003243B2">
            <w:pPr>
              <w:pStyle w:val="P68B1DB1-TableParagraph28"/>
              <w:spacing w:before="108"/>
              <w:ind w:left="85"/>
              <w:jc w:val="both"/>
            </w:pPr>
            <w:r>
              <w:t>Ġ</w:t>
            </w:r>
            <w:r>
              <w:t xml:space="preserve">ermanja </w:t>
            </w:r>
          </w:p>
          <w:p w14:paraId="7FE1B87C" w14:textId="77777777" w:rsidR="00534D9A" w:rsidRDefault="003243B2">
            <w:pPr>
              <w:pStyle w:val="P68B1DB1-TableParagraph17"/>
              <w:numPr>
                <w:ilvl w:val="0"/>
                <w:numId w:val="70"/>
              </w:numPr>
              <w:spacing w:before="108"/>
              <w:jc w:val="both"/>
            </w:pPr>
            <w:r>
              <w:t>“Entschädigungseinrichtung deutscher Banken GmbH”</w:t>
            </w:r>
          </w:p>
          <w:p w14:paraId="7FE1B87D" w14:textId="77777777" w:rsidR="00534D9A" w:rsidRDefault="003243B2">
            <w:pPr>
              <w:pStyle w:val="P68B1DB1-TableParagraph17"/>
              <w:numPr>
                <w:ilvl w:val="0"/>
                <w:numId w:val="70"/>
              </w:numPr>
              <w:spacing w:before="108"/>
              <w:jc w:val="both"/>
            </w:pPr>
            <w:r>
              <w:t>“Entschädigungseinrichtung des Bundesverbandes Öffentlicher Banken Deutschlands GmbH”</w:t>
            </w:r>
          </w:p>
          <w:p w14:paraId="7FE1B87E" w14:textId="77777777" w:rsidR="00534D9A" w:rsidRDefault="003243B2">
            <w:pPr>
              <w:pStyle w:val="P68B1DB1-TableParagraph17"/>
              <w:numPr>
                <w:ilvl w:val="0"/>
                <w:numId w:val="70"/>
              </w:numPr>
              <w:spacing w:before="108"/>
              <w:jc w:val="both"/>
            </w:pPr>
            <w:r>
              <w:t>“Sicherungseinrichtung des Deutschen Sparkassen- und Giroverbandes (DSGV-Haftungsverbund)”</w:t>
            </w:r>
          </w:p>
          <w:p w14:paraId="7FE1B87F" w14:textId="77777777" w:rsidR="00534D9A" w:rsidRDefault="003243B2">
            <w:pPr>
              <w:pStyle w:val="P68B1DB1-TableParagraph17"/>
              <w:numPr>
                <w:ilvl w:val="0"/>
                <w:numId w:val="70"/>
              </w:numPr>
              <w:spacing w:before="108"/>
              <w:jc w:val="both"/>
            </w:pPr>
            <w:r>
              <w:t>“BVR Institutssicherung GmbH”</w:t>
            </w:r>
          </w:p>
          <w:p w14:paraId="7FE1B882" w14:textId="77777777" w:rsidR="00534D9A" w:rsidRDefault="003243B2">
            <w:pPr>
              <w:pStyle w:val="P68B1DB1-TableParagraph28"/>
              <w:spacing w:before="108"/>
              <w:ind w:left="85"/>
              <w:jc w:val="both"/>
            </w:pPr>
            <w:r>
              <w:t xml:space="preserve">Greċja </w:t>
            </w:r>
          </w:p>
          <w:p w14:paraId="7FE1B883" w14:textId="77777777" w:rsidR="00534D9A" w:rsidRDefault="003243B2">
            <w:pPr>
              <w:pStyle w:val="P68B1DB1-TableParagraph17"/>
              <w:numPr>
                <w:ilvl w:val="0"/>
                <w:numId w:val="70"/>
              </w:numPr>
              <w:spacing w:before="108"/>
              <w:jc w:val="both"/>
            </w:pPr>
            <w:r>
              <w:t>“Ταμείο Εγγύησης Καταθέσεων και Επενδύσεων”</w:t>
            </w:r>
          </w:p>
          <w:p w14:paraId="7FE1B884" w14:textId="77777777" w:rsidR="00534D9A" w:rsidRDefault="003243B2">
            <w:pPr>
              <w:pStyle w:val="P68B1DB1-TableParagraph28"/>
              <w:spacing w:before="108"/>
              <w:ind w:left="85"/>
              <w:jc w:val="both"/>
            </w:pPr>
            <w:r>
              <w:t xml:space="preserve">L-Ungerija </w:t>
            </w:r>
          </w:p>
          <w:p w14:paraId="7FE1B885" w14:textId="77777777" w:rsidR="00534D9A" w:rsidRDefault="003243B2">
            <w:pPr>
              <w:pStyle w:val="P68B1DB1-TableParagraph17"/>
              <w:numPr>
                <w:ilvl w:val="0"/>
                <w:numId w:val="70"/>
              </w:numPr>
              <w:spacing w:before="108"/>
              <w:jc w:val="both"/>
            </w:pPr>
            <w:r>
              <w:lastRenderedPageBreak/>
              <w:t>“Országos Betétbiztosítási Alap”</w:t>
            </w:r>
          </w:p>
          <w:p w14:paraId="7FE1B886" w14:textId="77777777" w:rsidR="00534D9A" w:rsidRDefault="003243B2">
            <w:pPr>
              <w:pStyle w:val="P68B1DB1-TableParagraph28"/>
              <w:spacing w:before="108"/>
              <w:ind w:left="85"/>
              <w:jc w:val="both"/>
            </w:pPr>
            <w:r>
              <w:t>Iżlanda</w:t>
            </w:r>
          </w:p>
          <w:p w14:paraId="7FE1B887" w14:textId="44E06D46" w:rsidR="00534D9A" w:rsidRDefault="003243B2">
            <w:pPr>
              <w:pStyle w:val="P68B1DB1-TableParagraph17"/>
              <w:numPr>
                <w:ilvl w:val="0"/>
                <w:numId w:val="70"/>
              </w:numPr>
              <w:spacing w:before="108"/>
              <w:jc w:val="both"/>
            </w:pPr>
            <w:r>
              <w:t>“Tryggingarsjóður vegna fjármálafyrirtækja”</w:t>
            </w:r>
          </w:p>
          <w:p w14:paraId="7FE1B888" w14:textId="77777777" w:rsidR="00534D9A" w:rsidRDefault="003243B2">
            <w:pPr>
              <w:pStyle w:val="P68B1DB1-TableParagraph28"/>
              <w:spacing w:before="108"/>
              <w:ind w:left="85"/>
              <w:jc w:val="both"/>
            </w:pPr>
            <w:r>
              <w:t>L-Irlanda</w:t>
            </w:r>
          </w:p>
          <w:p w14:paraId="7FE1B889" w14:textId="77777777" w:rsidR="00534D9A" w:rsidRDefault="003243B2">
            <w:pPr>
              <w:pStyle w:val="P68B1DB1-TableParagraph17"/>
              <w:numPr>
                <w:ilvl w:val="0"/>
                <w:numId w:val="70"/>
              </w:numPr>
              <w:spacing w:before="108"/>
              <w:jc w:val="both"/>
            </w:pPr>
            <w:r>
              <w:t>“Irish Deposit Protection Scheme”</w:t>
            </w:r>
          </w:p>
          <w:p w14:paraId="7FE1B88A" w14:textId="77777777" w:rsidR="00534D9A" w:rsidRDefault="003243B2">
            <w:pPr>
              <w:pStyle w:val="P68B1DB1-TableParagraph28"/>
              <w:spacing w:before="108"/>
              <w:ind w:left="85"/>
              <w:jc w:val="both"/>
            </w:pPr>
            <w:r>
              <w:t xml:space="preserve">Italja </w:t>
            </w:r>
          </w:p>
          <w:p w14:paraId="7FE1B88B" w14:textId="77777777" w:rsidR="00534D9A" w:rsidRDefault="003243B2">
            <w:pPr>
              <w:pStyle w:val="P68B1DB1-TableParagraph17"/>
              <w:numPr>
                <w:ilvl w:val="0"/>
                <w:numId w:val="70"/>
              </w:numPr>
              <w:spacing w:before="108"/>
              <w:jc w:val="both"/>
            </w:pPr>
            <w:r>
              <w:t>“Fondo Interbancario di Tutela dei Depositi”</w:t>
            </w:r>
          </w:p>
          <w:p w14:paraId="7FE1B88C" w14:textId="77777777" w:rsidR="00534D9A" w:rsidRDefault="003243B2">
            <w:pPr>
              <w:pStyle w:val="P68B1DB1-TableParagraph17"/>
              <w:numPr>
                <w:ilvl w:val="0"/>
                <w:numId w:val="70"/>
              </w:numPr>
              <w:spacing w:before="108"/>
              <w:jc w:val="both"/>
            </w:pPr>
            <w:r>
              <w:t>“Fondo di Garanzia dei Depositanti del Credito Cooperativo”</w:t>
            </w:r>
          </w:p>
          <w:p w14:paraId="7FE1B88D" w14:textId="77777777" w:rsidR="00534D9A" w:rsidRDefault="003243B2">
            <w:pPr>
              <w:pStyle w:val="P68B1DB1-TableParagraph28"/>
              <w:spacing w:before="108"/>
              <w:ind w:left="85"/>
              <w:jc w:val="both"/>
            </w:pPr>
            <w:r>
              <w:t>Il-Latvja</w:t>
            </w:r>
          </w:p>
          <w:p w14:paraId="7FE1B88E" w14:textId="77777777" w:rsidR="00534D9A" w:rsidRDefault="003243B2">
            <w:pPr>
              <w:pStyle w:val="P68B1DB1-TableParagraph17"/>
              <w:numPr>
                <w:ilvl w:val="0"/>
                <w:numId w:val="70"/>
              </w:numPr>
              <w:spacing w:before="108"/>
              <w:jc w:val="both"/>
            </w:pPr>
            <w:r>
              <w:t>“Latvijas Noguldījumu garantiju fonds”</w:t>
            </w:r>
          </w:p>
          <w:p w14:paraId="7FE1B88F" w14:textId="77777777" w:rsidR="00534D9A" w:rsidRDefault="003243B2">
            <w:pPr>
              <w:pStyle w:val="P68B1DB1-TableParagraph28"/>
              <w:spacing w:before="108"/>
              <w:ind w:left="85"/>
              <w:jc w:val="both"/>
            </w:pPr>
            <w:r>
              <w:t xml:space="preserve">Il-Liechtenstein </w:t>
            </w:r>
          </w:p>
          <w:p w14:paraId="7FE1B890" w14:textId="77777777" w:rsidR="00534D9A" w:rsidRDefault="003243B2">
            <w:pPr>
              <w:pStyle w:val="P68B1DB1-TableParagraph17"/>
              <w:numPr>
                <w:ilvl w:val="0"/>
                <w:numId w:val="70"/>
              </w:numPr>
              <w:spacing w:before="108"/>
              <w:jc w:val="both"/>
            </w:pPr>
            <w:r>
              <w:t>“Einlagensicherungs- und Anlegerentschädigungs-Stiftung SV”</w:t>
            </w:r>
          </w:p>
          <w:p w14:paraId="7FE1B891" w14:textId="77777777" w:rsidR="00534D9A" w:rsidRDefault="003243B2">
            <w:pPr>
              <w:pStyle w:val="P68B1DB1-TableParagraph28"/>
              <w:spacing w:before="108"/>
              <w:ind w:left="85"/>
              <w:jc w:val="both"/>
            </w:pPr>
            <w:r>
              <w:t>Il-Litwanja</w:t>
            </w:r>
          </w:p>
          <w:p w14:paraId="7FE1B892" w14:textId="77777777" w:rsidR="00534D9A" w:rsidRDefault="003243B2">
            <w:pPr>
              <w:pStyle w:val="P68B1DB1-TableParagraph17"/>
              <w:numPr>
                <w:ilvl w:val="0"/>
                <w:numId w:val="70"/>
              </w:numPr>
              <w:spacing w:before="108"/>
              <w:jc w:val="both"/>
            </w:pPr>
            <w:r>
              <w:t>“Indėlių ir investicijų draudimas”</w:t>
            </w:r>
          </w:p>
          <w:p w14:paraId="7FE1B893" w14:textId="77777777" w:rsidR="00534D9A" w:rsidRDefault="003243B2">
            <w:pPr>
              <w:pStyle w:val="P68B1DB1-TableParagraph28"/>
              <w:spacing w:before="108"/>
              <w:ind w:left="85"/>
              <w:jc w:val="both"/>
            </w:pPr>
            <w:r>
              <w:t>Il-Lussemburgu</w:t>
            </w:r>
          </w:p>
          <w:p w14:paraId="7FE1B894" w14:textId="59F3019A" w:rsidR="00534D9A" w:rsidRDefault="003243B2">
            <w:pPr>
              <w:pStyle w:val="P68B1DB1-TableParagraph17"/>
              <w:numPr>
                <w:ilvl w:val="0"/>
                <w:numId w:val="70"/>
              </w:numPr>
              <w:spacing w:before="108"/>
              <w:jc w:val="both"/>
            </w:pPr>
            <w:r>
              <w:t>“Fonds de garantie des Dépôts Lussemburgu”</w:t>
            </w:r>
          </w:p>
          <w:p w14:paraId="7FE1B895" w14:textId="77777777" w:rsidR="00534D9A" w:rsidRDefault="003243B2">
            <w:pPr>
              <w:pStyle w:val="P68B1DB1-TableParagraph28"/>
              <w:spacing w:before="108"/>
              <w:ind w:left="85"/>
              <w:jc w:val="both"/>
            </w:pPr>
            <w:r>
              <w:t>Malta</w:t>
            </w:r>
          </w:p>
          <w:p w14:paraId="7FE1B896" w14:textId="77777777" w:rsidR="00534D9A" w:rsidRDefault="003243B2">
            <w:pPr>
              <w:pStyle w:val="P68B1DB1-TableParagraph17"/>
              <w:numPr>
                <w:ilvl w:val="0"/>
                <w:numId w:val="70"/>
              </w:numPr>
              <w:spacing w:before="108"/>
              <w:jc w:val="both"/>
            </w:pPr>
            <w:r>
              <w:t>“Depositor Compensation Scheme”</w:t>
            </w:r>
          </w:p>
          <w:p w14:paraId="7FE1B897" w14:textId="77777777" w:rsidR="00534D9A" w:rsidRDefault="003243B2">
            <w:pPr>
              <w:pStyle w:val="P68B1DB1-TableParagraph28"/>
              <w:spacing w:before="108"/>
              <w:ind w:left="85"/>
              <w:jc w:val="both"/>
            </w:pPr>
            <w:r>
              <w:t xml:space="preserve">In-Netherlands </w:t>
            </w:r>
          </w:p>
          <w:p w14:paraId="7FE1B898" w14:textId="77777777" w:rsidR="00534D9A" w:rsidRDefault="003243B2">
            <w:pPr>
              <w:pStyle w:val="P68B1DB1-TableParagraph17"/>
              <w:numPr>
                <w:ilvl w:val="0"/>
                <w:numId w:val="70"/>
              </w:numPr>
              <w:spacing w:before="108"/>
              <w:jc w:val="both"/>
            </w:pPr>
            <w:r>
              <w:t>“De Nederlandsche Bank, Depositogarantiestelsel”</w:t>
            </w:r>
          </w:p>
          <w:p w14:paraId="7FE1B899" w14:textId="77777777" w:rsidR="00534D9A" w:rsidRDefault="003243B2">
            <w:pPr>
              <w:pStyle w:val="P68B1DB1-TableParagraph28"/>
              <w:spacing w:before="108"/>
              <w:ind w:left="85"/>
              <w:jc w:val="both"/>
            </w:pPr>
            <w:r>
              <w:t>Norveġja</w:t>
            </w:r>
          </w:p>
          <w:p w14:paraId="7FE1B89A" w14:textId="77777777" w:rsidR="00534D9A" w:rsidRDefault="003243B2">
            <w:pPr>
              <w:pStyle w:val="P68B1DB1-TableParagraph17"/>
              <w:numPr>
                <w:ilvl w:val="0"/>
                <w:numId w:val="70"/>
              </w:numPr>
              <w:spacing w:before="108"/>
              <w:jc w:val="both"/>
            </w:pPr>
            <w:r>
              <w:t>“Bankenes sikringsfond”</w:t>
            </w:r>
          </w:p>
          <w:p w14:paraId="7FE1B89B" w14:textId="77777777" w:rsidR="00534D9A" w:rsidRDefault="003243B2">
            <w:pPr>
              <w:pStyle w:val="P68B1DB1-TableParagraph28"/>
              <w:spacing w:before="108"/>
              <w:ind w:left="85"/>
              <w:jc w:val="both"/>
            </w:pPr>
            <w:r>
              <w:t>Polonja</w:t>
            </w:r>
          </w:p>
          <w:p w14:paraId="7FE1B89C" w14:textId="77777777" w:rsidR="00534D9A" w:rsidRDefault="003243B2">
            <w:pPr>
              <w:pStyle w:val="P68B1DB1-TableParagraph17"/>
              <w:numPr>
                <w:ilvl w:val="0"/>
                <w:numId w:val="70"/>
              </w:numPr>
              <w:spacing w:before="108"/>
              <w:jc w:val="both"/>
            </w:pPr>
            <w:r>
              <w:t>“Bankowy Fundusz Gwarancyjny”</w:t>
            </w:r>
          </w:p>
          <w:p w14:paraId="7FE1B89D" w14:textId="77777777" w:rsidR="00534D9A" w:rsidRDefault="003243B2">
            <w:pPr>
              <w:pStyle w:val="P68B1DB1-TableParagraph28"/>
              <w:spacing w:before="108"/>
              <w:ind w:left="85"/>
              <w:jc w:val="both"/>
            </w:pPr>
            <w:r>
              <w:t>Il-Portugall</w:t>
            </w:r>
          </w:p>
          <w:p w14:paraId="7FE1B89E" w14:textId="77777777" w:rsidR="00534D9A" w:rsidRDefault="003243B2">
            <w:pPr>
              <w:pStyle w:val="P68B1DB1-TableParagraph17"/>
              <w:numPr>
                <w:ilvl w:val="0"/>
                <w:numId w:val="70"/>
              </w:numPr>
              <w:spacing w:before="108"/>
              <w:jc w:val="both"/>
            </w:pPr>
            <w:r>
              <w:t>“Fundo de Garantia de Depósitos”</w:t>
            </w:r>
          </w:p>
          <w:p w14:paraId="7FE1B89F" w14:textId="77777777" w:rsidR="00534D9A" w:rsidRDefault="003243B2">
            <w:pPr>
              <w:pStyle w:val="P68B1DB1-TableParagraph17"/>
              <w:numPr>
                <w:ilvl w:val="0"/>
                <w:numId w:val="70"/>
              </w:numPr>
              <w:spacing w:before="108"/>
              <w:jc w:val="both"/>
            </w:pPr>
            <w:r>
              <w:t>“Fundo de Garantia do Crédito Agrícola Mútuo”</w:t>
            </w:r>
          </w:p>
          <w:p w14:paraId="7FE1B8A0" w14:textId="77777777" w:rsidR="00534D9A" w:rsidRDefault="003243B2">
            <w:pPr>
              <w:pStyle w:val="P68B1DB1-TableParagraph28"/>
              <w:spacing w:before="108"/>
              <w:ind w:left="85"/>
              <w:jc w:val="both"/>
            </w:pPr>
            <w:r>
              <w:t>Ir-Rumanija</w:t>
            </w:r>
          </w:p>
          <w:p w14:paraId="7FE1B8A1" w14:textId="77777777" w:rsidR="00534D9A" w:rsidRDefault="003243B2">
            <w:pPr>
              <w:pStyle w:val="P68B1DB1-TableParagraph17"/>
              <w:numPr>
                <w:ilvl w:val="0"/>
                <w:numId w:val="70"/>
              </w:numPr>
              <w:spacing w:before="108"/>
              <w:jc w:val="both"/>
            </w:pPr>
            <w:r>
              <w:t>“Fondul de Garantare a Depozitelor in Sistemul Bancar”</w:t>
            </w:r>
          </w:p>
          <w:p w14:paraId="7FE1B8A2" w14:textId="77777777" w:rsidR="00534D9A" w:rsidRDefault="003243B2">
            <w:pPr>
              <w:pStyle w:val="P68B1DB1-TableParagraph28"/>
              <w:spacing w:before="108"/>
              <w:ind w:left="85"/>
              <w:jc w:val="both"/>
            </w:pPr>
            <w:r>
              <w:t>Is-Slovakkja</w:t>
            </w:r>
          </w:p>
          <w:p w14:paraId="7FE1B8A3" w14:textId="77777777" w:rsidR="00534D9A" w:rsidRDefault="003243B2">
            <w:pPr>
              <w:pStyle w:val="P68B1DB1-TableParagraph17"/>
              <w:numPr>
                <w:ilvl w:val="0"/>
                <w:numId w:val="70"/>
              </w:numPr>
              <w:spacing w:before="108"/>
              <w:jc w:val="both"/>
            </w:pPr>
            <w:r>
              <w:t>“Fond ochrany vkladov”</w:t>
            </w:r>
          </w:p>
          <w:p w14:paraId="7FE1B8A4" w14:textId="77777777" w:rsidR="00534D9A" w:rsidRDefault="003243B2">
            <w:pPr>
              <w:pStyle w:val="P68B1DB1-TableParagraph28"/>
              <w:spacing w:before="108"/>
              <w:ind w:left="85"/>
              <w:jc w:val="both"/>
            </w:pPr>
            <w:r>
              <w:t xml:space="preserve">Is-Slovenja </w:t>
            </w:r>
          </w:p>
          <w:p w14:paraId="7FE1B8A5" w14:textId="77777777" w:rsidR="00534D9A" w:rsidRDefault="003243B2">
            <w:pPr>
              <w:pStyle w:val="P68B1DB1-TableParagraph17"/>
              <w:numPr>
                <w:ilvl w:val="0"/>
                <w:numId w:val="70"/>
              </w:numPr>
              <w:spacing w:before="108"/>
              <w:jc w:val="both"/>
            </w:pPr>
            <w:r>
              <w:t>“Banka Slovenije”</w:t>
            </w:r>
          </w:p>
          <w:p w14:paraId="7FE1B8A6" w14:textId="77777777" w:rsidR="00534D9A" w:rsidRDefault="003243B2">
            <w:pPr>
              <w:pStyle w:val="P68B1DB1-TableParagraph28"/>
              <w:spacing w:before="108"/>
              <w:ind w:left="85"/>
              <w:jc w:val="both"/>
            </w:pPr>
            <w:r>
              <w:t>Spanja</w:t>
            </w:r>
          </w:p>
          <w:p w14:paraId="7FE1B8A7" w14:textId="77777777" w:rsidR="00534D9A" w:rsidRDefault="003243B2">
            <w:pPr>
              <w:pStyle w:val="P68B1DB1-TableParagraph17"/>
              <w:numPr>
                <w:ilvl w:val="0"/>
                <w:numId w:val="70"/>
              </w:numPr>
              <w:spacing w:before="108"/>
              <w:jc w:val="both"/>
            </w:pPr>
            <w:r>
              <w:t>“Fondo de Garantía de Depósitos de Entidades de Crédito”</w:t>
            </w:r>
          </w:p>
          <w:p w14:paraId="7FE1B8A8" w14:textId="77777777" w:rsidR="00534D9A" w:rsidRDefault="003243B2">
            <w:pPr>
              <w:pStyle w:val="P68B1DB1-TableParagraph28"/>
              <w:spacing w:before="108"/>
              <w:ind w:left="85"/>
              <w:jc w:val="both"/>
            </w:pPr>
            <w:r>
              <w:t>L-Isvezja</w:t>
            </w:r>
          </w:p>
          <w:p w14:paraId="7FE1B8A9" w14:textId="77777777" w:rsidR="00534D9A" w:rsidRDefault="003243B2">
            <w:pPr>
              <w:pStyle w:val="P68B1DB1-TableParagraph17"/>
              <w:numPr>
                <w:ilvl w:val="0"/>
                <w:numId w:val="70"/>
              </w:numPr>
              <w:spacing w:before="108"/>
              <w:jc w:val="both"/>
            </w:pPr>
            <w:r>
              <w:t>“‘Riksgälden”</w:t>
            </w:r>
          </w:p>
          <w:p w14:paraId="7FE1B8AC" w14:textId="77777777" w:rsidR="00534D9A" w:rsidRDefault="00534D9A">
            <w:pPr>
              <w:pStyle w:val="TableParagraph"/>
              <w:spacing w:before="108"/>
              <w:ind w:left="85"/>
              <w:jc w:val="both"/>
              <w:rPr>
                <w:rFonts w:ascii="Times New Roman" w:eastAsia="Cambria" w:hAnsi="Times New Roman" w:cs="Times New Roman"/>
                <w:color w:val="000000" w:themeColor="text1"/>
                <w:sz w:val="20"/>
                <w:szCs w:val="20"/>
              </w:rPr>
            </w:pPr>
          </w:p>
          <w:p w14:paraId="7FE1B8AD" w14:textId="77777777" w:rsidR="00534D9A" w:rsidRDefault="003243B2">
            <w:pPr>
              <w:pStyle w:val="P68B1DB1-TableParagraph17"/>
              <w:spacing w:before="108"/>
              <w:ind w:left="85"/>
              <w:jc w:val="both"/>
            </w:pPr>
            <w:r>
              <w:t>Jekk l-SGD rikonoxxuta uffiċjalment li tagħha l-entità tkun membru ma tkunx elenkata hawn fuq, għandha tiġi rrapportata taħt “oħrajn”.</w:t>
            </w:r>
          </w:p>
        </w:tc>
      </w:tr>
      <w:tr w:rsidR="00534D9A" w14:paraId="7FE1B8B3" w14:textId="77777777">
        <w:tc>
          <w:tcPr>
            <w:tcW w:w="1191" w:type="dxa"/>
            <w:tcBorders>
              <w:top w:val="single" w:sz="4" w:space="0" w:color="1A171C"/>
              <w:left w:val="nil"/>
              <w:bottom w:val="single" w:sz="4" w:space="0" w:color="1A171C"/>
              <w:right w:val="single" w:sz="4" w:space="0" w:color="1A171C"/>
            </w:tcBorders>
          </w:tcPr>
          <w:p w14:paraId="7FE1B8AF" w14:textId="77777777" w:rsidR="00534D9A" w:rsidRDefault="003243B2">
            <w:pPr>
              <w:pStyle w:val="P68B1DB1-TableParagraph17"/>
              <w:spacing w:before="108"/>
              <w:ind w:left="85"/>
              <w:jc w:val="both"/>
            </w:pPr>
            <w:r>
              <w:lastRenderedPageBreak/>
              <w:t>0040</w:t>
            </w:r>
          </w:p>
        </w:tc>
        <w:tc>
          <w:tcPr>
            <w:tcW w:w="7892" w:type="dxa"/>
            <w:tcBorders>
              <w:top w:val="single" w:sz="4" w:space="0" w:color="1A171C"/>
              <w:left w:val="single" w:sz="4" w:space="0" w:color="1A171C"/>
              <w:bottom w:val="single" w:sz="4" w:space="0" w:color="1A171C"/>
              <w:right w:val="nil"/>
            </w:tcBorders>
          </w:tcPr>
          <w:p w14:paraId="7FE1B8B0" w14:textId="77777777" w:rsidR="00534D9A" w:rsidRDefault="003243B2">
            <w:pPr>
              <w:pStyle w:val="P68B1DB1-TableParagraph14"/>
              <w:spacing w:before="108"/>
              <w:ind w:left="85"/>
              <w:jc w:val="both"/>
              <w:rPr>
                <w:bCs/>
              </w:rPr>
            </w:pPr>
            <w:r>
              <w:t>L-ammont ta’ depożiti koperti</w:t>
            </w:r>
          </w:p>
          <w:p w14:paraId="7FE1B8B1" w14:textId="77777777" w:rsidR="00534D9A" w:rsidRDefault="003243B2">
            <w:pPr>
              <w:pStyle w:val="P68B1DB1-TableParagraph17"/>
              <w:spacing w:before="108"/>
              <w:ind w:left="85"/>
            </w:pPr>
            <w:r>
              <w:t>L-Artikoli 2(1)(5) u 6(2) tad-Direttiva 2014/49/UE</w:t>
            </w:r>
          </w:p>
          <w:p w14:paraId="7FE1B8B2" w14:textId="77777777" w:rsidR="00534D9A" w:rsidRDefault="003243B2">
            <w:pPr>
              <w:pStyle w:val="P68B1DB1-TableParagraph17"/>
              <w:spacing w:before="108"/>
              <w:ind w:left="85"/>
              <w:jc w:val="both"/>
            </w:pPr>
            <w:r>
              <w:t>L-ammont ta’ depożiti koperti kif definiti fil-punt (5) tal-Artikolu 2(1), flimkien mal-Artikolu 6, tad-Direttiva 2014/49/UE, kif koperti mill-iSGD fir-ringiela 00030, bl-esklużjoni ta’ bilanċi temporanjament għolja kif definiti fl-Artikolu 6(2) tad-Direttiva 2014/49/UE.</w:t>
            </w:r>
          </w:p>
        </w:tc>
      </w:tr>
      <w:tr w:rsidR="00534D9A" w14:paraId="7FE1B8B9" w14:textId="77777777">
        <w:tc>
          <w:tcPr>
            <w:tcW w:w="1191" w:type="dxa"/>
            <w:tcBorders>
              <w:top w:val="single" w:sz="4" w:space="0" w:color="1A171C"/>
              <w:left w:val="nil"/>
              <w:bottom w:val="single" w:sz="4" w:space="0" w:color="1A171C"/>
              <w:right w:val="single" w:sz="4" w:space="0" w:color="1A171C"/>
            </w:tcBorders>
          </w:tcPr>
          <w:p w14:paraId="7FE1B8B4" w14:textId="77777777" w:rsidR="00534D9A" w:rsidRDefault="003243B2">
            <w:pPr>
              <w:pStyle w:val="P68B1DB1-TableParagraph17"/>
              <w:spacing w:before="108"/>
              <w:ind w:left="85"/>
              <w:jc w:val="both"/>
            </w:pPr>
            <w:r>
              <w:t>0050</w:t>
            </w:r>
          </w:p>
        </w:tc>
        <w:tc>
          <w:tcPr>
            <w:tcW w:w="7892" w:type="dxa"/>
            <w:tcBorders>
              <w:top w:val="single" w:sz="4" w:space="0" w:color="1A171C"/>
              <w:left w:val="single" w:sz="4" w:space="0" w:color="1A171C"/>
              <w:bottom w:val="single" w:sz="4" w:space="0" w:color="1A171C"/>
              <w:right w:val="nil"/>
            </w:tcBorders>
          </w:tcPr>
          <w:p w14:paraId="7FE1B8B5" w14:textId="77777777" w:rsidR="00534D9A" w:rsidRDefault="003243B2">
            <w:pPr>
              <w:pStyle w:val="P68B1DB1-TableParagraph14"/>
              <w:spacing w:before="108"/>
              <w:ind w:left="85"/>
              <w:jc w:val="both"/>
              <w:rPr>
                <w:bCs/>
              </w:rPr>
            </w:pPr>
            <w:r>
              <w:t>L-Iskema ta’ Protezzjoni Istituzzjonali</w:t>
            </w:r>
          </w:p>
          <w:p w14:paraId="7FE1B8B6" w14:textId="77777777" w:rsidR="00534D9A" w:rsidRDefault="003243B2">
            <w:pPr>
              <w:pStyle w:val="P68B1DB1-TableParagraph17"/>
              <w:spacing w:before="108"/>
              <w:ind w:left="85"/>
            </w:pPr>
            <w:r>
              <w:t>L-Artikolu 113(7) tar-Regolament (UE) Nru 575/2013</w:t>
            </w:r>
          </w:p>
          <w:p w14:paraId="7FE1B8B7" w14:textId="77777777" w:rsidR="00534D9A" w:rsidRDefault="003243B2">
            <w:pPr>
              <w:pStyle w:val="P68B1DB1-TableParagraph17"/>
              <w:spacing w:before="108"/>
              <w:ind w:left="85"/>
              <w:jc w:val="both"/>
            </w:pPr>
            <w:r>
              <w:t>L-isem tal-Iskema ta’ Protezzjoni Istituzzjonali, kif imsemmija fl-Artikolu 113(7) tar-Regolament (UE) Nru 575/2013, li tagħha l-entità tkun membru. Tirrapporta xejn jekk l-entità ma tkunx membru ta’ IPS. Meta l-entità tkun membru ta’ SPI li hija wkoll uffiċjalment rikonoxxuta bħala SGD skont l-Artikolu 4(2) tad-Direttiva 2014/49/UE, l-isem tal-SPI għandu jkun identiku għall-isem tal-SGD fir-ringiela 030.</w:t>
            </w:r>
          </w:p>
          <w:p w14:paraId="7FE1B8B8" w14:textId="77777777" w:rsidR="00534D9A" w:rsidRDefault="00534D9A">
            <w:pPr>
              <w:pStyle w:val="TableParagraph"/>
              <w:spacing w:before="108"/>
              <w:ind w:left="85"/>
              <w:jc w:val="both"/>
              <w:rPr>
                <w:rFonts w:ascii="Times New Roman" w:eastAsia="Cambria" w:hAnsi="Times New Roman" w:cs="Times New Roman"/>
                <w:color w:val="000000" w:themeColor="text1"/>
                <w:sz w:val="20"/>
                <w:szCs w:val="20"/>
              </w:rPr>
            </w:pPr>
          </w:p>
        </w:tc>
      </w:tr>
      <w:tr w:rsidR="00534D9A" w14:paraId="7FE1B8BE" w14:textId="77777777">
        <w:tc>
          <w:tcPr>
            <w:tcW w:w="1191" w:type="dxa"/>
            <w:tcBorders>
              <w:top w:val="single" w:sz="4" w:space="0" w:color="1A171C"/>
              <w:left w:val="nil"/>
              <w:bottom w:val="single" w:sz="4" w:space="0" w:color="1A171C"/>
              <w:right w:val="single" w:sz="4" w:space="0" w:color="1A171C"/>
            </w:tcBorders>
          </w:tcPr>
          <w:p w14:paraId="7FE1B8BA" w14:textId="77777777" w:rsidR="00534D9A" w:rsidRDefault="003243B2">
            <w:pPr>
              <w:pStyle w:val="P68B1DB1-TableParagraph17"/>
              <w:spacing w:before="108"/>
              <w:ind w:left="85"/>
              <w:jc w:val="both"/>
            </w:pPr>
            <w:r>
              <w:t>0060</w:t>
            </w:r>
          </w:p>
        </w:tc>
        <w:tc>
          <w:tcPr>
            <w:tcW w:w="7892" w:type="dxa"/>
            <w:tcBorders>
              <w:top w:val="single" w:sz="4" w:space="0" w:color="1A171C"/>
              <w:left w:val="single" w:sz="4" w:space="0" w:color="1A171C"/>
              <w:bottom w:val="single" w:sz="4" w:space="0" w:color="1A171C"/>
              <w:right w:val="nil"/>
            </w:tcBorders>
          </w:tcPr>
          <w:p w14:paraId="7FE1B8BB" w14:textId="77777777" w:rsidR="00534D9A" w:rsidRDefault="003243B2">
            <w:pPr>
              <w:pStyle w:val="P68B1DB1-TableParagraph14"/>
              <w:spacing w:before="108"/>
              <w:ind w:left="85"/>
              <w:jc w:val="both"/>
              <w:rPr>
                <w:bCs/>
              </w:rPr>
            </w:pPr>
            <w:r>
              <w:t>Protezzjoni addizzjonali skont skema kuntrattwali</w:t>
            </w:r>
          </w:p>
          <w:p w14:paraId="7FE1B8BC" w14:textId="77777777" w:rsidR="00534D9A" w:rsidRDefault="003243B2">
            <w:pPr>
              <w:pStyle w:val="P68B1DB1-TableParagraph17"/>
              <w:spacing w:before="108"/>
              <w:ind w:left="85"/>
            </w:pPr>
            <w:r>
              <w:t>L-Artikolu 1(3)(a) tad-Direttiva 2014/49/UE</w:t>
            </w:r>
          </w:p>
          <w:p w14:paraId="7FE1B8BD" w14:textId="77777777" w:rsidR="00534D9A" w:rsidRDefault="003243B2">
            <w:pPr>
              <w:pStyle w:val="P68B1DB1-TableParagraph17"/>
              <w:spacing w:before="108"/>
              <w:ind w:left="85"/>
              <w:jc w:val="both"/>
            </w:pPr>
            <w:r>
              <w:t>Ammonti ta’ depożiti koperti minn skema kuntrattwali fl-Entità.</w:t>
            </w:r>
          </w:p>
        </w:tc>
      </w:tr>
    </w:tbl>
    <w:p w14:paraId="7FE1B8BF" w14:textId="77777777" w:rsidR="00534D9A" w:rsidRDefault="00534D9A">
      <w:pPr>
        <w:rPr>
          <w:rFonts w:ascii="Times New Roman" w:hAnsi="Times New Roman" w:cs="Times New Roman"/>
          <w:b/>
          <w:color w:val="000000" w:themeColor="text1"/>
          <w:sz w:val="20"/>
          <w:szCs w:val="20"/>
          <w:u w:val="single"/>
        </w:rPr>
      </w:pPr>
    </w:p>
    <w:p w14:paraId="7FE1B8C0" w14:textId="77777777" w:rsidR="00534D9A" w:rsidRDefault="003243B2">
      <w:pPr>
        <w:pStyle w:val="P68B1DB1-Instructionsberschrift25"/>
        <w:numPr>
          <w:ilvl w:val="1"/>
          <w:numId w:val="49"/>
        </w:numPr>
        <w:ind w:left="357" w:hanging="357"/>
      </w:pPr>
      <w:bookmarkStart w:id="100" w:name="_Toc492542327"/>
      <w:bookmarkStart w:id="101" w:name="_Toc81454186"/>
      <w:bookmarkStart w:id="102" w:name="_Toc208245002"/>
      <w:r>
        <w:t>Il-funzjonijiet kritiċi u l-linji ta’ negozju ewlenin</w:t>
      </w:r>
      <w:bookmarkEnd w:id="100"/>
      <w:bookmarkEnd w:id="101"/>
      <w:bookmarkEnd w:id="102"/>
    </w:p>
    <w:p w14:paraId="7FE1B8C2" w14:textId="77777777" w:rsidR="00534D9A" w:rsidRDefault="003243B2">
      <w:pPr>
        <w:pStyle w:val="Instructionsberschrift3"/>
      </w:pPr>
      <w:bookmarkStart w:id="103" w:name="_Toc189492773"/>
      <w:bookmarkStart w:id="104" w:name="_Toc192249050"/>
      <w:bookmarkEnd w:id="103"/>
      <w:bookmarkEnd w:id="104"/>
      <w:r>
        <w:t>Kummenti ġenerali</w:t>
      </w:r>
    </w:p>
    <w:p w14:paraId="7FE1B8C3" w14:textId="249305A0" w:rsidR="00534D9A" w:rsidRDefault="003243B2">
      <w:pPr>
        <w:pStyle w:val="P68B1DB1-InstructionsText26"/>
        <w:numPr>
          <w:ilvl w:val="0"/>
          <w:numId w:val="232"/>
        </w:numPr>
        <w:spacing w:before="0"/>
      </w:pPr>
      <w:r>
        <w:t>L-erba’ mudelli ta’ din it-taqsima jipprovdu data ewlenija u valutazzjonijiet kwalitattivi tal-impatt, tas-sostitwibbiltà u tal-kritikalità tal-funzjonijiet ekonomiċi li qed jipprovdi l-grupp, issupplimentati minn immappjar ta’ dawk il-funzjonijiet kritiċi lil-linji tan-negozju ewlenin u lill-entitajiet ġuridiċi u minn immappjar tal-linji tan-negozju ewlenin lill-entitajiet ġuridiċi.</w:t>
      </w:r>
    </w:p>
    <w:p w14:paraId="7FE1B8C4" w14:textId="77777777" w:rsidR="00534D9A" w:rsidRDefault="003243B2">
      <w:pPr>
        <w:pStyle w:val="P68B1DB1-InstructionsText26"/>
        <w:numPr>
          <w:ilvl w:val="0"/>
          <w:numId w:val="232"/>
        </w:numPr>
        <w:spacing w:before="0"/>
      </w:pPr>
      <w:r>
        <w:t>B’mod aktar speċifiku, il-mudelli huma ddedikati għas-suġġetti li ġejjin:</w:t>
      </w:r>
    </w:p>
    <w:p w14:paraId="7FE1B8C5" w14:textId="0233F295" w:rsidR="00534D9A" w:rsidRDefault="003243B2">
      <w:pPr>
        <w:pStyle w:val="P68B1DB1-InstructionsText26"/>
        <w:numPr>
          <w:ilvl w:val="0"/>
          <w:numId w:val="153"/>
        </w:numPr>
        <w:spacing w:before="0"/>
      </w:pPr>
      <w:r>
        <w:t>Il-mudell Z 07.01 — Valutazzjoni tal-kritikalità tal-funzjonijiet ekonomiċi (FUNC 1) jipprovdi r-riżultati tal-valutazzjoni tal-kritikalità tal-funzjonijiet ekonomiċi mwettqa mill-grupp, abbażi ta’ indikaturi kwantitattivi u kwalitattivi, il-funzjonijiet mhux kritiċi u kritiċi mwettqa. Mudell separat huwa mistenni mill-grupp għal kull Stat Membru li fih ikun attiv il-grupp. Il-kategoriji li ġejjin ta’ funzjonijiet ekonomiċi ġew identifikati għar-rapportar:</w:t>
      </w:r>
    </w:p>
    <w:p w14:paraId="7FE1B8C6" w14:textId="43527C6F" w:rsidR="00534D9A" w:rsidRDefault="003243B2">
      <w:pPr>
        <w:pStyle w:val="P68B1DB1-InstructionsText26"/>
        <w:numPr>
          <w:ilvl w:val="1"/>
          <w:numId w:val="153"/>
        </w:numPr>
        <w:spacing w:before="0"/>
      </w:pPr>
      <w:r>
        <w:t>Z 07.01.1 Depożiti</w:t>
      </w:r>
    </w:p>
    <w:p w14:paraId="7FE1B8C7" w14:textId="46AB6183" w:rsidR="00534D9A" w:rsidRDefault="003243B2">
      <w:pPr>
        <w:pStyle w:val="P68B1DB1-InstructionsText26"/>
        <w:numPr>
          <w:ilvl w:val="1"/>
          <w:numId w:val="153"/>
        </w:numPr>
        <w:spacing w:before="0"/>
      </w:pPr>
      <w:r>
        <w:t>Z 07.01.2 Self</w:t>
      </w:r>
    </w:p>
    <w:p w14:paraId="7FE1B8C8" w14:textId="284FDD0B" w:rsidR="00534D9A" w:rsidRDefault="003243B2">
      <w:pPr>
        <w:pStyle w:val="P68B1DB1-InstructionsText26"/>
        <w:numPr>
          <w:ilvl w:val="1"/>
          <w:numId w:val="153"/>
        </w:numPr>
        <w:spacing w:before="0"/>
      </w:pPr>
      <w:r>
        <w:t>Z 07.01.3 Servizzi ta’ Pagamenti, Flus, Saldu, Ikklerjar, Kustodja</w:t>
      </w:r>
    </w:p>
    <w:p w14:paraId="7FE1B8C9" w14:textId="12E4110D" w:rsidR="00534D9A" w:rsidRDefault="003243B2">
      <w:pPr>
        <w:pStyle w:val="P68B1DB1-InstructionsText26"/>
        <w:numPr>
          <w:ilvl w:val="1"/>
          <w:numId w:val="153"/>
        </w:numPr>
        <w:spacing w:before="0"/>
      </w:pPr>
      <w:r>
        <w:t>Z 07.01.4 Swieq Kapitali</w:t>
      </w:r>
    </w:p>
    <w:p w14:paraId="7FE1B8CA" w14:textId="02162CC7" w:rsidR="00534D9A" w:rsidRDefault="003243B2">
      <w:pPr>
        <w:pStyle w:val="P68B1DB1-InstructionsText26"/>
        <w:numPr>
          <w:ilvl w:val="1"/>
          <w:numId w:val="153"/>
        </w:numPr>
        <w:spacing w:before="0"/>
      </w:pPr>
      <w:r>
        <w:t>Z 07.01.5 Finanzjament bl-Ingrossa</w:t>
      </w:r>
    </w:p>
    <w:p w14:paraId="7FE1B8CB" w14:textId="006771C1" w:rsidR="00534D9A" w:rsidRDefault="003243B2">
      <w:pPr>
        <w:pStyle w:val="P68B1DB1-InstructionsText26"/>
        <w:numPr>
          <w:ilvl w:val="0"/>
          <w:numId w:val="153"/>
        </w:numPr>
        <w:spacing w:before="0"/>
      </w:pPr>
      <w:r>
        <w:t>Il-mudell Z 07.02 — Immappjar tal-funzjonijiet ekonomiċi ma’ entitajiet ġuridiċi (FUNC 2) jimmappja l-funzjonijiet ekonomiċi, ivvalutati f’Z 07.01, ma’ entitajiet ġuridiċi jew fergħat internazzjonali, kif identifikati f’Z 01.01.</w:t>
      </w:r>
    </w:p>
    <w:p w14:paraId="7FE1B8CC" w14:textId="0C5FD434" w:rsidR="00534D9A" w:rsidRDefault="003243B2">
      <w:pPr>
        <w:pStyle w:val="P68B1DB1-InstructionsText26"/>
        <w:numPr>
          <w:ilvl w:val="0"/>
          <w:numId w:val="153"/>
        </w:numPr>
        <w:spacing w:before="0"/>
      </w:pPr>
      <w:r>
        <w:t>Il-Mudell Z 07.03 — L-immappjar tal-Linji ta’ Negozju Ewlenin skont l-entitajiet ġuridiċi (FUNC 3) jipprovdi lista kompluta ta’ linji ta’ negozju ewlenin u jimmappjahom mal-entitajiet ġuridiċi;</w:t>
      </w:r>
    </w:p>
    <w:p w14:paraId="7FE1B8CD" w14:textId="780FA7AD" w:rsidR="00534D9A" w:rsidRDefault="003243B2">
      <w:pPr>
        <w:pStyle w:val="P68B1DB1-InstructionsText26"/>
        <w:numPr>
          <w:ilvl w:val="0"/>
          <w:numId w:val="153"/>
        </w:numPr>
        <w:spacing w:before="0"/>
      </w:pPr>
      <w:r>
        <w:lastRenderedPageBreak/>
        <w:t xml:space="preserve">Il-mudell Z 07.04 — Immappjar tal-funzjonijiet ekonomiku mal-linji ta’ negozju ewlenin (FUNC 4) jimmappja l-funzjonijiet ekonomiku identifikati mal-linji ta’ negozju. </w:t>
      </w:r>
    </w:p>
    <w:p w14:paraId="7FE1B8CE" w14:textId="0BA07F41" w:rsidR="00534D9A" w:rsidRDefault="003243B2">
      <w:pPr>
        <w:pStyle w:val="P68B1DB1-InstructionsText26"/>
        <w:numPr>
          <w:ilvl w:val="0"/>
          <w:numId w:val="232"/>
        </w:numPr>
        <w:spacing w:before="0"/>
      </w:pPr>
      <w:r>
        <w:t xml:space="preserve">Skont il-punt 35 tal-Artikolu 2(1) tad-Direttiva 2014/59/UE, funzjonijiet kritiċi tfisser attivitajiet, servizzi jew operazzjonijiet li t-twaqqif tagħhom fi Stat Membru wieħed jew aktar, iwassal għal tħarbit tas-servizzi li huma essenzjali għall-ekonomija reali jew għal tħarbit tal-istabilità finanzjarja minħabba d-daqs, is-sehem tas-suq, l-interkonnettività esterna u interna, il-kumplessità jew l-attivitajiet transfruntiera ta’ istituzzjoni jew grupp, fir-rigward, b’mod partikolari, tas-sostitwibbiltà ta’ </w:t>
      </w:r>
      <w:r>
        <w:t xml:space="preserve">dawk l-attivitajiet, servizzi jew operazzjonijiet. </w:t>
      </w:r>
    </w:p>
    <w:p w14:paraId="7FE1B8D0" w14:textId="77777777" w:rsidR="00534D9A" w:rsidRDefault="003243B2">
      <w:pPr>
        <w:pStyle w:val="P68B1DB1-InstructionsText26"/>
        <w:numPr>
          <w:ilvl w:val="0"/>
          <w:numId w:val="232"/>
        </w:numPr>
        <w:spacing w:before="0"/>
      </w:pPr>
      <w:r>
        <w:t>Skont l-Artikolu 6(1) tar-Regolament tal-Kummissjoni (UE</w:t>
      </w:r>
      <w:r>
        <w:footnoteReference w:id="18"/>
      </w:r>
      <w:r>
        <w:t>) 2016/778, funzjoni għandha titqies kritika, meta tkun tissodisfa dawn it-tnejn li ġejjin:</w:t>
      </w:r>
    </w:p>
    <w:p w14:paraId="7FE1B8D1" w14:textId="77777777" w:rsidR="00534D9A" w:rsidRDefault="003243B2">
      <w:pPr>
        <w:pStyle w:val="P68B1DB1-Normal3"/>
        <w:numPr>
          <w:ilvl w:val="0"/>
          <w:numId w:val="56"/>
        </w:numPr>
        <w:spacing w:line="276" w:lineRule="auto"/>
        <w:contextualSpacing/>
        <w:jc w:val="both"/>
      </w:pPr>
      <w:r>
        <w:t>il-funzjoni hija pprovduta minn istituzzjoni lil partijiet terzi li mhumiex affiljati ma’ istituzzjoni jew grupp; kif ukoll</w:t>
      </w:r>
    </w:p>
    <w:p w14:paraId="7FE1B8D2" w14:textId="77777777" w:rsidR="00534D9A" w:rsidRDefault="003243B2">
      <w:pPr>
        <w:pStyle w:val="P68B1DB1-Normal3"/>
        <w:numPr>
          <w:ilvl w:val="0"/>
          <w:numId w:val="56"/>
        </w:numPr>
        <w:spacing w:line="276" w:lineRule="auto"/>
        <w:contextualSpacing/>
        <w:jc w:val="both"/>
        <w:rPr>
          <w:i/>
        </w:rPr>
      </w:pPr>
      <w:r>
        <w:t>in-nuqqas tagħha jwassal għal tfixkil li x’aktarx ikollu impatt negattiv materjali fuq partijiet terzi, iwassal għal kontaġju jew jimmina l-kunfidenza ġenerali tal-parteċipant fis-suq minħabba r-relevanza sistemika tal-funzjoni għal partijiet terzi u r-relevanza sistemika tal-istituzzjoni jew il-grupp biex jipprovdu l-funzjoni.</w:t>
      </w:r>
    </w:p>
    <w:p w14:paraId="7FE1B8D3" w14:textId="6B4413EC" w:rsidR="00534D9A" w:rsidRDefault="003243B2">
      <w:pPr>
        <w:pStyle w:val="P68B1DB1-InstructionsText26"/>
        <w:numPr>
          <w:ilvl w:val="0"/>
          <w:numId w:val="232"/>
        </w:numPr>
        <w:spacing w:before="0"/>
      </w:pPr>
      <w:r>
        <w:t>Skont il-punt (36) tal-Artikolu 2(1) tad-Direttiva 2014/59/UE, “linji ta’ negozju ewlenin” tfisser linji ta’ negozju u servizzi assoċjati li jirrappreżentaw sorsi materjali ta’ dħul, profitt jew valur tal-franchise għal istituzzjoni jew għal grupp li tifforma parti minnu l-istituzzjoni.</w:t>
      </w:r>
    </w:p>
    <w:p w14:paraId="7FE1B8D4" w14:textId="77777777" w:rsidR="00534D9A" w:rsidRDefault="003243B2">
      <w:pPr>
        <w:pStyle w:val="P68B1DB1-InstructionsText26"/>
        <w:numPr>
          <w:ilvl w:val="0"/>
          <w:numId w:val="232"/>
        </w:numPr>
        <w:spacing w:before="0"/>
      </w:pPr>
      <w:r>
        <w:t>Għall-finijiet ta’ dan il-mudell, funzjonijiet ekonomiċi għandhom jirreferu għall-funzjonijiet elenkati fit-tabella ta’ hawn taħt.</w:t>
      </w:r>
    </w:p>
    <w:p w14:paraId="7FE1B8D5" w14:textId="77777777" w:rsidR="00534D9A" w:rsidRDefault="003243B2">
      <w:pPr>
        <w:pStyle w:val="P68B1DB1-InstructionsText26"/>
        <w:numPr>
          <w:ilvl w:val="0"/>
          <w:numId w:val="232"/>
        </w:numPr>
        <w:spacing w:before="0"/>
      </w:pPr>
      <w:r>
        <w:t>Għal kull kategorija ta’ funzjonijiet ekonomiċi, tista’ tintgħażel funzjoni ekonomika “oħra” jekk il-funzjoni ma tkunx koperta mill-funzjonijiet predefiniti l-oħra.</w:t>
      </w:r>
    </w:p>
    <w:p w14:paraId="7FE1B8D6" w14:textId="77777777" w:rsidR="00534D9A" w:rsidRDefault="003243B2">
      <w:pPr>
        <w:pStyle w:val="P68B1DB1-InstructionsText26"/>
        <w:numPr>
          <w:ilvl w:val="0"/>
          <w:numId w:val="232"/>
        </w:numPr>
        <w:spacing w:before="0"/>
      </w:pPr>
      <w:r>
        <w:t>Il-kontropartijiet imsemmija fir-ringieli minn 0010 sa 0070 u fir-ringieli minn 0080 sa 0150 huma ddefiniti bl-istess mod bħas-setturi ta’ kontroparti kif previst f’FINREP, l-Anness V, il-Parti 1, il-Kapitolu 6. “SMEs” tirreferi għall-SMEs kif definiti f’FINREP, l-Anness V, il-Parti 1, il-paragrafu 5, il-punt (i).</w:t>
      </w:r>
    </w:p>
    <w:p w14:paraId="7FE1B8D7" w14:textId="4FEDF533" w:rsidR="00534D9A" w:rsidRDefault="003243B2">
      <w:pPr>
        <w:pStyle w:val="P68B1DB1-InstructionsText229"/>
        <w:numPr>
          <w:ilvl w:val="0"/>
          <w:numId w:val="0"/>
        </w:numPr>
        <w:rPr>
          <w:sz w:val="20"/>
          <w:szCs w:val="20"/>
        </w:rPr>
      </w:pPr>
      <w:r>
        <w:rPr>
          <w:sz w:val="20"/>
          <w:szCs w:val="20"/>
        </w:rPr>
        <w:t>Hija mistennija tab separata għal kull waħda mill-kategoriji tal-funzjonijiet ekonomiċi.</w:t>
      </w:r>
      <w:r>
        <w:t xml:space="preserve"> </w:t>
      </w:r>
    </w:p>
    <w:p w14:paraId="072982A7" w14:textId="0688FD4A" w:rsidR="00534D9A" w:rsidRDefault="003243B2">
      <w:pPr>
        <w:spacing w:after="200" w:line="276" w:lineRule="auto"/>
      </w:pPr>
      <w:r>
        <w:br w:type="page"/>
      </w:r>
    </w:p>
    <w:p w14:paraId="7FE1B95D" w14:textId="634EB818" w:rsidR="00534D9A" w:rsidRDefault="00534D9A">
      <w:pPr>
        <w:pStyle w:val="InstructionsText2"/>
        <w:numPr>
          <w:ilvl w:val="0"/>
          <w:numId w:val="0"/>
        </w:numPr>
        <w:rPr>
          <w:rFonts w:ascii="Times New Roman" w:hAnsi="Times New Roman" w:cs="Times New Roman"/>
          <w:color w:val="000000" w:themeColor="text1"/>
        </w:rPr>
      </w:pPr>
    </w:p>
    <w:p w14:paraId="7FE1B95E" w14:textId="77777777" w:rsidR="00534D9A" w:rsidRDefault="003243B2">
      <w:pPr>
        <w:pStyle w:val="P68B1DB1-Instructionsberschrift25"/>
        <w:numPr>
          <w:ilvl w:val="1"/>
          <w:numId w:val="49"/>
        </w:numPr>
        <w:ind w:left="357" w:hanging="357"/>
      </w:pPr>
      <w:bookmarkStart w:id="105" w:name="_Toc208245003"/>
      <w:r>
        <w:t>Z 07.01 — Valutazzjoni tal-kritiċità tal-funzjonijiet ekonomiċi (FUNC 1)</w:t>
      </w:r>
      <w:bookmarkEnd w:id="105"/>
    </w:p>
    <w:p w14:paraId="7FE1B960" w14:textId="7174EDC4" w:rsidR="00534D9A" w:rsidRDefault="003243B2">
      <w:pPr>
        <w:pStyle w:val="P68B1DB1-Instructionsberschrift25"/>
      </w:pPr>
      <w:r>
        <w:t xml:space="preserve"> </w:t>
      </w:r>
      <w:bookmarkStart w:id="106" w:name="_Toc172723210"/>
      <w:bookmarkEnd w:id="106"/>
    </w:p>
    <w:p w14:paraId="7FE1B961" w14:textId="77777777" w:rsidR="00534D9A" w:rsidRDefault="003243B2">
      <w:pPr>
        <w:pStyle w:val="P68B1DB1-body30"/>
      </w:pPr>
      <w:bookmarkStart w:id="107" w:name="_Toc164263845"/>
      <w:r>
        <w:t>Struzzjonijiet li jikkonċernaw pożizzjonijiet speċifiċi</w:t>
      </w:r>
      <w:bookmarkEnd w:id="107"/>
    </w:p>
    <w:p w14:paraId="7FE1B963" w14:textId="77777777" w:rsidR="00534D9A" w:rsidRDefault="003243B2">
      <w:pPr>
        <w:pStyle w:val="P68B1DB1-InstructionsText26"/>
        <w:numPr>
          <w:ilvl w:val="0"/>
          <w:numId w:val="232"/>
        </w:numPr>
        <w:spacing w:before="0"/>
      </w:pPr>
      <w:r>
        <w:t>Dan il-mudell għandu jiġi rrapportat darba għal kull Stat Membru (identifikat bħala “pajjiż”) fejn il-grupp ikun attiv. Fil-każijiet kollha (irrispettivament mill-punt tad-dħul), il-fergħat għandhom jiġu aggregati fir-rapport tal-pajjiż li fih jipprovdu s-servizzi.</w:t>
      </w:r>
    </w:p>
    <w:p w14:paraId="7FE1B964" w14:textId="77777777" w:rsidR="00534D9A" w:rsidRDefault="003243B2">
      <w:pPr>
        <w:pStyle w:val="P68B1DB1-InstructionsText26"/>
        <w:numPr>
          <w:ilvl w:val="0"/>
          <w:numId w:val="232"/>
        </w:numPr>
        <w:spacing w:before="0"/>
      </w:pPr>
      <w:r>
        <w:t>Dan ikopri l-funzjonijiet ekonomiċi kollha mwettqa f’dak l-Istat Membru minn kull entità fi grupp, kemm jekk dik il-funzjoni tirrappreżenta funzjoni kritika kif ukoll jekk le.</w:t>
      </w:r>
    </w:p>
    <w:p w14:paraId="7FE1B965" w14:textId="2359C381" w:rsidR="00534D9A" w:rsidRDefault="003243B2">
      <w:pPr>
        <w:pStyle w:val="P68B1DB1-InstructionsText26"/>
        <w:numPr>
          <w:ilvl w:val="0"/>
          <w:numId w:val="232"/>
        </w:numPr>
      </w:pPr>
      <w:r>
        <w:t>Rappurtar Reġjonali (meta applikabbli biss)</w:t>
      </w:r>
    </w:p>
    <w:p w14:paraId="7FE1B966" w14:textId="226CA454" w:rsidR="00534D9A" w:rsidRDefault="003243B2">
      <w:pPr>
        <w:pStyle w:val="P68B1DB1-InstructionsText26"/>
        <w:numPr>
          <w:ilvl w:val="0"/>
          <w:numId w:val="0"/>
        </w:numPr>
        <w:ind w:left="1440"/>
      </w:pPr>
      <w:r>
        <w:t>Għal informazzjoni fil-livell ta’ reġjun, iddefinixxi r-reġjun. Ipprovdi l-isem tar-reġjun f’test liberu bl-użu tal-konvenzjoni li ġejja:</w:t>
      </w:r>
    </w:p>
    <w:p w14:paraId="7FE1B967" w14:textId="5BD4C7F8" w:rsidR="00534D9A" w:rsidRDefault="003243B2">
      <w:pPr>
        <w:pStyle w:val="P68B1DB1-InstructionsText26"/>
        <w:numPr>
          <w:ilvl w:val="0"/>
          <w:numId w:val="0"/>
        </w:numPr>
        <w:ind w:left="1440" w:firstLine="18"/>
      </w:pPr>
      <w:r>
        <w:t>Stat Membru — isem ir-reġjun. Għall-isem tal-istati membri, uża l-abbrevjazzjoni taż-żewġ ittri rispettivi. Għall-isem tar-reġjun uża l-kodiċi jew il-kodiċijiet fil-klassifikazzjoni NUTS 2021.</w:t>
      </w:r>
    </w:p>
    <w:p w14:paraId="7FE1B968" w14:textId="77777777" w:rsidR="00534D9A" w:rsidRDefault="00534D9A">
      <w:pPr>
        <w:pStyle w:val="InstructionsText2"/>
        <w:numPr>
          <w:ilvl w:val="0"/>
          <w:numId w:val="0"/>
        </w:numPr>
        <w:rPr>
          <w:rFonts w:ascii="Times New Roman" w:hAnsi="Times New Roman" w:cs="Times New Roman"/>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34D9A" w14:paraId="7FE1B96B"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969" w14:textId="77777777" w:rsidR="00534D9A" w:rsidRDefault="003243B2">
            <w:pPr>
              <w:pStyle w:val="P68B1DB1-TableParagraph17"/>
              <w:spacing w:before="108"/>
              <w:ind w:left="85"/>
              <w:jc w:val="both"/>
            </w:pPr>
            <w:r>
              <w:t>Ringieli</w:t>
            </w:r>
          </w:p>
        </w:tc>
        <w:tc>
          <w:tcPr>
            <w:tcW w:w="7892" w:type="dxa"/>
            <w:tcBorders>
              <w:top w:val="single" w:sz="4" w:space="0" w:color="1A171C"/>
              <w:left w:val="single" w:sz="4" w:space="0" w:color="1A171C"/>
              <w:bottom w:val="single" w:sz="4" w:space="0" w:color="1A171C"/>
              <w:right w:val="nil"/>
            </w:tcBorders>
            <w:shd w:val="clear" w:color="auto" w:fill="E4E5E5"/>
          </w:tcPr>
          <w:p w14:paraId="7FE1B96A" w14:textId="77777777" w:rsidR="00534D9A" w:rsidRDefault="003243B2">
            <w:pPr>
              <w:pStyle w:val="P68B1DB1-TableParagraph17"/>
              <w:spacing w:before="108"/>
              <w:ind w:left="85" w:right="1"/>
              <w:jc w:val="both"/>
            </w:pPr>
            <w:r>
              <w:t>Il-funzjoni ekonomika</w:t>
            </w:r>
          </w:p>
        </w:tc>
      </w:tr>
      <w:tr w:rsidR="00534D9A" w14:paraId="7FE1B970" w14:textId="77777777">
        <w:tc>
          <w:tcPr>
            <w:tcW w:w="9083" w:type="dxa"/>
            <w:gridSpan w:val="2"/>
            <w:tcBorders>
              <w:top w:val="single" w:sz="4" w:space="0" w:color="1A171C"/>
              <w:left w:val="nil"/>
              <w:bottom w:val="single" w:sz="4" w:space="0" w:color="1A171C"/>
            </w:tcBorders>
          </w:tcPr>
          <w:p w14:paraId="7FE1B96C" w14:textId="0D085442" w:rsidR="00534D9A" w:rsidRDefault="003243B2">
            <w:pPr>
              <w:pStyle w:val="P68B1DB1-TableParagraph16"/>
              <w:spacing w:before="108"/>
              <w:ind w:left="85"/>
              <w:jc w:val="both"/>
              <w:rPr>
                <w:b/>
                <w:bCs/>
                <w:color w:val="000000" w:themeColor="text1"/>
                <w:sz w:val="20"/>
                <w:szCs w:val="20"/>
              </w:rPr>
            </w:pPr>
            <w:r>
              <w:t>Z 07.01.1 FUNC 1 DEP</w:t>
            </w:r>
          </w:p>
          <w:p w14:paraId="7FE1B96D" w14:textId="77777777" w:rsidR="00534D9A" w:rsidRDefault="003243B2">
            <w:pPr>
              <w:pStyle w:val="P68B1DB1-TableParagraph17"/>
              <w:spacing w:before="108"/>
              <w:ind w:left="85"/>
            </w:pPr>
            <w:r>
              <w:t xml:space="preserve">It-teħid ta’ depożitu għandu jirreferi għall-aċċettazzjoni ta’ depożiti minn kuntraparti mhux finanzjarji. Dan ma jinkludix it-teħid b’self minn intermedjarji finanzjarji oħra, li huwa trattat separatament fil-“finanzjament tal-operaturi”. </w:t>
            </w:r>
          </w:p>
          <w:p w14:paraId="7FE1B96E" w14:textId="77777777" w:rsidR="00534D9A" w:rsidRDefault="003243B2">
            <w:pPr>
              <w:pStyle w:val="P68B1DB1-TableParagraph17"/>
              <w:spacing w:before="108"/>
              <w:ind w:left="85"/>
            </w:pPr>
            <w:r>
              <w:t>Id-depożiti jinkludu: i) kontijiet kurrenti/depożiti mil-lum għall-għada, ii) depożiti b’maturità miftiehma, u iii) depożiti mifdija b’notifika, u jeskludu l-ftehimiet ta’ riakkwist.</w:t>
            </w:r>
          </w:p>
          <w:p w14:paraId="7FE1B96F" w14:textId="77777777" w:rsidR="00534D9A" w:rsidRDefault="003243B2">
            <w:pPr>
              <w:pStyle w:val="P68B1DB1-TableParagraph13"/>
              <w:spacing w:before="108"/>
              <w:ind w:left="85"/>
              <w:rPr>
                <w:rFonts w:eastAsia="Cambria"/>
              </w:rPr>
            </w:pPr>
            <w:r>
              <w:t>Referenzi: Gwida tal-FSB dwar l-Identifikazzjoni ta’ Funzjonijiet Kritiċi u s-Servizzi Kondiviżi Kritiċi (2013) p. 14; L-Anness II, il-Parti 2, il-punti 9.1, 9.2 u 9.3 tar-Regolament (UE) 2021/379.</w:t>
            </w:r>
          </w:p>
        </w:tc>
      </w:tr>
      <w:tr w:rsidR="00534D9A" w14:paraId="7FE1B973" w14:textId="77777777">
        <w:tc>
          <w:tcPr>
            <w:tcW w:w="1191" w:type="dxa"/>
            <w:tcBorders>
              <w:top w:val="single" w:sz="4" w:space="0" w:color="1A171C"/>
              <w:left w:val="nil"/>
              <w:bottom w:val="single" w:sz="4" w:space="0" w:color="1A171C"/>
              <w:right w:val="single" w:sz="4" w:space="0" w:color="1A171C"/>
            </w:tcBorders>
          </w:tcPr>
          <w:p w14:paraId="7FE1B971" w14:textId="77777777" w:rsidR="00534D9A" w:rsidRDefault="003243B2">
            <w:pPr>
              <w:pStyle w:val="P68B1DB1-TableParagraph17"/>
              <w:spacing w:before="108"/>
              <w:ind w:left="85"/>
              <w:jc w:val="both"/>
            </w:pPr>
            <w:r>
              <w:t>0010</w:t>
            </w:r>
          </w:p>
        </w:tc>
        <w:tc>
          <w:tcPr>
            <w:tcW w:w="7892" w:type="dxa"/>
            <w:tcBorders>
              <w:top w:val="single" w:sz="4" w:space="0" w:color="1A171C"/>
              <w:left w:val="single" w:sz="4" w:space="0" w:color="1A171C"/>
              <w:bottom w:val="single" w:sz="4" w:space="0" w:color="1A171C"/>
              <w:right w:val="nil"/>
            </w:tcBorders>
          </w:tcPr>
          <w:p w14:paraId="7FE1B972" w14:textId="77777777" w:rsidR="00534D9A" w:rsidRDefault="003243B2">
            <w:pPr>
              <w:pStyle w:val="P68B1DB1-TableParagraph14"/>
              <w:spacing w:before="108"/>
              <w:ind w:left="85"/>
              <w:jc w:val="both"/>
              <w:rPr>
                <w:rFonts w:eastAsia="Cambria"/>
              </w:rPr>
            </w:pPr>
            <w:r>
              <w:t>Unitajiet domestiċi</w:t>
            </w:r>
          </w:p>
        </w:tc>
      </w:tr>
      <w:tr w:rsidR="00534D9A" w14:paraId="7FE1B976" w14:textId="77777777">
        <w:tc>
          <w:tcPr>
            <w:tcW w:w="1191" w:type="dxa"/>
            <w:tcBorders>
              <w:top w:val="single" w:sz="4" w:space="0" w:color="1A171C"/>
              <w:left w:val="nil"/>
              <w:bottom w:val="single" w:sz="4" w:space="0" w:color="1A171C"/>
              <w:right w:val="single" w:sz="4" w:space="0" w:color="1A171C"/>
            </w:tcBorders>
          </w:tcPr>
          <w:p w14:paraId="7FE1B974" w14:textId="77777777" w:rsidR="00534D9A" w:rsidRDefault="003243B2">
            <w:pPr>
              <w:pStyle w:val="P68B1DB1-TableParagraph17"/>
              <w:spacing w:before="108"/>
              <w:ind w:left="85"/>
              <w:jc w:val="both"/>
            </w:pPr>
            <w:r>
              <w:t>0020</w:t>
            </w:r>
          </w:p>
        </w:tc>
        <w:tc>
          <w:tcPr>
            <w:tcW w:w="7892" w:type="dxa"/>
            <w:tcBorders>
              <w:top w:val="single" w:sz="4" w:space="0" w:color="1A171C"/>
              <w:left w:val="single" w:sz="4" w:space="0" w:color="1A171C"/>
              <w:bottom w:val="single" w:sz="4" w:space="0" w:color="1A171C"/>
              <w:right w:val="nil"/>
            </w:tcBorders>
          </w:tcPr>
          <w:p w14:paraId="7FE1B975" w14:textId="77777777" w:rsidR="00534D9A" w:rsidRDefault="003243B2">
            <w:pPr>
              <w:pStyle w:val="P68B1DB1-TableParagraph14"/>
              <w:spacing w:before="108"/>
              <w:ind w:left="85"/>
              <w:jc w:val="both"/>
              <w:rPr>
                <w:rFonts w:eastAsia="Cambria"/>
              </w:rPr>
            </w:pPr>
            <w:r>
              <w:t>Il-korporazzjonijiet mhux finanzjarji (SMEs)</w:t>
            </w:r>
          </w:p>
        </w:tc>
      </w:tr>
      <w:tr w:rsidR="00534D9A" w14:paraId="7FE1B979" w14:textId="77777777">
        <w:tc>
          <w:tcPr>
            <w:tcW w:w="1191" w:type="dxa"/>
            <w:tcBorders>
              <w:top w:val="single" w:sz="4" w:space="0" w:color="1A171C"/>
              <w:left w:val="nil"/>
              <w:bottom w:val="single" w:sz="4" w:space="0" w:color="1A171C"/>
              <w:right w:val="single" w:sz="4" w:space="0" w:color="1A171C"/>
            </w:tcBorders>
          </w:tcPr>
          <w:p w14:paraId="7FE1B977" w14:textId="77777777" w:rsidR="00534D9A" w:rsidRDefault="003243B2">
            <w:pPr>
              <w:pStyle w:val="P68B1DB1-TableParagraph17"/>
              <w:spacing w:before="108"/>
              <w:ind w:left="85"/>
              <w:jc w:val="both"/>
            </w:pPr>
            <w:r>
              <w:t>0030</w:t>
            </w:r>
          </w:p>
        </w:tc>
        <w:tc>
          <w:tcPr>
            <w:tcW w:w="7892" w:type="dxa"/>
            <w:tcBorders>
              <w:top w:val="single" w:sz="4" w:space="0" w:color="1A171C"/>
              <w:left w:val="single" w:sz="4" w:space="0" w:color="1A171C"/>
              <w:bottom w:val="single" w:sz="4" w:space="0" w:color="1A171C"/>
              <w:right w:val="nil"/>
            </w:tcBorders>
          </w:tcPr>
          <w:p w14:paraId="7FE1B978" w14:textId="77777777" w:rsidR="00534D9A" w:rsidRDefault="003243B2">
            <w:pPr>
              <w:pStyle w:val="P68B1DB1-TableParagraph14"/>
              <w:spacing w:before="108"/>
              <w:ind w:left="85"/>
              <w:jc w:val="both"/>
              <w:rPr>
                <w:rFonts w:eastAsia="Cambria"/>
              </w:rPr>
            </w:pPr>
            <w:r>
              <w:t>Korporazzjonijiet mhux finanzjarji (non-SMEs)</w:t>
            </w:r>
          </w:p>
        </w:tc>
      </w:tr>
      <w:tr w:rsidR="00534D9A" w14:paraId="7FE1B97C" w14:textId="77777777">
        <w:tc>
          <w:tcPr>
            <w:tcW w:w="1191" w:type="dxa"/>
            <w:tcBorders>
              <w:top w:val="single" w:sz="4" w:space="0" w:color="1A171C"/>
              <w:left w:val="nil"/>
              <w:bottom w:val="single" w:sz="4" w:space="0" w:color="1A171C"/>
              <w:right w:val="single" w:sz="4" w:space="0" w:color="1A171C"/>
            </w:tcBorders>
          </w:tcPr>
          <w:p w14:paraId="7FE1B97A" w14:textId="77777777" w:rsidR="00534D9A" w:rsidRDefault="003243B2">
            <w:pPr>
              <w:pStyle w:val="P68B1DB1-TableParagraph17"/>
              <w:spacing w:before="108"/>
              <w:ind w:left="85"/>
              <w:jc w:val="both"/>
            </w:pPr>
            <w:r>
              <w:t>0040</w:t>
            </w:r>
          </w:p>
        </w:tc>
        <w:tc>
          <w:tcPr>
            <w:tcW w:w="7892" w:type="dxa"/>
            <w:tcBorders>
              <w:top w:val="single" w:sz="4" w:space="0" w:color="1A171C"/>
              <w:left w:val="single" w:sz="4" w:space="0" w:color="1A171C"/>
              <w:bottom w:val="single" w:sz="4" w:space="0" w:color="1A171C"/>
              <w:right w:val="nil"/>
            </w:tcBorders>
          </w:tcPr>
          <w:p w14:paraId="7FE1B97B" w14:textId="77777777" w:rsidR="00534D9A" w:rsidRDefault="003243B2">
            <w:pPr>
              <w:pStyle w:val="P68B1DB1-TableParagraph14"/>
              <w:spacing w:before="108"/>
              <w:ind w:left="85"/>
              <w:jc w:val="both"/>
              <w:rPr>
                <w:rFonts w:eastAsia="Cambria"/>
              </w:rPr>
            </w:pPr>
            <w:r>
              <w:t>Gvernijiet estiżi</w:t>
            </w:r>
          </w:p>
        </w:tc>
      </w:tr>
      <w:tr w:rsidR="00534D9A" w14:paraId="7FE1B97F" w14:textId="77777777">
        <w:tc>
          <w:tcPr>
            <w:tcW w:w="1191" w:type="dxa"/>
            <w:tcBorders>
              <w:top w:val="single" w:sz="4" w:space="0" w:color="1A171C"/>
              <w:left w:val="nil"/>
              <w:bottom w:val="single" w:sz="4" w:space="0" w:color="1A171C"/>
              <w:right w:val="single" w:sz="4" w:space="0" w:color="1A171C"/>
            </w:tcBorders>
          </w:tcPr>
          <w:p w14:paraId="7FE1B97D" w14:textId="77777777" w:rsidR="00534D9A" w:rsidRDefault="003243B2">
            <w:pPr>
              <w:pStyle w:val="P68B1DB1-TableParagraph17"/>
              <w:spacing w:before="108"/>
              <w:ind w:left="85"/>
              <w:jc w:val="both"/>
            </w:pPr>
            <w:r>
              <w:t>0050–0070</w:t>
            </w:r>
          </w:p>
        </w:tc>
        <w:tc>
          <w:tcPr>
            <w:tcW w:w="7892" w:type="dxa"/>
            <w:tcBorders>
              <w:top w:val="single" w:sz="4" w:space="0" w:color="1A171C"/>
              <w:left w:val="single" w:sz="4" w:space="0" w:color="1A171C"/>
              <w:bottom w:val="single" w:sz="4" w:space="0" w:color="1A171C"/>
              <w:right w:val="nil"/>
            </w:tcBorders>
          </w:tcPr>
          <w:p w14:paraId="7FE1B97E" w14:textId="77777777" w:rsidR="00534D9A" w:rsidRDefault="003243B2">
            <w:pPr>
              <w:pStyle w:val="P68B1DB1-TableParagraph14"/>
              <w:spacing w:before="108"/>
              <w:ind w:left="85"/>
              <w:jc w:val="both"/>
              <w:rPr>
                <w:rFonts w:eastAsia="Cambria"/>
              </w:rPr>
            </w:pPr>
            <w:r>
              <w:t>Setturi/kontropartijiet oħrajn (1), (2) u (3)</w:t>
            </w:r>
          </w:p>
        </w:tc>
      </w:tr>
      <w:tr w:rsidR="00534D9A" w14:paraId="7FE1B983" w14:textId="77777777">
        <w:tc>
          <w:tcPr>
            <w:tcW w:w="9083" w:type="dxa"/>
            <w:gridSpan w:val="2"/>
            <w:tcBorders>
              <w:top w:val="single" w:sz="4" w:space="0" w:color="1A171C"/>
              <w:left w:val="nil"/>
              <w:bottom w:val="single" w:sz="4" w:space="0" w:color="1A171C"/>
            </w:tcBorders>
          </w:tcPr>
          <w:p w14:paraId="7FE1B980" w14:textId="13950F51" w:rsidR="00534D9A" w:rsidRDefault="003243B2">
            <w:pPr>
              <w:pStyle w:val="TableParagraph"/>
              <w:spacing w:before="108"/>
              <w:ind w:left="85"/>
              <w:rPr>
                <w:rFonts w:ascii="Times New Roman" w:eastAsia="Cambria" w:hAnsi="Times New Roman" w:cs="Times New Roman"/>
                <w:color w:val="000000" w:themeColor="text1"/>
                <w:sz w:val="20"/>
                <w:szCs w:val="20"/>
              </w:rPr>
            </w:pPr>
            <w:r>
              <w:rPr>
                <w:rFonts w:ascii="Times New Roman" w:hAnsi="Times New Roman" w:cs="Times New Roman"/>
              </w:rPr>
              <w:t>Z 07.01.2 FUNC 1 LEN</w:t>
            </w:r>
            <w:r>
              <w:rPr>
                <w:rFonts w:ascii="Times New Roman" w:eastAsia="Cambria" w:hAnsi="Times New Roman" w:cs="Times New Roman"/>
                <w:color w:val="000000" w:themeColor="text1"/>
                <w:sz w:val="20"/>
                <w:szCs w:val="20"/>
              </w:rPr>
              <w:t xml:space="preserve"> </w:t>
            </w:r>
          </w:p>
          <w:p w14:paraId="7FE1B981" w14:textId="77777777" w:rsidR="00534D9A" w:rsidRDefault="003243B2">
            <w:pPr>
              <w:pStyle w:val="P68B1DB1-TableParagraph17"/>
              <w:spacing w:before="108"/>
              <w:ind w:left="85"/>
            </w:pPr>
            <w:r>
              <w:t>L-għoti ta’ self għandu jirreferi għall-forniment ta’ fondi lill-kontropartijiet mhux finanzjarji, bħall-klijenti korporattivi jew klijenti konsumaturi. L-għoti ta’ self lill-kontropartijiet finanzjarji huwa attività distinta u huwa vvalutat fil-“finanzjament tal-operaturi”. Is-self jinkludi strumenti ta’ dejn miżmuma mill-istituzzjonijiet iżda jeskludi l-istrumenti ta’ dejn li huma titoli, irrispettivament mill-klassifikazzjoni ta’ kontabbiltà tagħhom (jiġifieri miżmuma sal-maturità jew disponibbli għall-b</w:t>
            </w:r>
            <w:r>
              <w:t>ejgħ).</w:t>
            </w:r>
          </w:p>
          <w:p w14:paraId="7FE1B982" w14:textId="77777777" w:rsidR="00534D9A" w:rsidRDefault="003243B2">
            <w:pPr>
              <w:pStyle w:val="P68B1DB1-TableParagraph13"/>
              <w:spacing w:before="108"/>
              <w:ind w:left="85"/>
              <w:rPr>
                <w:rFonts w:eastAsia="Cambria"/>
              </w:rPr>
            </w:pPr>
            <w:r>
              <w:t>Referenzi: FSB Guidance on Identification of Critical Functions and Critical Shared Services (2013) p. 17; L-Anness II, il-Parti 2, il-punt 2 tar-Regolament (UE) 2021/379.</w:t>
            </w:r>
          </w:p>
        </w:tc>
      </w:tr>
      <w:tr w:rsidR="00534D9A" w14:paraId="7FE1B987" w14:textId="77777777">
        <w:tc>
          <w:tcPr>
            <w:tcW w:w="1191" w:type="dxa"/>
            <w:tcBorders>
              <w:top w:val="single" w:sz="4" w:space="0" w:color="1A171C"/>
              <w:left w:val="nil"/>
              <w:bottom w:val="single" w:sz="4" w:space="0" w:color="1A171C"/>
              <w:right w:val="single" w:sz="4" w:space="0" w:color="1A171C"/>
            </w:tcBorders>
          </w:tcPr>
          <w:p w14:paraId="7FE1B984" w14:textId="77777777" w:rsidR="00534D9A" w:rsidRDefault="003243B2">
            <w:pPr>
              <w:pStyle w:val="P68B1DB1-TableParagraph17"/>
              <w:spacing w:before="108"/>
              <w:ind w:left="85"/>
              <w:jc w:val="both"/>
            </w:pPr>
            <w:r>
              <w:lastRenderedPageBreak/>
              <w:t>0080</w:t>
            </w:r>
          </w:p>
        </w:tc>
        <w:tc>
          <w:tcPr>
            <w:tcW w:w="7892" w:type="dxa"/>
            <w:tcBorders>
              <w:top w:val="single" w:sz="4" w:space="0" w:color="1A171C"/>
              <w:left w:val="single" w:sz="4" w:space="0" w:color="1A171C"/>
              <w:bottom w:val="single" w:sz="4" w:space="0" w:color="1A171C"/>
              <w:right w:val="nil"/>
            </w:tcBorders>
          </w:tcPr>
          <w:p w14:paraId="7FE1B985" w14:textId="77777777" w:rsidR="00534D9A" w:rsidRDefault="003243B2">
            <w:pPr>
              <w:pStyle w:val="P68B1DB1-TableParagraph14"/>
              <w:spacing w:before="108"/>
              <w:ind w:left="85"/>
              <w:jc w:val="both"/>
              <w:rPr>
                <w:bCs/>
              </w:rPr>
            </w:pPr>
            <w:r>
              <w:t>L-Unitajiet domestiċi — L-Għoti ta’ self għax-xiri ta’ dar</w:t>
            </w:r>
          </w:p>
          <w:p w14:paraId="7FE1B986" w14:textId="77777777" w:rsidR="00534D9A" w:rsidRDefault="003243B2">
            <w:pPr>
              <w:pStyle w:val="P68B1DB1-TableParagraph17"/>
              <w:spacing w:before="108"/>
              <w:ind w:left="85"/>
            </w:pPr>
            <w:r>
              <w:t>Self garantit estiż għal unitajiet domestiċi bi proprjetà bħala kollateral</w:t>
            </w:r>
          </w:p>
        </w:tc>
      </w:tr>
      <w:tr w:rsidR="00534D9A" w14:paraId="7FE1B98A" w14:textId="77777777">
        <w:tc>
          <w:tcPr>
            <w:tcW w:w="1191" w:type="dxa"/>
            <w:tcBorders>
              <w:top w:val="single" w:sz="4" w:space="0" w:color="1A171C"/>
              <w:left w:val="nil"/>
              <w:bottom w:val="single" w:sz="4" w:space="0" w:color="1A171C"/>
              <w:right w:val="single" w:sz="4" w:space="0" w:color="1A171C"/>
            </w:tcBorders>
          </w:tcPr>
          <w:p w14:paraId="7FE1B988" w14:textId="77777777" w:rsidR="00534D9A" w:rsidRDefault="003243B2">
            <w:pPr>
              <w:pStyle w:val="P68B1DB1-TableParagraph17"/>
              <w:spacing w:before="108"/>
              <w:ind w:left="85"/>
              <w:jc w:val="both"/>
            </w:pPr>
            <w:r>
              <w:t>0090</w:t>
            </w:r>
          </w:p>
        </w:tc>
        <w:tc>
          <w:tcPr>
            <w:tcW w:w="7892" w:type="dxa"/>
            <w:tcBorders>
              <w:top w:val="single" w:sz="4" w:space="0" w:color="1A171C"/>
              <w:left w:val="single" w:sz="4" w:space="0" w:color="1A171C"/>
              <w:bottom w:val="single" w:sz="4" w:space="0" w:color="1A171C"/>
              <w:right w:val="nil"/>
            </w:tcBorders>
          </w:tcPr>
          <w:p w14:paraId="7FE1B989" w14:textId="77777777" w:rsidR="00534D9A" w:rsidRDefault="003243B2">
            <w:pPr>
              <w:pStyle w:val="P68B1DB1-TableParagraph14"/>
              <w:spacing w:before="108"/>
              <w:ind w:left="85"/>
              <w:jc w:val="both"/>
              <w:rPr>
                <w:bCs/>
              </w:rPr>
            </w:pPr>
            <w:r>
              <w:t>Unitajiet domestiċi — self ieħor</w:t>
            </w:r>
          </w:p>
        </w:tc>
      </w:tr>
      <w:tr w:rsidR="00534D9A" w14:paraId="7FE1B98D" w14:textId="77777777">
        <w:tc>
          <w:tcPr>
            <w:tcW w:w="1191" w:type="dxa"/>
            <w:tcBorders>
              <w:top w:val="single" w:sz="4" w:space="0" w:color="1A171C"/>
              <w:left w:val="nil"/>
              <w:bottom w:val="single" w:sz="4" w:space="0" w:color="1A171C"/>
              <w:right w:val="single" w:sz="4" w:space="0" w:color="1A171C"/>
            </w:tcBorders>
          </w:tcPr>
          <w:p w14:paraId="7FE1B98B" w14:textId="77777777" w:rsidR="00534D9A" w:rsidRDefault="003243B2">
            <w:pPr>
              <w:pStyle w:val="P68B1DB1-TableParagraph17"/>
              <w:spacing w:before="108"/>
              <w:ind w:left="85"/>
              <w:jc w:val="both"/>
            </w:pPr>
            <w:r>
              <w:t>0100</w:t>
            </w:r>
          </w:p>
        </w:tc>
        <w:tc>
          <w:tcPr>
            <w:tcW w:w="7892" w:type="dxa"/>
            <w:tcBorders>
              <w:top w:val="single" w:sz="4" w:space="0" w:color="1A171C"/>
              <w:left w:val="single" w:sz="4" w:space="0" w:color="1A171C"/>
              <w:bottom w:val="single" w:sz="4" w:space="0" w:color="1A171C"/>
              <w:right w:val="nil"/>
            </w:tcBorders>
            <w:vAlign w:val="bottom"/>
          </w:tcPr>
          <w:p w14:paraId="7FE1B98C" w14:textId="77777777" w:rsidR="00534D9A" w:rsidRDefault="003243B2">
            <w:pPr>
              <w:pStyle w:val="P68B1DB1-TableParagraph14"/>
              <w:spacing w:before="108"/>
              <w:ind w:left="85"/>
              <w:jc w:val="both"/>
              <w:rPr>
                <w:bCs/>
              </w:rPr>
            </w:pPr>
            <w:r>
              <w:t>Korporazzjonijiet mhux finanzjarji — SMEs</w:t>
            </w:r>
          </w:p>
        </w:tc>
      </w:tr>
      <w:tr w:rsidR="00534D9A" w14:paraId="7FE1B990" w14:textId="77777777">
        <w:tc>
          <w:tcPr>
            <w:tcW w:w="1191" w:type="dxa"/>
            <w:tcBorders>
              <w:top w:val="single" w:sz="4" w:space="0" w:color="1A171C"/>
              <w:left w:val="nil"/>
              <w:bottom w:val="single" w:sz="4" w:space="0" w:color="1A171C"/>
              <w:right w:val="single" w:sz="4" w:space="0" w:color="1A171C"/>
            </w:tcBorders>
            <w:vAlign w:val="bottom"/>
          </w:tcPr>
          <w:p w14:paraId="7FE1B98E" w14:textId="77777777" w:rsidR="00534D9A" w:rsidRDefault="003243B2">
            <w:pPr>
              <w:pStyle w:val="P68B1DB1-TableParagraph17"/>
              <w:spacing w:before="108"/>
              <w:ind w:left="85"/>
              <w:jc w:val="both"/>
            </w:pPr>
            <w:r>
              <w:t>0110</w:t>
            </w:r>
          </w:p>
        </w:tc>
        <w:tc>
          <w:tcPr>
            <w:tcW w:w="7892" w:type="dxa"/>
            <w:tcBorders>
              <w:top w:val="single" w:sz="4" w:space="0" w:color="1A171C"/>
              <w:left w:val="single" w:sz="4" w:space="0" w:color="1A171C"/>
              <w:bottom w:val="single" w:sz="4" w:space="0" w:color="1A171C"/>
              <w:right w:val="nil"/>
            </w:tcBorders>
            <w:vAlign w:val="bottom"/>
          </w:tcPr>
          <w:p w14:paraId="7FE1B98F" w14:textId="77777777" w:rsidR="00534D9A" w:rsidRDefault="003243B2">
            <w:pPr>
              <w:pStyle w:val="P68B1DB1-TableParagraph14"/>
              <w:spacing w:before="108"/>
              <w:ind w:left="85"/>
              <w:jc w:val="both"/>
              <w:rPr>
                <w:bCs/>
              </w:rPr>
            </w:pPr>
            <w:r>
              <w:t>Korporazzjonijiet mhux finanzjarji — non-SMEs</w:t>
            </w:r>
          </w:p>
        </w:tc>
      </w:tr>
      <w:tr w:rsidR="00534D9A" w14:paraId="7FE1B993" w14:textId="77777777">
        <w:tc>
          <w:tcPr>
            <w:tcW w:w="1191" w:type="dxa"/>
            <w:tcBorders>
              <w:top w:val="single" w:sz="4" w:space="0" w:color="1A171C"/>
              <w:left w:val="nil"/>
              <w:bottom w:val="single" w:sz="4" w:space="0" w:color="1A171C"/>
              <w:right w:val="single" w:sz="4" w:space="0" w:color="1A171C"/>
            </w:tcBorders>
            <w:vAlign w:val="bottom"/>
          </w:tcPr>
          <w:p w14:paraId="7FE1B991" w14:textId="77777777" w:rsidR="00534D9A" w:rsidRDefault="003243B2">
            <w:pPr>
              <w:pStyle w:val="P68B1DB1-TableParagraph17"/>
              <w:spacing w:before="108"/>
              <w:ind w:left="85"/>
              <w:jc w:val="both"/>
            </w:pPr>
            <w:r>
              <w:t>0120</w:t>
            </w:r>
          </w:p>
        </w:tc>
        <w:tc>
          <w:tcPr>
            <w:tcW w:w="7892" w:type="dxa"/>
            <w:tcBorders>
              <w:top w:val="single" w:sz="4" w:space="0" w:color="1A171C"/>
              <w:left w:val="single" w:sz="4" w:space="0" w:color="1A171C"/>
              <w:bottom w:val="single" w:sz="4" w:space="0" w:color="1A171C"/>
              <w:right w:val="nil"/>
            </w:tcBorders>
            <w:vAlign w:val="bottom"/>
          </w:tcPr>
          <w:p w14:paraId="7FE1B992" w14:textId="77777777" w:rsidR="00534D9A" w:rsidRDefault="003243B2">
            <w:pPr>
              <w:pStyle w:val="P68B1DB1-TableParagraph14"/>
              <w:spacing w:before="108"/>
              <w:ind w:left="85"/>
              <w:jc w:val="both"/>
              <w:rPr>
                <w:bCs/>
              </w:rPr>
            </w:pPr>
            <w:r>
              <w:t>Gvernijiet estiżi</w:t>
            </w:r>
          </w:p>
        </w:tc>
      </w:tr>
      <w:tr w:rsidR="00534D9A" w14:paraId="7FE1B996" w14:textId="77777777">
        <w:tc>
          <w:tcPr>
            <w:tcW w:w="1191" w:type="dxa"/>
            <w:tcBorders>
              <w:top w:val="single" w:sz="4" w:space="0" w:color="1A171C"/>
              <w:left w:val="nil"/>
              <w:bottom w:val="single" w:sz="4" w:space="0" w:color="1A171C"/>
              <w:right w:val="single" w:sz="4" w:space="0" w:color="1A171C"/>
            </w:tcBorders>
          </w:tcPr>
          <w:p w14:paraId="7FE1B994" w14:textId="77777777" w:rsidR="00534D9A" w:rsidRDefault="003243B2">
            <w:pPr>
              <w:pStyle w:val="P68B1DB1-TableParagraph17"/>
              <w:spacing w:before="108"/>
              <w:ind w:left="85"/>
              <w:jc w:val="both"/>
            </w:pPr>
            <w:r>
              <w:t>0130–0150</w:t>
            </w:r>
          </w:p>
        </w:tc>
        <w:tc>
          <w:tcPr>
            <w:tcW w:w="7892" w:type="dxa"/>
            <w:tcBorders>
              <w:top w:val="single" w:sz="4" w:space="0" w:color="1A171C"/>
              <w:left w:val="single" w:sz="4" w:space="0" w:color="1A171C"/>
              <w:bottom w:val="single" w:sz="4" w:space="0" w:color="1A171C"/>
              <w:right w:val="nil"/>
            </w:tcBorders>
          </w:tcPr>
          <w:p w14:paraId="7FE1B995" w14:textId="77777777" w:rsidR="00534D9A" w:rsidRDefault="003243B2">
            <w:pPr>
              <w:pStyle w:val="P68B1DB1-TableParagraph14"/>
              <w:spacing w:before="108"/>
              <w:ind w:left="85"/>
              <w:jc w:val="both"/>
              <w:rPr>
                <w:rFonts w:eastAsia="Cambria"/>
              </w:rPr>
            </w:pPr>
            <w:r>
              <w:t>Setturi/kontropartijiet oħrajn (1), (2) u (3)</w:t>
            </w:r>
          </w:p>
        </w:tc>
      </w:tr>
      <w:tr w:rsidR="00534D9A" w14:paraId="7FE1B99C" w14:textId="77777777">
        <w:tc>
          <w:tcPr>
            <w:tcW w:w="9083" w:type="dxa"/>
            <w:gridSpan w:val="2"/>
            <w:tcBorders>
              <w:top w:val="single" w:sz="4" w:space="0" w:color="1A171C"/>
              <w:left w:val="nil"/>
              <w:bottom w:val="single" w:sz="4" w:space="0" w:color="1A171C"/>
            </w:tcBorders>
          </w:tcPr>
          <w:p w14:paraId="7FE1B997" w14:textId="587957C3"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07.01.3 FUNC 1 PAGA</w:t>
            </w:r>
            <w:r>
              <w:rPr>
                <w:rFonts w:ascii="Times New Roman" w:eastAsia="Cambria" w:hAnsi="Times New Roman" w:cs="Times New Roman"/>
                <w:color w:val="000000" w:themeColor="text1"/>
                <w:sz w:val="20"/>
                <w:szCs w:val="20"/>
              </w:rPr>
              <w:t xml:space="preserve"> </w:t>
            </w:r>
          </w:p>
          <w:p w14:paraId="7FE1B998" w14:textId="77777777" w:rsidR="00534D9A" w:rsidRDefault="003243B2">
            <w:pPr>
              <w:pStyle w:val="P68B1DB1-TableParagraph13"/>
              <w:spacing w:before="108"/>
              <w:ind w:left="85"/>
              <w:jc w:val="both"/>
              <w:rPr>
                <w:rFonts w:eastAsia="Cambria"/>
              </w:rPr>
            </w:pPr>
            <w:r>
              <w:t>Referenza: FSB Guidance on Identification of Critical Functions and Critical Shared Services (2013) p. 20.</w:t>
            </w:r>
          </w:p>
          <w:p w14:paraId="7FE1B999" w14:textId="77777777" w:rsidR="00534D9A" w:rsidRDefault="003243B2">
            <w:pPr>
              <w:pStyle w:val="P68B1DB1-TableParagraph13"/>
              <w:spacing w:before="108"/>
              <w:ind w:left="85"/>
              <w:jc w:val="both"/>
              <w:rPr>
                <w:rFonts w:eastAsia="Cambria"/>
              </w:rPr>
            </w:pPr>
            <w:r>
              <w:t xml:space="preserve">Il-funzjonijiet ekonomiċi inklużi taħt din il-kappa għandhom jikkonsistu mill-forniment ta’ servizzi ta’ pagament, flus kontanti, saldu, ikklerjar u kustodja minn istituzzjoni ta’ kreditu, bħala intermedjarju bejn il-klijenti proprji jew bħala intermedjarju bejn klijent u waħda jew aktar mill-Infrastrutturi tas-Swieq Finanzjarji (FMIs), jew l-għoti ta’ aċċess (indirett) lill-FMIs għal banek oħra. F’konformità mal-FSB Guidance on Identification of Critical Functions and Critical Shared Services, il-funzjoni </w:t>
            </w:r>
            <w:r>
              <w:t>ta’ pagamenti, ikklerjar u settlement hija limitata għal servizzi provduti mill-banek lill-klijenti tagħhom. Din il-kategorija ma tkoprix servizzi provduti minn fornituri tal-FMI (veri u proprji). Għall-fini ta’ dan il-mudell, il-FMIs jinkludu sistemi ta’ pagament, sistemi ta’ saldu tat-titoli, depożitorji ċentrali tat-titoli u kontropartijiet ċentrali (u ma jinkludux repożitorji tat-tranżazzjonijiet).</w:t>
            </w:r>
          </w:p>
          <w:p w14:paraId="7FE1B99A" w14:textId="77777777"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“Servizz ta’ pagament”, “tranżazzjoni ta’ pagament” u “sistema ta’ pagament” għandhom l-istess sens bħad-definizzjoni tagħhom fl-Artikolu 4(3), (5) u (7), rispettivament tad-DIRETTIVA 2015/2366 dwar is-servizzi ta’ pagament fis-suq intern</w:t>
            </w:r>
            <w:r>
              <w:rPr>
                <w:rStyle w:val="FootnoteReference"/>
                <w:rFonts w:ascii="Times New Roman" w:eastAsia="Cambria" w:hAnsi="Times New Roman" w:cs="Times New Roman"/>
                <w:color w:val="000000" w:themeColor="text1"/>
                <w:sz w:val="20"/>
                <w:szCs w:val="20"/>
              </w:rPr>
              <w:footnoteReference w:id="19"/>
            </w:r>
            <w:r>
              <w:rPr>
                <w:rFonts w:ascii="Times New Roman" w:eastAsia="Cambria" w:hAnsi="Times New Roman" w:cs="Times New Roman"/>
                <w:color w:val="000000" w:themeColor="text1"/>
                <w:sz w:val="20"/>
                <w:szCs w:val="20"/>
              </w:rPr>
              <w:t>.</w:t>
            </w:r>
          </w:p>
          <w:p w14:paraId="7FE1B99B" w14:textId="77777777" w:rsidR="00534D9A" w:rsidRDefault="00534D9A">
            <w:pPr>
              <w:pStyle w:val="TableParagraph"/>
              <w:spacing w:before="108"/>
              <w:ind w:left="85"/>
              <w:jc w:val="both"/>
              <w:rPr>
                <w:rFonts w:ascii="Times New Roman" w:eastAsia="Cambria" w:hAnsi="Times New Roman" w:cs="Times New Roman"/>
                <w:color w:val="000000" w:themeColor="text1"/>
                <w:sz w:val="20"/>
                <w:szCs w:val="20"/>
              </w:rPr>
            </w:pPr>
          </w:p>
        </w:tc>
      </w:tr>
      <w:tr w:rsidR="00534D9A" w14:paraId="7FE1B9A0" w14:textId="77777777">
        <w:tc>
          <w:tcPr>
            <w:tcW w:w="1191" w:type="dxa"/>
            <w:tcBorders>
              <w:top w:val="single" w:sz="4" w:space="0" w:color="1A171C"/>
              <w:left w:val="nil"/>
              <w:bottom w:val="single" w:sz="4" w:space="0" w:color="1A171C"/>
              <w:right w:val="single" w:sz="4" w:space="0" w:color="1A171C"/>
            </w:tcBorders>
          </w:tcPr>
          <w:p w14:paraId="7FE1B99D" w14:textId="77777777" w:rsidR="00534D9A" w:rsidRDefault="003243B2">
            <w:pPr>
              <w:pStyle w:val="P68B1DB1-TableParagraph17"/>
              <w:spacing w:before="108"/>
              <w:ind w:left="85"/>
              <w:jc w:val="both"/>
            </w:pPr>
            <w:r>
              <w:t>0160</w:t>
            </w:r>
          </w:p>
        </w:tc>
        <w:tc>
          <w:tcPr>
            <w:tcW w:w="7892" w:type="dxa"/>
            <w:tcBorders>
              <w:top w:val="single" w:sz="4" w:space="0" w:color="1A171C"/>
              <w:left w:val="single" w:sz="4" w:space="0" w:color="1A171C"/>
              <w:bottom w:val="single" w:sz="4" w:space="0" w:color="1A171C"/>
              <w:right w:val="nil"/>
            </w:tcBorders>
          </w:tcPr>
          <w:p w14:paraId="7FE1B99E" w14:textId="77777777" w:rsidR="00534D9A" w:rsidRDefault="003243B2">
            <w:pPr>
              <w:pStyle w:val="P68B1DB1-TableParagraph14"/>
              <w:spacing w:before="108"/>
              <w:ind w:left="85"/>
              <w:jc w:val="both"/>
              <w:rPr>
                <w:bCs/>
              </w:rPr>
            </w:pPr>
            <w:r>
              <w:t>Is-servizzi ta’ pagament lill-MFIs</w:t>
            </w:r>
          </w:p>
          <w:p w14:paraId="7FE1B99F" w14:textId="77777777" w:rsidR="00534D9A" w:rsidRDefault="003243B2">
            <w:pPr>
              <w:pStyle w:val="P68B1DB1-TableParagraph17"/>
              <w:spacing w:before="108"/>
              <w:ind w:left="85"/>
              <w:jc w:val="both"/>
            </w:pPr>
            <w:r>
              <w:t>Din ir-ringiela għandha tinkludi servizzi ta’ pagament offruti lill-Istituzzjonijiet Finanzjarji Monetarji (MFIs), bl-użu ta’ sistemi esterni ta’ pagament jew mingħajrhom. Dan għandu jinkludi wkoll (il-pagamenti relatati ma’) servizzi bankarji korrispondenti. Il-MFIs għandhom jikkonsistu fl-unitajiet istituzzjonali kollha inklużi fis-sottosetturi: I) bank ċentrali; ii) korporazzjonijiet li jieħdu depożiti ħlief għall-bank ċentrali; u iii) il-fondi tas-suq monetarju.</w:t>
            </w:r>
          </w:p>
        </w:tc>
      </w:tr>
      <w:tr w:rsidR="00534D9A" w14:paraId="7FE1B9A8" w14:textId="77777777">
        <w:tc>
          <w:tcPr>
            <w:tcW w:w="1191" w:type="dxa"/>
            <w:tcBorders>
              <w:top w:val="single" w:sz="4" w:space="0" w:color="1A171C"/>
              <w:left w:val="nil"/>
              <w:bottom w:val="single" w:sz="4" w:space="0" w:color="1A171C"/>
              <w:right w:val="single" w:sz="4" w:space="0" w:color="1A171C"/>
            </w:tcBorders>
          </w:tcPr>
          <w:p w14:paraId="7FE1B9A1" w14:textId="77777777" w:rsidR="00534D9A" w:rsidRDefault="003243B2">
            <w:pPr>
              <w:pStyle w:val="P68B1DB1-TableParagraph17"/>
              <w:spacing w:before="108"/>
              <w:ind w:left="85"/>
              <w:jc w:val="both"/>
            </w:pPr>
            <w:r>
              <w:t>0170–0176</w:t>
            </w:r>
          </w:p>
        </w:tc>
        <w:tc>
          <w:tcPr>
            <w:tcW w:w="7892" w:type="dxa"/>
            <w:tcBorders>
              <w:top w:val="single" w:sz="4" w:space="0" w:color="1A171C"/>
              <w:left w:val="single" w:sz="4" w:space="0" w:color="1A171C"/>
              <w:bottom w:val="single" w:sz="4" w:space="0" w:color="1A171C"/>
              <w:right w:val="nil"/>
            </w:tcBorders>
          </w:tcPr>
          <w:p w14:paraId="7FE1B9A2" w14:textId="77777777" w:rsidR="00534D9A" w:rsidRDefault="003243B2">
            <w:pPr>
              <w:pStyle w:val="P68B1DB1-TableParagraph14"/>
              <w:spacing w:before="108"/>
              <w:ind w:left="85"/>
              <w:jc w:val="both"/>
              <w:rPr>
                <w:bCs/>
              </w:rPr>
            </w:pPr>
            <w:r>
              <w:t>Servizzi ta’ pagament lil non-MFIs</w:t>
            </w:r>
          </w:p>
          <w:p w14:paraId="7FE1B9A3" w14:textId="77777777" w:rsidR="00534D9A" w:rsidRDefault="003243B2">
            <w:pPr>
              <w:pStyle w:val="P68B1DB1-TableParagraph17"/>
              <w:spacing w:before="108"/>
              <w:ind w:left="85"/>
            </w:pPr>
            <w:r>
              <w:t>Servizzi ta’ pagament offruti lill-klijenti, bl-użu ta’ sistemi esterni ta’ pagament jew mingħajru. Dan għandu jinkludi biss persuni fiżiċi jew ġuridiċi li ma jappartjenux għas-settur tal-MFIs. Il-fornituri tas-servizzi ta’ pagament huma wkoll esklużi mis-settur “non-MFIs”.</w:t>
            </w:r>
          </w:p>
          <w:p w14:paraId="7FE1B9A4" w14:textId="77777777" w:rsidR="00534D9A" w:rsidRDefault="003243B2">
            <w:pPr>
              <w:pStyle w:val="P68B1DB1-TableParagraph17"/>
              <w:spacing w:before="108"/>
              <w:ind w:left="85"/>
            </w:pPr>
            <w:r>
              <w:t>Il-funzjoni hija maqsuma addizzjonalment f’ 3 subfunzjonijiet:</w:t>
            </w:r>
          </w:p>
          <w:p w14:paraId="7FE1B9A5" w14:textId="77777777" w:rsidR="00534D9A" w:rsidRDefault="003243B2">
            <w:pPr>
              <w:pStyle w:val="P68B1DB1-TableParagraph17"/>
              <w:spacing w:before="108"/>
              <w:ind w:left="85"/>
            </w:pPr>
            <w:r>
              <w:t>(1) Unitajiet domestiċi</w:t>
            </w:r>
          </w:p>
          <w:p w14:paraId="7FE1B9A6" w14:textId="77777777" w:rsidR="00534D9A" w:rsidRDefault="003243B2">
            <w:pPr>
              <w:pStyle w:val="P68B1DB1-TableParagraph17"/>
              <w:spacing w:before="108"/>
              <w:ind w:left="85"/>
            </w:pPr>
            <w:r>
              <w:t>(2) Korporazzjonijiet mhux finanzjarji — SMEs</w:t>
            </w:r>
          </w:p>
          <w:p w14:paraId="7FE1B9A7" w14:textId="77777777" w:rsidR="00534D9A" w:rsidRDefault="003243B2">
            <w:pPr>
              <w:pStyle w:val="P68B1DB1-TableParagraph17"/>
              <w:spacing w:before="108"/>
              <w:ind w:left="85"/>
            </w:pPr>
            <w:r>
              <w:t>(3) Il-korporazzjonijiet mhux finanzjarji — mhux SMEs</w:t>
            </w:r>
          </w:p>
        </w:tc>
      </w:tr>
      <w:tr w:rsidR="00534D9A" w14:paraId="7FE1B9AC" w14:textId="77777777">
        <w:tc>
          <w:tcPr>
            <w:tcW w:w="1191" w:type="dxa"/>
            <w:tcBorders>
              <w:top w:val="single" w:sz="4" w:space="0" w:color="1A171C"/>
              <w:left w:val="nil"/>
              <w:bottom w:val="single" w:sz="4" w:space="0" w:color="1A171C"/>
              <w:right w:val="single" w:sz="4" w:space="0" w:color="1A171C"/>
            </w:tcBorders>
          </w:tcPr>
          <w:p w14:paraId="7FE1B9A9" w14:textId="77777777" w:rsidR="00534D9A" w:rsidRDefault="003243B2">
            <w:pPr>
              <w:pStyle w:val="P68B1DB1-TableParagraph17"/>
              <w:spacing w:before="108"/>
              <w:ind w:left="85"/>
              <w:jc w:val="both"/>
            </w:pPr>
            <w:r>
              <w:t>0180</w:t>
            </w:r>
          </w:p>
        </w:tc>
        <w:tc>
          <w:tcPr>
            <w:tcW w:w="7892" w:type="dxa"/>
            <w:tcBorders>
              <w:top w:val="single" w:sz="4" w:space="0" w:color="1A171C"/>
              <w:left w:val="single" w:sz="4" w:space="0" w:color="1A171C"/>
              <w:bottom w:val="single" w:sz="4" w:space="0" w:color="1A171C"/>
              <w:right w:val="nil"/>
            </w:tcBorders>
          </w:tcPr>
          <w:p w14:paraId="7FE1B9AA" w14:textId="77777777" w:rsidR="00534D9A" w:rsidRDefault="003243B2">
            <w:pPr>
              <w:pStyle w:val="P68B1DB1-TableParagraph14"/>
              <w:spacing w:before="108"/>
              <w:ind w:left="85"/>
              <w:jc w:val="both"/>
              <w:rPr>
                <w:bCs/>
              </w:rPr>
            </w:pPr>
            <w:r>
              <w:t>Servizzi ta’ kontanti</w:t>
            </w:r>
          </w:p>
          <w:p w14:paraId="7FE1B9AB" w14:textId="77777777" w:rsidR="00534D9A" w:rsidRDefault="003243B2">
            <w:pPr>
              <w:pStyle w:val="P68B1DB1-TableParagraph17"/>
              <w:spacing w:before="108"/>
              <w:ind w:left="85"/>
            </w:pPr>
            <w:r>
              <w:lastRenderedPageBreak/>
              <w:t>Il-forniment ta’ servizzi ta’ flus kontanti lill-klijenti (kemm individwi kif ukoll korporattivi, mhux MFIs biss). Dawn is-servizzi jirreferu għal ġbid ta’ flus minn ATMs tal-bank u fil-counters tal-fergħat tal-bank u ma jinkludux servizzi oħra ta’ kontanti (bħal servizzi ta’ transitu ta’ flus kontanti għall-bejjiegħa bl-imnut fuq skala kbira). Huwa inkluż il-ġbid ta’ kontanti b’ċekkijiet u fil-counters tal-fergħat bl-użu ta’ formoli bankarji (meta jkunu jistgħu jintużaw il-cards bħala mezz ta’ identifikazz</w:t>
            </w:r>
            <w:r>
              <w:t>joni).</w:t>
            </w:r>
          </w:p>
        </w:tc>
      </w:tr>
      <w:tr w:rsidR="00534D9A" w14:paraId="7FE1B9B0" w14:textId="77777777">
        <w:tc>
          <w:tcPr>
            <w:tcW w:w="1191" w:type="dxa"/>
            <w:tcBorders>
              <w:top w:val="single" w:sz="4" w:space="0" w:color="1A171C"/>
              <w:left w:val="nil"/>
              <w:bottom w:val="single" w:sz="4" w:space="0" w:color="1A171C"/>
              <w:right w:val="single" w:sz="4" w:space="0" w:color="1A171C"/>
            </w:tcBorders>
          </w:tcPr>
          <w:p w14:paraId="7FE1B9AD" w14:textId="77777777" w:rsidR="00534D9A" w:rsidRDefault="003243B2">
            <w:pPr>
              <w:pStyle w:val="P68B1DB1-TableParagraph17"/>
              <w:spacing w:before="108"/>
              <w:ind w:left="85"/>
              <w:jc w:val="both"/>
            </w:pPr>
            <w:r>
              <w:lastRenderedPageBreak/>
              <w:t>0190</w:t>
            </w:r>
          </w:p>
        </w:tc>
        <w:tc>
          <w:tcPr>
            <w:tcW w:w="7892" w:type="dxa"/>
            <w:tcBorders>
              <w:top w:val="single" w:sz="4" w:space="0" w:color="1A171C"/>
              <w:left w:val="single" w:sz="4" w:space="0" w:color="1A171C"/>
              <w:bottom w:val="single" w:sz="4" w:space="0" w:color="1A171C"/>
              <w:right w:val="nil"/>
            </w:tcBorders>
          </w:tcPr>
          <w:p w14:paraId="7FE1B9AE" w14:textId="77777777" w:rsidR="00534D9A" w:rsidRDefault="003243B2">
            <w:pPr>
              <w:pStyle w:val="P68B1DB1-TableParagraph14"/>
              <w:spacing w:before="108"/>
              <w:ind w:left="85"/>
              <w:jc w:val="both"/>
              <w:rPr>
                <w:bCs/>
              </w:rPr>
            </w:pPr>
            <w:r>
              <w:t>Is-servizzi ta’ saldu tat-titoli</w:t>
            </w:r>
          </w:p>
          <w:p w14:paraId="7FE1B9AF" w14:textId="77777777" w:rsidR="00534D9A" w:rsidRDefault="003243B2">
            <w:pPr>
              <w:pStyle w:val="P68B1DB1-TableParagraph17"/>
              <w:spacing w:before="108"/>
              <w:ind w:left="85"/>
            </w:pPr>
            <w:r>
              <w:t>Is-servizzi offruti lill-klijenti għall-konferma, l-ikklerjar u s-saldu ta’ tranżazzjonijiet tat-titoli, bl-użu tas-sistemi ta’ saldu tat-titoli jew mingħajru. “Saldu” tfisser it-tlestija ta’ tranżazzjoni ta’ titoli fejn tiġi konkluża bl-għan li jitwettqu l-obbligi tal-partijiet għal dik it-tranżazzjoni permezz tat-trasferiment ta’ flus kontanti u/jew titoli.</w:t>
            </w:r>
          </w:p>
        </w:tc>
      </w:tr>
      <w:tr w:rsidR="00534D9A" w14:paraId="7FE1B9B4" w14:textId="77777777">
        <w:tc>
          <w:tcPr>
            <w:tcW w:w="1191" w:type="dxa"/>
            <w:tcBorders>
              <w:top w:val="single" w:sz="4" w:space="0" w:color="1A171C"/>
              <w:left w:val="nil"/>
              <w:bottom w:val="single" w:sz="4" w:space="0" w:color="1A171C"/>
              <w:right w:val="single" w:sz="4" w:space="0" w:color="1A171C"/>
            </w:tcBorders>
          </w:tcPr>
          <w:p w14:paraId="7FE1B9B1" w14:textId="77777777" w:rsidR="00534D9A" w:rsidRDefault="003243B2">
            <w:pPr>
              <w:pStyle w:val="P68B1DB1-TableParagraph17"/>
              <w:spacing w:before="108"/>
              <w:ind w:left="85"/>
              <w:jc w:val="both"/>
            </w:pPr>
            <w:r>
              <w:t>0200</w:t>
            </w:r>
          </w:p>
        </w:tc>
        <w:tc>
          <w:tcPr>
            <w:tcW w:w="7892" w:type="dxa"/>
            <w:tcBorders>
              <w:top w:val="single" w:sz="4" w:space="0" w:color="1A171C"/>
              <w:left w:val="single" w:sz="4" w:space="0" w:color="1A171C"/>
              <w:bottom w:val="single" w:sz="4" w:space="0" w:color="1A171C"/>
              <w:right w:val="nil"/>
            </w:tcBorders>
          </w:tcPr>
          <w:p w14:paraId="7FE1B9B2" w14:textId="77777777" w:rsidR="00534D9A" w:rsidRDefault="003243B2">
            <w:pPr>
              <w:pStyle w:val="P68B1DB1-TableParagraph14"/>
              <w:spacing w:before="108"/>
              <w:ind w:left="85"/>
              <w:jc w:val="both"/>
              <w:rPr>
                <w:bCs/>
              </w:rPr>
            </w:pPr>
            <w:r>
              <w:t>Servizzi tal-ikklerjar ta’ CCPs</w:t>
            </w:r>
          </w:p>
          <w:p w14:paraId="7FE1B9B3" w14:textId="77777777" w:rsidR="00534D9A" w:rsidRDefault="003243B2">
            <w:pPr>
              <w:pStyle w:val="P68B1DB1-TableParagraph17"/>
              <w:spacing w:before="108"/>
              <w:ind w:left="85"/>
            </w:pPr>
            <w:r>
              <w:t>Is-servizzi tal-ikklerjar tat-titoli u tad-derivattivi pprovduti lill-klijenti. Dan jinkludi wkoll l-għoti ta’ aċċess indirett għal Kontroparti Ċentrali (CCP).</w:t>
            </w:r>
          </w:p>
        </w:tc>
      </w:tr>
      <w:tr w:rsidR="00534D9A" w14:paraId="7FE1B9B8" w14:textId="77777777">
        <w:tc>
          <w:tcPr>
            <w:tcW w:w="1191" w:type="dxa"/>
            <w:tcBorders>
              <w:top w:val="single" w:sz="4" w:space="0" w:color="1A171C"/>
              <w:left w:val="nil"/>
              <w:bottom w:val="single" w:sz="4" w:space="0" w:color="1A171C"/>
              <w:right w:val="single" w:sz="4" w:space="0" w:color="1A171C"/>
            </w:tcBorders>
          </w:tcPr>
          <w:p w14:paraId="7FE1B9B5" w14:textId="77777777" w:rsidR="00534D9A" w:rsidRDefault="003243B2">
            <w:pPr>
              <w:pStyle w:val="P68B1DB1-TableParagraph17"/>
              <w:spacing w:before="108"/>
              <w:ind w:left="85"/>
              <w:jc w:val="both"/>
            </w:pPr>
            <w:r>
              <w:t>0210</w:t>
            </w:r>
          </w:p>
        </w:tc>
        <w:tc>
          <w:tcPr>
            <w:tcW w:w="7892" w:type="dxa"/>
            <w:tcBorders>
              <w:top w:val="single" w:sz="4" w:space="0" w:color="1A171C"/>
              <w:left w:val="single" w:sz="4" w:space="0" w:color="1A171C"/>
              <w:bottom w:val="single" w:sz="4" w:space="0" w:color="1A171C"/>
              <w:right w:val="nil"/>
            </w:tcBorders>
          </w:tcPr>
          <w:p w14:paraId="7FE1B9B6" w14:textId="77777777" w:rsidR="00534D9A" w:rsidRDefault="003243B2">
            <w:pPr>
              <w:pStyle w:val="P68B1DB1-TableParagraph14"/>
              <w:spacing w:before="108"/>
              <w:ind w:left="85"/>
              <w:jc w:val="both"/>
              <w:rPr>
                <w:bCs/>
              </w:rPr>
            </w:pPr>
            <w:r>
              <w:t>Servizzi ta’ kustodja</w:t>
            </w:r>
          </w:p>
          <w:p w14:paraId="7FE1B9B7" w14:textId="77777777" w:rsidR="00534D9A" w:rsidRDefault="003243B2">
            <w:pPr>
              <w:pStyle w:val="P68B1DB1-TableParagraph17"/>
              <w:spacing w:before="108"/>
              <w:ind w:left="85"/>
            </w:pPr>
            <w:r>
              <w:t>Is-salvagwardja u l-amministrazzjoni ta’ strumenti finanzjarji għall-klijenti u għas-servizzi relatati mar-rwol ta’ kustodja bħall-ġestjoni tal-kollateral u ta’ flus kontanti.</w:t>
            </w:r>
          </w:p>
        </w:tc>
      </w:tr>
      <w:tr w:rsidR="00534D9A" w14:paraId="7FE1B9BB" w14:textId="77777777">
        <w:tc>
          <w:tcPr>
            <w:tcW w:w="1191" w:type="dxa"/>
            <w:tcBorders>
              <w:top w:val="single" w:sz="4" w:space="0" w:color="1A171C"/>
              <w:left w:val="nil"/>
              <w:bottom w:val="single" w:sz="4" w:space="0" w:color="1A171C"/>
              <w:right w:val="single" w:sz="4" w:space="0" w:color="1A171C"/>
            </w:tcBorders>
          </w:tcPr>
          <w:p w14:paraId="7FE1B9B9" w14:textId="77777777" w:rsidR="00534D9A" w:rsidRDefault="003243B2">
            <w:pPr>
              <w:pStyle w:val="P68B1DB1-TableParagraph17"/>
              <w:spacing w:before="108"/>
              <w:ind w:left="85"/>
              <w:jc w:val="both"/>
            </w:pPr>
            <w:r>
              <w:t>0220–0240</w:t>
            </w:r>
          </w:p>
        </w:tc>
        <w:tc>
          <w:tcPr>
            <w:tcW w:w="7892" w:type="dxa"/>
            <w:tcBorders>
              <w:top w:val="single" w:sz="4" w:space="0" w:color="1A171C"/>
              <w:left w:val="single" w:sz="4" w:space="0" w:color="1A171C"/>
              <w:bottom w:val="single" w:sz="4" w:space="0" w:color="1A171C"/>
              <w:right w:val="nil"/>
            </w:tcBorders>
          </w:tcPr>
          <w:p w14:paraId="7FE1B9BA" w14:textId="77777777" w:rsidR="00534D9A" w:rsidRDefault="003243B2">
            <w:pPr>
              <w:pStyle w:val="P68B1DB1-TableParagraph14"/>
              <w:spacing w:before="108"/>
              <w:ind w:left="85"/>
              <w:jc w:val="both"/>
              <w:rPr>
                <w:rFonts w:eastAsia="Cambria"/>
              </w:rPr>
            </w:pPr>
            <w:r>
              <w:t>Servizzi/attivitajiet/funzjonijiet oħra (1), (2) u (3)</w:t>
            </w:r>
          </w:p>
        </w:tc>
      </w:tr>
      <w:tr w:rsidR="00534D9A" w14:paraId="7FE1B9BE" w14:textId="77777777">
        <w:tc>
          <w:tcPr>
            <w:tcW w:w="9083" w:type="dxa"/>
            <w:gridSpan w:val="2"/>
            <w:tcBorders>
              <w:top w:val="single" w:sz="4" w:space="0" w:color="1A171C"/>
              <w:left w:val="nil"/>
              <w:bottom w:val="single" w:sz="4" w:space="0" w:color="1A171C"/>
            </w:tcBorders>
          </w:tcPr>
          <w:p w14:paraId="7FE1B9BC" w14:textId="4228BCAA" w:rsidR="00534D9A" w:rsidRDefault="003243B2">
            <w:pPr>
              <w:pStyle w:val="TableParagraph"/>
              <w:spacing w:before="108"/>
              <w:ind w:left="85"/>
              <w:jc w:val="both"/>
              <w:rPr>
                <w:rFonts w:ascii="Times New Roman" w:eastAsia="Cambria" w:hAnsi="Times New Roman" w:cs="Times New Roman"/>
                <w:color w:val="000000" w:themeColor="text1"/>
                <w:sz w:val="20"/>
                <w:szCs w:val="20"/>
              </w:rPr>
            </w:pPr>
            <w:r>
              <w:rPr>
                <w:rFonts w:ascii="Times New Roman" w:hAnsi="Times New Roman" w:cs="Times New Roman"/>
              </w:rPr>
              <w:t>Z 07.01.4 FUNC 1 CM</w:t>
            </w:r>
            <w:r>
              <w:rPr>
                <w:rFonts w:ascii="Times New Roman" w:eastAsia="Cambria" w:hAnsi="Times New Roman" w:cs="Times New Roman"/>
                <w:color w:val="000000" w:themeColor="text1"/>
                <w:sz w:val="20"/>
                <w:szCs w:val="20"/>
              </w:rPr>
              <w:t xml:space="preserve"> </w:t>
            </w:r>
          </w:p>
          <w:p w14:paraId="7FE1B9BD" w14:textId="77777777" w:rsidR="00534D9A" w:rsidRDefault="003243B2">
            <w:pPr>
              <w:pStyle w:val="P68B1DB1-TableParagraph17"/>
              <w:spacing w:before="108"/>
              <w:ind w:left="85"/>
              <w:jc w:val="both"/>
            </w:pPr>
            <w:r>
              <w:t xml:space="preserve">L-attivitajiet tas-swieq tal-kapital għandhom jirreferu għall-ħruġ u għan-negozjar ta’ titoli, servizzi ta’ konsulenza relatati, u servizzi relatati bħal senserija prima u ġenerazzjoni tas-suq. </w:t>
            </w:r>
          </w:p>
        </w:tc>
      </w:tr>
      <w:tr w:rsidR="00534D9A" w14:paraId="7FE1B9C5" w14:textId="77777777">
        <w:tc>
          <w:tcPr>
            <w:tcW w:w="1191" w:type="dxa"/>
            <w:tcBorders>
              <w:top w:val="single" w:sz="4" w:space="0" w:color="1A171C"/>
              <w:left w:val="nil"/>
              <w:bottom w:val="single" w:sz="4" w:space="0" w:color="1A171C"/>
              <w:right w:val="single" w:sz="4" w:space="0" w:color="1A171C"/>
            </w:tcBorders>
          </w:tcPr>
          <w:p w14:paraId="7FE1B9BF" w14:textId="77777777" w:rsidR="00534D9A" w:rsidRDefault="003243B2">
            <w:pPr>
              <w:pStyle w:val="P68B1DB1-TableParagraph17"/>
              <w:spacing w:before="108"/>
              <w:ind w:left="85"/>
            </w:pPr>
            <w:r>
              <w:t>0250</w:t>
            </w:r>
          </w:p>
        </w:tc>
        <w:tc>
          <w:tcPr>
            <w:tcW w:w="7892" w:type="dxa"/>
            <w:tcBorders>
              <w:top w:val="single" w:sz="4" w:space="0" w:color="1A171C"/>
              <w:left w:val="single" w:sz="4" w:space="0" w:color="1A171C"/>
              <w:bottom w:val="single" w:sz="4" w:space="0" w:color="1A171C"/>
              <w:right w:val="nil"/>
            </w:tcBorders>
          </w:tcPr>
          <w:p w14:paraId="7FE1B9C0" w14:textId="77777777" w:rsidR="00534D9A" w:rsidRDefault="003243B2">
            <w:pPr>
              <w:pStyle w:val="P68B1DB1-TableParagraph14"/>
              <w:spacing w:before="108"/>
              <w:ind w:left="85"/>
              <w:jc w:val="both"/>
              <w:rPr>
                <w:bCs/>
              </w:rPr>
            </w:pPr>
            <w:r>
              <w:t>Id-derivattivi miżmuma għan-negozju (OTC)</w:t>
            </w:r>
          </w:p>
          <w:p w14:paraId="7FE1B9C1" w14:textId="2FDAA405" w:rsidR="00534D9A" w:rsidRDefault="003243B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L-Artikolu 2(5) u (7) tar-Regolament (UE) Nru 648/2012</w:t>
            </w:r>
            <w:r>
              <w:rPr>
                <w:rStyle w:val="FootnoteReference"/>
                <w:rFonts w:ascii="Times New Roman" w:eastAsia="Cambria" w:hAnsi="Times New Roman" w:cs="Times New Roman"/>
                <w:color w:val="000000" w:themeColor="text1"/>
                <w:sz w:val="20"/>
                <w:szCs w:val="20"/>
              </w:rPr>
              <w:footnoteReference w:id="20"/>
            </w:r>
            <w:r>
              <w:rPr>
                <w:rFonts w:ascii="Times New Roman" w:eastAsia="Cambria" w:hAnsi="Times New Roman" w:cs="Times New Roman"/>
                <w:color w:val="000000" w:themeColor="text1"/>
                <w:sz w:val="20"/>
                <w:szCs w:val="20"/>
              </w:rPr>
              <w:t>.</w:t>
            </w:r>
          </w:p>
          <w:p w14:paraId="7FE1B9C2" w14:textId="3A857D21" w:rsidR="00534D9A" w:rsidRDefault="003243B2">
            <w:pPr>
              <w:pStyle w:val="P68B1DB1-TableParagraph17"/>
              <w:spacing w:before="108"/>
              <w:ind w:left="85"/>
            </w:pPr>
            <w:r>
              <w:t>Derivattiva jew kuntratt tad-derivattivi tfisser strument finanzjarju kif stipulat fil-punti minn (4) sa (10) tat-Taqsima C tal-Anness I tad-DIRETTIVA 2014/65/UE kif implimentata mill-Artikoli 38 u 39 tar-REGOLAMENT (KE) Nru 1287/2006.</w:t>
            </w:r>
          </w:p>
          <w:p w14:paraId="7FE1B9C3" w14:textId="583C566B" w:rsidR="00534D9A" w:rsidRDefault="003243B2">
            <w:pPr>
              <w:pStyle w:val="P68B1DB1-TableParagraph17"/>
              <w:spacing w:before="108"/>
              <w:ind w:left="85"/>
            </w:pPr>
            <w:r>
              <w:t>Derivattiv OTC jew kuntratt tad-derivattivi OTC tfisser kuntratt tad-derivattivi li l-eżekuzzjoni tiegħu ma sseħħx f’suq regolat fis-sens tal-Artikolu 4(1)(21) tad-DIRETTIVA 2014/65/UE jew f’suq ta’ pajjiż terz ikkunsidrat bħala ekwivalenti għal suq regolat f’konformità mal-Artikolu 2a tar-REGOLAMENT (UE) Nru 648/2012.</w:t>
            </w:r>
          </w:p>
          <w:p w14:paraId="7FE1B9C4" w14:textId="77777777" w:rsidR="00534D9A" w:rsidRDefault="003243B2">
            <w:pPr>
              <w:pStyle w:val="P68B1DB1-TableParagraph17"/>
              <w:spacing w:before="108"/>
              <w:ind w:left="85"/>
            </w:pPr>
            <w:r>
              <w:t xml:space="preserve">L-ammont li jrid jiġi rreġistrat għandu jinkludi biss id-derivattivi negozjati fis-suq OTC. </w:t>
            </w:r>
          </w:p>
        </w:tc>
      </w:tr>
      <w:tr w:rsidR="00534D9A" w14:paraId="7FE1B9C9" w14:textId="77777777">
        <w:tc>
          <w:tcPr>
            <w:tcW w:w="1191" w:type="dxa"/>
            <w:tcBorders>
              <w:top w:val="single" w:sz="4" w:space="0" w:color="1A171C"/>
              <w:left w:val="nil"/>
              <w:bottom w:val="single" w:sz="4" w:space="0" w:color="1A171C"/>
              <w:right w:val="single" w:sz="4" w:space="0" w:color="1A171C"/>
            </w:tcBorders>
          </w:tcPr>
          <w:p w14:paraId="7FE1B9C6" w14:textId="77777777" w:rsidR="00534D9A" w:rsidRDefault="003243B2">
            <w:pPr>
              <w:pStyle w:val="P68B1DB1-TableParagraph17"/>
              <w:spacing w:before="108"/>
              <w:ind w:left="85"/>
            </w:pPr>
            <w:r>
              <w:t>0260</w:t>
            </w:r>
          </w:p>
        </w:tc>
        <w:tc>
          <w:tcPr>
            <w:tcW w:w="7892" w:type="dxa"/>
            <w:tcBorders>
              <w:top w:val="single" w:sz="4" w:space="0" w:color="1A171C"/>
              <w:left w:val="single" w:sz="4" w:space="0" w:color="1A171C"/>
              <w:bottom w:val="single" w:sz="4" w:space="0" w:color="1A171C"/>
              <w:right w:val="nil"/>
            </w:tcBorders>
          </w:tcPr>
          <w:p w14:paraId="7FE1B9C7" w14:textId="77777777" w:rsidR="00534D9A" w:rsidRDefault="003243B2">
            <w:pPr>
              <w:pStyle w:val="P68B1DB1-TableParagraph14"/>
              <w:spacing w:before="108"/>
              <w:ind w:left="85"/>
              <w:jc w:val="both"/>
              <w:rPr>
                <w:bCs/>
              </w:rPr>
            </w:pPr>
            <w:r>
              <w:t>Id-Derivattivi miżmuma għan-negozju (mhux OTC)</w:t>
            </w:r>
          </w:p>
          <w:p w14:paraId="7FE1B9C8" w14:textId="77777777" w:rsidR="00534D9A" w:rsidRDefault="003243B2">
            <w:pPr>
              <w:pStyle w:val="P68B1DB1-TableParagraph17"/>
              <w:spacing w:before="108"/>
              <w:ind w:left="85"/>
            </w:pPr>
            <w:r>
              <w:t xml:space="preserve">Id-derivattivi kollha miżmuma għan-negozjar, esklużi d-derivattivi OTC miżmuma għan-negozjar. </w:t>
            </w:r>
          </w:p>
        </w:tc>
      </w:tr>
      <w:tr w:rsidR="00534D9A" w14:paraId="7FE1B9CF" w14:textId="77777777">
        <w:tc>
          <w:tcPr>
            <w:tcW w:w="1191" w:type="dxa"/>
            <w:tcBorders>
              <w:top w:val="single" w:sz="4" w:space="0" w:color="1A171C"/>
              <w:left w:val="nil"/>
              <w:bottom w:val="single" w:sz="4" w:space="0" w:color="1A171C"/>
              <w:right w:val="single" w:sz="4" w:space="0" w:color="1A171C"/>
            </w:tcBorders>
          </w:tcPr>
          <w:p w14:paraId="7FE1B9CA" w14:textId="77777777" w:rsidR="00534D9A" w:rsidRDefault="003243B2">
            <w:pPr>
              <w:pStyle w:val="P68B1DB1-TableParagraph17"/>
              <w:spacing w:before="108"/>
              <w:ind w:left="85"/>
            </w:pPr>
            <w:r>
              <w:t>0270</w:t>
            </w:r>
          </w:p>
        </w:tc>
        <w:tc>
          <w:tcPr>
            <w:tcW w:w="7892" w:type="dxa"/>
            <w:tcBorders>
              <w:top w:val="single" w:sz="4" w:space="0" w:color="1A171C"/>
              <w:left w:val="single" w:sz="4" w:space="0" w:color="1A171C"/>
              <w:bottom w:val="single" w:sz="4" w:space="0" w:color="1A171C"/>
              <w:right w:val="nil"/>
            </w:tcBorders>
          </w:tcPr>
          <w:p w14:paraId="7FE1B9CB" w14:textId="77777777" w:rsidR="00534D9A" w:rsidRDefault="003243B2">
            <w:pPr>
              <w:pStyle w:val="P68B1DB1-TableParagraph14"/>
              <w:spacing w:before="108"/>
              <w:ind w:left="85"/>
              <w:jc w:val="both"/>
              <w:rPr>
                <w:bCs/>
              </w:rPr>
            </w:pPr>
            <w:r>
              <w:t>Is-swieq sekondarji/In-negozjar:</w:t>
            </w:r>
          </w:p>
          <w:p w14:paraId="7FE1B9CC" w14:textId="77777777" w:rsidR="00534D9A" w:rsidRDefault="003243B2">
            <w:pPr>
              <w:pStyle w:val="P68B1DB1-TableParagraph17"/>
              <w:spacing w:before="108"/>
              <w:ind w:left="85"/>
            </w:pPr>
            <w:r>
              <w:t>Is-suq sekondarju huwa fejn l-investituri jixtru u jbigħu t-titoli. Din il-funzjoni tapplika għall-portafoll tan-negozjar totali (jiġifieri l-ekwità, il-kreditu korporattiv, il-kreditu sovran).</w:t>
            </w:r>
          </w:p>
          <w:p w14:paraId="7FE1B9CD" w14:textId="77777777" w:rsidR="00534D9A" w:rsidRDefault="003243B2">
            <w:pPr>
              <w:pStyle w:val="P68B1DB1-TableParagraph17"/>
              <w:spacing w:before="108"/>
              <w:ind w:left="85"/>
            </w:pPr>
            <w:r>
              <w:t>L-ammont li jrid jiġi rrapportat għandu jinkludi l-valur tat-titoli kkalkolat bħala l-ammont totali ta’ titoli fiż-żamma għan-negozju. It-titoli għandhom jiġu rrapportati bil-valur ġust fid-data tar-rapportar.</w:t>
            </w:r>
          </w:p>
          <w:p w14:paraId="7FE1B9CE" w14:textId="77777777" w:rsidR="00534D9A" w:rsidRDefault="003243B2">
            <w:pPr>
              <w:pStyle w:val="P68B1DB1-TableParagraph17"/>
              <w:spacing w:before="108"/>
              <w:ind w:left="85"/>
            </w:pPr>
            <w:r>
              <w:lastRenderedPageBreak/>
              <w:t>L-ammont ma għandux jinkludi self, derivattivi u assi mhux negozjabbli (eż. riċevibbli).</w:t>
            </w:r>
          </w:p>
        </w:tc>
      </w:tr>
      <w:tr w:rsidR="00534D9A" w14:paraId="7FE1B9D3" w14:textId="77777777">
        <w:tc>
          <w:tcPr>
            <w:tcW w:w="1191" w:type="dxa"/>
            <w:tcBorders>
              <w:top w:val="single" w:sz="4" w:space="0" w:color="1A171C"/>
              <w:left w:val="nil"/>
              <w:bottom w:val="single" w:sz="4" w:space="0" w:color="1A171C"/>
              <w:right w:val="single" w:sz="4" w:space="0" w:color="1A171C"/>
            </w:tcBorders>
          </w:tcPr>
          <w:p w14:paraId="7FE1B9D0" w14:textId="77777777" w:rsidR="00534D9A" w:rsidRDefault="003243B2">
            <w:pPr>
              <w:pStyle w:val="P68B1DB1-TableParagraph17"/>
              <w:spacing w:before="108"/>
              <w:ind w:left="85"/>
            </w:pPr>
            <w:r>
              <w:lastRenderedPageBreak/>
              <w:t>0280</w:t>
            </w:r>
          </w:p>
        </w:tc>
        <w:tc>
          <w:tcPr>
            <w:tcW w:w="7892" w:type="dxa"/>
            <w:tcBorders>
              <w:top w:val="single" w:sz="4" w:space="0" w:color="1A171C"/>
              <w:left w:val="single" w:sz="4" w:space="0" w:color="1A171C"/>
              <w:bottom w:val="single" w:sz="4" w:space="0" w:color="1A171C"/>
              <w:right w:val="nil"/>
            </w:tcBorders>
          </w:tcPr>
          <w:p w14:paraId="7FE1B9D1" w14:textId="77777777" w:rsidR="00534D9A" w:rsidRDefault="003243B2">
            <w:pPr>
              <w:pStyle w:val="P68B1DB1-TableParagraph14"/>
              <w:spacing w:before="108"/>
              <w:ind w:left="85"/>
              <w:jc w:val="both"/>
              <w:rPr>
                <w:bCs/>
              </w:rPr>
            </w:pPr>
            <w:r>
              <w:t>Is-swieq primarji/is-sottoskrizzjoni</w:t>
            </w:r>
          </w:p>
          <w:p w14:paraId="7FE1B9D2" w14:textId="77777777" w:rsidR="00534D9A" w:rsidRDefault="003243B2">
            <w:pPr>
              <w:pStyle w:val="P68B1DB1-TableParagraph17"/>
              <w:spacing w:before="108"/>
              <w:ind w:left="85"/>
            </w:pPr>
            <w:r>
              <w:t>Swieq primarji għandha tfisser meta jinħarġu titoli ġodda bi skambju minn kumpaniji, gvernijiet, u gruppi oħra sabiex jinkiseb finanzjament permezz ta’ titoli bbażati fuq id-dejn jew fuq l-ekwità (bħal azzjoni ordinarja u privileġġjata, bonds korporattivi, noti, kambjali, bonds tal-gvern). Is-swieq primarji huma ffaċilitati minn gruppi ta’ sottoskrizzjoni.</w:t>
            </w:r>
          </w:p>
        </w:tc>
      </w:tr>
      <w:tr w:rsidR="00534D9A" w14:paraId="7FE1B9D6" w14:textId="77777777">
        <w:tc>
          <w:tcPr>
            <w:tcW w:w="1191" w:type="dxa"/>
            <w:tcBorders>
              <w:top w:val="single" w:sz="4" w:space="0" w:color="1A171C"/>
              <w:left w:val="nil"/>
              <w:bottom w:val="single" w:sz="4" w:space="0" w:color="1A171C"/>
              <w:right w:val="single" w:sz="4" w:space="0" w:color="1A171C"/>
            </w:tcBorders>
          </w:tcPr>
          <w:p w14:paraId="7FE1B9D4" w14:textId="77777777" w:rsidR="00534D9A" w:rsidRDefault="003243B2">
            <w:pPr>
              <w:pStyle w:val="P68B1DB1-TableParagraph17"/>
              <w:spacing w:before="108"/>
              <w:ind w:left="85"/>
              <w:jc w:val="both"/>
            </w:pPr>
            <w:r>
              <w:t>0290–0310</w:t>
            </w:r>
          </w:p>
        </w:tc>
        <w:tc>
          <w:tcPr>
            <w:tcW w:w="7892" w:type="dxa"/>
            <w:tcBorders>
              <w:top w:val="single" w:sz="4" w:space="0" w:color="1A171C"/>
              <w:left w:val="single" w:sz="4" w:space="0" w:color="1A171C"/>
              <w:bottom w:val="single" w:sz="4" w:space="0" w:color="1A171C"/>
              <w:right w:val="nil"/>
            </w:tcBorders>
          </w:tcPr>
          <w:p w14:paraId="7FE1B9D5" w14:textId="77777777" w:rsidR="00534D9A" w:rsidRDefault="003243B2">
            <w:pPr>
              <w:pStyle w:val="P68B1DB1-TableParagraph14"/>
              <w:spacing w:before="108"/>
              <w:ind w:left="85"/>
              <w:jc w:val="both"/>
              <w:rPr>
                <w:rFonts w:eastAsia="Cambria"/>
              </w:rPr>
            </w:pPr>
            <w:r>
              <w:t>Servizzi/attivitajiet/funzjonijiet oħra (1), (2) u (3)</w:t>
            </w:r>
          </w:p>
        </w:tc>
      </w:tr>
      <w:tr w:rsidR="00534D9A" w14:paraId="7FE1B9D9" w14:textId="77777777">
        <w:tc>
          <w:tcPr>
            <w:tcW w:w="9083" w:type="dxa"/>
            <w:gridSpan w:val="2"/>
            <w:tcBorders>
              <w:top w:val="single" w:sz="4" w:space="0" w:color="1A171C"/>
              <w:left w:val="nil"/>
              <w:bottom w:val="single" w:sz="4" w:space="0" w:color="1A171C"/>
            </w:tcBorders>
          </w:tcPr>
          <w:p w14:paraId="7FE1B9D7" w14:textId="1DCC31B9" w:rsidR="00534D9A" w:rsidRDefault="003243B2">
            <w:pPr>
              <w:pStyle w:val="P68B1DB1-TableParagraph16"/>
              <w:spacing w:before="108"/>
              <w:ind w:left="85"/>
              <w:jc w:val="both"/>
              <w:rPr>
                <w:b/>
                <w:bCs/>
                <w:color w:val="000000" w:themeColor="text1"/>
                <w:sz w:val="20"/>
                <w:szCs w:val="20"/>
              </w:rPr>
            </w:pPr>
            <w:r>
              <w:t>Z 07.01.5 FUNC 1 WF</w:t>
            </w:r>
          </w:p>
          <w:p w14:paraId="7FE1B9D8" w14:textId="77777777" w:rsidR="00534D9A" w:rsidRDefault="003243B2">
            <w:pPr>
              <w:pStyle w:val="P68B1DB1-TableParagraph17"/>
              <w:spacing w:before="108"/>
              <w:ind w:left="85"/>
              <w:jc w:val="both"/>
            </w:pPr>
            <w:r>
              <w:t>Attivitajiet ta’ għoti ta’ self u ta’ teħid b’self fis-swieq tal-operaturi lill-kontopartijiet finanzjarji u mingħandhom (istituzzjonijiet ta’ kreditu u korporazzjonijiet finanzjarji oħra).</w:t>
            </w:r>
          </w:p>
        </w:tc>
      </w:tr>
      <w:tr w:rsidR="00534D9A" w14:paraId="7FE1B9DD" w14:textId="77777777">
        <w:tc>
          <w:tcPr>
            <w:tcW w:w="1191" w:type="dxa"/>
            <w:tcBorders>
              <w:top w:val="single" w:sz="4" w:space="0" w:color="1A171C"/>
              <w:left w:val="nil"/>
              <w:bottom w:val="single" w:sz="4" w:space="0" w:color="1A171C"/>
              <w:right w:val="single" w:sz="4" w:space="0" w:color="1A171C"/>
            </w:tcBorders>
          </w:tcPr>
          <w:p w14:paraId="7FE1B9DA" w14:textId="77777777" w:rsidR="00534D9A" w:rsidRDefault="003243B2">
            <w:pPr>
              <w:pStyle w:val="P68B1DB1-TableParagraph13"/>
              <w:spacing w:before="108"/>
              <w:ind w:left="85"/>
              <w:jc w:val="both"/>
              <w:rPr>
                <w:rFonts w:eastAsia="Cambria"/>
              </w:rPr>
            </w:pPr>
            <w:r>
              <w:t>0320</w:t>
            </w:r>
          </w:p>
        </w:tc>
        <w:tc>
          <w:tcPr>
            <w:tcW w:w="7892" w:type="dxa"/>
            <w:tcBorders>
              <w:top w:val="single" w:sz="4" w:space="0" w:color="1A171C"/>
              <w:left w:val="single" w:sz="4" w:space="0" w:color="1A171C"/>
              <w:bottom w:val="single" w:sz="4" w:space="0" w:color="1A171C"/>
              <w:right w:val="nil"/>
            </w:tcBorders>
          </w:tcPr>
          <w:p w14:paraId="7FE1B9DB" w14:textId="77777777" w:rsidR="00534D9A" w:rsidRDefault="003243B2">
            <w:pPr>
              <w:pStyle w:val="P68B1DB1-TableParagraph14"/>
              <w:spacing w:before="108"/>
              <w:ind w:left="85"/>
              <w:jc w:val="both"/>
              <w:rPr>
                <w:bCs/>
              </w:rPr>
            </w:pPr>
            <w:r>
              <w:t>Teħid b’self</w:t>
            </w:r>
          </w:p>
          <w:p w14:paraId="7FE1B9DC" w14:textId="77777777" w:rsidR="00534D9A" w:rsidRDefault="003243B2">
            <w:pPr>
              <w:pStyle w:val="P68B1DB1-TableParagraph17"/>
              <w:spacing w:before="108"/>
              <w:ind w:left="85"/>
            </w:pPr>
            <w:r>
              <w:t>It-teħid b’self fis-swieq tal-operaturi mill-kontropartijiet finanzjarji (inkluż permezz ta’ ftehimiet ta’ riakkwist, teħid b’self interbankarju, karta kummerċjali, ċertifikati ta’ depożiti, fondi tas-suq monetarju, linji ta’ kreditu, karta kummerċjali garantita b’assi u depożiti fiduċjarji).</w:t>
            </w:r>
          </w:p>
        </w:tc>
      </w:tr>
      <w:tr w:rsidR="00534D9A" w14:paraId="7FE1B9E1" w14:textId="77777777">
        <w:tc>
          <w:tcPr>
            <w:tcW w:w="1191" w:type="dxa"/>
            <w:tcBorders>
              <w:top w:val="single" w:sz="4" w:space="0" w:color="1A171C"/>
              <w:left w:val="nil"/>
              <w:bottom w:val="single" w:sz="4" w:space="0" w:color="1A171C"/>
              <w:right w:val="single" w:sz="4" w:space="0" w:color="1A171C"/>
            </w:tcBorders>
          </w:tcPr>
          <w:p w14:paraId="7FE1B9DE" w14:textId="77777777" w:rsidR="00534D9A" w:rsidRDefault="003243B2">
            <w:pPr>
              <w:pStyle w:val="P68B1DB1-TableParagraph13"/>
              <w:spacing w:before="108"/>
              <w:ind w:left="85"/>
              <w:jc w:val="both"/>
              <w:rPr>
                <w:rFonts w:eastAsia="Cambria"/>
              </w:rPr>
            </w:pPr>
            <w:r>
              <w:t>0330</w:t>
            </w:r>
          </w:p>
        </w:tc>
        <w:tc>
          <w:tcPr>
            <w:tcW w:w="7892" w:type="dxa"/>
            <w:tcBorders>
              <w:top w:val="single" w:sz="4" w:space="0" w:color="1A171C"/>
              <w:left w:val="single" w:sz="4" w:space="0" w:color="1A171C"/>
              <w:bottom w:val="single" w:sz="4" w:space="0" w:color="1A171C"/>
              <w:right w:val="nil"/>
            </w:tcBorders>
          </w:tcPr>
          <w:p w14:paraId="7FE1B9DF" w14:textId="77777777" w:rsidR="00534D9A" w:rsidRDefault="003243B2">
            <w:pPr>
              <w:pStyle w:val="P68B1DB1-TableParagraph14"/>
              <w:spacing w:before="108"/>
              <w:ind w:left="85"/>
              <w:jc w:val="both"/>
              <w:rPr>
                <w:bCs/>
              </w:rPr>
            </w:pPr>
            <w:r>
              <w:t>Id-derivattivi (l-assi)</w:t>
            </w:r>
          </w:p>
          <w:p w14:paraId="7FE1B9E0" w14:textId="77777777" w:rsidR="00534D9A" w:rsidRDefault="003243B2">
            <w:pPr>
              <w:pStyle w:val="P68B1DB1-TableParagraph17"/>
              <w:spacing w:before="108"/>
              <w:ind w:left="85"/>
            </w:pPr>
            <w:r>
              <w:t>Id-derivattivi kollha b’kontropartijiet finanzjarji miżmuma fuq in-naħa tal-assi tal-karta bilanċjali. Kuntrarjament għal “Swieq Kapitali”, f’“Finanzjament tal-Operaturi”, id-derivattivi jinkludu l-kuntratti kollha tad-derivattivi mal-kontropartijiet finanzjarji (mhux limitati għall-HFT).</w:t>
            </w:r>
          </w:p>
        </w:tc>
      </w:tr>
      <w:tr w:rsidR="00534D9A" w14:paraId="7FE1B9E5" w14:textId="77777777">
        <w:tc>
          <w:tcPr>
            <w:tcW w:w="1191" w:type="dxa"/>
            <w:tcBorders>
              <w:top w:val="single" w:sz="4" w:space="0" w:color="1A171C"/>
              <w:left w:val="nil"/>
              <w:bottom w:val="single" w:sz="4" w:space="0" w:color="1A171C"/>
              <w:right w:val="single" w:sz="4" w:space="0" w:color="1A171C"/>
            </w:tcBorders>
          </w:tcPr>
          <w:p w14:paraId="7FE1B9E2" w14:textId="77777777" w:rsidR="00534D9A" w:rsidRDefault="003243B2">
            <w:pPr>
              <w:pStyle w:val="P68B1DB1-TableParagraph13"/>
              <w:spacing w:before="108"/>
              <w:ind w:left="85"/>
              <w:jc w:val="both"/>
              <w:rPr>
                <w:rFonts w:eastAsia="Cambria"/>
              </w:rPr>
            </w:pPr>
            <w:r>
              <w:t>0340</w:t>
            </w:r>
          </w:p>
        </w:tc>
        <w:tc>
          <w:tcPr>
            <w:tcW w:w="7892" w:type="dxa"/>
            <w:tcBorders>
              <w:top w:val="single" w:sz="4" w:space="0" w:color="1A171C"/>
              <w:left w:val="single" w:sz="4" w:space="0" w:color="1A171C"/>
              <w:bottom w:val="single" w:sz="4" w:space="0" w:color="1A171C"/>
              <w:right w:val="nil"/>
            </w:tcBorders>
          </w:tcPr>
          <w:p w14:paraId="7FE1B9E3" w14:textId="77777777" w:rsidR="00534D9A" w:rsidRDefault="003243B2">
            <w:pPr>
              <w:pStyle w:val="P68B1DB1-TableParagraph14"/>
              <w:spacing w:before="108"/>
              <w:ind w:left="85"/>
              <w:jc w:val="both"/>
              <w:rPr>
                <w:bCs/>
              </w:rPr>
            </w:pPr>
            <w:r>
              <w:t>Tislif</w:t>
            </w:r>
          </w:p>
          <w:p w14:paraId="7FE1B9E4" w14:textId="77777777" w:rsidR="00534D9A" w:rsidRDefault="003243B2">
            <w:pPr>
              <w:pStyle w:val="P68B1DB1-TableParagraph17"/>
              <w:spacing w:before="108"/>
              <w:ind w:left="85"/>
            </w:pPr>
            <w:r>
              <w:t>L-għoti ta’ self fis-swieq tal-operaturi lill-kontropartijiet finanzjarji (inkluż permezz ta’ self ta’ retroriakkwist, karta kummerċjali, ċertifikati ta’ depożiti, fondi tas-suq monetarju, linji ta’ kreditu, karta kummerċjali garantita b’assi, depożiti fiduċjarji).</w:t>
            </w:r>
          </w:p>
        </w:tc>
      </w:tr>
      <w:tr w:rsidR="00534D9A" w14:paraId="7FE1B9E9" w14:textId="77777777">
        <w:tc>
          <w:tcPr>
            <w:tcW w:w="1191" w:type="dxa"/>
            <w:tcBorders>
              <w:top w:val="single" w:sz="4" w:space="0" w:color="1A171C"/>
              <w:left w:val="nil"/>
              <w:bottom w:val="single" w:sz="4" w:space="0" w:color="1A171C"/>
              <w:right w:val="single" w:sz="4" w:space="0" w:color="1A171C"/>
            </w:tcBorders>
          </w:tcPr>
          <w:p w14:paraId="7FE1B9E6" w14:textId="77777777" w:rsidR="00534D9A" w:rsidRDefault="003243B2">
            <w:pPr>
              <w:pStyle w:val="P68B1DB1-TableParagraph13"/>
              <w:spacing w:before="108"/>
              <w:ind w:left="85"/>
              <w:jc w:val="both"/>
              <w:rPr>
                <w:rFonts w:eastAsia="Cambria"/>
              </w:rPr>
            </w:pPr>
            <w:r>
              <w:t>0350</w:t>
            </w:r>
          </w:p>
        </w:tc>
        <w:tc>
          <w:tcPr>
            <w:tcW w:w="7892" w:type="dxa"/>
            <w:tcBorders>
              <w:top w:val="single" w:sz="4" w:space="0" w:color="1A171C"/>
              <w:left w:val="single" w:sz="4" w:space="0" w:color="1A171C"/>
              <w:bottom w:val="single" w:sz="4" w:space="0" w:color="1A171C"/>
              <w:right w:val="nil"/>
            </w:tcBorders>
          </w:tcPr>
          <w:p w14:paraId="7FE1B9E7" w14:textId="77777777" w:rsidR="00534D9A" w:rsidRDefault="003243B2">
            <w:pPr>
              <w:pStyle w:val="P68B1DB1-TableParagraph14"/>
              <w:spacing w:before="108"/>
              <w:ind w:left="85"/>
              <w:jc w:val="both"/>
              <w:rPr>
                <w:bCs/>
              </w:rPr>
            </w:pPr>
            <w:r>
              <w:t>Derivattivi (obbligazzjonijiet)</w:t>
            </w:r>
          </w:p>
          <w:p w14:paraId="7FE1B9E8" w14:textId="77777777" w:rsidR="00534D9A" w:rsidRDefault="003243B2">
            <w:pPr>
              <w:pStyle w:val="P68B1DB1-TableParagraph17"/>
              <w:spacing w:before="108"/>
              <w:ind w:left="85"/>
              <w:jc w:val="both"/>
            </w:pPr>
            <w:r>
              <w:t xml:space="preserve">Id-derivattivi kollha b’kontropartijiet finanzjarji miżmuma fuq in-naħa tal-obbligazzjonijiet tal-karta bilanċjali. </w:t>
            </w:r>
          </w:p>
        </w:tc>
      </w:tr>
      <w:tr w:rsidR="00534D9A" w14:paraId="7FE1B9ED" w14:textId="77777777">
        <w:tc>
          <w:tcPr>
            <w:tcW w:w="1191" w:type="dxa"/>
            <w:tcBorders>
              <w:top w:val="single" w:sz="4" w:space="0" w:color="1A171C"/>
              <w:left w:val="nil"/>
              <w:bottom w:val="single" w:sz="4" w:space="0" w:color="1A171C"/>
              <w:right w:val="single" w:sz="4" w:space="0" w:color="1A171C"/>
            </w:tcBorders>
          </w:tcPr>
          <w:p w14:paraId="7FE1B9EA" w14:textId="77777777" w:rsidR="00534D9A" w:rsidRDefault="003243B2">
            <w:pPr>
              <w:pStyle w:val="P68B1DB1-TableParagraph17"/>
              <w:spacing w:before="108"/>
              <w:ind w:left="85"/>
              <w:jc w:val="both"/>
            </w:pPr>
            <w:r>
              <w:t>0360–0380</w:t>
            </w:r>
          </w:p>
        </w:tc>
        <w:tc>
          <w:tcPr>
            <w:tcW w:w="7892" w:type="dxa"/>
            <w:tcBorders>
              <w:top w:val="single" w:sz="4" w:space="0" w:color="1A171C"/>
              <w:left w:val="single" w:sz="4" w:space="0" w:color="1A171C"/>
              <w:bottom w:val="single" w:sz="4" w:space="0" w:color="1A171C"/>
              <w:right w:val="nil"/>
            </w:tcBorders>
          </w:tcPr>
          <w:p w14:paraId="7FE1B9EB" w14:textId="77777777" w:rsidR="00534D9A" w:rsidRDefault="003243B2">
            <w:pPr>
              <w:pStyle w:val="P68B1DB1-TableParagraph14"/>
              <w:spacing w:before="108"/>
              <w:ind w:left="85"/>
              <w:jc w:val="both"/>
              <w:rPr>
                <w:bCs/>
              </w:rPr>
            </w:pPr>
            <w:r>
              <w:t>Tipi oħra ta’ prodott (1), (2) u (3)</w:t>
            </w:r>
          </w:p>
          <w:p w14:paraId="7FE1B9EC" w14:textId="77777777" w:rsidR="00534D9A" w:rsidRDefault="003243B2">
            <w:pPr>
              <w:pStyle w:val="P68B1DB1-TableParagraph17"/>
              <w:spacing w:before="108"/>
              <w:ind w:left="85"/>
            </w:pPr>
            <w:r>
              <w:t>Kull funzjoni tal-funzjoni ekonomika “Finanzjament tal-operaturi” li mhijiex inkluża f’dan ta’ hawn fuq.</w:t>
            </w:r>
          </w:p>
        </w:tc>
      </w:tr>
    </w:tbl>
    <w:p w14:paraId="7FE1B9EE" w14:textId="77777777" w:rsidR="00534D9A" w:rsidRDefault="00534D9A">
      <w:pPr>
        <w:pStyle w:val="InstructionsText2"/>
        <w:numPr>
          <w:ilvl w:val="0"/>
          <w:numId w:val="0"/>
        </w:numPr>
        <w:ind w:left="1440" w:firstLine="18"/>
        <w:rPr>
          <w:rFonts w:ascii="Times New Roman" w:hAnsi="Times New Roman" w:cs="Times New Roman"/>
          <w:sz w:val="20"/>
          <w:szCs w:val="20"/>
        </w:rPr>
      </w:pPr>
    </w:p>
    <w:p w14:paraId="7FE1B9EF" w14:textId="3D9C3A6F" w:rsidR="00534D9A" w:rsidRDefault="003243B2">
      <w:pPr>
        <w:pStyle w:val="P68B1DB1-Instructionsberschrift25"/>
        <w:numPr>
          <w:ilvl w:val="1"/>
          <w:numId w:val="49"/>
        </w:numPr>
        <w:ind w:left="357" w:hanging="357"/>
      </w:pPr>
      <w:bookmarkStart w:id="108" w:name="_Toc208245004"/>
      <w:r>
        <w:t>Z 07.01.1 FUNC 1 DEP</w:t>
      </w:r>
      <w:bookmarkEnd w:id="108"/>
    </w:p>
    <w:p w14:paraId="7FE1B9F9" w14:textId="77777777" w:rsidR="00534D9A" w:rsidRDefault="00534D9A">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34D9A" w14:paraId="7FE1B9FC"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9FA" w14:textId="77777777" w:rsidR="00534D9A" w:rsidRDefault="003243B2">
            <w:pPr>
              <w:pStyle w:val="P68B1DB1-TableParagraph17"/>
              <w:spacing w:before="108"/>
              <w:ind w:left="85"/>
              <w:jc w:val="both"/>
            </w:pPr>
            <w:r>
              <w:t>Kolonni</w:t>
            </w:r>
          </w:p>
        </w:tc>
        <w:tc>
          <w:tcPr>
            <w:tcW w:w="8003" w:type="dxa"/>
            <w:tcBorders>
              <w:top w:val="single" w:sz="4" w:space="0" w:color="1A171C"/>
              <w:left w:val="single" w:sz="4" w:space="0" w:color="1A171C"/>
              <w:bottom w:val="single" w:sz="4" w:space="0" w:color="1A171C"/>
              <w:right w:val="nil"/>
            </w:tcBorders>
            <w:shd w:val="clear" w:color="auto" w:fill="E4E5E5"/>
          </w:tcPr>
          <w:p w14:paraId="7FE1B9FB" w14:textId="77777777" w:rsidR="00534D9A" w:rsidRDefault="003243B2">
            <w:pPr>
              <w:pStyle w:val="P68B1DB1-TableParagraph17"/>
              <w:spacing w:before="108"/>
              <w:ind w:left="85" w:right="1"/>
              <w:jc w:val="both"/>
            </w:pPr>
            <w:r>
              <w:t>Struzzjonijiet</w:t>
            </w:r>
          </w:p>
        </w:tc>
      </w:tr>
      <w:tr w:rsidR="00534D9A" w14:paraId="7FE1BA00" w14:textId="77777777">
        <w:tc>
          <w:tcPr>
            <w:tcW w:w="1080" w:type="dxa"/>
            <w:tcBorders>
              <w:top w:val="single" w:sz="4" w:space="0" w:color="1A171C"/>
              <w:left w:val="nil"/>
              <w:bottom w:val="single" w:sz="4" w:space="0" w:color="1A171C"/>
              <w:right w:val="single" w:sz="4" w:space="0" w:color="1A171C"/>
            </w:tcBorders>
            <w:vAlign w:val="center"/>
          </w:tcPr>
          <w:p w14:paraId="7FE1B9FD" w14:textId="77777777" w:rsidR="00534D9A" w:rsidRDefault="003243B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9FE" w14:textId="77777777" w:rsidR="00534D9A" w:rsidRDefault="003243B2">
            <w:pPr>
              <w:pStyle w:val="P68B1DB1-TableParagraph14"/>
              <w:spacing w:before="108"/>
              <w:ind w:left="85"/>
              <w:jc w:val="both"/>
              <w:rPr>
                <w:bCs/>
              </w:rPr>
            </w:pPr>
            <w:r>
              <w:t>Il-funzjonijiet ekonomiċi kif definiti hawn fuq Kolonni Struzzjonijiet 0010 Id-deskrizzjoni ta’ funzjoni ekonomika</w:t>
            </w:r>
          </w:p>
          <w:p w14:paraId="7FE1B9FF" w14:textId="2DF858EE" w:rsidR="00534D9A" w:rsidRDefault="003243B2">
            <w:pPr>
              <w:pStyle w:val="P68B1DB1-TableParagraph17"/>
              <w:spacing w:before="108"/>
              <w:ind w:left="85"/>
            </w:pPr>
            <w:r>
              <w:t xml:space="preserve">Meta l-funzjoni ekonomika tkun tat-tip “Oħrajn” (funzjonijiet f’r0050 sa r0070), għandha tiġi pprovduta deskrizzjoni ta’ dik il-funzjoni. </w:t>
            </w:r>
          </w:p>
        </w:tc>
      </w:tr>
      <w:tr w:rsidR="00534D9A" w14:paraId="7FE1BA04" w14:textId="77777777">
        <w:tc>
          <w:tcPr>
            <w:tcW w:w="1080" w:type="dxa"/>
            <w:tcBorders>
              <w:top w:val="single" w:sz="4" w:space="0" w:color="1A171C"/>
              <w:left w:val="nil"/>
              <w:bottom w:val="single" w:sz="4" w:space="0" w:color="1A171C"/>
              <w:right w:val="single" w:sz="4" w:space="0" w:color="1A171C"/>
            </w:tcBorders>
            <w:vAlign w:val="center"/>
          </w:tcPr>
          <w:p w14:paraId="7FE1BA01" w14:textId="77777777" w:rsidR="00534D9A" w:rsidRDefault="003243B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02" w14:textId="77777777" w:rsidR="00534D9A" w:rsidRDefault="003243B2">
            <w:pPr>
              <w:pStyle w:val="P68B1DB1-TableParagraph14"/>
              <w:spacing w:before="108"/>
              <w:ind w:left="85"/>
              <w:jc w:val="both"/>
              <w:rPr>
                <w:bCs/>
              </w:rPr>
            </w:pPr>
            <w:r>
              <w:t xml:space="preserve">Sehem mis-suq </w:t>
            </w:r>
          </w:p>
          <w:p w14:paraId="7FE1BA03" w14:textId="2B787841" w:rsidR="00534D9A" w:rsidRDefault="003243B2">
            <w:pPr>
              <w:pStyle w:val="P68B1DB1-TableParagraph17"/>
              <w:spacing w:before="108"/>
              <w:ind w:left="85"/>
            </w:pPr>
            <w:r>
              <w:lastRenderedPageBreak/>
              <w:t>L-istima tas-sehem mis-suq tal-istituzzjoni jew tal-grupp għall-funzjoni ekonomika fil-pajjiż jew fil-ġeografija rispettiv. Perċentwal tas-suq totali f’termini tal-Valur fuq il-Kontijiet.</w:t>
            </w:r>
          </w:p>
        </w:tc>
      </w:tr>
      <w:tr w:rsidR="00534D9A" w14:paraId="7FE1BA09" w14:textId="77777777">
        <w:tc>
          <w:tcPr>
            <w:tcW w:w="1080" w:type="dxa"/>
            <w:tcBorders>
              <w:top w:val="single" w:sz="4" w:space="0" w:color="1A171C"/>
              <w:left w:val="nil"/>
              <w:bottom w:val="single" w:sz="4" w:space="0" w:color="1A171C"/>
              <w:right w:val="single" w:sz="4" w:space="0" w:color="1A171C"/>
            </w:tcBorders>
            <w:vAlign w:val="center"/>
          </w:tcPr>
          <w:p w14:paraId="7FE1BA05" w14:textId="77777777" w:rsidR="00534D9A" w:rsidRDefault="003243B2">
            <w:pPr>
              <w:pStyle w:val="P68B1DB1-TableParagraph17"/>
              <w:spacing w:before="108"/>
              <w:ind w:left="85"/>
              <w:jc w:val="both"/>
            </w:pPr>
            <w:r>
              <w:lastRenderedPageBreak/>
              <w:t>0030</w:t>
            </w:r>
          </w:p>
        </w:tc>
        <w:tc>
          <w:tcPr>
            <w:tcW w:w="8003" w:type="dxa"/>
            <w:tcBorders>
              <w:top w:val="single" w:sz="4" w:space="0" w:color="1A171C"/>
              <w:left w:val="single" w:sz="4" w:space="0" w:color="1A171C"/>
              <w:bottom w:val="single" w:sz="4" w:space="0" w:color="1A171C"/>
              <w:right w:val="nil"/>
            </w:tcBorders>
            <w:vAlign w:val="center"/>
          </w:tcPr>
          <w:p w14:paraId="7FE1BA06" w14:textId="77777777" w:rsidR="00534D9A" w:rsidRDefault="003243B2">
            <w:pPr>
              <w:pStyle w:val="P68B1DB1-TableParagraph14"/>
              <w:spacing w:before="108"/>
              <w:jc w:val="both"/>
              <w:rPr>
                <w:bCs/>
              </w:rPr>
            </w:pPr>
            <w:r>
              <w:t>Valur fuq il-kontijiet</w:t>
            </w:r>
          </w:p>
          <w:p w14:paraId="7FE1BA07" w14:textId="77777777" w:rsidR="00534D9A" w:rsidRDefault="003243B2">
            <w:pPr>
              <w:pStyle w:val="P68B1DB1-TableParagraph17"/>
              <w:spacing w:before="108"/>
            </w:pPr>
            <w:r>
              <w:t>Ammont riportat (inkluż l-imgħax dovut) tad-depożiti aċċettati</w:t>
            </w:r>
          </w:p>
          <w:p w14:paraId="7FE1BA08" w14:textId="77777777" w:rsidR="00534D9A" w:rsidRDefault="003243B2">
            <w:pPr>
              <w:pStyle w:val="P68B1DB1-TableParagraph17"/>
              <w:spacing w:before="108"/>
            </w:pPr>
            <w:r>
              <w:t>Referenzi: FINREP, l-Annessi III u IV, il-mudell F 08.01 u l-Anness V, il-Parti 2, il-paragrafu 97.</w:t>
            </w:r>
          </w:p>
        </w:tc>
      </w:tr>
      <w:tr w:rsidR="00534D9A" w14:paraId="7FE1BA0D" w14:textId="77777777">
        <w:tc>
          <w:tcPr>
            <w:tcW w:w="1080" w:type="dxa"/>
            <w:tcBorders>
              <w:top w:val="single" w:sz="4" w:space="0" w:color="1A171C"/>
              <w:left w:val="nil"/>
              <w:bottom w:val="single" w:sz="4" w:space="0" w:color="1A171C"/>
              <w:right w:val="single" w:sz="4" w:space="0" w:color="1A171C"/>
            </w:tcBorders>
            <w:vAlign w:val="center"/>
          </w:tcPr>
          <w:p w14:paraId="7FE1BA0A" w14:textId="47AA2EA1" w:rsidR="00534D9A" w:rsidRDefault="003243B2">
            <w:pPr>
              <w:pStyle w:val="P68B1DB1-TableParagraph17"/>
              <w:spacing w:before="108"/>
              <w:ind w:left="85"/>
              <w:jc w:val="both"/>
            </w:pPr>
            <w:r>
              <w:t>0035</w:t>
            </w:r>
          </w:p>
        </w:tc>
        <w:tc>
          <w:tcPr>
            <w:tcW w:w="8003" w:type="dxa"/>
            <w:tcBorders>
              <w:top w:val="single" w:sz="4" w:space="0" w:color="1A171C"/>
              <w:left w:val="single" w:sz="4" w:space="0" w:color="1A171C"/>
              <w:bottom w:val="single" w:sz="4" w:space="0" w:color="1A171C"/>
              <w:right w:val="nil"/>
            </w:tcBorders>
            <w:vAlign w:val="center"/>
          </w:tcPr>
          <w:p w14:paraId="7FE1BA0B" w14:textId="66CBA83C" w:rsidR="00534D9A" w:rsidRDefault="003243B2">
            <w:pPr>
              <w:pStyle w:val="P68B1DB1-TableParagraph14"/>
              <w:spacing w:before="108"/>
              <w:jc w:val="both"/>
              <w:rPr>
                <w:bCs/>
              </w:rPr>
            </w:pPr>
            <w:bookmarkStart w:id="109" w:name="_Hlk162030772"/>
            <w:r>
              <w:t>Li minnhom mhux assigurati</w:t>
            </w:r>
          </w:p>
          <w:p w14:paraId="7FE1BA0C" w14:textId="464500AA" w:rsidR="00534D9A" w:rsidRDefault="003243B2">
            <w:pPr>
              <w:pStyle w:val="P68B1DB1-TableParagraph13"/>
              <w:spacing w:before="108"/>
              <w:rPr>
                <w:rFonts w:eastAsia="Cambria"/>
              </w:rPr>
            </w:pPr>
            <w:r>
              <w:t>Ammont riportat (inkluż l-imgħax dovut) ta’ depożiti aċċettati bil-bilanċ tal-kont tagħhom ogħla minn EUR 100 000.00</w:t>
            </w:r>
            <w:bookmarkEnd w:id="109"/>
            <w:r>
              <w:t>. l-ammont li jaqbeż 100, EUR 000 biss għandu jiġi rrapportat hawnhekk.</w:t>
            </w:r>
          </w:p>
        </w:tc>
      </w:tr>
      <w:tr w:rsidR="00534D9A" w14:paraId="7FE1BA14" w14:textId="77777777">
        <w:tc>
          <w:tcPr>
            <w:tcW w:w="1080" w:type="dxa"/>
            <w:tcBorders>
              <w:top w:val="single" w:sz="4" w:space="0" w:color="1A171C"/>
              <w:left w:val="nil"/>
              <w:bottom w:val="single" w:sz="4" w:space="0" w:color="1A171C"/>
              <w:right w:val="single" w:sz="4" w:space="0" w:color="1A171C"/>
            </w:tcBorders>
            <w:vAlign w:val="center"/>
          </w:tcPr>
          <w:p w14:paraId="7FE1BA0E" w14:textId="13FF7421" w:rsidR="00534D9A" w:rsidRDefault="003243B2">
            <w:pPr>
              <w:pStyle w:val="P68B1DB1-TableParagraph17"/>
              <w:spacing w:before="108"/>
              <w:ind w:left="85"/>
              <w:jc w:val="both"/>
            </w:pPr>
            <w:r>
              <w:t>0036</w:t>
            </w:r>
          </w:p>
        </w:tc>
        <w:tc>
          <w:tcPr>
            <w:tcW w:w="8003" w:type="dxa"/>
            <w:tcBorders>
              <w:top w:val="single" w:sz="4" w:space="0" w:color="1A171C"/>
              <w:left w:val="single" w:sz="4" w:space="0" w:color="1A171C"/>
              <w:bottom w:val="single" w:sz="4" w:space="0" w:color="1A171C"/>
              <w:right w:val="nil"/>
            </w:tcBorders>
            <w:vAlign w:val="center"/>
          </w:tcPr>
          <w:p w14:paraId="7FE1BA0F" w14:textId="4A16C5CB" w:rsidR="00534D9A" w:rsidRDefault="003243B2">
            <w:pPr>
              <w:pStyle w:val="P68B1DB1-TableParagraph14"/>
              <w:spacing w:before="108"/>
              <w:ind w:left="85"/>
              <w:jc w:val="both"/>
              <w:rPr>
                <w:bCs/>
              </w:rPr>
            </w:pPr>
            <w:bookmarkStart w:id="110" w:name="_Hlk162030782"/>
            <w:r>
              <w:t>Li minnhom rikorrenti</w:t>
            </w:r>
          </w:p>
          <w:p w14:paraId="7FE1BA12" w14:textId="14AEAE5C" w:rsidR="00534D9A" w:rsidRDefault="003243B2">
            <w:pPr>
              <w:pStyle w:val="P68B1DB1-TableParagraph13"/>
              <w:spacing w:before="108"/>
              <w:ind w:left="85"/>
              <w:jc w:val="both"/>
            </w:pPr>
            <w:bookmarkStart w:id="111" w:name="_Hlk170377814"/>
            <w:bookmarkStart w:id="112" w:name="_Hlk162030851"/>
            <w:r>
              <w:t xml:space="preserve">Ammont riportat (inkluż l-imgħax dovut) ta’ depożiti aċċettati li jinżammu f’kont ta’ depożitu rikorrenti.  Kontijiet ta’ depożitu rikorrenti huma kontijiet ta’ depożitu fejn il-kont ikun ġie ddebitat jew ikkreditat mill-inqas 5-il tranżazzjoni fix-xahar bħala medja matul is-6-il xahar ta’ qabel id-data limitu, ħlief għal tariffi annwali, imposti oħra u pagament ta’ imgħax relatat mal-kont. </w:t>
            </w:r>
            <w:bookmarkEnd w:id="111"/>
          </w:p>
          <w:bookmarkEnd w:id="110"/>
          <w:bookmarkEnd w:id="112"/>
          <w:p w14:paraId="7FE1BA13" w14:textId="0C63C868" w:rsidR="00534D9A" w:rsidRDefault="00534D9A">
            <w:pPr>
              <w:pStyle w:val="TableParagraph"/>
              <w:spacing w:before="108"/>
              <w:ind w:left="85"/>
              <w:jc w:val="both"/>
              <w:rPr>
                <w:rFonts w:ascii="Times New Roman" w:hAnsi="Times New Roman" w:cs="Times New Roman"/>
                <w:color w:val="000000" w:themeColor="text1"/>
                <w:sz w:val="20"/>
                <w:szCs w:val="20"/>
              </w:rPr>
            </w:pPr>
          </w:p>
        </w:tc>
      </w:tr>
      <w:tr w:rsidR="00534D9A" w14:paraId="7FE1BA18" w14:textId="77777777">
        <w:tc>
          <w:tcPr>
            <w:tcW w:w="1080" w:type="dxa"/>
            <w:tcBorders>
              <w:top w:val="single" w:sz="4" w:space="0" w:color="1A171C"/>
              <w:left w:val="nil"/>
              <w:bottom w:val="single" w:sz="4" w:space="0" w:color="1A171C"/>
              <w:right w:val="single" w:sz="4" w:space="0" w:color="1A171C"/>
            </w:tcBorders>
            <w:vAlign w:val="center"/>
          </w:tcPr>
          <w:p w14:paraId="7FE1BA15" w14:textId="56462D7A" w:rsidR="00534D9A" w:rsidRDefault="003243B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16" w14:textId="77777777" w:rsidR="00534D9A" w:rsidRDefault="003243B2">
            <w:pPr>
              <w:pStyle w:val="P68B1DB1-TableParagraph14"/>
              <w:spacing w:before="108"/>
              <w:ind w:left="85"/>
              <w:jc w:val="both"/>
              <w:rPr>
                <w:bCs/>
              </w:rPr>
            </w:pPr>
            <w:r>
              <w:t>Numru ta’ klijenti</w:t>
            </w:r>
          </w:p>
          <w:p w14:paraId="7FE1BA17" w14:textId="77777777" w:rsidR="00534D9A" w:rsidRDefault="003243B2">
            <w:pPr>
              <w:pStyle w:val="P68B1DB1-TableParagraph13"/>
              <w:spacing w:before="108"/>
              <w:ind w:left="85"/>
              <w:jc w:val="both"/>
            </w:pPr>
            <w:r>
              <w:t>L-għadd totali ta’ klijenti li ddepożitaw il-valuri rrapportati f’c0030 “valur fuq il-kontijiet”. Jekk klijent wieħed juża aktar minn prodott/kont ta’ depożitu wieħed, il-klijent għandu jiġi kkalkulat darba biss.</w:t>
            </w:r>
          </w:p>
        </w:tc>
      </w:tr>
      <w:tr w:rsidR="00534D9A" w14:paraId="7FE1BA1F" w14:textId="77777777">
        <w:tc>
          <w:tcPr>
            <w:tcW w:w="1080" w:type="dxa"/>
            <w:tcBorders>
              <w:top w:val="single" w:sz="4" w:space="0" w:color="1A171C"/>
              <w:left w:val="nil"/>
              <w:bottom w:val="single" w:sz="4" w:space="0" w:color="1A171C"/>
              <w:right w:val="single" w:sz="4" w:space="0" w:color="1A171C"/>
            </w:tcBorders>
            <w:vAlign w:val="center"/>
          </w:tcPr>
          <w:p w14:paraId="7FE1BA19" w14:textId="5D4B8FB0" w:rsidR="00534D9A" w:rsidRDefault="003243B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A1A" w14:textId="77777777" w:rsidR="00534D9A" w:rsidRDefault="003243B2">
            <w:pPr>
              <w:pStyle w:val="P68B1DB1-TableParagraph14"/>
              <w:spacing w:before="108"/>
              <w:ind w:left="85"/>
              <w:jc w:val="both"/>
              <w:rPr>
                <w:bCs/>
              </w:rPr>
            </w:pPr>
            <w:r>
              <w:t>Numru ta’ Kontijiet</w:t>
            </w:r>
          </w:p>
          <w:p w14:paraId="7FE1BA1B" w14:textId="77777777" w:rsidR="00534D9A" w:rsidRDefault="003243B2">
            <w:pPr>
              <w:pStyle w:val="P68B1DB1-TableParagraph13"/>
              <w:spacing w:before="108"/>
              <w:ind w:left="85"/>
              <w:jc w:val="both"/>
            </w:pPr>
            <w:r>
              <w:t>Numru totali ta’ kontijiet kurrenti/depożiti mil-lum għall-għada, depożiti b’maturità miftiehma u</w:t>
            </w:r>
          </w:p>
          <w:p w14:paraId="7FE1BA1C" w14:textId="36D44222" w:rsidR="00534D9A" w:rsidRDefault="003243B2">
            <w:pPr>
              <w:pStyle w:val="P68B1DB1-TableParagraph13"/>
              <w:spacing w:before="108"/>
              <w:ind w:left="85"/>
              <w:jc w:val="both"/>
            </w:pPr>
            <w:r>
              <w:t>depożiti li jistgħu jinfdew b’avviż. Il-kontijiet konġunti għandhom jingħaddu darba biss. Il-/Ir—</w:t>
            </w:r>
          </w:p>
          <w:p w14:paraId="7FE1BA1D" w14:textId="07F9DB1C" w:rsidR="00534D9A" w:rsidRDefault="003243B2">
            <w:pPr>
              <w:pStyle w:val="P68B1DB1-TableParagraph13"/>
              <w:spacing w:before="108"/>
              <w:ind w:left="85"/>
              <w:jc w:val="both"/>
            </w:pPr>
            <w:r>
              <w:t>l-għadd totali ta’ kontijiet f’din il-kolonna jikkorrispondi għall-valur irrapportat f’c0030</w:t>
            </w:r>
          </w:p>
          <w:p w14:paraId="7FE1BA1E" w14:textId="77777777" w:rsidR="00534D9A" w:rsidRDefault="003243B2">
            <w:pPr>
              <w:pStyle w:val="P68B1DB1-TableParagraph13"/>
              <w:spacing w:before="108"/>
              <w:ind w:left="85"/>
              <w:jc w:val="both"/>
              <w:rPr>
                <w:b/>
                <w:bCs/>
              </w:rPr>
            </w:pPr>
            <w:r>
              <w:t>“valur fuq il-kontijiet”.</w:t>
            </w:r>
          </w:p>
        </w:tc>
      </w:tr>
      <w:tr w:rsidR="00534D9A" w14:paraId="7FE1BA23" w14:textId="77777777">
        <w:tc>
          <w:tcPr>
            <w:tcW w:w="1080" w:type="dxa"/>
            <w:tcBorders>
              <w:top w:val="single" w:sz="4" w:space="0" w:color="1A171C"/>
              <w:left w:val="nil"/>
              <w:bottom w:val="single" w:sz="4" w:space="0" w:color="1A171C"/>
              <w:right w:val="single" w:sz="4" w:space="0" w:color="1A171C"/>
            </w:tcBorders>
            <w:vAlign w:val="center"/>
          </w:tcPr>
          <w:p w14:paraId="7FE1BA20" w14:textId="175782F6" w:rsidR="00534D9A" w:rsidRDefault="003243B2">
            <w:pPr>
              <w:pStyle w:val="P68B1DB1-TableParagraph17"/>
              <w:spacing w:before="108"/>
              <w:ind w:left="85"/>
              <w:jc w:val="both"/>
            </w:pPr>
            <w:r>
              <w:t>0055</w:t>
            </w:r>
          </w:p>
        </w:tc>
        <w:tc>
          <w:tcPr>
            <w:tcW w:w="8003" w:type="dxa"/>
            <w:tcBorders>
              <w:top w:val="single" w:sz="4" w:space="0" w:color="1A171C"/>
              <w:left w:val="single" w:sz="4" w:space="0" w:color="1A171C"/>
              <w:bottom w:val="single" w:sz="4" w:space="0" w:color="1A171C"/>
              <w:right w:val="nil"/>
            </w:tcBorders>
            <w:vAlign w:val="center"/>
          </w:tcPr>
          <w:p w14:paraId="7FE1BA21" w14:textId="1347DD47" w:rsidR="00534D9A" w:rsidRDefault="003243B2">
            <w:pPr>
              <w:pStyle w:val="P68B1DB1-TableParagraph14"/>
              <w:spacing w:before="108"/>
              <w:ind w:left="85"/>
              <w:jc w:val="both"/>
              <w:rPr>
                <w:bCs/>
              </w:rPr>
            </w:pPr>
            <w:r>
              <w:t>Li minnhom rikorrenti</w:t>
            </w:r>
          </w:p>
          <w:p w14:paraId="7FE1BA22" w14:textId="00C60993" w:rsidR="00534D9A" w:rsidRDefault="003243B2">
            <w:pPr>
              <w:pStyle w:val="P68B1DB1-TableParagraph13"/>
              <w:spacing w:before="108"/>
              <w:ind w:left="85"/>
              <w:jc w:val="both"/>
            </w:pPr>
            <w:r>
              <w:t>Numru totali ta’ kontijiet rikorrenti kif definit f’c0036</w:t>
            </w:r>
          </w:p>
        </w:tc>
      </w:tr>
      <w:tr w:rsidR="00534D9A" w14:paraId="7FE1BA2B" w14:textId="77777777">
        <w:tc>
          <w:tcPr>
            <w:tcW w:w="1080" w:type="dxa"/>
            <w:tcBorders>
              <w:top w:val="single" w:sz="4" w:space="0" w:color="1A171C"/>
              <w:left w:val="nil"/>
              <w:bottom w:val="single" w:sz="4" w:space="0" w:color="1A171C"/>
              <w:right w:val="single" w:sz="4" w:space="0" w:color="1A171C"/>
            </w:tcBorders>
            <w:vAlign w:val="center"/>
          </w:tcPr>
          <w:p w14:paraId="7FE1BA24" w14:textId="486A03B3" w:rsidR="00534D9A" w:rsidRDefault="003243B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25" w14:textId="77777777" w:rsidR="00534D9A" w:rsidRDefault="003243B2">
            <w:pPr>
              <w:pStyle w:val="P68B1DB1-TableParagraph14"/>
              <w:spacing w:before="108"/>
              <w:ind w:left="85"/>
              <w:jc w:val="both"/>
              <w:rPr>
                <w:bCs/>
              </w:rPr>
            </w:pPr>
            <w:r>
              <w:t>Valur transkonfinali</w:t>
            </w:r>
          </w:p>
          <w:p w14:paraId="7FE1BA26" w14:textId="77777777" w:rsidR="00534D9A" w:rsidRDefault="003243B2">
            <w:pPr>
              <w:pStyle w:val="P68B1DB1-TableParagraph13"/>
              <w:spacing w:before="108"/>
              <w:ind w:left="85"/>
              <w:jc w:val="both"/>
            </w:pPr>
            <w:r>
              <w:t>Valur fuq il-kontijiet ta’ persuni mhux residenti (persuni mhux domestiċi). Il-persuni domestiċi jinkludu: (I)</w:t>
            </w:r>
          </w:p>
          <w:p w14:paraId="7FE1BA27" w14:textId="77777777" w:rsidR="00534D9A" w:rsidRDefault="003243B2">
            <w:pPr>
              <w:pStyle w:val="P68B1DB1-TableParagraph13"/>
              <w:spacing w:before="108"/>
              <w:ind w:left="85"/>
              <w:jc w:val="both"/>
            </w:pPr>
            <w:r>
              <w:t>persuni li għandhom l-interess ekonomiku ewlieni tagħhom (attivitajiet ekonomiċi għal mill-inqas sena;</w:t>
            </w:r>
          </w:p>
          <w:p w14:paraId="7FE1BA28" w14:textId="77777777" w:rsidR="00534D9A" w:rsidRDefault="003243B2">
            <w:pPr>
              <w:pStyle w:val="P68B1DB1-TableParagraph13"/>
              <w:spacing w:before="108"/>
              <w:ind w:left="85"/>
              <w:jc w:val="both"/>
            </w:pPr>
            <w:r>
              <w:t>is-sjieda tal-assi fiżiċi titqies bħala evidenza suffiċjenti) fil-pajjiż tal —</w:t>
            </w:r>
          </w:p>
          <w:p w14:paraId="7FE1BA29" w14:textId="77777777" w:rsidR="00534D9A" w:rsidRDefault="003243B2">
            <w:pPr>
              <w:pStyle w:val="P68B1DB1-TableParagraph13"/>
              <w:spacing w:before="108"/>
              <w:ind w:left="85"/>
              <w:jc w:val="both"/>
            </w:pPr>
            <w:r>
              <w:t>entità relatriċi, u (ii) fergħat barranin tal-klijenti tal-entità relatriċi.</w:t>
            </w:r>
          </w:p>
          <w:p w14:paraId="7FE1BA2A" w14:textId="77777777" w:rsidR="00534D9A" w:rsidRDefault="003243B2">
            <w:pPr>
              <w:pStyle w:val="P68B1DB1-TableParagraph13"/>
              <w:spacing w:before="108"/>
              <w:ind w:left="85"/>
              <w:jc w:val="both"/>
              <w:rPr>
                <w:b/>
                <w:bCs/>
              </w:rPr>
            </w:pPr>
            <w:r>
              <w:t xml:space="preserve">Referenza: </w:t>
            </w:r>
          </w:p>
        </w:tc>
      </w:tr>
      <w:tr w:rsidR="00534D9A" w14:paraId="7FE1BA34" w14:textId="77777777">
        <w:tc>
          <w:tcPr>
            <w:tcW w:w="1080" w:type="dxa"/>
            <w:tcBorders>
              <w:top w:val="single" w:sz="4" w:space="0" w:color="1A171C"/>
              <w:left w:val="nil"/>
              <w:bottom w:val="single" w:sz="4" w:space="0" w:color="1A171C"/>
              <w:right w:val="single" w:sz="4" w:space="0" w:color="1A171C"/>
            </w:tcBorders>
            <w:vAlign w:val="center"/>
          </w:tcPr>
          <w:p w14:paraId="7FE1BA2C" w14:textId="38DDB56C" w:rsidR="00534D9A" w:rsidRDefault="003243B2">
            <w:pPr>
              <w:pStyle w:val="P68B1DB1-TableParagraph17"/>
              <w:spacing w:before="108"/>
              <w:jc w:val="both"/>
            </w:pPr>
            <w:r>
              <w:t>0070–0140</w:t>
            </w:r>
          </w:p>
        </w:tc>
        <w:tc>
          <w:tcPr>
            <w:tcW w:w="8003" w:type="dxa"/>
            <w:tcBorders>
              <w:top w:val="single" w:sz="4" w:space="0" w:color="1A171C"/>
              <w:left w:val="single" w:sz="4" w:space="0" w:color="1A171C"/>
              <w:bottom w:val="single" w:sz="4" w:space="0" w:color="1A171C"/>
              <w:right w:val="nil"/>
            </w:tcBorders>
            <w:vAlign w:val="center"/>
          </w:tcPr>
          <w:p w14:paraId="7FE1BA2D" w14:textId="77777777" w:rsidR="00534D9A" w:rsidRDefault="003243B2">
            <w:pPr>
              <w:pStyle w:val="P68B1DB1-TableParagraph14"/>
              <w:spacing w:before="108"/>
              <w:jc w:val="both"/>
              <w:rPr>
                <w:bCs/>
              </w:rPr>
            </w:pPr>
            <w:r>
              <w:t>Analiżi tal-Impatt u tas-Sostitwibbiltà</w:t>
            </w:r>
          </w:p>
          <w:p w14:paraId="7FE1BA2E" w14:textId="2C85C98D" w:rsidR="00534D9A" w:rsidRDefault="003243B2">
            <w:pPr>
              <w:pStyle w:val="P68B1DB1-Normal31"/>
              <w:spacing w:line="276" w:lineRule="auto"/>
              <w:jc w:val="both"/>
            </w:pPr>
            <w:r>
              <w:t>Il-kriterji ta’ valutazzjoni għall-impatt fuq partijiet terzi għandhom jinkludu l-elementi li ġejjin f’konformità mar-Regolament Delegat tal-Kummissjoni (UE) 2016/778:</w:t>
            </w:r>
          </w:p>
          <w:p w14:paraId="7FE1BA2F" w14:textId="77777777" w:rsidR="00534D9A" w:rsidRDefault="003243B2">
            <w:pPr>
              <w:pStyle w:val="P68B1DB1-ListParagraph32"/>
              <w:numPr>
                <w:ilvl w:val="0"/>
                <w:numId w:val="131"/>
              </w:numPr>
              <w:spacing w:line="276" w:lineRule="auto"/>
              <w:rPr>
                <w:b/>
                <w:bCs/>
              </w:rPr>
            </w:pPr>
            <w:r>
              <w:rPr>
                <w:b/>
              </w:rPr>
              <w:t>in-natura u l-firxa tal-attività</w:t>
            </w:r>
            <w:r>
              <w:t>, l-ilħuq globali, nazzjonali jew reġjonali, il-volum u l-għadd ta’ tranżazzjonijiet; l-għadd ta’ klijenti u kontropartijiet; in-numru ta’ klijenti li għalihom l-istituzzjoni hija l-unika sieħba bankarja jew dik prinċipali.</w:t>
            </w:r>
          </w:p>
          <w:p w14:paraId="7FE1BA30" w14:textId="77777777" w:rsidR="00534D9A" w:rsidRDefault="003243B2">
            <w:pPr>
              <w:pStyle w:val="P68B1DB1-ListParagraph32"/>
              <w:numPr>
                <w:ilvl w:val="0"/>
                <w:numId w:val="131"/>
              </w:numPr>
              <w:spacing w:line="276" w:lineRule="auto"/>
              <w:rPr>
                <w:b/>
                <w:bCs/>
              </w:rPr>
            </w:pPr>
            <w:r>
              <w:rPr>
                <w:b/>
              </w:rPr>
              <w:lastRenderedPageBreak/>
              <w:t>ir-rilevanza tal-istituzzjoni</w:t>
            </w:r>
            <w:r>
              <w:t>, fuq bażi lokali, reġjonali, nazzjonali jew dak Ewropew, kif xieraq għas-suq konċernat. Ir-rilevanza tal-istituzzjoni tista’ tiġi evalwata abbażi tas-sehem tas-suq, l-interkonnettività, il-kumplessità u attivitajiet transkonfinali.</w:t>
            </w:r>
          </w:p>
          <w:p w14:paraId="7FE1BA31" w14:textId="77777777" w:rsidR="00534D9A" w:rsidRDefault="003243B2">
            <w:pPr>
              <w:pStyle w:val="P68B1DB1-ListParagraph32"/>
              <w:numPr>
                <w:ilvl w:val="0"/>
                <w:numId w:val="131"/>
              </w:numPr>
              <w:spacing w:line="276" w:lineRule="auto"/>
              <w:rPr>
                <w:b/>
                <w:bCs/>
              </w:rPr>
            </w:pPr>
            <w:r>
              <w:rPr>
                <w:b/>
              </w:rPr>
              <w:t>in-natura tal-klijenti u partijiet interessati affettwati mill-funzjoni</w:t>
            </w:r>
            <w:r>
              <w:t xml:space="preserve">, bħal, iżda mhux limitati għal klijenti individwali, klijenti korporattivi, klijenti interbankarji, il-kmamar tal-ikklerjar ċentrali u entitajiet pubbliċi. </w:t>
            </w:r>
          </w:p>
          <w:p w14:paraId="7FE1BA32" w14:textId="77777777" w:rsidR="00534D9A" w:rsidRDefault="003243B2">
            <w:pPr>
              <w:pStyle w:val="P68B1DB1-ListParagraph32"/>
              <w:numPr>
                <w:ilvl w:val="0"/>
                <w:numId w:val="131"/>
              </w:numPr>
              <w:spacing w:line="276" w:lineRule="auto"/>
              <w:rPr>
                <w:b/>
                <w:bCs/>
              </w:rPr>
            </w:pPr>
            <w:r>
              <w:rPr>
                <w:b/>
              </w:rPr>
              <w:t>il-potenzjal ta’ tfixkil ta’ funzjoni fuq is-swieq, infrastrutturi, klijenti u s-servizzi pubbliċi</w:t>
            </w:r>
            <w:r>
              <w:t xml:space="preserve">. B’mod partikolari, il-valutazzjoni tista’ tinkludi l-effett fuq il-likwidità tas-swieq ikkonċernati, l-impatt u l-grad ta’ tfixkil għan-negozju tal-klijenti, u l-bżonnijiet ta’ likwidità fuq perjodu qasir ta’ żmien; il-perċettibbiltà għal kontropartijiet, klijenti u l-pubbliku; il-kapaċità u l-veloċità ta’ reazzjoni tal-klijenti; ir-rilevanza għall-funzjonament ta’ swieq oħra; l-effett fuq il-likwidità, l-operazzjonijiet, l-istruttura ta’ suq ieħor; l-effett fuq kontropartijiet oħra relatati ma’ klijenti </w:t>
            </w:r>
            <w:r>
              <w:t>ewlenin u l-interrelazzjoni tal-funzjoni ma’ servizzi oħra.</w:t>
            </w:r>
          </w:p>
          <w:p w14:paraId="7FE1BA33" w14:textId="77777777" w:rsidR="00534D9A" w:rsidRDefault="00534D9A">
            <w:pPr>
              <w:pStyle w:val="TableParagraph"/>
              <w:spacing w:before="108"/>
              <w:ind w:left="85"/>
              <w:jc w:val="both"/>
              <w:rPr>
                <w:rFonts w:ascii="Times New Roman" w:hAnsi="Times New Roman" w:cs="Times New Roman"/>
                <w:b/>
                <w:bCs/>
                <w:color w:val="000000" w:themeColor="text1"/>
                <w:sz w:val="20"/>
                <w:szCs w:val="20"/>
              </w:rPr>
            </w:pPr>
          </w:p>
        </w:tc>
      </w:tr>
      <w:tr w:rsidR="00534D9A" w14:paraId="7FE1BA38" w14:textId="77777777">
        <w:tc>
          <w:tcPr>
            <w:tcW w:w="1080" w:type="dxa"/>
            <w:tcBorders>
              <w:top w:val="single" w:sz="4" w:space="0" w:color="1A171C"/>
              <w:left w:val="nil"/>
              <w:bottom w:val="single" w:sz="4" w:space="0" w:color="1A171C"/>
              <w:right w:val="single" w:sz="4" w:space="0" w:color="1A171C"/>
            </w:tcBorders>
            <w:vAlign w:val="center"/>
          </w:tcPr>
          <w:p w14:paraId="7FE1BA35" w14:textId="3050578F" w:rsidR="00534D9A" w:rsidRDefault="003243B2">
            <w:pPr>
              <w:pStyle w:val="P68B1DB1-TableParagraph17"/>
              <w:spacing w:before="108"/>
              <w:jc w:val="both"/>
            </w:pPr>
            <w:r>
              <w:lastRenderedPageBreak/>
              <w:t>0070–0090</w:t>
            </w:r>
          </w:p>
        </w:tc>
        <w:tc>
          <w:tcPr>
            <w:tcW w:w="8003" w:type="dxa"/>
            <w:tcBorders>
              <w:top w:val="single" w:sz="4" w:space="0" w:color="1A171C"/>
              <w:left w:val="single" w:sz="4" w:space="0" w:color="1A171C"/>
              <w:bottom w:val="single" w:sz="4" w:space="0" w:color="1A171C"/>
              <w:right w:val="nil"/>
            </w:tcBorders>
            <w:vAlign w:val="center"/>
          </w:tcPr>
          <w:p w14:paraId="7FE1BA36" w14:textId="77777777" w:rsidR="00534D9A" w:rsidRDefault="003243B2">
            <w:pPr>
              <w:pStyle w:val="P68B1DB1-TableParagraph14"/>
              <w:spacing w:before="108"/>
              <w:ind w:left="85"/>
              <w:jc w:val="both"/>
              <w:rPr>
                <w:bCs/>
              </w:rPr>
            </w:pPr>
            <w:r>
              <w:t xml:space="preserve">Natura u Reach </w:t>
            </w:r>
          </w:p>
          <w:p w14:paraId="7FE1BA37" w14:textId="77777777" w:rsidR="00534D9A" w:rsidRDefault="003243B2">
            <w:pPr>
              <w:pStyle w:val="P68B1DB1-TableParagraph33"/>
              <w:spacing w:before="108"/>
              <w:ind w:left="85"/>
              <w:jc w:val="both"/>
              <w:rPr>
                <w:rFonts w:cs="Times New Roman"/>
                <w:b/>
                <w:bCs/>
                <w:color w:val="000000" w:themeColor="text1"/>
              </w:rPr>
            </w:pPr>
            <w:r>
              <w:t>Il-firxa globali, nazzjonali jew reġjonali, il-volum u l-għadd ta’ tranżazzjonijiet; l-għadd ta’ klijenti u kontropartijiet; in-numru ta’ klijenti li għalihom l-istituzzjoni hija l-unika sieħba bankarja jew dik prinċipali.</w:t>
            </w:r>
          </w:p>
        </w:tc>
      </w:tr>
      <w:tr w:rsidR="00534D9A" w14:paraId="7FE1BA3F" w14:textId="77777777">
        <w:tc>
          <w:tcPr>
            <w:tcW w:w="1080" w:type="dxa"/>
            <w:tcBorders>
              <w:top w:val="single" w:sz="4" w:space="0" w:color="1A171C"/>
              <w:left w:val="nil"/>
              <w:bottom w:val="single" w:sz="4" w:space="0" w:color="1A171C"/>
              <w:right w:val="single" w:sz="4" w:space="0" w:color="1A171C"/>
            </w:tcBorders>
            <w:vAlign w:val="center"/>
          </w:tcPr>
          <w:p w14:paraId="7FE1BA39" w14:textId="153BD48E" w:rsidR="00534D9A" w:rsidRDefault="003243B2">
            <w:pPr>
              <w:pStyle w:val="P68B1DB1-TableParagraph17"/>
              <w:spacing w:before="108"/>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A3A" w14:textId="77777777" w:rsidR="00534D9A" w:rsidRDefault="003243B2">
            <w:pPr>
              <w:pStyle w:val="P68B1DB1-TableParagraph14"/>
              <w:spacing w:before="108"/>
              <w:ind w:left="85"/>
              <w:jc w:val="both"/>
              <w:rPr>
                <w:bCs/>
              </w:rPr>
            </w:pPr>
            <w:r>
              <w:t>Indikatur tad-daqs 1</w:t>
            </w:r>
          </w:p>
          <w:p w14:paraId="7FE1BA3B" w14:textId="0CA29815"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A3C" w14:textId="77777777" w:rsidR="00534D9A" w:rsidRDefault="003243B2">
            <w:pPr>
              <w:pStyle w:val="P68B1DB1-ListParagraph32"/>
              <w:numPr>
                <w:ilvl w:val="0"/>
                <w:numId w:val="130"/>
              </w:numPr>
              <w:spacing w:line="276" w:lineRule="auto"/>
            </w:pPr>
            <w:r>
              <w:t xml:space="preserve">Ġudizzju espert tad-daqs </w:t>
            </w:r>
            <w:r>
              <w:rPr>
                <w:b/>
              </w:rPr>
              <w:t>tal-valur</w:t>
            </w:r>
            <w:r>
              <w:t xml:space="preserve"> fuq il-kontijiet (c0030) minn perspettiva </w:t>
            </w:r>
            <w:r>
              <w:rPr>
                <w:b/>
              </w:rPr>
              <w:t>tal-UE</w:t>
            </w:r>
            <w:r>
              <w:t xml:space="preserve"> </w:t>
            </w:r>
            <w:r>
              <w:rPr>
                <w:i/>
              </w:rPr>
              <w:t>[livell wieħed ogħla mis-suq rilevanti. Dan ifisser li meta s-suq rilevanti jkun reġjonali, id-daqs 1 = nazzjonali; meta jkun nazzjonali, daqs 1 = UE; meta tkun l-UE, daqs 1 = globali]</w:t>
            </w:r>
            <w:r>
              <w:t>:</w:t>
            </w:r>
          </w:p>
          <w:p w14:paraId="7FE1BA3D" w14:textId="77777777" w:rsidR="00534D9A" w:rsidRDefault="003243B2">
            <w:pPr>
              <w:pStyle w:val="P68B1DB1-ListParagraph32"/>
              <w:numPr>
                <w:ilvl w:val="1"/>
                <w:numId w:val="129"/>
              </w:numPr>
              <w:spacing w:line="276" w:lineRule="auto"/>
            </w:pPr>
            <w:r>
              <w:t xml:space="preserve">Minn perspettiva tal-UE, kemm taħseb li huwa kbir il-valur totali fuq il-kontijiet mal-istituzzjoni tiegħek? </w:t>
            </w:r>
          </w:p>
          <w:p w14:paraId="7FE1BA3E" w14:textId="77777777" w:rsidR="00534D9A" w:rsidRDefault="00534D9A">
            <w:pPr>
              <w:pStyle w:val="TableParagraph"/>
              <w:spacing w:before="108"/>
              <w:ind w:left="85"/>
              <w:jc w:val="both"/>
              <w:rPr>
                <w:rFonts w:ascii="Times New Roman" w:hAnsi="Times New Roman" w:cs="Times New Roman"/>
                <w:b/>
                <w:bCs/>
                <w:color w:val="000000" w:themeColor="text1"/>
                <w:sz w:val="20"/>
                <w:szCs w:val="20"/>
              </w:rPr>
            </w:pPr>
          </w:p>
        </w:tc>
      </w:tr>
      <w:tr w:rsidR="00534D9A" w14:paraId="7FE1BA46" w14:textId="77777777">
        <w:tc>
          <w:tcPr>
            <w:tcW w:w="1080" w:type="dxa"/>
            <w:tcBorders>
              <w:top w:val="single" w:sz="4" w:space="0" w:color="1A171C"/>
              <w:left w:val="nil"/>
              <w:bottom w:val="single" w:sz="4" w:space="0" w:color="1A171C"/>
              <w:right w:val="single" w:sz="4" w:space="0" w:color="1A171C"/>
            </w:tcBorders>
            <w:vAlign w:val="center"/>
          </w:tcPr>
          <w:p w14:paraId="7FE1BA40" w14:textId="54B11659" w:rsidR="00534D9A" w:rsidRDefault="003243B2">
            <w:pPr>
              <w:pStyle w:val="P68B1DB1-TableParagraph17"/>
              <w:spacing w:before="108"/>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A41" w14:textId="77777777" w:rsidR="00534D9A" w:rsidRDefault="003243B2">
            <w:pPr>
              <w:pStyle w:val="P68B1DB1-TableParagraph14"/>
              <w:spacing w:before="108"/>
              <w:ind w:left="85"/>
              <w:jc w:val="both"/>
              <w:rPr>
                <w:bCs/>
              </w:rPr>
            </w:pPr>
            <w:r>
              <w:t>Indikatur tad-daqs 2</w:t>
            </w:r>
          </w:p>
          <w:p w14:paraId="3B32AD4C"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A42" w14:textId="7FE1DE6A" w:rsidR="00534D9A" w:rsidRDefault="00534D9A">
            <w:pPr>
              <w:spacing w:line="276" w:lineRule="auto"/>
              <w:jc w:val="both"/>
              <w:rPr>
                <w:rFonts w:ascii="Times New Roman" w:eastAsia="Times New Roman" w:hAnsi="Times New Roman" w:cs="Times New Roman"/>
                <w:sz w:val="20"/>
                <w:szCs w:val="20"/>
              </w:rPr>
            </w:pPr>
          </w:p>
          <w:p w14:paraId="7FE1BA43" w14:textId="77777777" w:rsidR="00534D9A" w:rsidRDefault="003243B2">
            <w:pPr>
              <w:pStyle w:val="P68B1DB1-ListParagraph32"/>
              <w:numPr>
                <w:ilvl w:val="0"/>
                <w:numId w:val="124"/>
              </w:numPr>
              <w:spacing w:line="276" w:lineRule="auto"/>
            </w:pPr>
            <w:r>
              <w:t xml:space="preserve">Ġudizzju espert tad-daqs </w:t>
            </w:r>
            <w:r>
              <w:rPr>
                <w:b/>
              </w:rPr>
              <w:t>tal-għadd</w:t>
            </w:r>
            <w:r>
              <w:t xml:space="preserve"> ta’ klijenti (c0040) minn perspettiva </w:t>
            </w:r>
            <w:r>
              <w:rPr>
                <w:b/>
              </w:rPr>
              <w:t>nazzjonali</w:t>
            </w:r>
            <w:r>
              <w:t xml:space="preserve"> [</w:t>
            </w:r>
            <w:r>
              <w:rPr>
                <w:i/>
              </w:rPr>
              <w:t>fil-livell tas-suq rilevanti</w:t>
            </w:r>
            <w:r>
              <w:t>]:</w:t>
            </w:r>
          </w:p>
          <w:p w14:paraId="7FE1BA44" w14:textId="77777777" w:rsidR="00534D9A" w:rsidRDefault="003243B2">
            <w:pPr>
              <w:pStyle w:val="P68B1DB1-ListParagraph32"/>
              <w:numPr>
                <w:ilvl w:val="1"/>
                <w:numId w:val="122"/>
              </w:numPr>
              <w:spacing w:line="276" w:lineRule="auto"/>
            </w:pPr>
            <w:r>
              <w:t>Minn perspettiva nazzjonali, kemm huwa kbir l-għadd totali ta’ klijenti tal-istituzzjoni?</w:t>
            </w:r>
          </w:p>
          <w:p w14:paraId="7FE1BA45" w14:textId="77777777" w:rsidR="00534D9A" w:rsidRDefault="00534D9A">
            <w:pPr>
              <w:pStyle w:val="TableParagraph"/>
              <w:spacing w:before="108"/>
              <w:ind w:left="85"/>
              <w:jc w:val="both"/>
              <w:rPr>
                <w:rFonts w:ascii="Times New Roman" w:hAnsi="Times New Roman" w:cs="Times New Roman"/>
                <w:b/>
                <w:bCs/>
                <w:color w:val="000000" w:themeColor="text1"/>
                <w:sz w:val="20"/>
                <w:szCs w:val="20"/>
              </w:rPr>
            </w:pPr>
          </w:p>
        </w:tc>
      </w:tr>
      <w:tr w:rsidR="00534D9A" w14:paraId="7FE1BA51" w14:textId="77777777">
        <w:tc>
          <w:tcPr>
            <w:tcW w:w="1080" w:type="dxa"/>
            <w:tcBorders>
              <w:top w:val="single" w:sz="4" w:space="0" w:color="1A171C"/>
              <w:left w:val="nil"/>
              <w:bottom w:val="single" w:sz="4" w:space="0" w:color="1A171C"/>
              <w:right w:val="single" w:sz="4" w:space="0" w:color="1A171C"/>
            </w:tcBorders>
            <w:vAlign w:val="center"/>
          </w:tcPr>
          <w:p w14:paraId="7FE1BA47" w14:textId="171E9753" w:rsidR="00534D9A" w:rsidRDefault="003243B2">
            <w:pPr>
              <w:pStyle w:val="P68B1DB1-TableParagraph17"/>
              <w:spacing w:before="108"/>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A48" w14:textId="77777777" w:rsidR="00534D9A" w:rsidRDefault="003243B2">
            <w:pPr>
              <w:pStyle w:val="P68B1DB1-TableParagraph14"/>
              <w:spacing w:before="108"/>
              <w:ind w:left="85"/>
              <w:jc w:val="both"/>
              <w:rPr>
                <w:bCs/>
              </w:rPr>
            </w:pPr>
            <w:r>
              <w:t>Indikatur transkonfinali</w:t>
            </w:r>
          </w:p>
          <w:p w14:paraId="7FE1BA49" w14:textId="77777777" w:rsidR="00534D9A" w:rsidRDefault="003243B2">
            <w:pPr>
              <w:pStyle w:val="P68B1DB1-Normal31"/>
              <w:spacing w:line="276" w:lineRule="auto"/>
              <w:jc w:val="both"/>
            </w:pPr>
            <w:r>
              <w:t>Tivvaluta l-importanza relattiva tal-attivitajiet transfruntiera għall-funzjonijiet ekonomiċi differenti.</w:t>
            </w:r>
          </w:p>
          <w:p w14:paraId="7FE1BA4A" w14:textId="77777777" w:rsidR="00534D9A" w:rsidRDefault="003243B2">
            <w:pPr>
              <w:pStyle w:val="P68B1DB1-Normal31"/>
              <w:spacing w:line="276" w:lineRule="auto"/>
              <w:jc w:val="both"/>
            </w:pPr>
            <w:r>
              <w:t xml:space="preserve">Dan ma għandux għalfejn jiġi vvalutat fil-każ ta’ rapporti li fihom is-suq rilevanti jitqies bħala reġjonali. </w:t>
            </w:r>
          </w:p>
          <w:p w14:paraId="7FE1BA4B" w14:textId="77777777" w:rsidR="00534D9A" w:rsidRDefault="003243B2">
            <w:pPr>
              <w:pStyle w:val="P68B1DB1-ListParagraph32"/>
              <w:numPr>
                <w:ilvl w:val="0"/>
                <w:numId w:val="118"/>
              </w:numPr>
              <w:rPr>
                <w:i/>
                <w:iCs/>
              </w:rPr>
            </w:pPr>
            <w:r>
              <w:t xml:space="preserve">L-għadd ta’ pajjiżi tal-UE fejn huwa stmat li l-entità relatriċi għandha sehem mis-suq nazzjonali ta’ aktar minn 2 %. Rapport: </w:t>
            </w:r>
          </w:p>
          <w:p w14:paraId="7FE1BA4C" w14:textId="380A40CA" w:rsidR="00534D9A" w:rsidRDefault="003243B2">
            <w:pPr>
              <w:pStyle w:val="P68B1DB1-ListParagraph32"/>
              <w:numPr>
                <w:ilvl w:val="1"/>
                <w:numId w:val="118"/>
              </w:numPr>
              <w:rPr>
                <w:i/>
                <w:iCs/>
              </w:rPr>
            </w:pPr>
            <w:r>
              <w:t xml:space="preserve">≤ 1 pajjiż; </w:t>
            </w:r>
          </w:p>
          <w:p w14:paraId="7FE1BA4D" w14:textId="152EAA32" w:rsidR="00534D9A" w:rsidRDefault="003243B2">
            <w:pPr>
              <w:pStyle w:val="P68B1DB1-ListParagraph32"/>
              <w:numPr>
                <w:ilvl w:val="1"/>
                <w:numId w:val="118"/>
              </w:numPr>
              <w:rPr>
                <w:i/>
                <w:iCs/>
              </w:rPr>
            </w:pPr>
            <w:r>
              <w:t xml:space="preserve">2–3 pajjiż; </w:t>
            </w:r>
          </w:p>
          <w:p w14:paraId="7FE1BA4E" w14:textId="5E1FD2A4" w:rsidR="00534D9A" w:rsidRDefault="003243B2">
            <w:pPr>
              <w:pStyle w:val="P68B1DB1-ListParagraph32"/>
              <w:numPr>
                <w:ilvl w:val="1"/>
                <w:numId w:val="118"/>
              </w:numPr>
              <w:rPr>
                <w:i/>
                <w:iCs/>
              </w:rPr>
            </w:pPr>
            <w:r>
              <w:t xml:space="preserve">4–5 pajjiż, </w:t>
            </w:r>
          </w:p>
          <w:p w14:paraId="7FE1BA4F" w14:textId="744AB982" w:rsidR="00534D9A" w:rsidRDefault="003243B2">
            <w:pPr>
              <w:pStyle w:val="P68B1DB1-ListParagraph32"/>
              <w:numPr>
                <w:ilvl w:val="1"/>
                <w:numId w:val="118"/>
              </w:numPr>
              <w:rPr>
                <w:i/>
                <w:iCs/>
              </w:rPr>
            </w:pPr>
            <w:r>
              <w:t>&gt; 5 pajjiż.</w:t>
            </w:r>
          </w:p>
          <w:p w14:paraId="7FE1BA50" w14:textId="77777777" w:rsidR="00534D9A" w:rsidRDefault="00534D9A">
            <w:pPr>
              <w:pStyle w:val="TableParagraph"/>
              <w:spacing w:before="108"/>
              <w:jc w:val="both"/>
              <w:rPr>
                <w:rFonts w:ascii="Times New Roman" w:hAnsi="Times New Roman" w:cs="Times New Roman"/>
                <w:b/>
                <w:bCs/>
                <w:color w:val="000000" w:themeColor="text1"/>
                <w:sz w:val="20"/>
                <w:szCs w:val="20"/>
              </w:rPr>
            </w:pPr>
          </w:p>
        </w:tc>
      </w:tr>
      <w:tr w:rsidR="00534D9A" w14:paraId="7FE1BA60" w14:textId="77777777">
        <w:tc>
          <w:tcPr>
            <w:tcW w:w="1080" w:type="dxa"/>
            <w:tcBorders>
              <w:top w:val="single" w:sz="4" w:space="0" w:color="1A171C"/>
              <w:left w:val="nil"/>
              <w:bottom w:val="single" w:sz="4" w:space="0" w:color="1A171C"/>
              <w:right w:val="single" w:sz="4" w:space="0" w:color="1A171C"/>
            </w:tcBorders>
            <w:vAlign w:val="center"/>
          </w:tcPr>
          <w:p w14:paraId="7FE1BA52" w14:textId="05E0D2FF" w:rsidR="00534D9A" w:rsidRDefault="003243B2">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A53" w14:textId="77777777" w:rsidR="00534D9A" w:rsidRDefault="003243B2">
            <w:pPr>
              <w:pStyle w:val="P68B1DB1-TableParagraph14"/>
              <w:spacing w:before="108"/>
              <w:ind w:left="85"/>
              <w:jc w:val="both"/>
              <w:rPr>
                <w:bCs/>
              </w:rPr>
            </w:pPr>
            <w:r>
              <w:t xml:space="preserve">Rilevanza — </w:t>
            </w:r>
          </w:p>
          <w:p w14:paraId="7FE1BA54" w14:textId="77777777" w:rsidR="00534D9A" w:rsidRDefault="003243B2">
            <w:pPr>
              <w:pStyle w:val="P68B1DB1-TableParagraph33"/>
              <w:spacing w:before="108"/>
              <w:ind w:left="85"/>
              <w:jc w:val="both"/>
            </w:pPr>
            <w:r>
              <w:t>Fuq livell lokali, reġjonali, nazzjonali jew Ewropew, kif xieraq għas-suq ikkonċernat. Ir-rilevanza tal-istituzzjoni tista’ tiġi evalwata abbażi tas-sehem tas-suq, l-interkonnettività, il-kumplessità u attivitajiet transkonfinali.</w:t>
            </w:r>
          </w:p>
          <w:p w14:paraId="7FE1BA55" w14:textId="77777777" w:rsidR="00534D9A" w:rsidRDefault="003243B2">
            <w:pPr>
              <w:pStyle w:val="P68B1DB1-TableParagraph14"/>
              <w:spacing w:before="108"/>
              <w:ind w:left="85"/>
              <w:jc w:val="both"/>
              <w:rPr>
                <w:bCs/>
              </w:rPr>
            </w:pPr>
            <w:r>
              <w:t>Sehem mis-suq</w:t>
            </w:r>
          </w:p>
          <w:p w14:paraId="7FE1BA56" w14:textId="77777777" w:rsidR="00534D9A" w:rsidRDefault="003243B2">
            <w:pPr>
              <w:pStyle w:val="P68B1DB1-Normal31"/>
              <w:spacing w:line="276" w:lineRule="auto"/>
              <w:jc w:val="both"/>
            </w:pPr>
            <w:r>
              <w:t xml:space="preserve">Ivvaluta kemm huwa importanti s-sehem mis-suq tal-entità relatriċi, meta mqabbel mas-suq nazzjonali jew suq rilevanti ieħor, kif indikat fil-mudell. Din il-valutazzjoni hija espressa b’mod kwalitattiv bħala </w:t>
            </w:r>
          </w:p>
          <w:p w14:paraId="7FE1BA57" w14:textId="4FBBC6A6" w:rsidR="00534D9A" w:rsidRDefault="003243B2">
            <w:pPr>
              <w:pStyle w:val="P68B1DB1-ListParagraph32"/>
              <w:numPr>
                <w:ilvl w:val="0"/>
                <w:numId w:val="276"/>
              </w:numPr>
              <w:spacing w:line="276" w:lineRule="auto"/>
              <w:jc w:val="both"/>
            </w:pPr>
            <w:r>
              <w:t>Għoli, jekk is-sehem mis-suq ikun kbir</w:t>
            </w:r>
          </w:p>
          <w:p w14:paraId="7FE1BA58" w14:textId="71C0B34E" w:rsidR="00534D9A" w:rsidRDefault="003243B2">
            <w:pPr>
              <w:pStyle w:val="P68B1DB1-ListParagraph32"/>
              <w:numPr>
                <w:ilvl w:val="0"/>
                <w:numId w:val="276"/>
              </w:numPr>
              <w:spacing w:line="276" w:lineRule="auto"/>
              <w:jc w:val="both"/>
            </w:pPr>
            <w:r>
              <w:t>Medju-għoli, jekk is-sehem mis-suq huwa medju</w:t>
            </w:r>
          </w:p>
          <w:p w14:paraId="7FE1BA59" w14:textId="08ABB1D9" w:rsidR="00534D9A" w:rsidRDefault="003243B2">
            <w:pPr>
              <w:pStyle w:val="P68B1DB1-ListParagraph32"/>
              <w:numPr>
                <w:ilvl w:val="0"/>
                <w:numId w:val="276"/>
              </w:numPr>
              <w:spacing w:line="276" w:lineRule="auto"/>
              <w:jc w:val="both"/>
            </w:pPr>
            <w:r>
              <w:t xml:space="preserve">Medju-baxx, jekk is-sehem mis-suq ikun żgħir jew </w:t>
            </w:r>
          </w:p>
          <w:p w14:paraId="7FE1BA5A" w14:textId="3DD284B5" w:rsidR="00534D9A" w:rsidRDefault="003243B2">
            <w:pPr>
              <w:pStyle w:val="P68B1DB1-ListParagraph32"/>
              <w:numPr>
                <w:ilvl w:val="0"/>
                <w:numId w:val="276"/>
              </w:numPr>
              <w:spacing w:line="276" w:lineRule="auto"/>
              <w:jc w:val="both"/>
            </w:pPr>
            <w:r>
              <w:t xml:space="preserve">Baxx, jekk is-sehem mis-suq ikun negliġibbli. </w:t>
            </w:r>
          </w:p>
          <w:p w14:paraId="7FE1BA5B" w14:textId="77777777" w:rsidR="00534D9A" w:rsidRDefault="003243B2">
            <w:pPr>
              <w:pStyle w:val="P68B1DB1-Normal31"/>
              <w:spacing w:line="276" w:lineRule="auto"/>
              <w:jc w:val="both"/>
            </w:pPr>
            <w:r>
              <w:t xml:space="preserve">Din il-valutazzjoni tqis l-istruttura tas-suq tal-pajjiż tal-entità relatriċi (jew suq rilevanti ieħor), u l-ishma mis-suq irrapportati parzjalment </w:t>
            </w:r>
          </w:p>
          <w:p w14:paraId="7FE1BA5C" w14:textId="77777777" w:rsidR="00534D9A" w:rsidRDefault="003243B2">
            <w:pPr>
              <w:pStyle w:val="P68B1DB1-Normal31"/>
              <w:spacing w:line="276" w:lineRule="auto"/>
              <w:jc w:val="both"/>
            </w:pPr>
            <w:r>
              <w:t>2.Data kwantitattiva:</w:t>
            </w:r>
          </w:p>
          <w:p w14:paraId="7FE1BA5D" w14:textId="77777777" w:rsidR="00534D9A" w:rsidRDefault="003243B2">
            <w:pPr>
              <w:pStyle w:val="P68B1DB1-ListParagraph32"/>
              <w:numPr>
                <w:ilvl w:val="0"/>
                <w:numId w:val="117"/>
              </w:numPr>
              <w:spacing w:line="276" w:lineRule="auto"/>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A5E" w14:textId="77777777" w:rsidR="00534D9A" w:rsidRDefault="00534D9A">
            <w:pPr>
              <w:spacing w:line="276" w:lineRule="auto"/>
              <w:jc w:val="both"/>
              <w:rPr>
                <w:rFonts w:ascii="Times New Roman" w:eastAsia="Times New Roman" w:hAnsi="Times New Roman" w:cs="Times New Roman"/>
                <w:sz w:val="20"/>
                <w:szCs w:val="20"/>
              </w:rPr>
            </w:pPr>
          </w:p>
          <w:p w14:paraId="7FE1BA5F" w14:textId="77777777" w:rsidR="00534D9A" w:rsidRDefault="00534D9A">
            <w:pPr>
              <w:pStyle w:val="TableParagraph"/>
              <w:spacing w:before="108"/>
              <w:ind w:left="85"/>
              <w:jc w:val="both"/>
              <w:rPr>
                <w:rFonts w:ascii="Times New Roman" w:hAnsi="Times New Roman" w:cs="Times New Roman"/>
                <w:b/>
                <w:bCs/>
                <w:color w:val="000000" w:themeColor="text1"/>
                <w:sz w:val="20"/>
                <w:szCs w:val="20"/>
              </w:rPr>
            </w:pPr>
          </w:p>
        </w:tc>
      </w:tr>
      <w:tr w:rsidR="00534D9A" w14:paraId="7FE1BA6E" w14:textId="77777777">
        <w:tc>
          <w:tcPr>
            <w:tcW w:w="1080" w:type="dxa"/>
            <w:tcBorders>
              <w:top w:val="single" w:sz="4" w:space="0" w:color="1A171C"/>
              <w:left w:val="nil"/>
              <w:bottom w:val="single" w:sz="4" w:space="0" w:color="1A171C"/>
              <w:right w:val="single" w:sz="4" w:space="0" w:color="1A171C"/>
            </w:tcBorders>
            <w:vAlign w:val="center"/>
          </w:tcPr>
          <w:p w14:paraId="7FE1BA61" w14:textId="5039FA68" w:rsidR="00534D9A" w:rsidRDefault="003243B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A62" w14:textId="77777777" w:rsidR="00534D9A" w:rsidRDefault="003243B2">
            <w:pPr>
              <w:pStyle w:val="P68B1DB1-TableParagraph14"/>
              <w:spacing w:before="108"/>
              <w:ind w:left="85"/>
              <w:jc w:val="both"/>
              <w:rPr>
                <w:bCs/>
              </w:rPr>
            </w:pPr>
            <w:r>
              <w:t>Struttura tas-Suq — Konċentrazzjoni tas-suq</w:t>
            </w:r>
          </w:p>
          <w:p w14:paraId="7FE1BA63" w14:textId="77777777" w:rsidR="00534D9A" w:rsidRDefault="003243B2">
            <w:pPr>
              <w:pStyle w:val="P68B1DB1-Normal31"/>
              <w:jc w:val="both"/>
            </w:pPr>
            <w:r>
              <w:t xml:space="preserve">Il-konċentrazzjoni tas-suq, imkejla skont l-għadd ta’ kompetituri li qed iwettqu bħalissa </w:t>
            </w:r>
          </w:p>
          <w:p w14:paraId="7FE1BA64" w14:textId="77777777" w:rsidR="00534D9A" w:rsidRDefault="003243B2">
            <w:pPr>
              <w:pStyle w:val="P68B1DB1-Normal31"/>
              <w:jc w:val="both"/>
            </w:pPr>
            <w:r>
              <w:t xml:space="preserve">funzjonijiet ekonomiċi simili u/jew li joffru servizzi simili fuq termini ugwali (jiġifieri għal </w:t>
            </w:r>
          </w:p>
          <w:p w14:paraId="7FE1BA65" w14:textId="77777777" w:rsidR="00534D9A" w:rsidRDefault="003243B2">
            <w:pPr>
              <w:pStyle w:val="P68B1DB1-Normal31"/>
              <w:jc w:val="both"/>
            </w:pPr>
            <w:r>
              <w:t xml:space="preserve">livell u kwalità komparabbli u bi spiża komparabbli) li potenzjalment jieħdu f’idejhom </w:t>
            </w:r>
          </w:p>
          <w:p w14:paraId="7FE1BA66" w14:textId="77777777" w:rsidR="00534D9A" w:rsidRDefault="003243B2">
            <w:pPr>
              <w:pStyle w:val="P68B1DB1-Normal31"/>
              <w:jc w:val="both"/>
            </w:pPr>
            <w:r>
              <w:t xml:space="preserve">(parti minn) il-klijenti u/jew in-negozju tal-entità relatriċi f’perjodu ta’ żmien raġonevoli. </w:t>
            </w:r>
          </w:p>
          <w:p w14:paraId="7FE1BA67" w14:textId="77777777" w:rsidR="00534D9A" w:rsidRDefault="003243B2">
            <w:pPr>
              <w:pStyle w:val="P68B1DB1-Normal31"/>
              <w:jc w:val="both"/>
            </w:pPr>
            <w:r>
              <w:t xml:space="preserve">Dan għandu jiġi rrapportat f’buckets, li huma l-istess għal kull subfunzjoni </w:t>
            </w:r>
          </w:p>
          <w:p w14:paraId="7FE1BA68" w14:textId="5B483BC6" w:rsidR="00534D9A" w:rsidRDefault="003243B2">
            <w:pPr>
              <w:pStyle w:val="P68B1DB1-ListParagraph32"/>
              <w:numPr>
                <w:ilvl w:val="0"/>
                <w:numId w:val="277"/>
              </w:numPr>
              <w:jc w:val="both"/>
            </w:pPr>
            <w:bookmarkStart w:id="113" w:name="_Hlk194417513"/>
            <w:r>
              <w:t xml:space="preserve">&gt; 20 kompetituri; </w:t>
            </w:r>
          </w:p>
          <w:p w14:paraId="7FE1BA69" w14:textId="7D2A0C84" w:rsidR="00534D9A" w:rsidRDefault="003243B2">
            <w:pPr>
              <w:pStyle w:val="P68B1DB1-ListParagraph32"/>
              <w:numPr>
                <w:ilvl w:val="0"/>
                <w:numId w:val="277"/>
              </w:numPr>
              <w:jc w:val="both"/>
            </w:pPr>
            <w:r>
              <w:t xml:space="preserve">11–20 kompetituri; </w:t>
            </w:r>
          </w:p>
          <w:p w14:paraId="7FE1BA6A" w14:textId="5EF3634F" w:rsidR="00534D9A" w:rsidRDefault="003243B2">
            <w:pPr>
              <w:pStyle w:val="P68B1DB1-ListParagraph32"/>
              <w:numPr>
                <w:ilvl w:val="0"/>
                <w:numId w:val="277"/>
              </w:numPr>
              <w:jc w:val="both"/>
            </w:pPr>
            <w:r>
              <w:t xml:space="preserve">5–10 kompetituri, </w:t>
            </w:r>
          </w:p>
          <w:p w14:paraId="7FE1BA6B" w14:textId="3A6E6804" w:rsidR="00534D9A" w:rsidRDefault="003243B2">
            <w:pPr>
              <w:pStyle w:val="P68B1DB1-ListParagraph32"/>
              <w:numPr>
                <w:ilvl w:val="0"/>
                <w:numId w:val="277"/>
              </w:numPr>
              <w:jc w:val="both"/>
              <w:rPr>
                <w:b/>
                <w:bCs/>
                <w:color w:val="000000" w:themeColor="text1"/>
              </w:rPr>
            </w:pPr>
            <w:r>
              <w:t>Kompetittività 5</w:t>
            </w:r>
            <w:bookmarkEnd w:id="113"/>
            <w:r>
              <w:t xml:space="preserve"> kompetituri</w:t>
            </w:r>
          </w:p>
          <w:p w14:paraId="7FE1BA6C" w14:textId="77777777" w:rsidR="00534D9A" w:rsidRDefault="003243B2">
            <w:pPr>
              <w:pStyle w:val="P68B1DB1-Normal34"/>
              <w:ind w:left="360"/>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A6D" w14:textId="77777777" w:rsidR="00534D9A" w:rsidRDefault="00534D9A">
            <w:pPr>
              <w:jc w:val="both"/>
              <w:rPr>
                <w:rFonts w:ascii="Times New Roman" w:hAnsi="Times New Roman"/>
                <w:b/>
                <w:bCs/>
                <w:color w:val="000000" w:themeColor="text1"/>
                <w:sz w:val="20"/>
                <w:szCs w:val="20"/>
              </w:rPr>
            </w:pPr>
          </w:p>
        </w:tc>
      </w:tr>
      <w:tr w:rsidR="00534D9A" w14:paraId="7FE1BA81" w14:textId="77777777">
        <w:tc>
          <w:tcPr>
            <w:tcW w:w="1080" w:type="dxa"/>
            <w:tcBorders>
              <w:top w:val="single" w:sz="4" w:space="0" w:color="1A171C"/>
              <w:left w:val="nil"/>
              <w:bottom w:val="single" w:sz="4" w:space="0" w:color="1A171C"/>
              <w:right w:val="single" w:sz="4" w:space="0" w:color="1A171C"/>
            </w:tcBorders>
            <w:vAlign w:val="center"/>
          </w:tcPr>
          <w:p w14:paraId="7FE1BA6F" w14:textId="38765705" w:rsidR="00534D9A" w:rsidRDefault="003243B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A70" w14:textId="77777777" w:rsidR="00534D9A" w:rsidRDefault="003243B2">
            <w:pPr>
              <w:pStyle w:val="P68B1DB1-TableParagraph14"/>
              <w:spacing w:before="108"/>
              <w:ind w:left="85"/>
              <w:jc w:val="both"/>
              <w:rPr>
                <w:bCs/>
              </w:rPr>
            </w:pPr>
            <w:r>
              <w:t>Żmien — Żmien mistenni għas-sostituzzjoni</w:t>
            </w:r>
          </w:p>
          <w:p w14:paraId="7FE1BA71" w14:textId="77777777" w:rsidR="00534D9A" w:rsidRDefault="003243B2">
            <w:pPr>
              <w:pStyle w:val="P68B1DB1-Normal31"/>
              <w:jc w:val="both"/>
            </w:pPr>
            <w:r>
              <w:lastRenderedPageBreak/>
              <w:t>Stima taż-żmien meħtieġ għall-funzjoni ekonomika pprovduta mir-rapportar</w:t>
            </w:r>
          </w:p>
          <w:p w14:paraId="7FE1BA72" w14:textId="77777777" w:rsidR="00534D9A" w:rsidRDefault="003243B2">
            <w:pPr>
              <w:pStyle w:val="P68B1DB1-Normal31"/>
              <w:jc w:val="both"/>
            </w:pPr>
            <w:r>
              <w:t xml:space="preserve">entità li għandha tiġi assorbita mis-suq f’sitwazzjoni ta’ kriżi. Dan jinkludi: </w:t>
            </w:r>
          </w:p>
          <w:p w14:paraId="7FE1BA73" w14:textId="77777777" w:rsidR="00534D9A" w:rsidRDefault="003243B2">
            <w:pPr>
              <w:pStyle w:val="P68B1DB1-ListParagraph32"/>
              <w:numPr>
                <w:ilvl w:val="0"/>
                <w:numId w:val="274"/>
              </w:numPr>
              <w:jc w:val="both"/>
            </w:pPr>
            <w:r>
              <w:t xml:space="preserve">iż-żmien mistenni meħtieġ minn kompetitur wieħed jew aktar biex iwettqu l-passi legali u tekniċi biex jieħdu f’idejhom il-funzjoni; kif ukoll  </w:t>
            </w:r>
          </w:p>
          <w:p w14:paraId="7FE1BA74" w14:textId="77777777" w:rsidR="00534D9A" w:rsidRDefault="003243B2">
            <w:pPr>
              <w:pStyle w:val="P68B1DB1-ListParagraph32"/>
              <w:numPr>
                <w:ilvl w:val="0"/>
                <w:numId w:val="274"/>
              </w:numPr>
              <w:jc w:val="both"/>
            </w:pPr>
            <w:r>
              <w:t xml:space="preserve">il-ħin meħtieġ mill-utenti tas-servizz biex imorru għand fornitur ta’ servizz ieħor. </w:t>
            </w:r>
          </w:p>
          <w:p w14:paraId="7FE1BA75" w14:textId="77777777" w:rsidR="00534D9A" w:rsidRDefault="00534D9A">
            <w:pPr>
              <w:jc w:val="both"/>
              <w:rPr>
                <w:rFonts w:ascii="Times New Roman" w:eastAsia="Times New Roman" w:hAnsi="Times New Roman" w:cs="Times New Roman"/>
                <w:sz w:val="20"/>
                <w:szCs w:val="20"/>
              </w:rPr>
            </w:pPr>
          </w:p>
          <w:p w14:paraId="7FE1BA76" w14:textId="77777777" w:rsidR="00534D9A" w:rsidRDefault="003243B2">
            <w:pPr>
              <w:pStyle w:val="P68B1DB1-Normal31"/>
              <w:jc w:val="both"/>
            </w:pPr>
            <w:r>
              <w:t xml:space="preserve">Għad-depożiti, dan jikkonċerna prinċipalment il-kapaċità finanzjarja, operazzjonali u teknika ta’ fornituri alternattivi biex joffru servizzi ta’ teħid ta’ depożiti lill-klijenti tal-bank li jirrapporta u mhux it-trasferiment tad-depożiti lil fornitur ieħor bħala konsegwenza ta’ att minn awtorità jew ir-riċevuta ta’ kumpens mill-SGD. </w:t>
            </w:r>
          </w:p>
          <w:p w14:paraId="7FE1BA77" w14:textId="77777777" w:rsidR="00534D9A" w:rsidRDefault="00534D9A">
            <w:pPr>
              <w:jc w:val="both"/>
              <w:rPr>
                <w:rFonts w:ascii="Times New Roman" w:eastAsia="Times New Roman" w:hAnsi="Times New Roman" w:cs="Times New Roman"/>
                <w:sz w:val="20"/>
                <w:szCs w:val="20"/>
              </w:rPr>
            </w:pPr>
          </w:p>
          <w:p w14:paraId="7FE1BA78" w14:textId="77777777" w:rsidR="00534D9A" w:rsidRDefault="003243B2">
            <w:pPr>
              <w:pStyle w:val="P68B1DB1-Normal31"/>
              <w:jc w:val="both"/>
            </w:pPr>
            <w:r>
              <w:t>Bħala indikatur għal tal-ewwel, ipprovdi stima taż-żmien li l-entità relatriċi tieħu biex tassorbi fin-negozju tagħha stess (parti minn) is-servizz ipprovdut minn istituzzjoni oħra, b’kost raġonevoli, f’sitwazzjoni ta’ kriżi. Irrapporta ż-żmien stmat għas-sostituzzjoni fil-buckets ipprovduti fil-mudell:</w:t>
            </w:r>
          </w:p>
          <w:p w14:paraId="7FE1BA79" w14:textId="77777777" w:rsidR="00534D9A" w:rsidRDefault="00534D9A">
            <w:pPr>
              <w:jc w:val="both"/>
              <w:rPr>
                <w:rFonts w:ascii="Times New Roman" w:hAnsi="Times New Roman" w:cs="Times New Roman"/>
                <w:color w:val="000000" w:themeColor="text1"/>
                <w:sz w:val="20"/>
                <w:szCs w:val="20"/>
              </w:rPr>
            </w:pPr>
          </w:p>
          <w:p w14:paraId="7FE1BA7A" w14:textId="77777777" w:rsidR="00534D9A" w:rsidRDefault="003243B2">
            <w:pPr>
              <w:pStyle w:val="P68B1DB1-Normal31"/>
              <w:jc w:val="both"/>
            </w:pPr>
            <w:bookmarkStart w:id="114" w:name="_Hlk194476514"/>
            <w:r>
              <w:t xml:space="preserve">Bramel: </w:t>
            </w:r>
          </w:p>
          <w:p w14:paraId="7FE1BA7B" w14:textId="013EC0AB" w:rsidR="00534D9A" w:rsidRDefault="003243B2">
            <w:pPr>
              <w:pStyle w:val="P68B1DB1-ListParagraph32"/>
              <w:numPr>
                <w:ilvl w:val="0"/>
                <w:numId w:val="280"/>
              </w:numPr>
              <w:jc w:val="both"/>
            </w:pPr>
            <w:r>
              <w:t xml:space="preserve">Ġimgħatejn (1); </w:t>
            </w:r>
          </w:p>
          <w:p w14:paraId="7FE1BA7C" w14:textId="6818EF73" w:rsidR="00534D9A" w:rsidRDefault="003243B2">
            <w:pPr>
              <w:pStyle w:val="P68B1DB1-ListParagraph32"/>
              <w:numPr>
                <w:ilvl w:val="0"/>
                <w:numId w:val="280"/>
              </w:numPr>
              <w:jc w:val="both"/>
            </w:pPr>
            <w:r>
              <w:t xml:space="preserve">1 ġimgħa — 1-il xahar; </w:t>
            </w:r>
          </w:p>
          <w:p w14:paraId="7FE1BA7D" w14:textId="05597976" w:rsidR="00534D9A" w:rsidRDefault="003243B2">
            <w:pPr>
              <w:pStyle w:val="P68B1DB1-ListParagraph32"/>
              <w:numPr>
                <w:ilvl w:val="0"/>
                <w:numId w:val="280"/>
              </w:numPr>
              <w:jc w:val="both"/>
            </w:pPr>
            <w:r>
              <w:t xml:space="preserve">&gt; 1-il xahar — 6-il xahar, </w:t>
            </w:r>
          </w:p>
          <w:p w14:paraId="7FE1BA7E" w14:textId="0D41F489" w:rsidR="00534D9A" w:rsidRDefault="003243B2">
            <w:pPr>
              <w:pStyle w:val="P68B1DB1-ListParagraph32"/>
              <w:numPr>
                <w:ilvl w:val="0"/>
                <w:numId w:val="280"/>
              </w:numPr>
              <w:jc w:val="both"/>
            </w:pPr>
            <w:r>
              <w:t xml:space="preserve">+ 6 xhur  </w:t>
            </w:r>
          </w:p>
          <w:bookmarkEnd w:id="114"/>
          <w:p w14:paraId="7FE1BA7F" w14:textId="77777777" w:rsidR="00534D9A" w:rsidRDefault="00534D9A">
            <w:pPr>
              <w:jc w:val="both"/>
              <w:rPr>
                <w:rFonts w:ascii="Times New Roman" w:eastAsia="Times New Roman" w:hAnsi="Times New Roman" w:cs="Times New Roman"/>
                <w:sz w:val="20"/>
                <w:szCs w:val="20"/>
              </w:rPr>
            </w:pPr>
          </w:p>
          <w:p w14:paraId="7FE1BA80" w14:textId="77777777" w:rsidR="00534D9A" w:rsidRDefault="00534D9A">
            <w:pPr>
              <w:jc w:val="both"/>
              <w:rPr>
                <w:rFonts w:ascii="Times New Roman" w:hAnsi="Times New Roman" w:cs="Times New Roman"/>
                <w:color w:val="000000" w:themeColor="text1"/>
                <w:sz w:val="20"/>
                <w:szCs w:val="20"/>
              </w:rPr>
            </w:pPr>
          </w:p>
        </w:tc>
      </w:tr>
      <w:tr w:rsidR="00534D9A" w14:paraId="7FE1BA84" w14:textId="77777777">
        <w:tc>
          <w:tcPr>
            <w:tcW w:w="1080" w:type="dxa"/>
            <w:tcBorders>
              <w:top w:val="single" w:sz="4" w:space="0" w:color="1A171C"/>
              <w:left w:val="nil"/>
              <w:bottom w:val="single" w:sz="4" w:space="0" w:color="1A171C"/>
              <w:right w:val="single" w:sz="4" w:space="0" w:color="1A171C"/>
            </w:tcBorders>
            <w:vAlign w:val="center"/>
          </w:tcPr>
          <w:p w14:paraId="7FE1BA82" w14:textId="28D0359B" w:rsidR="00534D9A" w:rsidRDefault="003243B2">
            <w:pPr>
              <w:pStyle w:val="P68B1DB1-TableParagraph17"/>
              <w:spacing w:before="108"/>
              <w:jc w:val="both"/>
            </w:pPr>
            <w:r>
              <w:lastRenderedPageBreak/>
              <w:t>0130–0140</w:t>
            </w:r>
          </w:p>
        </w:tc>
        <w:tc>
          <w:tcPr>
            <w:tcW w:w="8003" w:type="dxa"/>
            <w:tcBorders>
              <w:top w:val="single" w:sz="4" w:space="0" w:color="1A171C"/>
              <w:left w:val="single" w:sz="4" w:space="0" w:color="1A171C"/>
              <w:bottom w:val="single" w:sz="4" w:space="0" w:color="1A171C"/>
              <w:right w:val="nil"/>
            </w:tcBorders>
            <w:vAlign w:val="center"/>
          </w:tcPr>
          <w:p w14:paraId="7FE1BA83" w14:textId="77777777" w:rsidR="00534D9A" w:rsidRDefault="003243B2">
            <w:pPr>
              <w:pStyle w:val="P68B1DB1-TableParagraph14"/>
              <w:spacing w:before="108"/>
              <w:ind w:left="85"/>
              <w:jc w:val="both"/>
              <w:rPr>
                <w:bCs/>
              </w:rPr>
            </w:pPr>
            <w:r>
              <w:t>Kapaċità ta’ sostituzzjoni</w:t>
            </w:r>
          </w:p>
        </w:tc>
      </w:tr>
      <w:tr w:rsidR="00534D9A" w14:paraId="7FE1BA8E" w14:textId="77777777">
        <w:tc>
          <w:tcPr>
            <w:tcW w:w="1080" w:type="dxa"/>
            <w:tcBorders>
              <w:top w:val="single" w:sz="4" w:space="0" w:color="1A171C"/>
              <w:left w:val="nil"/>
              <w:bottom w:val="single" w:sz="4" w:space="0" w:color="1A171C"/>
              <w:right w:val="single" w:sz="4" w:space="0" w:color="1A171C"/>
            </w:tcBorders>
            <w:vAlign w:val="center"/>
          </w:tcPr>
          <w:p w14:paraId="7FE1BA85" w14:textId="56A54470" w:rsidR="00534D9A" w:rsidRDefault="003243B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A86" w14:textId="77777777" w:rsidR="00534D9A" w:rsidRDefault="003243B2">
            <w:pPr>
              <w:pStyle w:val="P68B1DB1-Normal35"/>
              <w:jc w:val="both"/>
              <w:rPr>
                <w:bCs/>
              </w:rPr>
            </w:pPr>
            <w:r>
              <w:t>Ostakli legali għad-dħul jew l-espansjoni</w:t>
            </w:r>
          </w:p>
          <w:p w14:paraId="7FE1BA87" w14:textId="77777777" w:rsidR="00534D9A" w:rsidRDefault="00534D9A">
            <w:pPr>
              <w:jc w:val="both"/>
              <w:rPr>
                <w:rFonts w:ascii="Times New Roman" w:eastAsia="Times New Roman" w:hAnsi="Times New Roman" w:cs="Times New Roman"/>
                <w:b/>
                <w:bCs/>
                <w:color w:val="000000" w:themeColor="text1"/>
                <w:sz w:val="20"/>
                <w:szCs w:val="20"/>
              </w:rPr>
            </w:pPr>
          </w:p>
          <w:p w14:paraId="7FE1BA88" w14:textId="77777777" w:rsidR="00534D9A" w:rsidRDefault="003243B2">
            <w:pPr>
              <w:pStyle w:val="P68B1DB1-Normal36"/>
              <w:jc w:val="both"/>
            </w:pPr>
            <w:r>
              <w:t xml:space="preserve">Ostakli legali għall-kompetituri biex joffru s-servizz. Ir-rekwiżiti legali għat-twettiq tan-negozju tal-istituzzjonijiet ta’ kreditu (eż. liċenzji bankarji jew rekwiżiti kapitali) ma għandhomx jitqiesu bħala ostakli insuperabbli fil-preżenza ta’ fornituri alternattivi. Dan l-indikatur irid jiġi rrapportat f’buckets, li huma l-istess għal kull subfunzjoni: </w:t>
            </w:r>
          </w:p>
          <w:p w14:paraId="7FE1BA89" w14:textId="4702A48A" w:rsidR="00534D9A" w:rsidRDefault="003243B2">
            <w:pPr>
              <w:pStyle w:val="P68B1DB1-ListParagraph37"/>
              <w:numPr>
                <w:ilvl w:val="0"/>
                <w:numId w:val="275"/>
              </w:numPr>
              <w:jc w:val="both"/>
            </w:pPr>
            <w:r>
              <w:t xml:space="preserve">l-ebda ostaklu kbir, </w:t>
            </w:r>
          </w:p>
          <w:p w14:paraId="7FE1BA8A" w14:textId="10C89312" w:rsidR="00534D9A" w:rsidRDefault="003243B2">
            <w:pPr>
              <w:pStyle w:val="P68B1DB1-ListParagraph37"/>
              <w:numPr>
                <w:ilvl w:val="0"/>
                <w:numId w:val="275"/>
              </w:numPr>
              <w:jc w:val="both"/>
            </w:pPr>
            <w:r>
              <w:t xml:space="preserve">xi ostakli, </w:t>
            </w:r>
          </w:p>
          <w:p w14:paraId="7FE1BA8B" w14:textId="4451FB21" w:rsidR="00534D9A" w:rsidRDefault="003243B2">
            <w:pPr>
              <w:pStyle w:val="P68B1DB1-ListParagraph37"/>
              <w:numPr>
                <w:ilvl w:val="0"/>
                <w:numId w:val="275"/>
              </w:numPr>
              <w:jc w:val="both"/>
            </w:pPr>
            <w:r>
              <w:t xml:space="preserve">barrieri sostanzjali (iżda li jistgħu jingħelbu), </w:t>
            </w:r>
          </w:p>
          <w:p w14:paraId="7FE1BA8D" w14:textId="48C5B820" w:rsidR="00534D9A" w:rsidRDefault="003243B2">
            <w:pPr>
              <w:pStyle w:val="P68B1DB1-ListParagraph37"/>
              <w:numPr>
                <w:ilvl w:val="0"/>
                <w:numId w:val="275"/>
              </w:numPr>
              <w:jc w:val="both"/>
              <w:rPr>
                <w:b/>
                <w:bCs/>
              </w:rPr>
            </w:pPr>
            <w:r>
              <w:t>ostakli kritiċi (diffiċli biex jingħelbu).</w:t>
            </w:r>
          </w:p>
        </w:tc>
      </w:tr>
      <w:tr w:rsidR="00534D9A" w14:paraId="7FE1BA9E" w14:textId="77777777">
        <w:tc>
          <w:tcPr>
            <w:tcW w:w="1080" w:type="dxa"/>
            <w:tcBorders>
              <w:top w:val="single" w:sz="4" w:space="0" w:color="1A171C"/>
              <w:left w:val="nil"/>
              <w:bottom w:val="single" w:sz="4" w:space="0" w:color="1A171C"/>
              <w:right w:val="single" w:sz="4" w:space="0" w:color="1A171C"/>
            </w:tcBorders>
            <w:vAlign w:val="center"/>
          </w:tcPr>
          <w:p w14:paraId="7FE1BA8F" w14:textId="6435816F" w:rsidR="00534D9A" w:rsidRDefault="003243B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tcPr>
          <w:p w14:paraId="7FE1BA90" w14:textId="77777777" w:rsidR="00534D9A" w:rsidRDefault="003243B2">
            <w:pPr>
              <w:pStyle w:val="P68B1DB1-Normal35"/>
              <w:jc w:val="both"/>
              <w:rPr>
                <w:bCs/>
              </w:rPr>
            </w:pPr>
            <w:r>
              <w:t>Rekwiżiti operazzjonali għad-dħul jew l-espansjoni</w:t>
            </w:r>
          </w:p>
          <w:p w14:paraId="7FE1BA91" w14:textId="77777777" w:rsidR="00534D9A" w:rsidRDefault="00534D9A">
            <w:pPr>
              <w:jc w:val="both"/>
              <w:rPr>
                <w:rFonts w:ascii="Times New Roman" w:eastAsia="Times New Roman" w:hAnsi="Times New Roman" w:cs="Times New Roman"/>
                <w:b/>
                <w:bCs/>
                <w:color w:val="000000" w:themeColor="text1"/>
                <w:sz w:val="20"/>
                <w:szCs w:val="20"/>
              </w:rPr>
            </w:pPr>
          </w:p>
          <w:p w14:paraId="7FE1BA92" w14:textId="77777777" w:rsidR="00534D9A" w:rsidRDefault="003243B2">
            <w:pPr>
              <w:pStyle w:val="P68B1DB1-Normal36"/>
              <w:jc w:val="both"/>
            </w:pPr>
            <w:r>
              <w:t xml:space="preserve">Rekwiżiti organizzattivi, tekniċi u infrastrutturali għall-kompetituri biex joffru s-servizz. L-offerta tas-servizzi relatati mas- (sub) funzjoni tirrikjedi li l-fornituri jinvestu f’infrastruttura (ġdida jew addizzjonali) — jew jimmodifikaw l-organizzazzjonijiet tagħhom. Ivvaluta l-kapaċità tas-suq li jassorbi n-negozju partikolari, pereżempju f’termini ta’ rekwiżiti kapitali. Għas-self, ikkunsidra l-RWAs assoċjati (irrapportati f’Q.17). </w:t>
            </w:r>
          </w:p>
          <w:p w14:paraId="7FE1BA93" w14:textId="77777777" w:rsidR="00534D9A" w:rsidRDefault="003243B2">
            <w:pPr>
              <w:pStyle w:val="P68B1DB1-Normal36"/>
              <w:jc w:val="both"/>
            </w:pPr>
            <w:r>
              <w:t xml:space="preserve">Dan l-indikatur irid jiġi rrapportat f’buckets, li huma l-istess għal kull subfunzjoni: </w:t>
            </w:r>
          </w:p>
          <w:p w14:paraId="7FE1BA94" w14:textId="2E9A8492" w:rsidR="00534D9A" w:rsidRDefault="003243B2">
            <w:pPr>
              <w:pStyle w:val="P68B1DB1-ListParagraph37"/>
              <w:numPr>
                <w:ilvl w:val="0"/>
                <w:numId w:val="278"/>
              </w:numPr>
              <w:jc w:val="both"/>
            </w:pPr>
            <w:r>
              <w:t xml:space="preserve">l-ebda rekwiżit maġġuri, </w:t>
            </w:r>
          </w:p>
          <w:p w14:paraId="7FE1BA95" w14:textId="2C17AA9E" w:rsidR="00534D9A" w:rsidRDefault="003243B2">
            <w:pPr>
              <w:pStyle w:val="P68B1DB1-ListParagraph37"/>
              <w:numPr>
                <w:ilvl w:val="0"/>
                <w:numId w:val="278"/>
              </w:numPr>
              <w:jc w:val="both"/>
            </w:pPr>
            <w:r>
              <w:t xml:space="preserve">xi rekwiżiti, </w:t>
            </w:r>
          </w:p>
          <w:p w14:paraId="7FE1BA96" w14:textId="3197B4B5" w:rsidR="00534D9A" w:rsidRDefault="003243B2">
            <w:pPr>
              <w:pStyle w:val="P68B1DB1-ListParagraph37"/>
              <w:numPr>
                <w:ilvl w:val="0"/>
                <w:numId w:val="278"/>
              </w:numPr>
              <w:jc w:val="both"/>
            </w:pPr>
            <w:r>
              <w:t xml:space="preserve">rekwiżiti sostanzjali (iżda li jistgħu jingħelbu), </w:t>
            </w:r>
          </w:p>
          <w:p w14:paraId="7FE1BA97" w14:textId="64928FFB" w:rsidR="00534D9A" w:rsidRDefault="003243B2">
            <w:pPr>
              <w:pStyle w:val="P68B1DB1-ListParagraph37"/>
              <w:numPr>
                <w:ilvl w:val="0"/>
                <w:numId w:val="278"/>
              </w:numPr>
              <w:jc w:val="both"/>
            </w:pPr>
            <w:r>
              <w:t>rekwiżiti kritiċi (diffiċli biex jinqabżu).</w:t>
            </w:r>
          </w:p>
          <w:p w14:paraId="7FE1BA9D" w14:textId="77777777" w:rsidR="00534D9A" w:rsidRDefault="00534D9A">
            <w:pPr>
              <w:pStyle w:val="ListParagraph"/>
              <w:jc w:val="both"/>
              <w:rPr>
                <w:rFonts w:ascii="Times New Roman" w:hAnsi="Times New Roman"/>
                <w:b/>
                <w:bCs/>
                <w:color w:val="000000" w:themeColor="text1"/>
                <w:sz w:val="20"/>
                <w:szCs w:val="20"/>
              </w:rPr>
            </w:pPr>
          </w:p>
        </w:tc>
      </w:tr>
      <w:tr w:rsidR="00534D9A" w14:paraId="7FE1BAA9" w14:textId="77777777">
        <w:tc>
          <w:tcPr>
            <w:tcW w:w="1080" w:type="dxa"/>
            <w:tcBorders>
              <w:top w:val="single" w:sz="4" w:space="0" w:color="1A171C"/>
              <w:left w:val="nil"/>
              <w:bottom w:val="single" w:sz="4" w:space="0" w:color="1A171C"/>
              <w:right w:val="single" w:sz="4" w:space="0" w:color="1A171C"/>
            </w:tcBorders>
            <w:vAlign w:val="center"/>
          </w:tcPr>
          <w:p w14:paraId="7FE1BAA2" w14:textId="663C9747" w:rsidR="00534D9A" w:rsidRDefault="003243B2">
            <w:pPr>
              <w:pStyle w:val="P68B1DB1-TableParagraph17"/>
              <w:spacing w:before="108"/>
              <w:jc w:val="both"/>
            </w:pPr>
            <w:r>
              <w:t>0145</w:t>
            </w:r>
          </w:p>
        </w:tc>
        <w:tc>
          <w:tcPr>
            <w:tcW w:w="8003" w:type="dxa"/>
            <w:tcBorders>
              <w:top w:val="single" w:sz="4" w:space="0" w:color="1A171C"/>
              <w:left w:val="single" w:sz="4" w:space="0" w:color="1A171C"/>
              <w:bottom w:val="single" w:sz="4" w:space="0" w:color="1A171C"/>
              <w:right w:val="nil"/>
            </w:tcBorders>
            <w:vAlign w:val="center"/>
          </w:tcPr>
          <w:p w14:paraId="7FE1BAA3" w14:textId="7BD86DC3" w:rsidR="00534D9A" w:rsidRDefault="003243B2">
            <w:pPr>
              <w:pStyle w:val="P68B1DB1-TableParagraph14"/>
              <w:spacing w:before="108"/>
              <w:jc w:val="both"/>
              <w:rPr>
                <w:bCs/>
              </w:rPr>
            </w:pPr>
            <w:r>
              <w:t>Kapaċità ta’ onboarding — Għadd ta’ applikazzjonijiet minn klijenti ġodda ta’ aktar minn jum (1) tax-xogħol (Għadd ta’ kontijiet)</w:t>
            </w:r>
          </w:p>
          <w:p w14:paraId="7FE1BAA4" w14:textId="404DC9AB" w:rsidR="00534D9A" w:rsidRDefault="003243B2">
            <w:pPr>
              <w:pStyle w:val="P68B1DB1-TableParagraph13"/>
              <w:spacing w:before="108"/>
              <w:jc w:val="both"/>
            </w:pPr>
            <w:r>
              <w:t>L-istituzzjonijiet huma mitluba jipprovdu l-ogħla numru ta’ applikazzjonijiet fejn l-istituzzjoni tkun ivvalidat it-talba għal servizz bankarju.</w:t>
            </w:r>
          </w:p>
          <w:p w14:paraId="1312271B" w14:textId="5ECEF0C0" w:rsidR="00534D9A" w:rsidRDefault="003243B2">
            <w:pPr>
              <w:pStyle w:val="P68B1DB1-TableParagraph13"/>
              <w:spacing w:before="108"/>
              <w:jc w:val="both"/>
            </w:pPr>
            <w:r>
              <w:t>Il-kapaċità ta’ onboarding f’termini ta’ għadd ta’ kontijiet ġodda hija espressa għal aktar minn 1 jum ta’ xogħol.</w:t>
            </w:r>
          </w:p>
          <w:p w14:paraId="7FE1BAA8" w14:textId="06166E4A" w:rsidR="00534D9A" w:rsidRDefault="003243B2">
            <w:pPr>
              <w:pStyle w:val="P68B1DB1-TableParagraph13"/>
              <w:spacing w:before="108"/>
              <w:jc w:val="both"/>
              <w:rPr>
                <w:b/>
                <w:bCs/>
              </w:rPr>
            </w:pPr>
            <w:r>
              <w:lastRenderedPageBreak/>
              <w:t>L-istituzzjonijiet huma mistennija li jqisu l-perjodu ta’ żmien għall-onboarding ta’ klijenti ġodda minn meta klijent ġdid ikun applika għal servizz bankarju.</w:t>
            </w:r>
          </w:p>
        </w:tc>
      </w:tr>
      <w:tr w:rsidR="00534D9A" w14:paraId="7FE1BAAC" w14:textId="77777777">
        <w:tc>
          <w:tcPr>
            <w:tcW w:w="1080" w:type="dxa"/>
            <w:tcBorders>
              <w:top w:val="single" w:sz="4" w:space="0" w:color="1A171C"/>
              <w:left w:val="nil"/>
              <w:bottom w:val="single" w:sz="4" w:space="0" w:color="1A171C"/>
              <w:right w:val="single" w:sz="4" w:space="0" w:color="1A171C"/>
            </w:tcBorders>
            <w:vAlign w:val="center"/>
          </w:tcPr>
          <w:p w14:paraId="7FE1BAAA" w14:textId="71AB9851" w:rsidR="00534D9A" w:rsidRDefault="003243B2">
            <w:pPr>
              <w:pStyle w:val="P68B1DB1-TableParagraph17"/>
              <w:spacing w:before="108"/>
              <w:jc w:val="both"/>
            </w:pPr>
            <w:r>
              <w:lastRenderedPageBreak/>
              <w:t>0150–0170</w:t>
            </w:r>
          </w:p>
        </w:tc>
        <w:tc>
          <w:tcPr>
            <w:tcW w:w="8003" w:type="dxa"/>
            <w:tcBorders>
              <w:top w:val="single" w:sz="4" w:space="0" w:color="1A171C"/>
              <w:left w:val="single" w:sz="4" w:space="0" w:color="1A171C"/>
              <w:bottom w:val="single" w:sz="4" w:space="0" w:color="1A171C"/>
              <w:right w:val="nil"/>
            </w:tcBorders>
            <w:vAlign w:val="center"/>
          </w:tcPr>
          <w:p w14:paraId="7FE1BAAB" w14:textId="77777777" w:rsidR="00534D9A" w:rsidRDefault="003243B2">
            <w:pPr>
              <w:pStyle w:val="P68B1DB1-TableParagraph14"/>
              <w:spacing w:before="108"/>
              <w:jc w:val="both"/>
              <w:rPr>
                <w:bCs/>
              </w:rPr>
            </w:pPr>
            <w:r>
              <w:t>Valutazzjoni tal-Kritiċità</w:t>
            </w:r>
          </w:p>
        </w:tc>
      </w:tr>
      <w:tr w:rsidR="00534D9A" w14:paraId="7FE1BAB2" w14:textId="77777777">
        <w:tc>
          <w:tcPr>
            <w:tcW w:w="1080" w:type="dxa"/>
            <w:tcBorders>
              <w:top w:val="single" w:sz="4" w:space="0" w:color="1A171C"/>
              <w:left w:val="nil"/>
              <w:bottom w:val="single" w:sz="4" w:space="0" w:color="1A171C"/>
              <w:right w:val="single" w:sz="4" w:space="0" w:color="1A171C"/>
            </w:tcBorders>
            <w:vAlign w:val="center"/>
          </w:tcPr>
          <w:p w14:paraId="7FE1BAAD" w14:textId="5EFF4F1D" w:rsidR="00534D9A" w:rsidRDefault="003243B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AAE" w14:textId="77777777" w:rsidR="00534D9A" w:rsidRDefault="003243B2">
            <w:pPr>
              <w:pStyle w:val="P68B1DB1-TableParagraph14"/>
              <w:spacing w:before="108"/>
              <w:jc w:val="both"/>
              <w:rPr>
                <w:bCs/>
              </w:rPr>
            </w:pPr>
            <w:r>
              <w:t xml:space="preserve">L-impatt fuq is-suq </w:t>
            </w:r>
          </w:p>
          <w:p w14:paraId="7FE1BAAF" w14:textId="77777777" w:rsidR="00534D9A" w:rsidRDefault="003243B2">
            <w:pPr>
              <w:pStyle w:val="P68B1DB1-TableParagraph13"/>
              <w:spacing w:before="108"/>
              <w:jc w:val="both"/>
            </w:pPr>
            <w:r>
              <w:t>L-impatt stmat ta’ waqfien f’daqqa tal-funzjoni fuq partijiet terzi, swieq finanzjarji u l-ekonomija reali, filwaqt li jitqiesu d-daqs, is-sehem mis-suq fil-pajjiż, l-interkonnettività esterna u interna, il-kumplessità, u l-attivitajiet transfruntiera tal-istituzzjoni.</w:t>
            </w:r>
          </w:p>
          <w:p w14:paraId="7FE1BAB0" w14:textId="765F6584" w:rsidR="00534D9A" w:rsidRDefault="003243B2">
            <w:pPr>
              <w:pStyle w:val="P68B1DB1-TableParagraph13"/>
              <w:spacing w:before="108"/>
              <w:jc w:val="both"/>
            </w:pPr>
            <w:r>
              <w:t>Din il-valutazzjoni għandha tiġi espressa b’mod kwalitattiv bħala “Għoli”, “Medja għolja”, “Medja baxxa” jew “Baxxa”.</w:t>
            </w:r>
          </w:p>
          <w:p w14:paraId="7FE1BAB1" w14:textId="14727254" w:rsidR="00534D9A" w:rsidRDefault="003243B2">
            <w:pPr>
              <w:pStyle w:val="P68B1DB1-TableParagraph13"/>
              <w:spacing w:before="108"/>
              <w:jc w:val="both"/>
              <w:rPr>
                <w:b/>
                <w:bCs/>
              </w:rPr>
            </w:pPr>
            <w:r>
              <w:t>“High” għandha tintgħażel jekk il-waqfien għal għarrieda jkollu impatt kbir fuq is-suq nazzjonali; “Medju-għoli” jekk l-impatt ikun sinifikanti; “Medju-baxx” jekk l-impatt ikun materjali, iżda limitat; u “B” jekk l-impatt ikun baxx.</w:t>
            </w:r>
          </w:p>
        </w:tc>
      </w:tr>
      <w:tr w:rsidR="00534D9A" w14:paraId="7FE1BABF" w14:textId="77777777">
        <w:tc>
          <w:tcPr>
            <w:tcW w:w="1080" w:type="dxa"/>
            <w:tcBorders>
              <w:top w:val="single" w:sz="4" w:space="0" w:color="1A171C"/>
              <w:left w:val="nil"/>
              <w:bottom w:val="single" w:sz="4" w:space="0" w:color="1A171C"/>
              <w:right w:val="single" w:sz="4" w:space="0" w:color="1A171C"/>
            </w:tcBorders>
            <w:vAlign w:val="center"/>
          </w:tcPr>
          <w:p w14:paraId="7FE1BAB3" w14:textId="0598BE56" w:rsidR="00534D9A" w:rsidRDefault="003243B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AB4" w14:textId="77777777" w:rsidR="00534D9A" w:rsidRDefault="003243B2">
            <w:pPr>
              <w:pStyle w:val="P68B1DB1-TableParagraph14"/>
              <w:spacing w:before="108"/>
              <w:jc w:val="both"/>
              <w:rPr>
                <w:bCs/>
              </w:rPr>
            </w:pPr>
            <w:r>
              <w:t>Is-sostitwibbiltà</w:t>
            </w:r>
          </w:p>
          <w:p w14:paraId="7FE1BAB5" w14:textId="77777777" w:rsidR="00534D9A" w:rsidRDefault="003243B2">
            <w:pPr>
              <w:pStyle w:val="P68B1DB1-TableParagraph13"/>
              <w:spacing w:before="108"/>
              <w:jc w:val="both"/>
            </w:pPr>
            <w:r>
              <w:t>L-Artikolu 6(3) tar-Regolament Delegat (UE) 2016/778.</w:t>
            </w:r>
          </w:p>
          <w:p w14:paraId="7FE1BAB6" w14:textId="77777777" w:rsidR="00534D9A" w:rsidRDefault="003243B2">
            <w:pPr>
              <w:pStyle w:val="P68B1DB1-TableParagraph13"/>
              <w:spacing w:before="108"/>
              <w:jc w:val="both"/>
            </w:pPr>
            <w:r>
              <w:t>Funzjoni titqies bħala sostitwibbli fejn din tista’ tiġi ssostitwita b’mod aċċettabbli u fi żmien raġonevoli u b’hekk jiġu evitati problemi sistemiċi għall-ekonomija reali u għas-swieq finanzjarji. Għandhom jitqiesu l-punti li ġejjin:</w:t>
            </w:r>
          </w:p>
          <w:p w14:paraId="7FE1BAB7" w14:textId="77777777" w:rsidR="00534D9A" w:rsidRDefault="003243B2">
            <w:pPr>
              <w:pStyle w:val="P68B1DB1-TableParagraph13"/>
              <w:spacing w:before="108"/>
              <w:jc w:val="both"/>
            </w:pPr>
            <w:r>
              <w:t xml:space="preserve">(a) l-istruttura tas-suq għal dik il-funzjoni u d-disponibbiltà ta’ fornituri alternattivi; </w:t>
            </w:r>
          </w:p>
          <w:p w14:paraId="7FE1BAB8" w14:textId="77777777" w:rsidR="00534D9A" w:rsidRDefault="003243B2">
            <w:pPr>
              <w:pStyle w:val="P68B1DB1-TableParagraph13"/>
              <w:spacing w:before="108"/>
              <w:jc w:val="both"/>
            </w:pPr>
            <w:r>
              <w:t xml:space="preserve">(b) l-abbiltà ta’ fornituri oħra f’termini ta’ kapaċità, ir-rekwiżiti biex iwettqu l-funzjoni, u ostakli potenzjali għad-dħul jew l-espansjoni; </w:t>
            </w:r>
          </w:p>
          <w:p w14:paraId="7FE1BAB9" w14:textId="77777777" w:rsidR="00534D9A" w:rsidRDefault="003243B2">
            <w:pPr>
              <w:pStyle w:val="P68B1DB1-TableParagraph13"/>
              <w:spacing w:before="108"/>
              <w:jc w:val="both"/>
            </w:pPr>
            <w:r>
              <w:t xml:space="preserve">(c) l-inċentiv ta’ fornituri oħra biex iwettqu dawn l-attivitajiet; </w:t>
            </w:r>
          </w:p>
          <w:p w14:paraId="7FE1BABA" w14:textId="77777777" w:rsidR="00534D9A" w:rsidRDefault="003243B2">
            <w:pPr>
              <w:pStyle w:val="P68B1DB1-TableParagraph13"/>
              <w:spacing w:before="108"/>
              <w:jc w:val="both"/>
            </w:pPr>
            <w:r>
              <w:t>(d) iż-żmien meħtieġ mill-utenti tas-servizz biex jittrażlokaw għall-fornitur il-ġdid ta’ servizzi u l-ispejjeż taċ-ċaqliq, iż-żmien meħtieġ għal kompetituri oħra biex jieħdu f’idejhom il-funzjonijiet u jekk dak iż-żmien huwiex biżżejjed biex jiġi evitat tfixkil sinifikanti skont it-tip ta’ servizz.</w:t>
            </w:r>
          </w:p>
          <w:p w14:paraId="7FE1BABB" w14:textId="48F2EE45" w:rsidR="00534D9A" w:rsidRDefault="003243B2">
            <w:pPr>
              <w:pStyle w:val="P68B1DB1-TableParagraph13"/>
              <w:spacing w:before="108"/>
              <w:jc w:val="both"/>
            </w:pPr>
            <w:r>
              <w:t xml:space="preserve">Ipprovdi valutazzjoni ġenerali tal-grad mistenni ta’ sostitwibbiltà għal kull funzjoni, filwaqt li tqis id-dimensjonijiet differenti vvalutati qabel (is-sehem mis-suq, il-konċentrazzjoni tas-suq, iż-żmien għas-sostituzzjoni, l-ostakli legali, u r-rekwiżiti operazzjonali għad-dħul jew l-espansjoni). Din il-valutazzjoni għandha tiġi espressa b’mod kwalitattiv bħala “Għoli”, “Medja għolja”, “Medja baxxa” jew “Baxxa”. </w:t>
            </w:r>
          </w:p>
          <w:p w14:paraId="7FE1BABC" w14:textId="47D04A62" w:rsidR="00534D9A" w:rsidRDefault="003243B2">
            <w:pPr>
              <w:pStyle w:val="P68B1DB1-TableParagraph13"/>
              <w:spacing w:before="108"/>
              <w:jc w:val="both"/>
            </w:pPr>
            <w:r>
              <w:t>“High” għandha tintgħażel jekk funzjoni tkun tista’ faċilment tiġi pprovduta minn bank ieħor taħt kundizzjonijiet paragunabbli fi żmien raġonevoli;</w:t>
            </w:r>
          </w:p>
          <w:p w14:paraId="7FE1BABD" w14:textId="7FFD9091" w:rsidR="00534D9A" w:rsidRDefault="003243B2">
            <w:pPr>
              <w:pStyle w:val="P68B1DB1-TableParagraph13"/>
              <w:spacing w:before="108"/>
              <w:jc w:val="both"/>
            </w:pPr>
            <w:r>
              <w:t xml:space="preserve">“Low” jekk funzjoni ma tkunx tista’ tiġi sostitwita faċilment jew f’qasir żmien; </w:t>
            </w:r>
          </w:p>
          <w:p w14:paraId="7FE1BABE" w14:textId="29287980" w:rsidR="00534D9A" w:rsidRDefault="003243B2">
            <w:pPr>
              <w:pStyle w:val="P68B1DB1-TableParagraph13"/>
              <w:spacing w:before="108"/>
              <w:jc w:val="both"/>
            </w:pPr>
            <w:r>
              <w:t>“Medium-High” u “Medium-Low” għal każijiet intermedji li jqisu dimensjonijiet differenti (pereż. is-sehem mis-suq, il-konċentrazzjoni tas-suq, il-ħin għas-sostituzzjoni, kif ukoll l-ostakoli ġuridiċi u r-rekwiżiti operazzjonali għad-dħul jew għall-espansjoni).</w:t>
            </w:r>
          </w:p>
        </w:tc>
      </w:tr>
      <w:tr w:rsidR="00534D9A" w14:paraId="7FE1BAC4" w14:textId="77777777">
        <w:tc>
          <w:tcPr>
            <w:tcW w:w="1080" w:type="dxa"/>
            <w:tcBorders>
              <w:top w:val="single" w:sz="4" w:space="0" w:color="1A171C"/>
              <w:left w:val="nil"/>
              <w:bottom w:val="single" w:sz="4" w:space="0" w:color="1A171C"/>
              <w:right w:val="single" w:sz="4" w:space="0" w:color="1A171C"/>
            </w:tcBorders>
            <w:vAlign w:val="center"/>
          </w:tcPr>
          <w:p w14:paraId="7FE1BAC0" w14:textId="4FCA9719" w:rsidR="00534D9A" w:rsidRDefault="003243B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AC1" w14:textId="77777777" w:rsidR="00534D9A" w:rsidRDefault="003243B2">
            <w:pPr>
              <w:pStyle w:val="P68B1DB1-TableParagraph14"/>
              <w:spacing w:before="108"/>
              <w:jc w:val="both"/>
              <w:rPr>
                <w:bCs/>
              </w:rPr>
            </w:pPr>
            <w:r>
              <w:t>Il-Funzjoni Kritika</w:t>
            </w:r>
          </w:p>
          <w:p w14:paraId="7FE1BAC2" w14:textId="77777777" w:rsidR="00534D9A" w:rsidRDefault="003243B2">
            <w:pPr>
              <w:pStyle w:val="P68B1DB1-TableParagraph13"/>
              <w:spacing w:before="108"/>
              <w:jc w:val="both"/>
            </w:pPr>
            <w:r>
              <w:t>F’din il-kolonna għandu jiġi rrapportat jekk, meta titqies l-analiżi tal-impatt u tas-sostitwibbiltà mwettqa mill-istituzzjoni, il-funzjoni ekonomika titqiesx bħala kritika fis-suq għall-pajjiż rilevanti.</w:t>
            </w:r>
          </w:p>
          <w:p w14:paraId="7FE1BAC3" w14:textId="77777777" w:rsidR="00534D9A" w:rsidRDefault="003243B2">
            <w:pPr>
              <w:pStyle w:val="P68B1DB1-TableParagraph13"/>
              <w:spacing w:before="108"/>
              <w:jc w:val="both"/>
            </w:pPr>
            <w:r>
              <w:t>Irrapporta “Iva” jew “Le”</w:t>
            </w:r>
          </w:p>
        </w:tc>
      </w:tr>
      <w:tr w:rsidR="00534D9A" w14:paraId="7FE1BAC8" w14:textId="77777777">
        <w:tc>
          <w:tcPr>
            <w:tcW w:w="1080" w:type="dxa"/>
            <w:tcBorders>
              <w:top w:val="single" w:sz="4" w:space="0" w:color="1A171C"/>
              <w:left w:val="nil"/>
              <w:bottom w:val="single" w:sz="4" w:space="0" w:color="1A171C"/>
              <w:right w:val="single" w:sz="4" w:space="0" w:color="1A171C"/>
            </w:tcBorders>
            <w:vAlign w:val="center"/>
          </w:tcPr>
          <w:p w14:paraId="7FE1BAC5" w14:textId="2A137A37" w:rsidR="00534D9A" w:rsidRDefault="003243B2">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AC6" w14:textId="77777777" w:rsidR="00534D9A" w:rsidRDefault="003243B2">
            <w:pPr>
              <w:pStyle w:val="P68B1DB1-TableParagraph14"/>
              <w:spacing w:before="108"/>
              <w:jc w:val="both"/>
              <w:rPr>
                <w:bCs/>
              </w:rPr>
            </w:pPr>
            <w:r>
              <w:t>Kummenti mill-Grupp</w:t>
            </w:r>
          </w:p>
          <w:p w14:paraId="7FE1BAC7" w14:textId="77777777" w:rsidR="00534D9A" w:rsidRDefault="003243B2">
            <w:pPr>
              <w:pStyle w:val="P68B1DB1-TableParagraph13"/>
              <w:spacing w:before="108"/>
              <w:jc w:val="both"/>
            </w:pPr>
            <w:r>
              <w:t>Din il-kaxxa tippermetti lill-entità relatriċi tispjega kwalunkwe suppożizzjoni użata fil-valutazzjoni tal-kritikalità tal-funzjoni (jiet) irrapportata/i.</w:t>
            </w:r>
          </w:p>
        </w:tc>
      </w:tr>
    </w:tbl>
    <w:p w14:paraId="7FE1BAC9" w14:textId="77777777" w:rsidR="00534D9A" w:rsidRDefault="00534D9A">
      <w:pPr>
        <w:rPr>
          <w:rFonts w:ascii="Times New Roman" w:hAnsi="Times New Roman" w:cs="Times New Roman"/>
          <w:color w:val="000000" w:themeColor="text1"/>
          <w:sz w:val="20"/>
          <w:szCs w:val="20"/>
        </w:rPr>
      </w:pPr>
    </w:p>
    <w:p w14:paraId="7FE1BACA" w14:textId="77777777" w:rsidR="00534D9A" w:rsidRDefault="00534D9A">
      <w:pPr>
        <w:rPr>
          <w:rFonts w:ascii="Times New Roman" w:hAnsi="Times New Roman" w:cs="Times New Roman"/>
          <w:color w:val="000000" w:themeColor="text1"/>
          <w:sz w:val="20"/>
          <w:szCs w:val="20"/>
        </w:rPr>
      </w:pPr>
    </w:p>
    <w:p w14:paraId="7FE1BACB" w14:textId="48446B8B" w:rsidR="00534D9A" w:rsidRDefault="003243B2">
      <w:pPr>
        <w:pStyle w:val="P68B1DB1-Instructionsberschrift25"/>
        <w:numPr>
          <w:ilvl w:val="1"/>
          <w:numId w:val="49"/>
        </w:numPr>
        <w:ind w:left="357" w:hanging="357"/>
      </w:pPr>
      <w:bookmarkStart w:id="115" w:name="_Toc208245005"/>
      <w:r>
        <w:lastRenderedPageBreak/>
        <w:t>Z 07.01.2 FUNC 1 LEN</w:t>
      </w:r>
      <w:bookmarkEnd w:id="115"/>
    </w:p>
    <w:p w14:paraId="7FE1BAD5" w14:textId="77777777" w:rsidR="00534D9A" w:rsidRDefault="00534D9A">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34D9A" w14:paraId="7FE1BAD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AD6" w14:textId="77777777" w:rsidR="00534D9A" w:rsidRDefault="003243B2">
            <w:pPr>
              <w:pStyle w:val="P68B1DB1-TableParagraph17"/>
              <w:spacing w:before="108"/>
              <w:ind w:left="85"/>
              <w:jc w:val="both"/>
            </w:pPr>
            <w:bookmarkStart w:id="116" w:name="_Hlk162013303"/>
            <w:r>
              <w:t>Kolonni</w:t>
            </w:r>
          </w:p>
        </w:tc>
        <w:tc>
          <w:tcPr>
            <w:tcW w:w="8003" w:type="dxa"/>
            <w:tcBorders>
              <w:top w:val="single" w:sz="4" w:space="0" w:color="1A171C"/>
              <w:left w:val="single" w:sz="4" w:space="0" w:color="1A171C"/>
              <w:bottom w:val="single" w:sz="4" w:space="0" w:color="1A171C"/>
              <w:right w:val="nil"/>
            </w:tcBorders>
            <w:shd w:val="clear" w:color="auto" w:fill="E4E5E5"/>
          </w:tcPr>
          <w:p w14:paraId="7FE1BAD7" w14:textId="77777777" w:rsidR="00534D9A" w:rsidRDefault="003243B2">
            <w:pPr>
              <w:pStyle w:val="P68B1DB1-TableParagraph17"/>
              <w:spacing w:before="108"/>
              <w:ind w:left="85" w:right="1"/>
              <w:jc w:val="both"/>
            </w:pPr>
            <w:r>
              <w:t>Struzzjonijiet</w:t>
            </w:r>
          </w:p>
        </w:tc>
      </w:tr>
      <w:tr w:rsidR="00534D9A" w14:paraId="7FE1BADC" w14:textId="77777777">
        <w:tc>
          <w:tcPr>
            <w:tcW w:w="1080" w:type="dxa"/>
            <w:tcBorders>
              <w:top w:val="single" w:sz="4" w:space="0" w:color="1A171C"/>
              <w:left w:val="nil"/>
              <w:bottom w:val="single" w:sz="4" w:space="0" w:color="1A171C"/>
              <w:right w:val="single" w:sz="4" w:space="0" w:color="1A171C"/>
            </w:tcBorders>
            <w:vAlign w:val="center"/>
          </w:tcPr>
          <w:p w14:paraId="7FE1BAD9" w14:textId="77777777" w:rsidR="00534D9A" w:rsidRDefault="003243B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ADA" w14:textId="77777777" w:rsidR="00534D9A" w:rsidRDefault="003243B2">
            <w:pPr>
              <w:pStyle w:val="P68B1DB1-TableParagraph14"/>
              <w:spacing w:before="108"/>
              <w:ind w:left="85"/>
              <w:jc w:val="both"/>
              <w:rPr>
                <w:bCs/>
              </w:rPr>
            </w:pPr>
            <w:r>
              <w:t>Il-funzjonijiet ekonomiċi kif definiti hawn fuq Kolonni Struzzjonijiet 0010 Id-deskrizzjoni ta’ funzjoni ekonomika</w:t>
            </w:r>
          </w:p>
          <w:p w14:paraId="7FE1BADB" w14:textId="0F1FA007" w:rsidR="00534D9A" w:rsidRDefault="003243B2">
            <w:pPr>
              <w:pStyle w:val="P68B1DB1-TableParagraph17"/>
              <w:spacing w:before="108"/>
              <w:ind w:left="85"/>
            </w:pPr>
            <w:r>
              <w:t xml:space="preserve">Meta l-funzjoni ekonomika tkun tat-tip “Oħrajn” (Z 07.01.2 FUNC 1 LEN r0130 sa r0150), għandha tiġi pprovduta deskrizzjoni ta’ dik il-funzjoni. </w:t>
            </w:r>
          </w:p>
        </w:tc>
      </w:tr>
      <w:tr w:rsidR="00534D9A" w14:paraId="7FE1BAE0" w14:textId="77777777">
        <w:tc>
          <w:tcPr>
            <w:tcW w:w="1080" w:type="dxa"/>
            <w:tcBorders>
              <w:top w:val="single" w:sz="4" w:space="0" w:color="1A171C"/>
              <w:left w:val="nil"/>
              <w:bottom w:val="single" w:sz="4" w:space="0" w:color="1A171C"/>
              <w:right w:val="single" w:sz="4" w:space="0" w:color="1A171C"/>
            </w:tcBorders>
            <w:vAlign w:val="center"/>
          </w:tcPr>
          <w:p w14:paraId="7FE1BADD" w14:textId="77777777" w:rsidR="00534D9A" w:rsidRDefault="003243B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ADE" w14:textId="77777777" w:rsidR="00534D9A" w:rsidRDefault="003243B2">
            <w:pPr>
              <w:pStyle w:val="P68B1DB1-TableParagraph14"/>
              <w:spacing w:before="108"/>
              <w:ind w:left="85"/>
              <w:jc w:val="both"/>
              <w:rPr>
                <w:bCs/>
              </w:rPr>
            </w:pPr>
            <w:r>
              <w:t xml:space="preserve">Sehem mis-suq </w:t>
            </w:r>
          </w:p>
          <w:p w14:paraId="7FE1BADF" w14:textId="4B4AE08B" w:rsidR="00534D9A" w:rsidRDefault="003243B2">
            <w:pPr>
              <w:pStyle w:val="P68B1DB1-TableParagraph17"/>
              <w:spacing w:before="108"/>
              <w:ind w:left="85"/>
            </w:pPr>
            <w:r>
              <w:t>L-istima tas-sehem mis-suq tal-istituzzjoni jew tal-grupp għall-funzjoni ekonomika fil-pajjiż jew fil-ġeografija rispettiv. Perċentwal tas-suq totali f’termini tal-Valur Pendenti.</w:t>
            </w:r>
          </w:p>
        </w:tc>
      </w:tr>
      <w:tr w:rsidR="00534D9A" w14:paraId="7FE1BAE5" w14:textId="77777777">
        <w:tc>
          <w:tcPr>
            <w:tcW w:w="1080" w:type="dxa"/>
            <w:tcBorders>
              <w:top w:val="single" w:sz="4" w:space="0" w:color="1A171C"/>
              <w:left w:val="nil"/>
              <w:bottom w:val="single" w:sz="4" w:space="0" w:color="1A171C"/>
              <w:right w:val="single" w:sz="4" w:space="0" w:color="1A171C"/>
            </w:tcBorders>
            <w:vAlign w:val="center"/>
          </w:tcPr>
          <w:p w14:paraId="7FE1BAE1" w14:textId="77777777" w:rsidR="00534D9A" w:rsidRDefault="003243B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AE2" w14:textId="77777777" w:rsidR="00534D9A" w:rsidRDefault="003243B2">
            <w:pPr>
              <w:pStyle w:val="P68B1DB1-TableParagraph14"/>
              <w:spacing w:before="108"/>
              <w:rPr>
                <w:bCs/>
              </w:rPr>
            </w:pPr>
            <w:r>
              <w:t>Valur pendenti</w:t>
            </w:r>
          </w:p>
          <w:p w14:paraId="7FE1BAE3" w14:textId="77777777" w:rsidR="00534D9A" w:rsidRDefault="003243B2">
            <w:pPr>
              <w:pStyle w:val="P68B1DB1-TableParagraph17"/>
              <w:spacing w:before="108"/>
            </w:pPr>
            <w:r>
              <w:t>Il-valur riportat gross ta’ avvanzi u self mhux indebolit u indebolit (inkluż l-imgħax dovut).</w:t>
            </w:r>
          </w:p>
          <w:p w14:paraId="7FE1BAE4" w14:textId="77777777" w:rsidR="00534D9A" w:rsidRDefault="003243B2">
            <w:pPr>
              <w:pStyle w:val="P68B1DB1-TableParagraph17"/>
              <w:spacing w:before="108"/>
            </w:pPr>
            <w:r>
              <w:t>imgħax). L-istokk ta’ self jittieħed bħala indikatur għal self mistenni fil-futur.</w:t>
            </w:r>
          </w:p>
        </w:tc>
      </w:tr>
      <w:tr w:rsidR="00534D9A" w14:paraId="7FE1BAEB" w14:textId="77777777">
        <w:tc>
          <w:tcPr>
            <w:tcW w:w="1080" w:type="dxa"/>
            <w:tcBorders>
              <w:top w:val="single" w:sz="4" w:space="0" w:color="1A171C"/>
              <w:left w:val="nil"/>
              <w:bottom w:val="single" w:sz="4" w:space="0" w:color="1A171C"/>
              <w:right w:val="single" w:sz="4" w:space="0" w:color="1A171C"/>
            </w:tcBorders>
            <w:vAlign w:val="center"/>
          </w:tcPr>
          <w:p w14:paraId="7FE1BAE6" w14:textId="77777777" w:rsidR="00534D9A" w:rsidRDefault="003243B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AE7" w14:textId="77777777" w:rsidR="00534D9A" w:rsidRDefault="003243B2">
            <w:pPr>
              <w:pStyle w:val="P68B1DB1-TableParagraph14"/>
              <w:spacing w:before="108"/>
              <w:rPr>
                <w:bCs/>
              </w:rPr>
            </w:pPr>
            <w:r>
              <w:t>Numru ta’ klijenti</w:t>
            </w:r>
          </w:p>
          <w:p w14:paraId="7FE1BAE8" w14:textId="77777777" w:rsidR="00534D9A" w:rsidRDefault="003243B2">
            <w:pPr>
              <w:pStyle w:val="P68B1DB1-TableParagraph17"/>
              <w:spacing w:before="108"/>
            </w:pPr>
            <w:r>
              <w:t>Għadd totali ta’ klijenti li ġew ipprovduti bil-valuri rrapportati f’c0030 “valur”</w:t>
            </w:r>
          </w:p>
          <w:p w14:paraId="7FE1BAE9" w14:textId="77777777" w:rsidR="00534D9A" w:rsidRDefault="003243B2">
            <w:pPr>
              <w:pStyle w:val="P68B1DB1-TableParagraph17"/>
              <w:spacing w:before="108"/>
            </w:pPr>
            <w:r>
              <w:t>pendenti”. Jekk klijent ikun qed juża diversi prodotti/kontijiet ta’ self, il-klijent jingħadd</w:t>
            </w:r>
          </w:p>
          <w:p w14:paraId="7FE1BAEA" w14:textId="77777777" w:rsidR="00534D9A" w:rsidRDefault="003243B2">
            <w:pPr>
              <w:pStyle w:val="P68B1DB1-TableParagraph17"/>
              <w:spacing w:before="108"/>
            </w:pPr>
            <w:r>
              <w:t>darba biss.</w:t>
            </w:r>
          </w:p>
        </w:tc>
      </w:tr>
      <w:tr w:rsidR="00534D9A" w14:paraId="7FE1BAF5" w14:textId="77777777">
        <w:tc>
          <w:tcPr>
            <w:tcW w:w="1080" w:type="dxa"/>
            <w:tcBorders>
              <w:top w:val="single" w:sz="4" w:space="0" w:color="1A171C"/>
              <w:left w:val="nil"/>
              <w:bottom w:val="single" w:sz="4" w:space="0" w:color="1A171C"/>
              <w:right w:val="single" w:sz="4" w:space="0" w:color="1A171C"/>
            </w:tcBorders>
            <w:vAlign w:val="center"/>
          </w:tcPr>
          <w:p w14:paraId="7FE1BAF1" w14:textId="77777777" w:rsidR="00534D9A" w:rsidRDefault="003243B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AF2" w14:textId="77777777" w:rsidR="00534D9A" w:rsidRDefault="003243B2">
            <w:pPr>
              <w:pStyle w:val="P68B1DB1-TableParagraph14"/>
              <w:spacing w:before="108"/>
              <w:ind w:left="85"/>
              <w:jc w:val="both"/>
              <w:rPr>
                <w:bCs/>
              </w:rPr>
            </w:pPr>
            <w:r>
              <w:t>Valur pendenti — valur transfruntier</w:t>
            </w:r>
          </w:p>
          <w:p w14:paraId="7FE1BAF3" w14:textId="5BF86183" w:rsidR="00534D9A" w:rsidRDefault="003243B2">
            <w:pPr>
              <w:pStyle w:val="P68B1DB1-TableParagraph13"/>
              <w:spacing w:before="108"/>
              <w:ind w:left="85"/>
              <w:jc w:val="both"/>
            </w:pPr>
            <w:r>
              <w:t>Valur pendenti (c0030) ta’ self lil persuni mhux residenti, ara d-Depożiti (c0060) ‘transfruntiera</w:t>
            </w:r>
          </w:p>
          <w:p w14:paraId="7FE1BAF4" w14:textId="77777777" w:rsidR="00534D9A" w:rsidRDefault="003243B2">
            <w:pPr>
              <w:pStyle w:val="P68B1DB1-TableParagraph13"/>
              <w:spacing w:before="108"/>
              <w:ind w:left="85"/>
              <w:jc w:val="both"/>
              <w:rPr>
                <w:b/>
                <w:bCs/>
              </w:rPr>
            </w:pPr>
            <w:r>
              <w:t>valur”.</w:t>
            </w:r>
          </w:p>
        </w:tc>
      </w:tr>
      <w:bookmarkEnd w:id="116"/>
      <w:tr w:rsidR="00534D9A" w14:paraId="7FE1BB01" w14:textId="77777777">
        <w:tc>
          <w:tcPr>
            <w:tcW w:w="1080" w:type="dxa"/>
            <w:tcBorders>
              <w:top w:val="single" w:sz="4" w:space="0" w:color="1A171C"/>
              <w:left w:val="nil"/>
              <w:bottom w:val="single" w:sz="4" w:space="0" w:color="1A171C"/>
              <w:right w:val="single" w:sz="4" w:space="0" w:color="1A171C"/>
            </w:tcBorders>
            <w:vAlign w:val="center"/>
          </w:tcPr>
          <w:p w14:paraId="7FE1BAF9" w14:textId="14542C41" w:rsidR="00534D9A" w:rsidRDefault="003243B2">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AFA" w14:textId="77777777" w:rsidR="00534D9A" w:rsidRDefault="003243B2">
            <w:pPr>
              <w:pStyle w:val="P68B1DB1-TableParagraph14"/>
              <w:spacing w:before="108"/>
              <w:jc w:val="both"/>
              <w:rPr>
                <w:bCs/>
              </w:rPr>
            </w:pPr>
            <w:r>
              <w:t>Analiżi tal-Impatt u tas-Sostitwibbiltà</w:t>
            </w:r>
          </w:p>
          <w:p w14:paraId="7FE1BAFB" w14:textId="77777777" w:rsidR="00534D9A" w:rsidRDefault="003243B2">
            <w:pPr>
              <w:pStyle w:val="P68B1DB1-TableParagraph13"/>
              <w:spacing w:before="108"/>
            </w:pPr>
            <w:r>
              <w:t>Il-kriterji tal-valutazzjoni għall-impatt fuq partijiet terzi għandhom jinkludu l-elementi li ġejjin f’konformità mar-Regolament Delegat tal-Kummissjoni (UE) 2016/778 dwar il-funzjonijiet kritiċi:</w:t>
            </w:r>
          </w:p>
          <w:p w14:paraId="7FE1BAFC" w14:textId="77777777" w:rsidR="00534D9A" w:rsidRDefault="003243B2">
            <w:pPr>
              <w:pStyle w:val="P68B1DB1-ListParagraph38"/>
              <w:numPr>
                <w:ilvl w:val="0"/>
                <w:numId w:val="131"/>
              </w:numPr>
              <w:spacing w:line="276" w:lineRule="auto"/>
            </w:pPr>
            <w:r>
              <w:t>in-natura u l-firxa tal-attività, l-ilħuq globali, nazzjonali jew reġjonali, il-volum u l-għadd ta’ tranżazzjonijiet; l-għadd ta’ klijenti u kontropartijiet; in-numru ta’ klijenti li għalihom l-istituzzjoni hija l-unika sieħba bankarja jew dik prinċipali.</w:t>
            </w:r>
          </w:p>
          <w:p w14:paraId="7FE1BAFD" w14:textId="77777777" w:rsidR="00534D9A" w:rsidRDefault="003243B2">
            <w:pPr>
              <w:pStyle w:val="P68B1DB1-ListParagraph38"/>
              <w:numPr>
                <w:ilvl w:val="0"/>
                <w:numId w:val="131"/>
              </w:numPr>
              <w:spacing w:line="276" w:lineRule="auto"/>
            </w:pPr>
            <w:r>
              <w:t>ir-rilevanza tal-istituzzjoni, fuq bażi lokali, reġjonali, nazzjonali jew dak Ewropew, kif xieraq għas-suq konċernat. Ir-rilevanza tal-istituzzjoni tista’ tiġi evalwata abbażi tas-sehem tas-suq, l-interkonnettività, il-kumplessità u attivitajiet transkonfinali.</w:t>
            </w:r>
          </w:p>
          <w:p w14:paraId="7FE1BAFE" w14:textId="77777777" w:rsidR="00534D9A" w:rsidRDefault="003243B2">
            <w:pPr>
              <w:pStyle w:val="P68B1DB1-ListParagraph38"/>
              <w:numPr>
                <w:ilvl w:val="0"/>
                <w:numId w:val="131"/>
              </w:numPr>
              <w:spacing w:line="276" w:lineRule="auto"/>
            </w:pPr>
            <w:r>
              <w:t xml:space="preserve">in-natura tal-klijenti u partijiet interessati affettwati mill-funzjoni, bħal, iżda mhux limitati għal klijenti individwali, klijenti korporattivi, klijenti interbankarji, il-kmamar tal-ikklerjar ċentrali u entitajiet pubbliċi. </w:t>
            </w:r>
          </w:p>
          <w:p w14:paraId="7FE1BAFF" w14:textId="77777777" w:rsidR="00534D9A" w:rsidRDefault="003243B2">
            <w:pPr>
              <w:pStyle w:val="P68B1DB1-ListParagraph38"/>
              <w:numPr>
                <w:ilvl w:val="0"/>
                <w:numId w:val="131"/>
              </w:numPr>
              <w:spacing w:line="276" w:lineRule="auto"/>
            </w:pPr>
            <w:r>
              <w:t>il-potenzjal ta’ tfixkil ta’ funzjoni fuq is-swieq, infrastrutturi, klijenti u s-servizzi pubbliċi. B’mod partikolari, il-valutazzjoni tista’ tinkludi l-effett fuq il-likwidità tas-swieq ikkonċernati, l-impatt u l-grad ta’ tfixkil għan-negozju tal-klijenti, u l-bżonnijiet ta’ likwidità fuq perjodu qasir ta’ żmien; il-perċettibbiltà għal kontropartijiet, klijenti u l-pubbliku; il-kapaċità u l-veloċità ta’ reazzjoni tal-klijenti; ir-rilevanza għall-funzjonament ta’ swieq oħra; l-effett fuq il-likwidità, l-ope</w:t>
            </w:r>
            <w:r>
              <w:t>razzjonijiet, l-istruttura ta’ suq ieħor; l-effett fuq kontropartijiet oħra relatati ma’ klijenti ewlenin u l-interrelazzjoni tal-funzjoni ma’ servizzi oħra.</w:t>
            </w:r>
          </w:p>
          <w:p w14:paraId="7FE1BB00"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B05" w14:textId="77777777">
        <w:tc>
          <w:tcPr>
            <w:tcW w:w="1080" w:type="dxa"/>
            <w:tcBorders>
              <w:top w:val="single" w:sz="4" w:space="0" w:color="1A171C"/>
              <w:left w:val="nil"/>
              <w:bottom w:val="single" w:sz="4" w:space="0" w:color="1A171C"/>
              <w:right w:val="single" w:sz="4" w:space="0" w:color="1A171C"/>
            </w:tcBorders>
            <w:vAlign w:val="center"/>
          </w:tcPr>
          <w:p w14:paraId="7FE1BB02" w14:textId="36421503" w:rsidR="00534D9A" w:rsidRDefault="003243B2">
            <w:pPr>
              <w:pStyle w:val="P68B1DB1-TableParagraph17"/>
              <w:spacing w:before="108"/>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B03" w14:textId="77777777" w:rsidR="00534D9A" w:rsidRDefault="003243B2">
            <w:pPr>
              <w:pStyle w:val="P68B1DB1-TableParagraph14"/>
              <w:spacing w:before="108"/>
              <w:jc w:val="both"/>
              <w:rPr>
                <w:bCs/>
              </w:rPr>
            </w:pPr>
            <w:r>
              <w:t xml:space="preserve">Natura u Reach </w:t>
            </w:r>
          </w:p>
          <w:p w14:paraId="7FE1BB04" w14:textId="77777777" w:rsidR="00534D9A" w:rsidRDefault="003243B2">
            <w:pPr>
              <w:pStyle w:val="P68B1DB1-TableParagraph13"/>
              <w:spacing w:before="108"/>
              <w:jc w:val="both"/>
            </w:pPr>
            <w:r>
              <w:lastRenderedPageBreak/>
              <w:t>Il-firxa globali, nazzjonali jew reġjonali, il-volum u l-għadd ta’ tranżazzjonijiet; l-għadd ta’ klijenti u kontropartijiet; in-numru ta’ klijenti li għalihom l-istituzzjoni hija l-unika sieħba bankarja jew dik prinċipali.</w:t>
            </w:r>
          </w:p>
        </w:tc>
      </w:tr>
      <w:tr w:rsidR="00534D9A" w14:paraId="7FE1BB0C" w14:textId="77777777">
        <w:tc>
          <w:tcPr>
            <w:tcW w:w="1080" w:type="dxa"/>
            <w:tcBorders>
              <w:top w:val="single" w:sz="4" w:space="0" w:color="1A171C"/>
              <w:left w:val="nil"/>
              <w:bottom w:val="single" w:sz="4" w:space="0" w:color="1A171C"/>
              <w:right w:val="single" w:sz="4" w:space="0" w:color="1A171C"/>
            </w:tcBorders>
            <w:vAlign w:val="center"/>
          </w:tcPr>
          <w:p w14:paraId="7FE1BB06" w14:textId="202CD428" w:rsidR="00534D9A" w:rsidRDefault="003243B2">
            <w:pPr>
              <w:pStyle w:val="P68B1DB1-TableParagraph17"/>
              <w:spacing w:before="108"/>
              <w:jc w:val="both"/>
            </w:pPr>
            <w:r>
              <w:lastRenderedPageBreak/>
              <w:t>0080</w:t>
            </w:r>
          </w:p>
        </w:tc>
        <w:tc>
          <w:tcPr>
            <w:tcW w:w="8003" w:type="dxa"/>
            <w:tcBorders>
              <w:top w:val="single" w:sz="4" w:space="0" w:color="1A171C"/>
              <w:left w:val="single" w:sz="4" w:space="0" w:color="1A171C"/>
              <w:bottom w:val="single" w:sz="4" w:space="0" w:color="1A171C"/>
              <w:right w:val="nil"/>
            </w:tcBorders>
            <w:vAlign w:val="center"/>
          </w:tcPr>
          <w:p w14:paraId="7FE1BB07" w14:textId="77777777" w:rsidR="00534D9A" w:rsidRDefault="003243B2">
            <w:pPr>
              <w:pStyle w:val="P68B1DB1-TableParagraph14"/>
              <w:spacing w:before="108"/>
              <w:jc w:val="both"/>
              <w:rPr>
                <w:bCs/>
              </w:rPr>
            </w:pPr>
            <w:r>
              <w:t>Indikatur tad-daqs 1</w:t>
            </w:r>
          </w:p>
          <w:p w14:paraId="50B226E0"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B08" w14:textId="658E0B92" w:rsidR="00534D9A" w:rsidRDefault="00534D9A">
            <w:pPr>
              <w:pStyle w:val="TableParagraph"/>
              <w:spacing w:before="108"/>
              <w:rPr>
                <w:rFonts w:ascii="Times New Roman" w:hAnsi="Times New Roman" w:cs="Times New Roman"/>
                <w:color w:val="000000" w:themeColor="text1"/>
                <w:sz w:val="20"/>
                <w:szCs w:val="20"/>
              </w:rPr>
            </w:pPr>
          </w:p>
          <w:p w14:paraId="7FE1BB09" w14:textId="199C9DE7" w:rsidR="00534D9A" w:rsidRDefault="003243B2">
            <w:pPr>
              <w:pStyle w:val="P68B1DB1-ListParagraph32"/>
              <w:numPr>
                <w:ilvl w:val="0"/>
                <w:numId w:val="130"/>
              </w:numPr>
              <w:spacing w:line="276" w:lineRule="auto"/>
            </w:pPr>
            <w:r>
              <w:t xml:space="preserve">Ġudizzju espert tad-daqs tal-valur tas-self pendenti (c0030) minn perspettiva tal-UE </w:t>
            </w:r>
            <w:r>
              <w:rPr>
                <w:i/>
              </w:rPr>
              <w:t>[livell wieħed ogħla mis-suq rilevanti].</w:t>
            </w:r>
            <w:r>
              <w:t xml:space="preserve"> Fil-valutazzjoni ta’ dan l-indikatur tad-daqs, ikkunsidra wkoll il-flussi ta’ self futuri potenzjali. Tista’ tuża l-istokk ta’ self eżistenti bħala indikatur għall-flussi ta’ self futuri, jekk tqis li l-attività tal-passat tirrifletti b’mod preċiż l-attività ta’ self ippjanata fuq terminu qasir sa medju. </w:t>
            </w:r>
          </w:p>
          <w:p w14:paraId="7FE1BB0A" w14:textId="77777777" w:rsidR="00534D9A" w:rsidRDefault="003243B2">
            <w:pPr>
              <w:pStyle w:val="P68B1DB1-ListParagraph32"/>
              <w:numPr>
                <w:ilvl w:val="1"/>
                <w:numId w:val="127"/>
              </w:numPr>
              <w:spacing w:line="276" w:lineRule="auto"/>
            </w:pPr>
            <w:r>
              <w:t>Mill-perspettiva tal-UE, kemm taħseb li huwa kbir il-valur tas-self pendenti u impenjat, bħala indikatur għall-flussi ta’ self futuri?</w:t>
            </w:r>
          </w:p>
          <w:p w14:paraId="7FE1BB0B"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B18" w14:textId="77777777">
        <w:tc>
          <w:tcPr>
            <w:tcW w:w="1080" w:type="dxa"/>
            <w:tcBorders>
              <w:top w:val="single" w:sz="4" w:space="0" w:color="1A171C"/>
              <w:left w:val="nil"/>
              <w:bottom w:val="single" w:sz="4" w:space="0" w:color="1A171C"/>
              <w:right w:val="single" w:sz="4" w:space="0" w:color="1A171C"/>
            </w:tcBorders>
            <w:vAlign w:val="center"/>
          </w:tcPr>
          <w:p w14:paraId="7FE1BB0D" w14:textId="28626F4D" w:rsidR="00534D9A" w:rsidRDefault="003243B2">
            <w:pPr>
              <w:pStyle w:val="P68B1DB1-TableParagraph17"/>
              <w:spacing w:before="108"/>
              <w:jc w:val="both"/>
            </w:pPr>
            <w:r>
              <w:t>0090</w:t>
            </w:r>
          </w:p>
        </w:tc>
        <w:tc>
          <w:tcPr>
            <w:tcW w:w="8003" w:type="dxa"/>
            <w:tcBorders>
              <w:top w:val="single" w:sz="4" w:space="0" w:color="1A171C"/>
              <w:left w:val="single" w:sz="4" w:space="0" w:color="1A171C"/>
              <w:bottom w:val="single" w:sz="4" w:space="0" w:color="1A171C"/>
              <w:right w:val="nil"/>
            </w:tcBorders>
            <w:vAlign w:val="center"/>
          </w:tcPr>
          <w:p w14:paraId="7FE1BB0E" w14:textId="77777777" w:rsidR="00534D9A" w:rsidRDefault="003243B2">
            <w:pPr>
              <w:pStyle w:val="P68B1DB1-TableParagraph14"/>
              <w:spacing w:before="108"/>
              <w:jc w:val="both"/>
              <w:rPr>
                <w:bCs/>
              </w:rPr>
            </w:pPr>
            <w:r>
              <w:t>Indikatur tad-daqs 2</w:t>
            </w:r>
          </w:p>
          <w:p w14:paraId="68B7FEDE"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B0F" w14:textId="40E27EAB" w:rsidR="00534D9A" w:rsidRDefault="00534D9A">
            <w:pPr>
              <w:pStyle w:val="TableParagraph"/>
              <w:spacing w:before="108"/>
              <w:rPr>
                <w:rFonts w:ascii="Times New Roman" w:hAnsi="Times New Roman" w:cs="Times New Roman"/>
                <w:color w:val="000000" w:themeColor="text1"/>
                <w:sz w:val="20"/>
                <w:szCs w:val="20"/>
              </w:rPr>
            </w:pPr>
          </w:p>
          <w:p w14:paraId="7FE1BB10" w14:textId="4C225025" w:rsidR="00534D9A" w:rsidRDefault="003243B2">
            <w:pPr>
              <w:pStyle w:val="P68B1DB1-ListParagraph32"/>
              <w:numPr>
                <w:ilvl w:val="0"/>
                <w:numId w:val="121"/>
              </w:numPr>
              <w:spacing w:line="276" w:lineRule="auto"/>
            </w:pPr>
            <w:r>
              <w:t xml:space="preserve">Ġudizzju espert tad-daqs </w:t>
            </w:r>
            <w:r>
              <w:rPr>
                <w:b/>
              </w:rPr>
              <w:t>tal-għadd</w:t>
            </w:r>
            <w:r>
              <w:t xml:space="preserve"> ta’ klijenti (c0040) minn perspettiva </w:t>
            </w:r>
            <w:r>
              <w:rPr>
                <w:b/>
              </w:rPr>
              <w:t>nazzjonali</w:t>
            </w:r>
            <w:r>
              <w:t xml:space="preserve"> </w:t>
            </w:r>
            <w:r>
              <w:rPr>
                <w:i/>
              </w:rPr>
              <w:t>[fil-livell tas-suq rilevanti]</w:t>
            </w:r>
            <w:r>
              <w:t>:</w:t>
            </w:r>
          </w:p>
          <w:p w14:paraId="7FE1BB11" w14:textId="77777777" w:rsidR="00534D9A" w:rsidRDefault="003243B2">
            <w:pPr>
              <w:pStyle w:val="P68B1DB1-ListParagraph32"/>
              <w:numPr>
                <w:ilvl w:val="1"/>
                <w:numId w:val="121"/>
              </w:numPr>
              <w:spacing w:line="276" w:lineRule="auto"/>
            </w:pPr>
            <w:r>
              <w:t>Minn perspettiva nazzjonali, kemm huwa kbir l-għadd totali ta’ klijenti tal-istituzzjoni?</w:t>
            </w:r>
          </w:p>
          <w:p w14:paraId="7FE1BB17" w14:textId="77777777" w:rsidR="00534D9A" w:rsidRDefault="00534D9A">
            <w:pPr>
              <w:rPr>
                <w:rFonts w:ascii="Times New Roman" w:hAnsi="Times New Roman"/>
                <w:color w:val="000000" w:themeColor="text1"/>
                <w:sz w:val="20"/>
                <w:szCs w:val="20"/>
              </w:rPr>
            </w:pPr>
          </w:p>
        </w:tc>
      </w:tr>
      <w:tr w:rsidR="00534D9A" w14:paraId="7FE1BB22" w14:textId="77777777">
        <w:tc>
          <w:tcPr>
            <w:tcW w:w="1080" w:type="dxa"/>
            <w:tcBorders>
              <w:top w:val="single" w:sz="4" w:space="0" w:color="1A171C"/>
              <w:left w:val="nil"/>
              <w:bottom w:val="single" w:sz="4" w:space="0" w:color="1A171C"/>
              <w:right w:val="single" w:sz="4" w:space="0" w:color="1A171C"/>
            </w:tcBorders>
            <w:vAlign w:val="center"/>
          </w:tcPr>
          <w:p w14:paraId="7FE1BB19" w14:textId="68DEE50C" w:rsidR="00534D9A" w:rsidRDefault="003243B2">
            <w:pPr>
              <w:pStyle w:val="P68B1DB1-TableParagraph17"/>
              <w:spacing w:before="108"/>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B1A" w14:textId="77777777" w:rsidR="00534D9A" w:rsidRDefault="003243B2">
            <w:pPr>
              <w:pStyle w:val="P68B1DB1-TableParagraph14"/>
              <w:spacing w:before="108"/>
              <w:jc w:val="both"/>
              <w:rPr>
                <w:bCs/>
              </w:rPr>
            </w:pPr>
            <w:r>
              <w:t>Indikatur transkonfinali</w:t>
            </w:r>
          </w:p>
          <w:p w14:paraId="7FE1BB1B" w14:textId="77777777" w:rsidR="00534D9A" w:rsidRDefault="003243B2">
            <w:pPr>
              <w:pStyle w:val="P68B1DB1-TableParagraph13"/>
              <w:spacing w:before="108"/>
            </w:pPr>
            <w:r>
              <w:t>Tivvaluta l-importanza relattiva tal-attivitajiet transfruntiera għall-funzjonijiet ekonomiċi differenti.</w:t>
            </w:r>
          </w:p>
          <w:p w14:paraId="7FE1BB1C" w14:textId="77777777" w:rsidR="00534D9A" w:rsidRDefault="003243B2">
            <w:pPr>
              <w:pStyle w:val="P68B1DB1-TableParagraph13"/>
              <w:spacing w:before="108"/>
            </w:pPr>
            <w:r>
              <w:t xml:space="preserve">Dan ma għandux għalfejn jiġi vvalutat fil-każ ta’ rapporti li fihom is-suq rilevanti jitqies bħala reġjonali. </w:t>
            </w:r>
          </w:p>
          <w:p w14:paraId="7FE1BB1D" w14:textId="77777777" w:rsidR="00534D9A" w:rsidRDefault="003243B2">
            <w:pPr>
              <w:pStyle w:val="P68B1DB1-TableParagraph33"/>
              <w:spacing w:before="108"/>
              <w:jc w:val="both"/>
            </w:pPr>
            <w:r>
              <w:t xml:space="preserve">L-għadd ta’ pajjiżi tal-UE fejn l-entità relatriċi għandha sehem mis-suq ogħla minn 2 % (espress f’valur ta’ self pendenti). Rapport: </w:t>
            </w:r>
          </w:p>
          <w:p w14:paraId="7FE1BB1E" w14:textId="1382E45D" w:rsidR="00534D9A" w:rsidRDefault="003243B2">
            <w:pPr>
              <w:pStyle w:val="P68B1DB1-TableParagraph33"/>
              <w:numPr>
                <w:ilvl w:val="0"/>
                <w:numId w:val="282"/>
              </w:numPr>
              <w:spacing w:before="108"/>
              <w:jc w:val="both"/>
            </w:pPr>
            <w:r>
              <w:t xml:space="preserve">≤ 1 pajjiż; </w:t>
            </w:r>
          </w:p>
          <w:p w14:paraId="7FE1BB1F" w14:textId="1384F453" w:rsidR="00534D9A" w:rsidRDefault="003243B2">
            <w:pPr>
              <w:pStyle w:val="P68B1DB1-TableParagraph33"/>
              <w:numPr>
                <w:ilvl w:val="0"/>
                <w:numId w:val="282"/>
              </w:numPr>
              <w:spacing w:before="108"/>
              <w:jc w:val="both"/>
            </w:pPr>
            <w:r>
              <w:t xml:space="preserve">2–3 pajjiż; </w:t>
            </w:r>
          </w:p>
          <w:p w14:paraId="7FE1BB20" w14:textId="2782B087" w:rsidR="00534D9A" w:rsidRDefault="003243B2">
            <w:pPr>
              <w:pStyle w:val="P68B1DB1-TableParagraph33"/>
              <w:numPr>
                <w:ilvl w:val="0"/>
                <w:numId w:val="282"/>
              </w:numPr>
              <w:spacing w:before="108"/>
              <w:jc w:val="both"/>
            </w:pPr>
            <w:r>
              <w:t xml:space="preserve">4–5 pajjiż, </w:t>
            </w:r>
          </w:p>
          <w:p w14:paraId="7FE1BB21" w14:textId="6E7B19E5" w:rsidR="00534D9A" w:rsidRDefault="003243B2">
            <w:pPr>
              <w:pStyle w:val="P68B1DB1-TableParagraph33"/>
              <w:numPr>
                <w:ilvl w:val="0"/>
                <w:numId w:val="282"/>
              </w:numPr>
              <w:spacing w:before="108"/>
              <w:jc w:val="both"/>
              <w:rPr>
                <w:rFonts w:cs="Times New Roman"/>
                <w:color w:val="000000" w:themeColor="text1"/>
              </w:rPr>
            </w:pPr>
            <w:r>
              <w:lastRenderedPageBreak/>
              <w:t>&gt; 5 pajjiż</w:t>
            </w:r>
          </w:p>
        </w:tc>
      </w:tr>
      <w:tr w:rsidR="00534D9A" w14:paraId="7FE1BB31" w14:textId="77777777">
        <w:tc>
          <w:tcPr>
            <w:tcW w:w="1080" w:type="dxa"/>
            <w:tcBorders>
              <w:top w:val="single" w:sz="4" w:space="0" w:color="1A171C"/>
              <w:left w:val="nil"/>
              <w:bottom w:val="single" w:sz="4" w:space="0" w:color="1A171C"/>
              <w:right w:val="single" w:sz="4" w:space="0" w:color="1A171C"/>
            </w:tcBorders>
            <w:vAlign w:val="center"/>
          </w:tcPr>
          <w:p w14:paraId="7FE1BB23" w14:textId="4A05DE2B" w:rsidR="00534D9A" w:rsidRDefault="003243B2">
            <w:pPr>
              <w:pStyle w:val="P68B1DB1-TableParagraph17"/>
              <w:spacing w:before="108"/>
              <w:jc w:val="both"/>
            </w:pPr>
            <w:r>
              <w:lastRenderedPageBreak/>
              <w:t>0110</w:t>
            </w:r>
          </w:p>
        </w:tc>
        <w:tc>
          <w:tcPr>
            <w:tcW w:w="8003" w:type="dxa"/>
            <w:tcBorders>
              <w:top w:val="single" w:sz="4" w:space="0" w:color="1A171C"/>
              <w:left w:val="single" w:sz="4" w:space="0" w:color="1A171C"/>
              <w:bottom w:val="single" w:sz="4" w:space="0" w:color="1A171C"/>
              <w:right w:val="nil"/>
            </w:tcBorders>
            <w:vAlign w:val="center"/>
          </w:tcPr>
          <w:p w14:paraId="7FE1BB24" w14:textId="77777777" w:rsidR="00534D9A" w:rsidRDefault="003243B2">
            <w:pPr>
              <w:pStyle w:val="P68B1DB1-TableParagraph13"/>
              <w:spacing w:before="108"/>
              <w:jc w:val="both"/>
            </w:pPr>
            <w:r>
              <w:rPr>
                <w:b/>
              </w:rPr>
              <w:t xml:space="preserve">Rilevanza </w:t>
            </w:r>
            <w:r>
              <w:t xml:space="preserve">— </w:t>
            </w:r>
          </w:p>
          <w:p w14:paraId="7FE1BB25" w14:textId="77777777" w:rsidR="00534D9A" w:rsidRDefault="003243B2">
            <w:pPr>
              <w:pStyle w:val="P68B1DB1-TableParagraph13"/>
              <w:spacing w:before="108"/>
              <w:jc w:val="both"/>
            </w:pPr>
            <w:r>
              <w:t>Fuq livell lokali, reġjonali, nazzjonali jew Ewropew, kif xieraq għas-suq ikkonċernat. Ir-rilevanza tal-istituzzjoni tista’ tiġi evalwata abbażi tas-sehem tas-suq, l-interkonnettività, il-kumplessità u attivitajiet transkonfinali.</w:t>
            </w:r>
          </w:p>
          <w:p w14:paraId="7FE1BB26" w14:textId="77777777" w:rsidR="00534D9A" w:rsidRDefault="003243B2">
            <w:pPr>
              <w:pStyle w:val="P68B1DB1-TableParagraph14"/>
              <w:spacing w:before="108"/>
              <w:jc w:val="both"/>
              <w:rPr>
                <w:bCs/>
              </w:rPr>
            </w:pPr>
            <w:r>
              <w:t>Sehem mis-suq</w:t>
            </w:r>
          </w:p>
          <w:p w14:paraId="4A7FDA65" w14:textId="77777777" w:rsidR="00534D9A" w:rsidRDefault="003243B2">
            <w:pPr>
              <w:pStyle w:val="P68B1DB1-Normal31"/>
              <w:spacing w:line="276" w:lineRule="auto"/>
              <w:jc w:val="both"/>
            </w:pPr>
            <w:r>
              <w:t xml:space="preserve">Ivvaluta kemm huwa importanti s-sehem mis-suq tal-entità relatriċi, meta mqabbel mas-suq nazzjonali jew suq rilevanti ieħor, kif indikat fil-mudell. Din il-valutazzjoni hija espressa b’mod kwalitattiv bħala </w:t>
            </w:r>
          </w:p>
          <w:p w14:paraId="25EA33C7" w14:textId="77777777" w:rsidR="00534D9A" w:rsidRDefault="003243B2">
            <w:pPr>
              <w:pStyle w:val="P68B1DB1-ListParagraph32"/>
              <w:numPr>
                <w:ilvl w:val="0"/>
                <w:numId w:val="276"/>
              </w:numPr>
              <w:spacing w:line="276" w:lineRule="auto"/>
              <w:jc w:val="both"/>
            </w:pPr>
            <w:r>
              <w:t>Għoli, jekk is-sehem mis-suq ikun kbir</w:t>
            </w:r>
          </w:p>
          <w:p w14:paraId="24D12007" w14:textId="77777777" w:rsidR="00534D9A" w:rsidRDefault="003243B2">
            <w:pPr>
              <w:pStyle w:val="P68B1DB1-ListParagraph32"/>
              <w:numPr>
                <w:ilvl w:val="0"/>
                <w:numId w:val="276"/>
              </w:numPr>
              <w:spacing w:line="276" w:lineRule="auto"/>
              <w:jc w:val="both"/>
            </w:pPr>
            <w:r>
              <w:t>Medju-għoli, jekk is-sehem mis-suq huwa medju</w:t>
            </w:r>
          </w:p>
          <w:p w14:paraId="05C67201" w14:textId="77777777" w:rsidR="00534D9A" w:rsidRDefault="003243B2">
            <w:pPr>
              <w:pStyle w:val="P68B1DB1-ListParagraph32"/>
              <w:numPr>
                <w:ilvl w:val="0"/>
                <w:numId w:val="276"/>
              </w:numPr>
              <w:spacing w:line="276" w:lineRule="auto"/>
              <w:jc w:val="both"/>
            </w:pPr>
            <w:r>
              <w:t xml:space="preserve">Medju-baxx, jekk is-sehem mis-suq ikun żgħir jew </w:t>
            </w:r>
          </w:p>
          <w:p w14:paraId="29105274" w14:textId="77777777" w:rsidR="00534D9A" w:rsidRDefault="003243B2">
            <w:pPr>
              <w:pStyle w:val="P68B1DB1-ListParagraph32"/>
              <w:numPr>
                <w:ilvl w:val="0"/>
                <w:numId w:val="276"/>
              </w:numPr>
              <w:spacing w:line="276" w:lineRule="auto"/>
              <w:jc w:val="both"/>
            </w:pPr>
            <w:r>
              <w:t xml:space="preserve">Baxx, jekk is-sehem mis-suq ikun negliġibbli. </w:t>
            </w:r>
          </w:p>
          <w:p w14:paraId="7FE1BB2B" w14:textId="586F4387" w:rsidR="00534D9A" w:rsidRDefault="00534D9A">
            <w:pPr>
              <w:pStyle w:val="ListParagraph"/>
              <w:spacing w:line="276" w:lineRule="auto"/>
              <w:jc w:val="both"/>
              <w:rPr>
                <w:rFonts w:ascii="Times New Roman" w:eastAsiaTheme="minorHAnsi" w:hAnsi="Times New Roman"/>
                <w:color w:val="000000" w:themeColor="text1"/>
                <w:sz w:val="20"/>
                <w:szCs w:val="20"/>
              </w:rPr>
            </w:pPr>
          </w:p>
          <w:p w14:paraId="7FE1BB2C" w14:textId="77777777" w:rsidR="00534D9A" w:rsidRDefault="003243B2">
            <w:pPr>
              <w:pStyle w:val="P68B1DB1-TableParagraph13"/>
              <w:spacing w:before="108"/>
            </w:pPr>
            <w:r>
              <w:t xml:space="preserve">Din il-valutazzjoni tqis l-istruttura tas-suq tal-pajjiż tal-entità relatriċi (jew suq rilevanti ieħor), u l-ishma mis-suq irrapportati parzjalment </w:t>
            </w:r>
          </w:p>
          <w:p w14:paraId="7FE1BB2D" w14:textId="77777777" w:rsidR="00534D9A" w:rsidRDefault="003243B2">
            <w:pPr>
              <w:pStyle w:val="P68B1DB1-TableParagraph13"/>
              <w:spacing w:before="108"/>
            </w:pPr>
            <w:r>
              <w:t>2.Data kwantitattiva:</w:t>
            </w:r>
          </w:p>
          <w:p w14:paraId="7FE1BB2E" w14:textId="77777777" w:rsidR="00534D9A" w:rsidRDefault="003243B2">
            <w:pPr>
              <w:pStyle w:val="P68B1DB1-ListParagraph32"/>
              <w:numPr>
                <w:ilvl w:val="0"/>
                <w:numId w:val="117"/>
              </w:numPr>
              <w:spacing w:line="276" w:lineRule="auto"/>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B2F" w14:textId="77777777" w:rsidR="00534D9A" w:rsidRDefault="00534D9A">
            <w:pPr>
              <w:pStyle w:val="TableParagraph"/>
              <w:spacing w:before="108"/>
              <w:rPr>
                <w:rFonts w:ascii="Times New Roman" w:hAnsi="Times New Roman" w:cs="Times New Roman"/>
                <w:color w:val="000000" w:themeColor="text1"/>
                <w:sz w:val="20"/>
                <w:szCs w:val="20"/>
              </w:rPr>
            </w:pPr>
          </w:p>
          <w:p w14:paraId="7FE1BB30"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B3D" w14:textId="77777777">
        <w:tc>
          <w:tcPr>
            <w:tcW w:w="1080" w:type="dxa"/>
            <w:tcBorders>
              <w:top w:val="single" w:sz="4" w:space="0" w:color="1A171C"/>
              <w:left w:val="nil"/>
              <w:bottom w:val="single" w:sz="4" w:space="0" w:color="1A171C"/>
              <w:right w:val="single" w:sz="4" w:space="0" w:color="1A171C"/>
            </w:tcBorders>
            <w:vAlign w:val="center"/>
          </w:tcPr>
          <w:p w14:paraId="7FE1BB32" w14:textId="3F7E8117" w:rsidR="00534D9A" w:rsidRDefault="003243B2">
            <w:pPr>
              <w:pStyle w:val="P68B1DB1-TableParagraph17"/>
              <w:spacing w:before="108"/>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B33" w14:textId="77777777" w:rsidR="00534D9A" w:rsidRDefault="003243B2">
            <w:pPr>
              <w:pStyle w:val="P68B1DB1-TableParagraph14"/>
              <w:spacing w:before="108"/>
              <w:jc w:val="both"/>
              <w:rPr>
                <w:bCs/>
              </w:rPr>
            </w:pPr>
            <w:r>
              <w:t>Struttura tas-Suq — Konċentrazzjoni tas-suq</w:t>
            </w:r>
          </w:p>
          <w:p w14:paraId="7FE1BB34" w14:textId="77777777" w:rsidR="00534D9A" w:rsidRDefault="003243B2">
            <w:pPr>
              <w:pStyle w:val="P68B1DB1-TableParagraph13"/>
              <w:spacing w:before="108"/>
            </w:pPr>
            <w:r>
              <w:t xml:space="preserve">Il-konċentrazzjoni tas-suq, imkejla skont l-għadd ta’ kompetituri li qed iwettqu bħalissa </w:t>
            </w:r>
          </w:p>
          <w:p w14:paraId="7FE1BB35" w14:textId="77777777" w:rsidR="00534D9A" w:rsidRDefault="003243B2">
            <w:pPr>
              <w:pStyle w:val="P68B1DB1-TableParagraph13"/>
              <w:spacing w:before="108"/>
            </w:pPr>
            <w:r>
              <w:t xml:space="preserve">funzjonijiet ekonomiċi simili u/jew li joffru servizzi simili fuq termini ugwali (jiġifieri għal </w:t>
            </w:r>
          </w:p>
          <w:p w14:paraId="7FE1BB36" w14:textId="77777777" w:rsidR="00534D9A" w:rsidRDefault="003243B2">
            <w:pPr>
              <w:pStyle w:val="P68B1DB1-TableParagraph13"/>
              <w:spacing w:before="108"/>
            </w:pPr>
            <w:r>
              <w:t xml:space="preserve">livell u kwalità komparabbli u bi spiża komparabbli) li potenzjalment jieħdu f’idejhom </w:t>
            </w:r>
          </w:p>
          <w:p w14:paraId="7FE1BB37" w14:textId="77777777" w:rsidR="00534D9A" w:rsidRDefault="003243B2">
            <w:pPr>
              <w:pStyle w:val="P68B1DB1-TableParagraph13"/>
              <w:spacing w:before="108"/>
            </w:pPr>
            <w:r>
              <w:t xml:space="preserve">(parti minn) il-klijenti u/jew in-negozju tal-entità relatriċi f’perjodu ta’ żmien raġonevoli. </w:t>
            </w:r>
          </w:p>
          <w:p w14:paraId="7FE1BB38" w14:textId="77777777" w:rsidR="00534D9A" w:rsidRDefault="003243B2">
            <w:pPr>
              <w:pStyle w:val="P68B1DB1-TableParagraph13"/>
              <w:spacing w:before="108"/>
            </w:pPr>
            <w:r>
              <w:t xml:space="preserve">Dan għandu jiġi rrapportat f’buckets, li huma l-istess għal kull subfunzjoni </w:t>
            </w:r>
          </w:p>
          <w:p w14:paraId="6E06F623" w14:textId="77777777" w:rsidR="00534D9A" w:rsidRDefault="003243B2">
            <w:pPr>
              <w:pStyle w:val="P68B1DB1-ListParagraph32"/>
              <w:numPr>
                <w:ilvl w:val="0"/>
                <w:numId w:val="277"/>
              </w:numPr>
              <w:jc w:val="both"/>
            </w:pPr>
            <w:r>
              <w:t xml:space="preserve">&gt; 20 kompetituri; </w:t>
            </w:r>
          </w:p>
          <w:p w14:paraId="1C1D9521" w14:textId="77777777" w:rsidR="00534D9A" w:rsidRDefault="003243B2">
            <w:pPr>
              <w:pStyle w:val="P68B1DB1-ListParagraph32"/>
              <w:numPr>
                <w:ilvl w:val="0"/>
                <w:numId w:val="277"/>
              </w:numPr>
              <w:jc w:val="both"/>
            </w:pPr>
            <w:r>
              <w:t xml:space="preserve">11–20 kompetituri; </w:t>
            </w:r>
          </w:p>
          <w:p w14:paraId="35EEC292" w14:textId="77777777" w:rsidR="00534D9A" w:rsidRDefault="003243B2">
            <w:pPr>
              <w:pStyle w:val="P68B1DB1-ListParagraph32"/>
              <w:numPr>
                <w:ilvl w:val="0"/>
                <w:numId w:val="277"/>
              </w:numPr>
              <w:jc w:val="both"/>
            </w:pPr>
            <w:r>
              <w:t xml:space="preserve">5–10 kompetituri, </w:t>
            </w:r>
          </w:p>
          <w:p w14:paraId="23AB1BA1" w14:textId="77777777" w:rsidR="00534D9A" w:rsidRDefault="003243B2">
            <w:pPr>
              <w:pStyle w:val="P68B1DB1-ListParagraph32"/>
              <w:numPr>
                <w:ilvl w:val="0"/>
                <w:numId w:val="277"/>
              </w:numPr>
              <w:jc w:val="both"/>
              <w:rPr>
                <w:b/>
                <w:bCs/>
                <w:color w:val="000000" w:themeColor="text1"/>
              </w:rPr>
            </w:pPr>
            <w:r>
              <w:t>Kompetittività 5 kompetituri</w:t>
            </w:r>
          </w:p>
          <w:p w14:paraId="7FE1BB3C" w14:textId="356BF98D" w:rsidR="00534D9A" w:rsidRDefault="00534D9A">
            <w:pPr>
              <w:jc w:val="both"/>
              <w:rPr>
                <w:rFonts w:ascii="Times New Roman" w:hAnsi="Times New Roman"/>
                <w:color w:val="000000" w:themeColor="text1"/>
                <w:sz w:val="20"/>
                <w:szCs w:val="20"/>
              </w:rPr>
            </w:pPr>
          </w:p>
        </w:tc>
      </w:tr>
      <w:tr w:rsidR="00534D9A" w14:paraId="7FE1BB49" w14:textId="77777777">
        <w:tc>
          <w:tcPr>
            <w:tcW w:w="1080" w:type="dxa"/>
            <w:tcBorders>
              <w:top w:val="single" w:sz="4" w:space="0" w:color="1A171C"/>
              <w:left w:val="nil"/>
              <w:bottom w:val="single" w:sz="4" w:space="0" w:color="1A171C"/>
              <w:right w:val="single" w:sz="4" w:space="0" w:color="1A171C"/>
            </w:tcBorders>
            <w:vAlign w:val="center"/>
          </w:tcPr>
          <w:p w14:paraId="7FE1BB3E" w14:textId="0A51607B" w:rsidR="00534D9A" w:rsidRDefault="003243B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3F" w14:textId="77777777" w:rsidR="00534D9A" w:rsidRDefault="003243B2">
            <w:pPr>
              <w:pStyle w:val="P68B1DB1-TableParagraph14"/>
              <w:spacing w:before="108"/>
              <w:jc w:val="both"/>
              <w:rPr>
                <w:bCs/>
              </w:rPr>
            </w:pPr>
            <w:r>
              <w:t>Żmien — Żmien mistenni għas-sostituzzjoni</w:t>
            </w:r>
          </w:p>
          <w:p w14:paraId="7FE1BB40" w14:textId="77777777" w:rsidR="00534D9A" w:rsidRDefault="003243B2">
            <w:pPr>
              <w:pStyle w:val="P68B1DB1-TableParagraph13"/>
              <w:spacing w:before="108"/>
            </w:pPr>
            <w:r>
              <w:t>Stima taż-żmien meħtieġ għall-funzjoni ekonomika pprovduta mir-rapportar</w:t>
            </w:r>
          </w:p>
          <w:p w14:paraId="7FE1BB41" w14:textId="77777777" w:rsidR="00534D9A" w:rsidRDefault="003243B2">
            <w:pPr>
              <w:pStyle w:val="P68B1DB1-TableParagraph13"/>
              <w:spacing w:before="108"/>
            </w:pPr>
            <w:r>
              <w:t xml:space="preserve">entità li għandha tiġi assorbita mis-suq f’sitwazzjoni ta’ kriżi. Dan jinkludi: </w:t>
            </w:r>
          </w:p>
          <w:p w14:paraId="7FE1BB42" w14:textId="77777777" w:rsidR="00534D9A" w:rsidRDefault="003243B2">
            <w:pPr>
              <w:pStyle w:val="P68B1DB1-ListParagraph38"/>
              <w:numPr>
                <w:ilvl w:val="0"/>
                <w:numId w:val="274"/>
              </w:numPr>
              <w:jc w:val="both"/>
            </w:pPr>
            <w:r>
              <w:t xml:space="preserve">iż-żmien mistenni meħtieġ minn kompetitur wieħed jew aktar biex iwettqu l-passi legali u tekniċi biex jieħdu f’idejhom il-funzjoni; kif ukoll  </w:t>
            </w:r>
          </w:p>
          <w:p w14:paraId="7FE1BB43" w14:textId="77777777" w:rsidR="00534D9A" w:rsidRDefault="003243B2">
            <w:pPr>
              <w:pStyle w:val="P68B1DB1-ListParagraph38"/>
              <w:numPr>
                <w:ilvl w:val="0"/>
                <w:numId w:val="274"/>
              </w:numPr>
              <w:jc w:val="both"/>
            </w:pPr>
            <w:r>
              <w:t xml:space="preserve">il-ħin meħtieġ mill-utenti tas-servizz biex imorru għand fornitur ta’ servizz ieħor. </w:t>
            </w:r>
          </w:p>
          <w:p w14:paraId="7FE1BB44" w14:textId="77777777" w:rsidR="00534D9A" w:rsidRDefault="00534D9A">
            <w:pPr>
              <w:pStyle w:val="TableParagraph"/>
              <w:spacing w:before="108"/>
              <w:rPr>
                <w:rFonts w:ascii="Times New Roman" w:hAnsi="Times New Roman" w:cs="Times New Roman"/>
                <w:color w:val="000000" w:themeColor="text1"/>
                <w:sz w:val="20"/>
                <w:szCs w:val="20"/>
              </w:rPr>
            </w:pPr>
          </w:p>
          <w:p w14:paraId="7FE1BB45" w14:textId="77777777" w:rsidR="00534D9A" w:rsidRDefault="003243B2">
            <w:pPr>
              <w:pStyle w:val="P68B1DB1-TableParagraph13"/>
              <w:spacing w:before="108"/>
            </w:pPr>
            <w:r>
              <w:t xml:space="preserve">Għas-self, pereżempju, dan ma jirreferix għal run-off tal-portafoll pendenti jew it-trasferiment ta’ dak il-portafoll lil xerrej prospettiv, iżda pjuttost għall-kapaċità ta’ korporazzjonijiet domestiċi u gvernijiet li jiksbu self simili minn fornituri oħra. </w:t>
            </w:r>
          </w:p>
          <w:p w14:paraId="7FE1BB46" w14:textId="77777777" w:rsidR="00534D9A" w:rsidRDefault="00534D9A">
            <w:pPr>
              <w:pStyle w:val="TableParagraph"/>
              <w:spacing w:before="108"/>
              <w:rPr>
                <w:rFonts w:ascii="Times New Roman" w:hAnsi="Times New Roman" w:cs="Times New Roman"/>
                <w:color w:val="000000" w:themeColor="text1"/>
                <w:sz w:val="20"/>
                <w:szCs w:val="20"/>
              </w:rPr>
            </w:pPr>
          </w:p>
          <w:p w14:paraId="7FE1BB47" w14:textId="77777777" w:rsidR="00534D9A" w:rsidRDefault="003243B2">
            <w:pPr>
              <w:pStyle w:val="P68B1DB1-TableParagraph13"/>
              <w:spacing w:before="108"/>
            </w:pPr>
            <w:r>
              <w:t>Bħala indikatur għal tal-ewwel, ipprovdi stima taż-żmien li l-entità relatriċi tieħu biex tassorbi fin-negozju tagħha stess (parti minn) is-servizz ipprovdut minn istituzzjoni oħra, b’kost raġonevoli, f’sitwazzjoni ta’ kriżi. Irrapporta ż-żmien stmat għas-sostituzzjoni fil-buckets ipprovduti fil-mudell:</w:t>
            </w:r>
          </w:p>
          <w:p w14:paraId="7FE1BB48" w14:textId="77777777" w:rsidR="00534D9A" w:rsidRDefault="00534D9A">
            <w:pPr>
              <w:pStyle w:val="TableParagraph"/>
              <w:spacing w:before="108"/>
              <w:rPr>
                <w:rFonts w:ascii="Times New Roman" w:hAnsi="Times New Roman" w:cs="Times New Roman"/>
                <w:color w:val="000000" w:themeColor="text1"/>
                <w:sz w:val="20"/>
                <w:szCs w:val="20"/>
              </w:rPr>
            </w:pPr>
          </w:p>
        </w:tc>
      </w:tr>
      <w:tr w:rsidR="00534D9A" w14:paraId="7FE1BB4C" w14:textId="77777777">
        <w:tc>
          <w:tcPr>
            <w:tcW w:w="1080" w:type="dxa"/>
            <w:tcBorders>
              <w:top w:val="single" w:sz="4" w:space="0" w:color="1A171C"/>
              <w:left w:val="nil"/>
              <w:bottom w:val="single" w:sz="4" w:space="0" w:color="1A171C"/>
              <w:right w:val="single" w:sz="4" w:space="0" w:color="1A171C"/>
            </w:tcBorders>
            <w:vAlign w:val="center"/>
          </w:tcPr>
          <w:p w14:paraId="7FE1BB4A" w14:textId="623B502D" w:rsidR="00534D9A" w:rsidRDefault="003243B2">
            <w:pPr>
              <w:pStyle w:val="P68B1DB1-TableParagraph17"/>
              <w:spacing w:before="108"/>
              <w:jc w:val="both"/>
            </w:pPr>
            <w:r>
              <w:lastRenderedPageBreak/>
              <w:t>0140–0150</w:t>
            </w:r>
          </w:p>
        </w:tc>
        <w:tc>
          <w:tcPr>
            <w:tcW w:w="8003" w:type="dxa"/>
            <w:tcBorders>
              <w:top w:val="single" w:sz="4" w:space="0" w:color="1A171C"/>
              <w:left w:val="single" w:sz="4" w:space="0" w:color="1A171C"/>
              <w:bottom w:val="single" w:sz="4" w:space="0" w:color="1A171C"/>
              <w:right w:val="nil"/>
            </w:tcBorders>
            <w:vAlign w:val="center"/>
          </w:tcPr>
          <w:p w14:paraId="7FE1BB4B" w14:textId="77777777" w:rsidR="00534D9A" w:rsidRDefault="003243B2">
            <w:pPr>
              <w:pStyle w:val="P68B1DB1-TableParagraph14"/>
              <w:spacing w:before="108"/>
              <w:jc w:val="both"/>
              <w:rPr>
                <w:bCs/>
              </w:rPr>
            </w:pPr>
            <w:r>
              <w:t>Kapaċità ta’ sostituzzjoni</w:t>
            </w:r>
          </w:p>
        </w:tc>
      </w:tr>
      <w:tr w:rsidR="00534D9A" w14:paraId="7FE1BB56" w14:textId="77777777">
        <w:tc>
          <w:tcPr>
            <w:tcW w:w="1080" w:type="dxa"/>
            <w:tcBorders>
              <w:top w:val="single" w:sz="4" w:space="0" w:color="1A171C"/>
              <w:left w:val="nil"/>
              <w:bottom w:val="single" w:sz="4" w:space="0" w:color="1A171C"/>
              <w:right w:val="single" w:sz="4" w:space="0" w:color="1A171C"/>
            </w:tcBorders>
            <w:vAlign w:val="center"/>
          </w:tcPr>
          <w:p w14:paraId="7FE1BB4D" w14:textId="187FC1D1" w:rsidR="00534D9A" w:rsidRDefault="003243B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4E" w14:textId="77777777" w:rsidR="00534D9A" w:rsidRDefault="003243B2">
            <w:pPr>
              <w:pStyle w:val="P68B1DB1-TableParagraph14"/>
              <w:spacing w:before="108"/>
              <w:rPr>
                <w:bCs/>
              </w:rPr>
            </w:pPr>
            <w:r>
              <w:t>Ostakli legali għad-dħul jew l-espansjoni</w:t>
            </w:r>
          </w:p>
          <w:p w14:paraId="7FE1BB4F" w14:textId="77777777" w:rsidR="00534D9A" w:rsidRDefault="00534D9A">
            <w:pPr>
              <w:pStyle w:val="TableParagraph"/>
              <w:spacing w:before="108"/>
              <w:rPr>
                <w:rFonts w:ascii="Times New Roman" w:hAnsi="Times New Roman" w:cs="Times New Roman"/>
                <w:color w:val="000000" w:themeColor="text1"/>
                <w:sz w:val="20"/>
                <w:szCs w:val="20"/>
              </w:rPr>
            </w:pPr>
          </w:p>
          <w:p w14:paraId="7FE1BB50" w14:textId="77777777" w:rsidR="00534D9A" w:rsidRDefault="003243B2">
            <w:pPr>
              <w:pStyle w:val="P68B1DB1-TableParagraph13"/>
              <w:spacing w:before="108"/>
            </w:pPr>
            <w:r>
              <w:t xml:space="preserve">Ostakli legali għall-kompetituri biex joffru s-servizz. Ir-rekwiżiti legali għat-twettiq tan-negozju tal-istituzzjonijiet ta’ kreditu (eż. liċenzji bankarji jew rekwiżiti kapitali) ma għandhomx jitqiesu bħala ostakli insuperabbli fil-preżenza ta’ fornituri alternattivi. Dan l-indikatur irid jiġi rrapportat f’buckets, li huma l-istess għal kull subfunzjoni: </w:t>
            </w:r>
          </w:p>
          <w:p w14:paraId="7FE1BB51" w14:textId="068F91A0" w:rsidR="00534D9A" w:rsidRDefault="003243B2">
            <w:pPr>
              <w:pStyle w:val="P68B1DB1-ListParagraph39"/>
              <w:numPr>
                <w:ilvl w:val="0"/>
                <w:numId w:val="275"/>
              </w:numPr>
              <w:jc w:val="both"/>
            </w:pPr>
            <w:r>
              <w:t xml:space="preserve">l-ebda ostaklu kbir, </w:t>
            </w:r>
          </w:p>
          <w:p w14:paraId="7FE1BB52" w14:textId="6D8354EB" w:rsidR="00534D9A" w:rsidRDefault="003243B2">
            <w:pPr>
              <w:pStyle w:val="P68B1DB1-ListParagraph39"/>
              <w:numPr>
                <w:ilvl w:val="0"/>
                <w:numId w:val="275"/>
              </w:numPr>
              <w:jc w:val="both"/>
            </w:pPr>
            <w:r>
              <w:t xml:space="preserve">xi ostakli, </w:t>
            </w:r>
          </w:p>
          <w:p w14:paraId="7FE1BB53" w14:textId="1BC21AC5" w:rsidR="00534D9A" w:rsidRDefault="003243B2">
            <w:pPr>
              <w:pStyle w:val="P68B1DB1-ListParagraph39"/>
              <w:numPr>
                <w:ilvl w:val="0"/>
                <w:numId w:val="275"/>
              </w:numPr>
              <w:jc w:val="both"/>
            </w:pPr>
            <w:r>
              <w:t xml:space="preserve">barrieri sostanzjali (iżda li jistgħu jingħelbu), </w:t>
            </w:r>
          </w:p>
          <w:p w14:paraId="7FE1BB55" w14:textId="539429F5" w:rsidR="00534D9A" w:rsidRDefault="003243B2">
            <w:pPr>
              <w:pStyle w:val="P68B1DB1-ListParagraph8"/>
              <w:numPr>
                <w:ilvl w:val="0"/>
                <w:numId w:val="275"/>
              </w:numPr>
              <w:jc w:val="both"/>
            </w:pPr>
            <w:r>
              <w:t>ostakli kritiċi (diffiċli biex jingħelbu).</w:t>
            </w:r>
          </w:p>
        </w:tc>
      </w:tr>
      <w:tr w:rsidR="00534D9A" w14:paraId="7FE1BB65" w14:textId="77777777">
        <w:tc>
          <w:tcPr>
            <w:tcW w:w="1080" w:type="dxa"/>
            <w:tcBorders>
              <w:top w:val="single" w:sz="4" w:space="0" w:color="1A171C"/>
              <w:left w:val="nil"/>
              <w:bottom w:val="single" w:sz="4" w:space="0" w:color="1A171C"/>
              <w:right w:val="single" w:sz="4" w:space="0" w:color="1A171C"/>
            </w:tcBorders>
            <w:vAlign w:val="center"/>
          </w:tcPr>
          <w:p w14:paraId="7FE1BB57" w14:textId="761A85F3" w:rsidR="00534D9A" w:rsidRDefault="003243B2">
            <w:pPr>
              <w:pStyle w:val="P68B1DB1-TableParagraph17"/>
              <w:spacing w:before="108"/>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B58" w14:textId="77777777" w:rsidR="00534D9A" w:rsidRDefault="003243B2">
            <w:pPr>
              <w:pStyle w:val="P68B1DB1-TableParagraph14"/>
              <w:spacing w:before="108"/>
              <w:rPr>
                <w:bCs/>
              </w:rPr>
            </w:pPr>
            <w:r>
              <w:t>Rekwiżiti operazzjonali għad-dħul jew l-espansjoni</w:t>
            </w:r>
          </w:p>
          <w:p w14:paraId="7FE1BB59" w14:textId="77777777" w:rsidR="00534D9A" w:rsidRDefault="00534D9A">
            <w:pPr>
              <w:pStyle w:val="TableParagraph"/>
              <w:spacing w:before="108"/>
              <w:rPr>
                <w:rFonts w:ascii="Times New Roman" w:hAnsi="Times New Roman" w:cs="Times New Roman"/>
                <w:color w:val="000000" w:themeColor="text1"/>
                <w:sz w:val="20"/>
                <w:szCs w:val="20"/>
              </w:rPr>
            </w:pPr>
          </w:p>
          <w:p w14:paraId="7FE1BB5A" w14:textId="7291B555" w:rsidR="00534D9A" w:rsidRDefault="003243B2">
            <w:pPr>
              <w:pStyle w:val="P68B1DB1-TableParagraph13"/>
              <w:spacing w:before="108"/>
            </w:pPr>
            <w:r>
              <w:t xml:space="preserve">Rekwiżiti organizzattivi, tekniċi u infrastrutturali għall-kompetituri biex joffru s-servizz. L-offerta tas-servizzi relatati mas- (sub) funzjoni tirrikjedi li l-fornituri jinvestu f’infrastruttura (ġdida jew addizzjonali) — jew jimmodifikaw l-organizzazzjonijiet tagħhom. Ivvaluta l-kapaċità tas-suq li jassorbi n-negozju partikolari. </w:t>
            </w:r>
          </w:p>
          <w:p w14:paraId="7FE1BB5B" w14:textId="77777777" w:rsidR="00534D9A" w:rsidRDefault="003243B2">
            <w:pPr>
              <w:pStyle w:val="P68B1DB1-TableParagraph13"/>
              <w:spacing w:before="108"/>
            </w:pPr>
            <w:r>
              <w:t xml:space="preserve">Dan l-indikatur irid jiġi rrapportat f’buckets, li huma l-istess għal kull subfunzjoni: </w:t>
            </w:r>
          </w:p>
          <w:p w14:paraId="7FE1BB5C" w14:textId="7C8E68F5" w:rsidR="00534D9A" w:rsidRDefault="003243B2">
            <w:pPr>
              <w:pStyle w:val="P68B1DB1-ListParagraph39"/>
              <w:numPr>
                <w:ilvl w:val="0"/>
                <w:numId w:val="278"/>
              </w:numPr>
              <w:jc w:val="both"/>
            </w:pPr>
            <w:r>
              <w:t xml:space="preserve">l-ebda rekwiżit maġġuri, </w:t>
            </w:r>
          </w:p>
          <w:p w14:paraId="7FE1BB5D" w14:textId="227F4B1C" w:rsidR="00534D9A" w:rsidRDefault="003243B2">
            <w:pPr>
              <w:pStyle w:val="P68B1DB1-ListParagraph39"/>
              <w:numPr>
                <w:ilvl w:val="0"/>
                <w:numId w:val="278"/>
              </w:numPr>
              <w:jc w:val="both"/>
            </w:pPr>
            <w:r>
              <w:t xml:space="preserve">xi rekwiżiti, </w:t>
            </w:r>
          </w:p>
          <w:p w14:paraId="7FE1BB5E" w14:textId="11C740DB" w:rsidR="00534D9A" w:rsidRDefault="003243B2">
            <w:pPr>
              <w:pStyle w:val="P68B1DB1-ListParagraph39"/>
              <w:numPr>
                <w:ilvl w:val="0"/>
                <w:numId w:val="278"/>
              </w:numPr>
              <w:jc w:val="both"/>
            </w:pPr>
            <w:r>
              <w:t xml:space="preserve">rekwiżiti sostanzjali (iżda li jistgħu jingħelbu), </w:t>
            </w:r>
          </w:p>
          <w:p w14:paraId="7FE1BB5F" w14:textId="701458A3" w:rsidR="00534D9A" w:rsidRDefault="003243B2">
            <w:pPr>
              <w:pStyle w:val="P68B1DB1-ListParagraph39"/>
              <w:numPr>
                <w:ilvl w:val="0"/>
                <w:numId w:val="278"/>
              </w:numPr>
              <w:jc w:val="both"/>
            </w:pPr>
            <w:r>
              <w:t>rekwiżiti kritiċi (diffiċli biex jinqabżu).</w:t>
            </w:r>
          </w:p>
          <w:p w14:paraId="7FE1BB64" w14:textId="7064EEB7" w:rsidR="00534D9A" w:rsidRDefault="003243B2">
            <w:pPr>
              <w:pStyle w:val="P68B1DB1-TableParagraph40"/>
              <w:spacing w:before="108"/>
              <w:ind w:left="720"/>
              <w:jc w:val="both"/>
              <w:rPr>
                <w:color w:val="000000" w:themeColor="text1"/>
              </w:rPr>
            </w:pPr>
            <w:r>
              <w:t xml:space="preserve"> </w:t>
            </w:r>
          </w:p>
        </w:tc>
      </w:tr>
      <w:tr w:rsidR="00534D9A" w14:paraId="7FE1BB68" w14:textId="77777777">
        <w:tc>
          <w:tcPr>
            <w:tcW w:w="1080" w:type="dxa"/>
            <w:tcBorders>
              <w:top w:val="single" w:sz="4" w:space="0" w:color="1A171C"/>
              <w:left w:val="nil"/>
              <w:bottom w:val="single" w:sz="4" w:space="0" w:color="1A171C"/>
              <w:right w:val="single" w:sz="4" w:space="0" w:color="1A171C"/>
            </w:tcBorders>
            <w:vAlign w:val="center"/>
          </w:tcPr>
          <w:p w14:paraId="7FE1BB66" w14:textId="4C88941E" w:rsidR="00534D9A" w:rsidRDefault="003243B2">
            <w:pPr>
              <w:pStyle w:val="P68B1DB1-TableParagraph17"/>
              <w:spacing w:before="108"/>
              <w:jc w:val="both"/>
            </w:pPr>
            <w:r>
              <w:t>0160–0180</w:t>
            </w:r>
          </w:p>
        </w:tc>
        <w:tc>
          <w:tcPr>
            <w:tcW w:w="8003" w:type="dxa"/>
            <w:tcBorders>
              <w:top w:val="single" w:sz="4" w:space="0" w:color="1A171C"/>
              <w:left w:val="single" w:sz="4" w:space="0" w:color="1A171C"/>
              <w:bottom w:val="single" w:sz="4" w:space="0" w:color="1A171C"/>
              <w:right w:val="nil"/>
            </w:tcBorders>
            <w:vAlign w:val="center"/>
          </w:tcPr>
          <w:p w14:paraId="7FE1BB67" w14:textId="77777777" w:rsidR="00534D9A" w:rsidRDefault="003243B2">
            <w:pPr>
              <w:pStyle w:val="P68B1DB1-TableParagraph14"/>
              <w:spacing w:before="108"/>
              <w:rPr>
                <w:bCs/>
              </w:rPr>
            </w:pPr>
            <w:r>
              <w:t>Valutazzjoni tal-Kritiċità</w:t>
            </w:r>
          </w:p>
        </w:tc>
      </w:tr>
      <w:tr w:rsidR="00534D9A" w14:paraId="7FE1BB6E" w14:textId="77777777">
        <w:tc>
          <w:tcPr>
            <w:tcW w:w="1080" w:type="dxa"/>
            <w:tcBorders>
              <w:top w:val="single" w:sz="4" w:space="0" w:color="1A171C"/>
              <w:left w:val="nil"/>
              <w:bottom w:val="single" w:sz="4" w:space="0" w:color="1A171C"/>
              <w:right w:val="single" w:sz="4" w:space="0" w:color="1A171C"/>
            </w:tcBorders>
            <w:vAlign w:val="center"/>
          </w:tcPr>
          <w:p w14:paraId="7FE1BB69" w14:textId="2EA729ED" w:rsidR="00534D9A" w:rsidRDefault="003243B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6A" w14:textId="77777777" w:rsidR="00534D9A" w:rsidRDefault="003243B2">
            <w:pPr>
              <w:pStyle w:val="P68B1DB1-TableParagraph14"/>
              <w:spacing w:before="108"/>
              <w:rPr>
                <w:bCs/>
              </w:rPr>
            </w:pPr>
            <w:r>
              <w:t xml:space="preserve">L-impatt fuq is-suq </w:t>
            </w:r>
          </w:p>
          <w:p w14:paraId="7FE1BB6B" w14:textId="77777777" w:rsidR="00534D9A" w:rsidRDefault="003243B2">
            <w:pPr>
              <w:pStyle w:val="P68B1DB1-TableParagraph13"/>
              <w:spacing w:before="108"/>
            </w:pPr>
            <w:r>
              <w:t>L-impatt stmat ta’ waqfien f’daqqa tal-funzjoni fuq partijiet terzi, swieq finanzjarji u l-ekonomija reali, filwaqt li jitqiesu d-daqs, is-sehem mis-suq fil-pajjiż, l-interkonnettività esterna u interna, il-kumplessità, u l-attivitajiet transfruntiera tal-istituzzjoni.</w:t>
            </w:r>
          </w:p>
          <w:p w14:paraId="7FE1BB6C" w14:textId="3006E0F1" w:rsidR="00534D9A" w:rsidRDefault="003243B2">
            <w:pPr>
              <w:pStyle w:val="P68B1DB1-TableParagraph13"/>
              <w:spacing w:before="108"/>
            </w:pPr>
            <w:r>
              <w:t>Din il-valutazzjoni għandha tiġi espressa b’mod kwalitattiv bħala “Għoli”, “Medja għolja”, “Medja baxxa” jew “Baxxa”.</w:t>
            </w:r>
          </w:p>
          <w:p w14:paraId="7FE1BB6D" w14:textId="091B1AD9" w:rsidR="00534D9A" w:rsidRDefault="003243B2">
            <w:pPr>
              <w:pStyle w:val="P68B1DB1-TableParagraph13"/>
              <w:spacing w:before="108"/>
            </w:pPr>
            <w:r>
              <w:t>“High” għandha tintgħażel jekk il-waqfien għal għarrieda jkollu impatt kbir fuq is-suq nazzjonali; “Medju-għoli” jekk l-impatt ikun sinifikanti; “Medju-baxx” jekk l-impatt ikun materjali, iżda limitat; u “B” jekk l-impatt ikun baxx.</w:t>
            </w:r>
          </w:p>
        </w:tc>
      </w:tr>
      <w:tr w:rsidR="00534D9A" w14:paraId="7FE1BB7B" w14:textId="77777777">
        <w:tc>
          <w:tcPr>
            <w:tcW w:w="1080" w:type="dxa"/>
            <w:tcBorders>
              <w:top w:val="single" w:sz="4" w:space="0" w:color="1A171C"/>
              <w:left w:val="nil"/>
              <w:bottom w:val="single" w:sz="4" w:space="0" w:color="1A171C"/>
              <w:right w:val="single" w:sz="4" w:space="0" w:color="1A171C"/>
            </w:tcBorders>
            <w:vAlign w:val="center"/>
          </w:tcPr>
          <w:p w14:paraId="7FE1BB6F" w14:textId="12F05B84" w:rsidR="00534D9A" w:rsidRDefault="003243B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B70" w14:textId="77777777" w:rsidR="00534D9A" w:rsidRDefault="003243B2">
            <w:pPr>
              <w:pStyle w:val="P68B1DB1-TableParagraph14"/>
              <w:spacing w:before="108"/>
              <w:rPr>
                <w:bCs/>
              </w:rPr>
            </w:pPr>
            <w:r>
              <w:t>Is-sostitwibbiltà</w:t>
            </w:r>
          </w:p>
          <w:p w14:paraId="7FE1BB71" w14:textId="77777777" w:rsidR="00534D9A" w:rsidRDefault="003243B2">
            <w:pPr>
              <w:pStyle w:val="P68B1DB1-TableParagraph13"/>
              <w:spacing w:before="108"/>
            </w:pPr>
            <w:r>
              <w:t>L-Artikolu 6(3) tar-Regolament Delegat (UE) 2016/778.</w:t>
            </w:r>
          </w:p>
          <w:p w14:paraId="7FE1BB72" w14:textId="77777777" w:rsidR="00534D9A" w:rsidRDefault="003243B2">
            <w:pPr>
              <w:pStyle w:val="P68B1DB1-TableParagraph13"/>
              <w:spacing w:before="108"/>
            </w:pPr>
            <w:r>
              <w:t>Funzjoni titqies bħala sostitwibbli fejn din tista’ tiġi ssostitwita b’mod aċċettabbli u fi żmien raġonevoli u b’hekk jiġu evitati problemi sistemiċi għall-ekonomija reali u għas-swieq finanzjarji. Għandhom jitqiesu l-punti li ġejjin:</w:t>
            </w:r>
          </w:p>
          <w:p w14:paraId="7FE1BB73" w14:textId="77777777" w:rsidR="00534D9A" w:rsidRDefault="003243B2">
            <w:pPr>
              <w:pStyle w:val="P68B1DB1-TableParagraph13"/>
              <w:spacing w:before="108"/>
            </w:pPr>
            <w:r>
              <w:lastRenderedPageBreak/>
              <w:t xml:space="preserve">(a) l-istruttura tas-suq għal dik il-funzjoni u d-disponibbiltà ta’ fornituri alternattivi; </w:t>
            </w:r>
          </w:p>
          <w:p w14:paraId="7FE1BB74" w14:textId="77777777" w:rsidR="00534D9A" w:rsidRDefault="003243B2">
            <w:pPr>
              <w:pStyle w:val="P68B1DB1-TableParagraph13"/>
              <w:spacing w:before="108"/>
            </w:pPr>
            <w:r>
              <w:t xml:space="preserve">(b) l-abbiltà ta’ fornituri oħra f’termini ta’ kapaċità, ir-rekwiżiti biex iwettqu l-funzjoni, u ostakli potenzjali għad-dħul jew l-espansjoni; </w:t>
            </w:r>
          </w:p>
          <w:p w14:paraId="7FE1BB75" w14:textId="77777777" w:rsidR="00534D9A" w:rsidRDefault="003243B2">
            <w:pPr>
              <w:pStyle w:val="P68B1DB1-TableParagraph13"/>
              <w:spacing w:before="108"/>
            </w:pPr>
            <w:r>
              <w:t xml:space="preserve">(c) l-inċentiv ta’ fornituri oħra biex iwettqu dawn l-attivitajiet; </w:t>
            </w:r>
          </w:p>
          <w:p w14:paraId="7FE1BB76" w14:textId="77777777" w:rsidR="00534D9A" w:rsidRDefault="003243B2">
            <w:pPr>
              <w:pStyle w:val="P68B1DB1-TableParagraph13"/>
              <w:spacing w:before="108"/>
            </w:pPr>
            <w:r>
              <w:t>(d) iż-żmien meħtieġ mill-utenti tas-servizz biex jittrażlokaw għall-fornitur il-ġdid ta’ servizzi u l-ispejjeż taċ-ċaqliq, iż-żmien meħtieġ għal kompetituri oħra biex jieħdu f’idejhom il-funzjonijiet u jekk dak iż-żmien huwiex biżżejjed biex jiġi evitat tfixkil sinifikanti skont it-tip ta’ servizz.</w:t>
            </w:r>
          </w:p>
          <w:p w14:paraId="7FE1BB77" w14:textId="34C328B6" w:rsidR="00534D9A" w:rsidRDefault="003243B2">
            <w:pPr>
              <w:pStyle w:val="P68B1DB1-TableParagraph13"/>
              <w:spacing w:before="108"/>
            </w:pPr>
            <w:r>
              <w:t xml:space="preserve">Ipprovdi valutazzjoni ġenerali tal-grad mistenni ta’ sostitwibbiltà għal kull funzjoni, filwaqt li tqis id-dimensjonijiet differenti vvalutati qabel (is-sehem mis-suq, il-konċentrazzjoni tas-suq, iż-żmien għas-sostituzzjoni, l-ostakli legali, u r-rekwiżiti operazzjonali għad-dħul jew l-espansjoni). Din il-valutazzjoni għandha tiġi espressa b’mod kwalitattiv bħala “Għoli”, “Medja għolja”, “Medja baxxa” jew “Baxxa”. </w:t>
            </w:r>
          </w:p>
          <w:p w14:paraId="7FE1BB78" w14:textId="70240340" w:rsidR="00534D9A" w:rsidRDefault="003243B2">
            <w:pPr>
              <w:pStyle w:val="P68B1DB1-TableParagraph13"/>
              <w:spacing w:before="108"/>
            </w:pPr>
            <w:r>
              <w:t>“High” għandha tintgħażel jekk funzjoni tkun tista’ faċilment tiġi pprovduta minn bank ieħor taħt kundizzjonijiet paragunabbli fi żmien raġonevoli;</w:t>
            </w:r>
          </w:p>
          <w:p w14:paraId="7FE1BB79" w14:textId="3DFD8C4F" w:rsidR="00534D9A" w:rsidRDefault="003243B2">
            <w:pPr>
              <w:pStyle w:val="P68B1DB1-TableParagraph13"/>
              <w:spacing w:before="108"/>
            </w:pPr>
            <w:r>
              <w:t xml:space="preserve">“Low” jekk funzjoni ma tkunx tista’ tiġi sostitwita faċilment jew f’qasir żmien; </w:t>
            </w:r>
          </w:p>
          <w:p w14:paraId="7FE1BB7A" w14:textId="4DB7815A" w:rsidR="00534D9A" w:rsidRDefault="003243B2">
            <w:pPr>
              <w:pStyle w:val="P68B1DB1-TableParagraph13"/>
              <w:spacing w:before="108"/>
            </w:pPr>
            <w:r>
              <w:t>“MH” u “ML” għal każijiet intermedji li jqisu dimensjonijiet differenti (pereż. is-sehem mis-suq, il-konċentrazzjoni tas-suq, il-ħin għas-sostituzzjoni, kif ukoll l-ostakoli ġuridiċi u r-rekwiżiti operazzjonali għad-dħul jew għall-espansjoni)</w:t>
            </w:r>
          </w:p>
        </w:tc>
      </w:tr>
      <w:tr w:rsidR="00534D9A" w14:paraId="7FE1BB80" w14:textId="77777777">
        <w:tc>
          <w:tcPr>
            <w:tcW w:w="1080" w:type="dxa"/>
            <w:tcBorders>
              <w:top w:val="single" w:sz="4" w:space="0" w:color="1A171C"/>
              <w:left w:val="nil"/>
              <w:bottom w:val="single" w:sz="4" w:space="0" w:color="1A171C"/>
              <w:right w:val="single" w:sz="4" w:space="0" w:color="1A171C"/>
            </w:tcBorders>
            <w:vAlign w:val="center"/>
          </w:tcPr>
          <w:p w14:paraId="7FE1BB7C" w14:textId="42FC8366" w:rsidR="00534D9A" w:rsidRDefault="003243B2">
            <w:pPr>
              <w:pStyle w:val="P68B1DB1-TableParagraph17"/>
              <w:spacing w:before="108"/>
              <w:jc w:val="both"/>
            </w:pPr>
            <w:r>
              <w:lastRenderedPageBreak/>
              <w:t>0180</w:t>
            </w:r>
          </w:p>
        </w:tc>
        <w:tc>
          <w:tcPr>
            <w:tcW w:w="8003" w:type="dxa"/>
            <w:tcBorders>
              <w:top w:val="single" w:sz="4" w:space="0" w:color="1A171C"/>
              <w:left w:val="single" w:sz="4" w:space="0" w:color="1A171C"/>
              <w:bottom w:val="single" w:sz="4" w:space="0" w:color="1A171C"/>
              <w:right w:val="nil"/>
            </w:tcBorders>
            <w:vAlign w:val="center"/>
          </w:tcPr>
          <w:p w14:paraId="7FE1BB7D" w14:textId="77777777" w:rsidR="00534D9A" w:rsidRDefault="003243B2">
            <w:pPr>
              <w:pStyle w:val="P68B1DB1-TableParagraph14"/>
              <w:spacing w:before="108"/>
              <w:rPr>
                <w:bCs/>
              </w:rPr>
            </w:pPr>
            <w:r>
              <w:t>Il-Funzjoni Kritika</w:t>
            </w:r>
          </w:p>
          <w:p w14:paraId="7FE1BB7E" w14:textId="77777777" w:rsidR="00534D9A" w:rsidRDefault="003243B2">
            <w:pPr>
              <w:pStyle w:val="P68B1DB1-TableParagraph13"/>
              <w:spacing w:before="108"/>
            </w:pPr>
            <w:r>
              <w:t>F’din il-kolonna għandu jiġi rrapportat jekk, meta titqies l-analiżi tal-impatt u tas-sostitwibbiltà mwettqa mill-istituzzjoni, il-funzjoni ekonomika titqiesx bħala kritika fis-suq għall-pajjiż rilevanti.</w:t>
            </w:r>
          </w:p>
          <w:p w14:paraId="7FE1BB7F" w14:textId="77777777" w:rsidR="00534D9A" w:rsidRDefault="003243B2">
            <w:pPr>
              <w:pStyle w:val="P68B1DB1-TableParagraph13"/>
              <w:spacing w:before="108"/>
            </w:pPr>
            <w:r>
              <w:t>Irrapporta “Iva” jew “Le”</w:t>
            </w:r>
          </w:p>
        </w:tc>
      </w:tr>
      <w:tr w:rsidR="00534D9A" w14:paraId="7FE1BB84" w14:textId="77777777">
        <w:tc>
          <w:tcPr>
            <w:tcW w:w="1080" w:type="dxa"/>
            <w:tcBorders>
              <w:top w:val="single" w:sz="4" w:space="0" w:color="1A171C"/>
              <w:left w:val="nil"/>
              <w:bottom w:val="single" w:sz="4" w:space="0" w:color="1A171C"/>
              <w:right w:val="single" w:sz="4" w:space="0" w:color="1A171C"/>
            </w:tcBorders>
            <w:vAlign w:val="center"/>
          </w:tcPr>
          <w:p w14:paraId="7FE1BB81" w14:textId="6C49AB94" w:rsidR="00534D9A" w:rsidRDefault="003243B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B82" w14:textId="77777777" w:rsidR="00534D9A" w:rsidRDefault="003243B2">
            <w:pPr>
              <w:pStyle w:val="P68B1DB1-TableParagraph14"/>
              <w:spacing w:before="108"/>
              <w:rPr>
                <w:bCs/>
              </w:rPr>
            </w:pPr>
            <w:r>
              <w:t>Kummenti mill-Grupp</w:t>
            </w:r>
          </w:p>
          <w:p w14:paraId="7FE1BB83" w14:textId="77777777" w:rsidR="00534D9A" w:rsidRDefault="003243B2">
            <w:pPr>
              <w:pStyle w:val="P68B1DB1-TableParagraph13"/>
              <w:spacing w:before="108"/>
            </w:pPr>
            <w:r>
              <w:t>Din il-kaxxa tippermetti lill-entità relatriċi tispjega kwalunkwe suppożizzjoni użata fil-valutazzjoni tal-kritikalità tal-funzjoni (jiet) irrapportata/i.</w:t>
            </w:r>
          </w:p>
        </w:tc>
      </w:tr>
    </w:tbl>
    <w:p w14:paraId="7FE1BB85" w14:textId="77777777" w:rsidR="00534D9A" w:rsidRDefault="00534D9A">
      <w:pPr>
        <w:rPr>
          <w:rFonts w:ascii="Times New Roman" w:hAnsi="Times New Roman" w:cs="Times New Roman"/>
          <w:color w:val="000000" w:themeColor="text1"/>
          <w:sz w:val="20"/>
          <w:szCs w:val="20"/>
        </w:rPr>
      </w:pPr>
    </w:p>
    <w:p w14:paraId="7FE1BB86" w14:textId="61485090" w:rsidR="00534D9A" w:rsidRDefault="003243B2">
      <w:pPr>
        <w:pStyle w:val="P68B1DB1-Instructionsberschrift25"/>
        <w:numPr>
          <w:ilvl w:val="1"/>
          <w:numId w:val="49"/>
        </w:numPr>
        <w:ind w:left="357" w:hanging="357"/>
      </w:pPr>
      <w:bookmarkStart w:id="117" w:name="_Toc208245006"/>
      <w:r>
        <w:t>Z 07.01.3 FUNC 1 PAGA</w:t>
      </w:r>
      <w:bookmarkEnd w:id="117"/>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34D9A" w14:paraId="7FE1BB91"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B8F" w14:textId="77777777" w:rsidR="00534D9A" w:rsidRDefault="003243B2">
            <w:pPr>
              <w:pStyle w:val="P68B1DB1-TableParagraph17"/>
              <w:spacing w:before="108"/>
              <w:ind w:left="85"/>
              <w:jc w:val="both"/>
            </w:pPr>
            <w:r>
              <w:t>Kolonni</w:t>
            </w:r>
          </w:p>
        </w:tc>
        <w:tc>
          <w:tcPr>
            <w:tcW w:w="8003" w:type="dxa"/>
            <w:tcBorders>
              <w:top w:val="single" w:sz="4" w:space="0" w:color="1A171C"/>
              <w:left w:val="single" w:sz="4" w:space="0" w:color="1A171C"/>
              <w:bottom w:val="single" w:sz="4" w:space="0" w:color="1A171C"/>
              <w:right w:val="nil"/>
            </w:tcBorders>
            <w:shd w:val="clear" w:color="auto" w:fill="E4E5E5"/>
          </w:tcPr>
          <w:p w14:paraId="7FE1BB90" w14:textId="77777777" w:rsidR="00534D9A" w:rsidRDefault="003243B2">
            <w:pPr>
              <w:pStyle w:val="P68B1DB1-TableParagraph17"/>
              <w:spacing w:before="108"/>
              <w:ind w:left="85" w:right="1"/>
              <w:jc w:val="both"/>
            </w:pPr>
            <w:r>
              <w:t>Struzzjonijiet</w:t>
            </w:r>
          </w:p>
        </w:tc>
      </w:tr>
      <w:tr w:rsidR="00534D9A" w14:paraId="7FE1BB95" w14:textId="77777777">
        <w:tc>
          <w:tcPr>
            <w:tcW w:w="1080" w:type="dxa"/>
            <w:tcBorders>
              <w:top w:val="single" w:sz="4" w:space="0" w:color="1A171C"/>
              <w:left w:val="nil"/>
              <w:bottom w:val="single" w:sz="4" w:space="0" w:color="1A171C"/>
              <w:right w:val="single" w:sz="4" w:space="0" w:color="1A171C"/>
            </w:tcBorders>
            <w:vAlign w:val="center"/>
          </w:tcPr>
          <w:p w14:paraId="7FE1BB92" w14:textId="77777777" w:rsidR="00534D9A" w:rsidRDefault="003243B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B93" w14:textId="77777777" w:rsidR="00534D9A" w:rsidRDefault="003243B2">
            <w:pPr>
              <w:pStyle w:val="P68B1DB1-TableParagraph14"/>
              <w:spacing w:before="108"/>
              <w:ind w:left="85"/>
              <w:jc w:val="both"/>
              <w:rPr>
                <w:bCs/>
              </w:rPr>
            </w:pPr>
            <w:r>
              <w:t>Il-funzjonijiet ekonomiċi kif definiti hawn fuq Kolonni Struzzjonijiet 0010 Id-deskrizzjoni ta’ funzjoni ekonomika</w:t>
            </w:r>
          </w:p>
          <w:p w14:paraId="7FE1BB94" w14:textId="56901CA7" w:rsidR="00534D9A" w:rsidRDefault="003243B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Meta l-funzjoni ekonomika tkun tat-tip “Oħrajn” (</w:t>
            </w:r>
            <w:r>
              <w:t>Z 07.01.3 FUNC 1 PAY r0220 sa r0240)</w:t>
            </w:r>
            <w:r>
              <w:rPr>
                <w:rFonts w:ascii="Times New Roman" w:eastAsia="Cambria" w:hAnsi="Times New Roman" w:cs="Times New Roman"/>
                <w:color w:val="000000" w:themeColor="text1"/>
                <w:sz w:val="20"/>
                <w:szCs w:val="20"/>
              </w:rPr>
              <w:t xml:space="preserve">, għandha tiġi pprovduta deskrizzjoni ta’ dik il-funzjoni. </w:t>
            </w:r>
          </w:p>
        </w:tc>
      </w:tr>
      <w:tr w:rsidR="00534D9A" w14:paraId="7FE1BB99" w14:textId="77777777">
        <w:tc>
          <w:tcPr>
            <w:tcW w:w="1080" w:type="dxa"/>
            <w:tcBorders>
              <w:top w:val="single" w:sz="4" w:space="0" w:color="1A171C"/>
              <w:left w:val="nil"/>
              <w:bottom w:val="single" w:sz="4" w:space="0" w:color="1A171C"/>
              <w:right w:val="single" w:sz="4" w:space="0" w:color="1A171C"/>
            </w:tcBorders>
            <w:vAlign w:val="center"/>
          </w:tcPr>
          <w:p w14:paraId="7FE1BB96" w14:textId="77777777" w:rsidR="00534D9A" w:rsidRDefault="003243B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B97" w14:textId="77777777" w:rsidR="00534D9A" w:rsidRDefault="003243B2">
            <w:pPr>
              <w:pStyle w:val="P68B1DB1-TableParagraph14"/>
              <w:spacing w:before="108"/>
              <w:ind w:left="85"/>
              <w:jc w:val="both"/>
              <w:rPr>
                <w:bCs/>
              </w:rPr>
            </w:pPr>
            <w:r>
              <w:t xml:space="preserve">Sehem mis-suq </w:t>
            </w:r>
          </w:p>
          <w:p w14:paraId="7FE1BB98" w14:textId="71A825FB" w:rsidR="00534D9A" w:rsidRDefault="003243B2">
            <w:pPr>
              <w:pStyle w:val="P68B1DB1-TableParagraph17"/>
              <w:spacing w:before="108"/>
              <w:ind w:left="85"/>
            </w:pPr>
            <w:r>
              <w:t>L-istima tas-sehem mis-suq tal-istituzzjoni jew tal-grupp għall-funzjoni ekonomika fil-pajjiż jew fil-ġeografija rispettiv. Bħala perċentwal tas-suq totali f’termini ta’ ammont monetarju. Dan jikkorrispondi għall-Valur tat-Tranżazzjonijiet għas-servizzi ta’ pagament lill-MFIs u lil dawk li mhumiex MFIs, il-Valur tal-pożizzjonijiet miftuħa għas-servizzi tal-ikklerjar tas-CCP u l-Valur tal-assi taħt kustodja għas-servizzi tal-Kustodja.</w:t>
            </w:r>
          </w:p>
        </w:tc>
      </w:tr>
      <w:tr w:rsidR="00534D9A" w14:paraId="7FE1BBA5" w14:textId="77777777">
        <w:tc>
          <w:tcPr>
            <w:tcW w:w="1080" w:type="dxa"/>
            <w:tcBorders>
              <w:top w:val="single" w:sz="4" w:space="0" w:color="1A171C"/>
              <w:left w:val="nil"/>
              <w:bottom w:val="single" w:sz="4" w:space="0" w:color="1A171C"/>
              <w:right w:val="single" w:sz="4" w:space="0" w:color="1A171C"/>
            </w:tcBorders>
            <w:vAlign w:val="center"/>
          </w:tcPr>
          <w:p w14:paraId="7FE1BB9A" w14:textId="77777777" w:rsidR="00534D9A" w:rsidRDefault="003243B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B9B" w14:textId="77777777" w:rsidR="00534D9A" w:rsidRDefault="003243B2">
            <w:pPr>
              <w:pStyle w:val="P68B1DB1-TableParagraph14"/>
              <w:spacing w:before="108"/>
              <w:rPr>
                <w:bCs/>
              </w:rPr>
            </w:pPr>
            <w:r>
              <w:t>Valur tat-tranżazzjonijiet</w:t>
            </w:r>
          </w:p>
          <w:p w14:paraId="7FE1BB9C" w14:textId="77777777" w:rsidR="00534D9A" w:rsidRDefault="003243B2">
            <w:pPr>
              <w:pStyle w:val="P68B1DB1-TableParagraph17"/>
              <w:spacing w:before="108"/>
            </w:pPr>
            <w:r>
              <w:t>Bħala regola ġenerali, għandha tiġi rrapportata l-medja tat-tranżazzjonijiet fuq bażi ta’ kuljum fis-sena. Jekk ma tkunx disponibbli, tista’ tiġi rrapportata medja fuq perjodu iqsar (pereż. ta’ ftit xhur).</w:t>
            </w:r>
          </w:p>
          <w:p w14:paraId="7FE1BB9D" w14:textId="32F9B039" w:rsidR="00534D9A" w:rsidRDefault="003243B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lastRenderedPageBreak/>
              <w:t>Is-servizzi ta’ pagament (identifikazzjoni ID 3.1 u 3.2): Valur tat-tranżazzjonijiet mibgħuta.</w:t>
            </w:r>
            <w:r>
              <w:t xml:space="preserve"> </w:t>
            </w:r>
            <w:r>
              <w:rPr>
                <w:rFonts w:ascii="Times New Roman" w:eastAsia="Cambria" w:hAnsi="Times New Roman" w:cs="Times New Roman"/>
                <w:color w:val="000000" w:themeColor="text1"/>
                <w:sz w:val="20"/>
                <w:szCs w:val="20"/>
              </w:rPr>
              <w:t>Referenzi ta’ sfond: Id-Direttiva (UE) 2015/2366 dwar is-servizzi ta’ pagament fis-suq intern, l-Artikolu 4(5); Ir-Regolament (UE) 2020/2011 tal-Bank Ċentrali Ewropew li jemenda r-Regolament (UE) Nru 1409/2013 dwar l-istatistika ta’ pagamenti (ECB/2020/59)</w:t>
            </w:r>
          </w:p>
          <w:p w14:paraId="7FE1BB9E" w14:textId="77777777" w:rsidR="00534D9A" w:rsidRDefault="003243B2">
            <w:pPr>
              <w:pStyle w:val="P68B1DB1-TableParagraph17"/>
              <w:spacing w:before="108"/>
            </w:pPr>
            <w:r>
              <w:t>Servizzi ta’ flus kontanti (funzjoni ID 3.3): Il-valur tat-tranżazzjonijiet tal-ATM fl-ATMs tar-rapportar</w:t>
            </w:r>
          </w:p>
          <w:p w14:paraId="7FE1BB9F" w14:textId="34BA0294" w:rsidR="00534D9A" w:rsidRDefault="003243B2">
            <w:pPr>
              <w:pStyle w:val="P68B1DB1-TableParagraph41"/>
              <w:spacing w:before="108"/>
              <w:rPr>
                <w:rFonts w:ascii="Times New Roman" w:eastAsia="Cambria" w:hAnsi="Times New Roman" w:cs="Times New Roman"/>
                <w:color w:val="000000" w:themeColor="text1"/>
              </w:rPr>
            </w:pPr>
            <w:r>
              <w:rPr>
                <w:rFonts w:ascii="Times New Roman" w:eastAsia="Cambria" w:hAnsi="Times New Roman" w:cs="Times New Roman"/>
                <w:color w:val="000000" w:themeColor="text1"/>
              </w:rPr>
              <w:t>istituzzjoni, kif definita fir-Regolament (UE) Nru 1409/2013 tal-Bank Ċentrali Ewropew dwar l-istatistika tal-pagamenti ( ECB/2013/43) Tabella 5a, kif ukoll flus kontanti barra l-borża</w:t>
            </w:r>
          </w:p>
          <w:p w14:paraId="7FE1BBA0" w14:textId="0D8555C2" w:rsidR="00534D9A" w:rsidRDefault="003243B2">
            <w:pPr>
              <w:pStyle w:val="TableParagraph"/>
              <w:spacing w:before="108"/>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prelevamenti f’fergħat ta’ uffiċċji tal-entità relatriċi, kif definit</w:t>
            </w:r>
            <w:r>
              <w:rPr>
                <w:rStyle w:val="FootnoteReference"/>
                <w:rFonts w:eastAsia="Cambria" w:cs="Times New Roman"/>
                <w:color w:val="000000" w:themeColor="text1"/>
              </w:rPr>
              <w:footnoteReference w:id="21"/>
            </w:r>
            <w:r>
              <w:rPr>
                <w:rFonts w:ascii="Times New Roman" w:eastAsia="Cambria" w:hAnsi="Times New Roman" w:cs="Times New Roman"/>
                <w:color w:val="000000" w:themeColor="text1"/>
                <w:sz w:val="20"/>
                <w:szCs w:val="20"/>
              </w:rPr>
              <w:t xml:space="preserve"> fit-Tabella ECB/2014/15</w:t>
            </w:r>
          </w:p>
          <w:p w14:paraId="7FE1BBA1" w14:textId="77777777" w:rsidR="00534D9A" w:rsidRDefault="003243B2">
            <w:pPr>
              <w:pStyle w:val="P68B1DB1-TableParagraph17"/>
              <w:spacing w:before="108"/>
            </w:pPr>
            <w:r>
              <w:t>Is-servizzi ta’ saldu tat-titoli (function ID 3.4): Valur tat-trasferimenti ta’ titoli pproċessati</w:t>
            </w:r>
          </w:p>
          <w:p w14:paraId="7FE1BBA2" w14:textId="77777777" w:rsidR="00534D9A" w:rsidRDefault="003243B2">
            <w:pPr>
              <w:pStyle w:val="P68B1DB1-TableParagraph17"/>
              <w:spacing w:before="108"/>
            </w:pPr>
            <w:r>
              <w:t>f’isem il-klijenti. Dan jinkludi tranżazzjonijiet saldati b’saldu tat-titoli</w:t>
            </w:r>
          </w:p>
          <w:p w14:paraId="7FE1BBA3" w14:textId="77777777" w:rsidR="00534D9A" w:rsidRDefault="003243B2">
            <w:pPr>
              <w:pStyle w:val="P68B1DB1-TableParagraph17"/>
              <w:spacing w:before="108"/>
            </w:pPr>
            <w:r>
              <w:t>sistema jew saldati internament mill-entitajiet li jirrapportaw, u “mingħajr ħlas”</w:t>
            </w:r>
          </w:p>
          <w:p w14:paraId="7FE1BBA4" w14:textId="77777777" w:rsidR="00534D9A" w:rsidRDefault="003243B2">
            <w:pPr>
              <w:pStyle w:val="P68B1DB1-TableParagraph17"/>
              <w:spacing w:before="108"/>
            </w:pPr>
            <w:r>
              <w:t>kollha. Irrapporta biss il-valur tat-tranżazzjonijiet mibgħuta.</w:t>
            </w:r>
          </w:p>
        </w:tc>
      </w:tr>
      <w:tr w:rsidR="00534D9A" w14:paraId="7FE1BBA9" w14:textId="77777777">
        <w:tc>
          <w:tcPr>
            <w:tcW w:w="1080" w:type="dxa"/>
            <w:tcBorders>
              <w:top w:val="single" w:sz="4" w:space="0" w:color="1A171C"/>
              <w:left w:val="nil"/>
              <w:bottom w:val="single" w:sz="4" w:space="0" w:color="1A171C"/>
              <w:right w:val="single" w:sz="4" w:space="0" w:color="1A171C"/>
            </w:tcBorders>
            <w:vAlign w:val="center"/>
          </w:tcPr>
          <w:p w14:paraId="7FE1BBA6" w14:textId="77777777" w:rsidR="00534D9A" w:rsidRDefault="003243B2">
            <w:pPr>
              <w:pStyle w:val="P68B1DB1-TableParagraph17"/>
              <w:spacing w:before="108"/>
              <w:ind w:left="85"/>
              <w:jc w:val="both"/>
            </w:pPr>
            <w:r>
              <w:lastRenderedPageBreak/>
              <w:t>0040</w:t>
            </w:r>
          </w:p>
        </w:tc>
        <w:tc>
          <w:tcPr>
            <w:tcW w:w="8003" w:type="dxa"/>
            <w:tcBorders>
              <w:top w:val="single" w:sz="4" w:space="0" w:color="1A171C"/>
              <w:left w:val="single" w:sz="4" w:space="0" w:color="1A171C"/>
              <w:bottom w:val="single" w:sz="4" w:space="0" w:color="1A171C"/>
              <w:right w:val="nil"/>
            </w:tcBorders>
            <w:vAlign w:val="center"/>
          </w:tcPr>
          <w:p w14:paraId="7FE1BBA7" w14:textId="77777777" w:rsidR="00534D9A" w:rsidRDefault="003243B2">
            <w:pPr>
              <w:pStyle w:val="P68B1DB1-TableParagraph14"/>
              <w:spacing w:before="108"/>
              <w:rPr>
                <w:bCs/>
              </w:rPr>
            </w:pPr>
            <w:r>
              <w:t>Valur tat-tranżazzjonijiet li minnhom rikorrenti</w:t>
            </w:r>
          </w:p>
          <w:p w14:paraId="7FE1BBA8" w14:textId="484D97FA" w:rsidR="00534D9A" w:rsidRDefault="003243B2">
            <w:pPr>
              <w:pStyle w:val="P68B1DB1-TableParagraph17"/>
              <w:spacing w:before="108"/>
            </w:pPr>
            <w:r>
              <w:t>Il-valur tat-tranżazzjonijiet kif rapportati f’ (c0030) li minnhom isiru permezz ta’ kont ta’ servizzi ta’ pagament rikorrenti.  Kontijiet ta’ servizzi ta’ pagament rikorrenti huma kontijiet ta’ servizzi ta’ pagament fejn il-kont ikun ġie ddebitat jew ikkreditat mill-inqas 5 tranżazzjoni ta’ kull xahar bħala medja matul is-6-il xahar ta’ qabel id-data limitu, ħlief għal tariffi annwali, imposti oħra u pagament ta’ imgħax relatat mal-kont.</w:t>
            </w:r>
            <w:r>
              <w:tab/>
            </w:r>
            <w:r>
              <w:tab/>
            </w:r>
            <w:r>
              <w:tab/>
            </w:r>
            <w:r>
              <w:tab/>
            </w:r>
            <w:r>
              <w:tab/>
            </w:r>
            <w:r>
              <w:tab/>
            </w:r>
            <w:r>
              <w:tab/>
            </w:r>
            <w:r>
              <w:tab/>
            </w:r>
          </w:p>
        </w:tc>
      </w:tr>
      <w:tr w:rsidR="00534D9A" w14:paraId="7FE1BBB1" w14:textId="77777777">
        <w:tc>
          <w:tcPr>
            <w:tcW w:w="1080" w:type="dxa"/>
            <w:tcBorders>
              <w:top w:val="single" w:sz="4" w:space="0" w:color="1A171C"/>
              <w:left w:val="nil"/>
              <w:bottom w:val="single" w:sz="4" w:space="0" w:color="1A171C"/>
              <w:right w:val="single" w:sz="4" w:space="0" w:color="1A171C"/>
            </w:tcBorders>
            <w:vAlign w:val="center"/>
          </w:tcPr>
          <w:p w14:paraId="7FE1BBAA" w14:textId="77777777" w:rsidR="00534D9A" w:rsidRDefault="003243B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BAB" w14:textId="77777777" w:rsidR="00534D9A" w:rsidRDefault="003243B2">
            <w:pPr>
              <w:pStyle w:val="P68B1DB1-Normal42"/>
              <w:rPr>
                <w:bCs/>
              </w:rPr>
            </w:pPr>
            <w:r>
              <w:t>Valur tal-pożizzjonijiet miftuħa</w:t>
            </w:r>
          </w:p>
          <w:p w14:paraId="7FE1BBAC" w14:textId="77777777" w:rsidR="00534D9A" w:rsidRDefault="003243B2">
            <w:pPr>
              <w:pStyle w:val="P68B1DB1-TableParagraph17"/>
              <w:spacing w:before="108"/>
              <w:jc w:val="both"/>
            </w:pPr>
            <w:r>
              <w:t>Irrapporta biss għall-funzjoni ID 3.5 “servizzi tal-ikklerjar tas-CCP”: il-pożizzjonijiet (l-espożizzjoni) li</w:t>
            </w:r>
          </w:p>
          <w:p w14:paraId="7FE1BBAD" w14:textId="77777777" w:rsidR="00534D9A" w:rsidRDefault="003243B2">
            <w:pPr>
              <w:pStyle w:val="P68B1DB1-TableParagraph17"/>
              <w:spacing w:before="108"/>
              <w:jc w:val="both"/>
            </w:pPr>
            <w:r>
              <w:t>CCPs li l-istituzzjoni hija membru tagħhom jieħdu mal-istituzzjoni f’isem</w:t>
            </w:r>
          </w:p>
          <w:p w14:paraId="7FE1BBAE" w14:textId="63CC2224" w:rsidR="00534D9A" w:rsidRDefault="003243B2">
            <w:pPr>
              <w:pStyle w:val="P68B1DB1-TableParagraph17"/>
              <w:spacing w:before="108"/>
              <w:jc w:val="both"/>
            </w:pPr>
            <w:r>
              <w:t>il-klijenti. Irrapporta l-valur medju ta’ kuljum tal-pożizzjonijiet miftuħa relatati mal-attività tal-klijent fuq</w:t>
            </w:r>
          </w:p>
          <w:p w14:paraId="7FE1BBAF" w14:textId="77777777" w:rsidR="00534D9A" w:rsidRDefault="003243B2">
            <w:pPr>
              <w:pStyle w:val="P68B1DB1-TableParagraph17"/>
              <w:spacing w:before="108"/>
              <w:jc w:val="both"/>
            </w:pPr>
            <w:r>
              <w:t>CCPs. Jekk ma jkunx disponibbli, tista’ tirrapporta l-valuri medji fuq perjodu iqsar (pereż. ta’ ftit xhur).</w:t>
            </w:r>
          </w:p>
          <w:p w14:paraId="7FE1BBB0" w14:textId="77777777" w:rsidR="00534D9A" w:rsidRDefault="003243B2">
            <w:pPr>
              <w:pStyle w:val="P68B1DB1-TableParagraph17"/>
              <w:spacing w:before="108"/>
              <w:jc w:val="both"/>
            </w:pPr>
            <w:r>
              <w:t>jew pożizzjonijiet miftuħa fl-aħħar tas-sena.</w:t>
            </w:r>
          </w:p>
        </w:tc>
      </w:tr>
      <w:tr w:rsidR="00534D9A" w14:paraId="7FE1BBBA" w14:textId="77777777">
        <w:tc>
          <w:tcPr>
            <w:tcW w:w="1080" w:type="dxa"/>
            <w:tcBorders>
              <w:top w:val="single" w:sz="4" w:space="0" w:color="1A171C"/>
              <w:left w:val="nil"/>
              <w:bottom w:val="single" w:sz="4" w:space="0" w:color="1A171C"/>
              <w:right w:val="single" w:sz="4" w:space="0" w:color="1A171C"/>
            </w:tcBorders>
            <w:vAlign w:val="center"/>
          </w:tcPr>
          <w:p w14:paraId="7FE1BBB2" w14:textId="77777777" w:rsidR="00534D9A" w:rsidRDefault="003243B2">
            <w:pPr>
              <w:pStyle w:val="P68B1DB1-TableParagraph17"/>
              <w:spacing w:before="108"/>
              <w:jc w:val="both"/>
            </w:pPr>
            <w:r>
              <w:t>0060</w:t>
            </w:r>
          </w:p>
        </w:tc>
        <w:tc>
          <w:tcPr>
            <w:tcW w:w="8003" w:type="dxa"/>
            <w:tcBorders>
              <w:top w:val="single" w:sz="4" w:space="0" w:color="1A171C"/>
              <w:left w:val="single" w:sz="4" w:space="0" w:color="1A171C"/>
              <w:bottom w:val="single" w:sz="4" w:space="0" w:color="1A171C"/>
              <w:right w:val="nil"/>
            </w:tcBorders>
            <w:vAlign w:val="center"/>
          </w:tcPr>
          <w:p w14:paraId="7FE1BBB3" w14:textId="77777777" w:rsidR="00534D9A" w:rsidRDefault="003243B2">
            <w:pPr>
              <w:pStyle w:val="P68B1DB1-Normal42"/>
              <w:rPr>
                <w:bCs/>
              </w:rPr>
            </w:pPr>
            <w:r>
              <w:t>Il-valur tal-assi taħt kustodja</w:t>
            </w:r>
          </w:p>
          <w:p w14:paraId="7FE1BBB4" w14:textId="77777777" w:rsidR="00534D9A" w:rsidRDefault="003243B2">
            <w:pPr>
              <w:pStyle w:val="P68B1DB1-TableParagraph13"/>
              <w:spacing w:before="108"/>
              <w:jc w:val="both"/>
            </w:pPr>
            <w:r>
              <w:t>Irrapporta biss għall-funzjoni ID 3.6 “Servizzi ta’ kustodja”: l-ammont ta’ assi taħt kustodja,</w:t>
            </w:r>
          </w:p>
          <w:p w14:paraId="7FE1BBB5" w14:textId="77777777" w:rsidR="00534D9A" w:rsidRDefault="003243B2">
            <w:pPr>
              <w:pStyle w:val="P68B1DB1-TableParagraph13"/>
              <w:spacing w:before="108"/>
              <w:jc w:val="both"/>
            </w:pPr>
            <w:r>
              <w:t>bl-użu tal-valur ġust. Bażijiet ta’ kejl oħrajn inkluż il-valur nominali jistgħu jintużaw jekk il-fiera</w:t>
            </w:r>
          </w:p>
          <w:p w14:paraId="7FE1BBB6" w14:textId="77777777" w:rsidR="00534D9A" w:rsidRDefault="003243B2">
            <w:pPr>
              <w:pStyle w:val="P68B1DB1-TableParagraph13"/>
              <w:spacing w:before="108"/>
              <w:jc w:val="both"/>
            </w:pPr>
            <w:r>
              <w:t>il-valur mhuwiex disponibbli. F’dawk il-każijiet fejn l-istituzzjoni tipprovdi servizzi lil entitajiet</w:t>
            </w:r>
          </w:p>
          <w:p w14:paraId="7FE1BBB7" w14:textId="77777777" w:rsidR="00534D9A" w:rsidRDefault="003243B2">
            <w:pPr>
              <w:pStyle w:val="P68B1DB1-TableParagraph13"/>
              <w:spacing w:before="108"/>
              <w:jc w:val="both"/>
            </w:pPr>
            <w:r>
              <w:t>bħal impriżi ta’ investiment kollettiv jew fondi ta’ pensjoni, l-assi kkonċernati jistgħu</w:t>
            </w:r>
          </w:p>
          <w:p w14:paraId="7FE1BBB8" w14:textId="77777777" w:rsidR="00534D9A" w:rsidRDefault="003243B2">
            <w:pPr>
              <w:pStyle w:val="P68B1DB1-TableParagraph13"/>
              <w:spacing w:before="108"/>
              <w:jc w:val="both"/>
            </w:pPr>
            <w:r>
              <w:t>jintwerew bil-valur li bih dawn l-entitajiet jirrapportaw l-assi fil-karta bilanċjali tagħhom stess.</w:t>
            </w:r>
          </w:p>
          <w:p w14:paraId="7FE1BBB9" w14:textId="77777777" w:rsidR="00534D9A" w:rsidRDefault="003243B2">
            <w:pPr>
              <w:pStyle w:val="P68B1DB1-TableParagraph13"/>
              <w:spacing w:before="108"/>
              <w:jc w:val="both"/>
              <w:rPr>
                <w:b/>
                <w:bCs/>
              </w:rPr>
            </w:pPr>
            <w:r>
              <w:t>L-ammonti rrappurtati jinkludu l-imgħax dovut, jekk xieraq.</w:t>
            </w:r>
          </w:p>
        </w:tc>
      </w:tr>
      <w:tr w:rsidR="00534D9A" w14:paraId="7FE1BBBF" w14:textId="77777777">
        <w:tc>
          <w:tcPr>
            <w:tcW w:w="1080" w:type="dxa"/>
            <w:tcBorders>
              <w:top w:val="single" w:sz="4" w:space="0" w:color="1A171C"/>
              <w:left w:val="nil"/>
              <w:bottom w:val="single" w:sz="4" w:space="0" w:color="1A171C"/>
              <w:right w:val="single" w:sz="4" w:space="0" w:color="1A171C"/>
            </w:tcBorders>
            <w:vAlign w:val="center"/>
          </w:tcPr>
          <w:p w14:paraId="7FE1BBBB" w14:textId="77777777" w:rsidR="00534D9A" w:rsidRDefault="003243B2">
            <w:pPr>
              <w:pStyle w:val="P68B1DB1-TableParagraph17"/>
              <w:spacing w:before="108"/>
              <w:ind w:left="85"/>
              <w:jc w:val="both"/>
            </w:pPr>
            <w:r>
              <w:t>0070–0090</w:t>
            </w:r>
          </w:p>
        </w:tc>
        <w:tc>
          <w:tcPr>
            <w:tcW w:w="8003" w:type="dxa"/>
            <w:tcBorders>
              <w:top w:val="single" w:sz="4" w:space="0" w:color="1A171C"/>
              <w:left w:val="single" w:sz="4" w:space="0" w:color="1A171C"/>
              <w:bottom w:val="single" w:sz="4" w:space="0" w:color="1A171C"/>
              <w:right w:val="nil"/>
            </w:tcBorders>
            <w:vAlign w:val="center"/>
          </w:tcPr>
          <w:p w14:paraId="7FE1BBBC" w14:textId="77777777" w:rsidR="00534D9A" w:rsidRDefault="003243B2">
            <w:pPr>
              <w:pStyle w:val="P68B1DB1-TableParagraph14"/>
              <w:spacing w:before="108"/>
              <w:ind w:left="85"/>
              <w:jc w:val="both"/>
              <w:rPr>
                <w:bCs/>
              </w:rPr>
            </w:pPr>
            <w:r>
              <w:t>Valur transkonfinali</w:t>
            </w:r>
          </w:p>
          <w:p w14:paraId="7FE1BBBD" w14:textId="77777777" w:rsidR="00534D9A" w:rsidRDefault="003243B2">
            <w:pPr>
              <w:pStyle w:val="P68B1DB1-TableParagraph13"/>
              <w:spacing w:before="108"/>
              <w:ind w:left="85"/>
              <w:jc w:val="both"/>
            </w:pPr>
            <w:r>
              <w:lastRenderedPageBreak/>
              <w:t>Fil-każ ta’ tranżazzjonijiet mibgħuta, biex jiġi evitat l-għadd doppju, it-tranżazzjonijiet transfruntiera huma</w:t>
            </w:r>
          </w:p>
          <w:p w14:paraId="7FE1BBBE" w14:textId="77777777" w:rsidR="00534D9A" w:rsidRDefault="003243B2">
            <w:pPr>
              <w:pStyle w:val="P68B1DB1-TableParagraph13"/>
              <w:spacing w:before="108"/>
              <w:ind w:left="85"/>
              <w:jc w:val="both"/>
              <w:rPr>
                <w:b/>
                <w:bCs/>
              </w:rPr>
            </w:pPr>
            <w:r>
              <w:t>magħduda fil-pajjiż minn fejn toriġina t-tranżazzjoni.</w:t>
            </w:r>
          </w:p>
        </w:tc>
      </w:tr>
      <w:tr w:rsidR="00534D9A" w14:paraId="7FE1BBC6" w14:textId="77777777">
        <w:tc>
          <w:tcPr>
            <w:tcW w:w="1080" w:type="dxa"/>
            <w:tcBorders>
              <w:top w:val="single" w:sz="4" w:space="0" w:color="1A171C"/>
              <w:left w:val="nil"/>
              <w:bottom w:val="single" w:sz="4" w:space="0" w:color="1A171C"/>
              <w:right w:val="single" w:sz="4" w:space="0" w:color="1A171C"/>
            </w:tcBorders>
            <w:vAlign w:val="center"/>
          </w:tcPr>
          <w:p w14:paraId="7FE1BBC0" w14:textId="77777777" w:rsidR="00534D9A" w:rsidRDefault="003243B2">
            <w:pPr>
              <w:pStyle w:val="P68B1DB1-TableParagraph17"/>
              <w:spacing w:before="108"/>
              <w:ind w:left="85"/>
              <w:jc w:val="both"/>
            </w:pPr>
            <w:r>
              <w:lastRenderedPageBreak/>
              <w:t>0100</w:t>
            </w:r>
          </w:p>
        </w:tc>
        <w:tc>
          <w:tcPr>
            <w:tcW w:w="8003" w:type="dxa"/>
            <w:tcBorders>
              <w:top w:val="single" w:sz="4" w:space="0" w:color="1A171C"/>
              <w:left w:val="single" w:sz="4" w:space="0" w:color="1A171C"/>
              <w:bottom w:val="single" w:sz="4" w:space="0" w:color="1A171C"/>
              <w:right w:val="nil"/>
            </w:tcBorders>
            <w:vAlign w:val="center"/>
          </w:tcPr>
          <w:p w14:paraId="7FE1BBC1" w14:textId="77777777" w:rsidR="00534D9A" w:rsidRDefault="003243B2">
            <w:pPr>
              <w:pStyle w:val="P68B1DB1-Normal42"/>
              <w:rPr>
                <w:bCs/>
              </w:rPr>
            </w:pPr>
            <w:r>
              <w:t>Għadd ta’ tranżazzjonijiet</w:t>
            </w:r>
          </w:p>
          <w:p w14:paraId="7FE1BBC2" w14:textId="18871174" w:rsidR="00534D9A" w:rsidRDefault="003243B2">
            <w:pPr>
              <w:pStyle w:val="P68B1DB1-TableParagraph16"/>
              <w:spacing w:before="108"/>
              <w:jc w:val="both"/>
            </w:pPr>
            <w:r>
              <w:t xml:space="preserve">Bħala regola ġenerali, għandu jiġi rrapportat l-għadd medju ta’ tranżazzjonijiet ta’ kuljum matul is-sena li jikkorrispondi għall-valuri rrapportati taħt l-ID tal-funzjonijiet 3.1–3.4 ringieli 0160–0190, il-kolonna 0030. Jekk ma jkunux disponibbli, jistgħu jiġu rrapportati l-medji fuq perjodu iqsar (eż. ta’ ftit xhur). Għandhom jintużaw il-miżuri segwenti, b’mod speċifiku fir-rigward tal-funzjonijiet differenti: </w:t>
            </w:r>
          </w:p>
          <w:p w14:paraId="7FE1BBC3" w14:textId="77777777" w:rsidR="00534D9A" w:rsidRDefault="003243B2">
            <w:pPr>
              <w:pStyle w:val="P68B1DB1-TableParagraph16"/>
              <w:spacing w:before="108"/>
              <w:jc w:val="both"/>
            </w:pPr>
            <w:r>
              <w:t xml:space="preserve">Servizzi ta’ pagament (ID 3.1–3.2): L-għadd ta’ tranżazzjonijiet mibgħuta. Referenzi ta’ sfond: Id-Direttiva tal-UE dwar is-servizzi ta’ pagament fis-suq intern (2015/2366) l-Artikolu 4(5); Ir-Regolament tal-BĊE dwar l-istatistika tal-pagamenti (ECB/2013/43). </w:t>
            </w:r>
          </w:p>
          <w:p w14:paraId="7FE1BBC4" w14:textId="176A1AD0" w:rsidR="00534D9A" w:rsidRDefault="003243B2">
            <w:pPr>
              <w:pStyle w:val="P68B1DB1-TableParagraph16"/>
              <w:spacing w:before="108"/>
              <w:jc w:val="both"/>
            </w:pPr>
            <w:r>
              <w:t xml:space="preserve">Servizzi ta’ kontanti (ID 3.3): In-numru ta’ tranżazzjonijiet mill-ATMs, kif definiti f’BĊE/2021/16, it-Tabella 5a, kif ukoll ġbid ta’ flus OTC, kif definit f’BĊE/2014/15, it-Tabella 4. </w:t>
            </w:r>
          </w:p>
          <w:p w14:paraId="7FE1BBC5" w14:textId="77777777" w:rsidR="00534D9A" w:rsidRDefault="003243B2">
            <w:pPr>
              <w:pStyle w:val="P68B1DB1-TableParagraph16"/>
              <w:spacing w:before="108"/>
              <w:jc w:val="both"/>
              <w:rPr>
                <w:b/>
                <w:bCs/>
                <w:color w:val="000000" w:themeColor="text1"/>
                <w:sz w:val="20"/>
                <w:szCs w:val="20"/>
              </w:rPr>
            </w:pPr>
            <w:r>
              <w:t>Is-servizzi ta’ saldu tat-titoli (ID 3.4): L-għadd ta’ tranżazzjonijiet ta’ trasferimenti ta’ titoli pproċessati għan-nom tal-klijenti. Dan jinkludi tranżazzjonijiet saldati permezz ta’ sistema ta’ saldu tat-titoli jew saldati internament mill-istituzzjonijiet ta’ rapportar, u tranżazzjonijiet “mingħajr pagament”.</w:t>
            </w:r>
          </w:p>
        </w:tc>
      </w:tr>
      <w:tr w:rsidR="00534D9A" w14:paraId="7FE1BBCA" w14:textId="77777777">
        <w:tc>
          <w:tcPr>
            <w:tcW w:w="1080" w:type="dxa"/>
            <w:tcBorders>
              <w:top w:val="single" w:sz="4" w:space="0" w:color="1A171C"/>
              <w:left w:val="nil"/>
              <w:bottom w:val="single" w:sz="4" w:space="0" w:color="1A171C"/>
              <w:right w:val="single" w:sz="4" w:space="0" w:color="1A171C"/>
            </w:tcBorders>
            <w:vAlign w:val="center"/>
          </w:tcPr>
          <w:p w14:paraId="7FE1BBC7" w14:textId="77777777" w:rsidR="00534D9A" w:rsidRDefault="003243B2">
            <w:pPr>
              <w:pStyle w:val="P68B1DB1-TableParagraph17"/>
              <w:spacing w:before="108"/>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BC8" w14:textId="77777777" w:rsidR="00534D9A" w:rsidRDefault="003243B2">
            <w:pPr>
              <w:pStyle w:val="P68B1DB1-TableParagraph14"/>
              <w:spacing w:before="108"/>
              <w:ind w:left="85"/>
              <w:jc w:val="both"/>
              <w:rPr>
                <w:bCs/>
              </w:rPr>
            </w:pPr>
            <w:r>
              <w:t>Numru ta’ klijenti</w:t>
            </w:r>
          </w:p>
          <w:p w14:paraId="7FE1BBC9" w14:textId="5C934B58" w:rsidR="00534D9A" w:rsidRDefault="003243B2">
            <w:pPr>
              <w:pStyle w:val="P68B1DB1-TableParagraph13"/>
              <w:spacing w:before="108"/>
              <w:ind w:left="85"/>
              <w:jc w:val="both"/>
            </w:pPr>
            <w:r>
              <w:t>L-għadd ta’ klijenti (residenti u mhux residenti) li lilhom jiġi pprovdut is-servizz. Jekk klijent wieħed juża servizz f’subfunzjoni aktar minn darba, il-klijent għandu jingħadd darba biss.</w:t>
            </w:r>
          </w:p>
        </w:tc>
      </w:tr>
      <w:tr w:rsidR="00534D9A" w14:paraId="7FE1BBD6" w14:textId="77777777">
        <w:tc>
          <w:tcPr>
            <w:tcW w:w="1080" w:type="dxa"/>
            <w:tcBorders>
              <w:top w:val="single" w:sz="4" w:space="0" w:color="1A171C"/>
              <w:left w:val="nil"/>
              <w:bottom w:val="single" w:sz="4" w:space="0" w:color="1A171C"/>
              <w:right w:val="single" w:sz="4" w:space="0" w:color="1A171C"/>
            </w:tcBorders>
            <w:vAlign w:val="center"/>
          </w:tcPr>
          <w:p w14:paraId="7FE1BBCE" w14:textId="77777777" w:rsidR="00534D9A" w:rsidRDefault="003243B2">
            <w:pPr>
              <w:pStyle w:val="P68B1DB1-TableParagraph17"/>
              <w:spacing w:before="108"/>
              <w:jc w:val="both"/>
            </w:pPr>
            <w:r>
              <w:t>0120–0190</w:t>
            </w:r>
          </w:p>
        </w:tc>
        <w:tc>
          <w:tcPr>
            <w:tcW w:w="8003" w:type="dxa"/>
            <w:tcBorders>
              <w:top w:val="single" w:sz="4" w:space="0" w:color="1A171C"/>
              <w:left w:val="single" w:sz="4" w:space="0" w:color="1A171C"/>
              <w:bottom w:val="single" w:sz="4" w:space="0" w:color="1A171C"/>
              <w:right w:val="nil"/>
            </w:tcBorders>
            <w:vAlign w:val="center"/>
          </w:tcPr>
          <w:p w14:paraId="7FE1BBCF" w14:textId="77777777" w:rsidR="00534D9A" w:rsidRDefault="003243B2">
            <w:pPr>
              <w:pStyle w:val="P68B1DB1-TableParagraph14"/>
              <w:spacing w:before="108"/>
              <w:jc w:val="both"/>
              <w:rPr>
                <w:bCs/>
              </w:rPr>
            </w:pPr>
            <w:r>
              <w:t>Analiżi tal-Impatt u tas-Sostitwibbiltà</w:t>
            </w:r>
          </w:p>
          <w:p w14:paraId="7FE1BBD0" w14:textId="77777777" w:rsidR="00534D9A" w:rsidRDefault="003243B2">
            <w:pPr>
              <w:pStyle w:val="P68B1DB1-TableParagraph13"/>
              <w:spacing w:before="108"/>
              <w:jc w:val="both"/>
            </w:pPr>
            <w:r>
              <w:t>Il-kriterji tal-valutazzjoni għall-impatt fuq partijiet terzi għandhom jinkludu l-elementi li ġejjin f’konformità mar-Regolament Delegat tal-Kummissjoni (UE) 2016/778 dwar il-funzjonijiet kritiċi:</w:t>
            </w:r>
          </w:p>
          <w:p w14:paraId="7FE1BBD1" w14:textId="77777777" w:rsidR="00534D9A" w:rsidRDefault="003243B2">
            <w:pPr>
              <w:pStyle w:val="P68B1DB1-ListParagraph38"/>
              <w:numPr>
                <w:ilvl w:val="0"/>
                <w:numId w:val="131"/>
              </w:numPr>
              <w:spacing w:line="276" w:lineRule="auto"/>
            </w:pPr>
            <w:r>
              <w:t>in-natura u l-firxa tal-attività, l-ilħuq globali, nazzjonali jew reġjonali, il-volum u l-għadd ta’ tranżazzjonijiet; l-għadd ta’ klijenti u kontropartijiet; in-numru ta’ klijenti li għalihom l-istituzzjoni hija l-unika sieħba bankarja jew dik prinċipali.</w:t>
            </w:r>
          </w:p>
          <w:p w14:paraId="7FE1BBD2" w14:textId="77777777" w:rsidR="00534D9A" w:rsidRDefault="003243B2">
            <w:pPr>
              <w:pStyle w:val="P68B1DB1-ListParagraph38"/>
              <w:numPr>
                <w:ilvl w:val="0"/>
                <w:numId w:val="131"/>
              </w:numPr>
              <w:spacing w:line="276" w:lineRule="auto"/>
            </w:pPr>
            <w:r>
              <w:t>ir-rilevanza tal-istituzzjoni, fuq bażi lokali, reġjonali, nazzjonali jew dak Ewropew, kif xieraq għas-suq konċernat. Ir-rilevanza tal-istituzzjoni tista’ tiġi evalwata abbażi tas-sehem tas-suq, l-interkonnettività, il-kumplessità u attivitajiet transkonfinali.</w:t>
            </w:r>
          </w:p>
          <w:p w14:paraId="7FE1BBD3" w14:textId="77777777" w:rsidR="00534D9A" w:rsidRDefault="003243B2">
            <w:pPr>
              <w:pStyle w:val="P68B1DB1-ListParagraph38"/>
              <w:numPr>
                <w:ilvl w:val="0"/>
                <w:numId w:val="131"/>
              </w:numPr>
              <w:spacing w:line="276" w:lineRule="auto"/>
            </w:pPr>
            <w:r>
              <w:t xml:space="preserve">in-natura tal-klijenti u partijiet interessati affettwati mill-funzjoni, bħal, iżda mhux limitati għal klijenti individwali, klijenti korporattivi, klijenti interbankarji, il-kmamar tal-ikklerjar ċentrali u entitajiet pubbliċi. </w:t>
            </w:r>
          </w:p>
          <w:p w14:paraId="7FE1BBD4" w14:textId="77777777" w:rsidR="00534D9A" w:rsidRDefault="003243B2">
            <w:pPr>
              <w:pStyle w:val="P68B1DB1-ListParagraph38"/>
              <w:numPr>
                <w:ilvl w:val="0"/>
                <w:numId w:val="131"/>
              </w:numPr>
              <w:spacing w:line="276" w:lineRule="auto"/>
            </w:pPr>
            <w:r>
              <w:t>il-potenzjal ta’ tfixkil ta’ funzjoni fuq is-swieq, infrastrutturi, klijenti u s-servizzi pubbliċi. B’mod partikolari, il-valutazzjoni tista’ tinkludi l-effett fuq il-likwidità tas-swieq ikkonċernati, l-impatt u l-grad ta’ tfixkil għan-negozju tal-klijenti, u l-bżonnijiet ta’ likwidità fuq perjodu qasir ta’ żmien; il-perċettibbiltà għal kontropartijiet, klijenti u l-pubbliku; il-kapaċità u l-veloċità ta’ reazzjoni tal-klijenti; ir-rilevanza għall-funzjonament ta’ swieq oħra; l-effett fuq il-likwidità, l-ope</w:t>
            </w:r>
            <w:r>
              <w:t>razzjonijiet, l-istruttura ta’ suq ieħor; l-effett fuq kontropartijiet oħra relatati ma’ klijenti ewlenin u l-interrelazzjoni tal-funzjoni ma’ servizzi oħra.</w:t>
            </w:r>
          </w:p>
          <w:p w14:paraId="7FE1BBD5"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BDA" w14:textId="77777777">
        <w:tc>
          <w:tcPr>
            <w:tcW w:w="1080" w:type="dxa"/>
            <w:tcBorders>
              <w:top w:val="single" w:sz="4" w:space="0" w:color="1A171C"/>
              <w:left w:val="nil"/>
              <w:bottom w:val="single" w:sz="4" w:space="0" w:color="1A171C"/>
              <w:right w:val="single" w:sz="4" w:space="0" w:color="1A171C"/>
            </w:tcBorders>
            <w:vAlign w:val="center"/>
          </w:tcPr>
          <w:p w14:paraId="7FE1BBD7" w14:textId="77777777" w:rsidR="00534D9A" w:rsidRDefault="003243B2">
            <w:pPr>
              <w:pStyle w:val="P68B1DB1-TableParagraph17"/>
              <w:spacing w:before="108"/>
              <w:jc w:val="both"/>
            </w:pPr>
            <w:r>
              <w:t>0120–0140</w:t>
            </w:r>
          </w:p>
        </w:tc>
        <w:tc>
          <w:tcPr>
            <w:tcW w:w="8003" w:type="dxa"/>
            <w:tcBorders>
              <w:top w:val="single" w:sz="4" w:space="0" w:color="1A171C"/>
              <w:left w:val="single" w:sz="4" w:space="0" w:color="1A171C"/>
              <w:bottom w:val="single" w:sz="4" w:space="0" w:color="1A171C"/>
              <w:right w:val="nil"/>
            </w:tcBorders>
            <w:vAlign w:val="center"/>
          </w:tcPr>
          <w:p w14:paraId="7FE1BBD8" w14:textId="77777777" w:rsidR="00534D9A" w:rsidRDefault="003243B2">
            <w:pPr>
              <w:pStyle w:val="P68B1DB1-TableParagraph14"/>
              <w:spacing w:before="108"/>
              <w:jc w:val="both"/>
              <w:rPr>
                <w:bCs/>
              </w:rPr>
            </w:pPr>
            <w:r>
              <w:t xml:space="preserve">Natura u Reach </w:t>
            </w:r>
          </w:p>
          <w:p w14:paraId="7FE1BBD9" w14:textId="77777777" w:rsidR="00534D9A" w:rsidRDefault="003243B2">
            <w:pPr>
              <w:pStyle w:val="P68B1DB1-TableParagraph13"/>
              <w:spacing w:before="108"/>
              <w:jc w:val="both"/>
            </w:pPr>
            <w:r>
              <w:lastRenderedPageBreak/>
              <w:t>Il-firxa globali, nazzjonali jew reġjonali, il-volum u l-għadd ta’ tranżazzjonijiet; l-għadd ta’ klijenti u kontropartijiet; in-numru ta’ klijenti li għalihom l-istituzzjoni hija l-unika sieħba bankarja jew dik prinċipali.</w:t>
            </w:r>
          </w:p>
        </w:tc>
      </w:tr>
      <w:tr w:rsidR="00534D9A" w14:paraId="7FE1BBE0" w14:textId="77777777">
        <w:tc>
          <w:tcPr>
            <w:tcW w:w="1080" w:type="dxa"/>
            <w:tcBorders>
              <w:top w:val="single" w:sz="4" w:space="0" w:color="1A171C"/>
              <w:left w:val="nil"/>
              <w:bottom w:val="single" w:sz="4" w:space="0" w:color="1A171C"/>
              <w:right w:val="single" w:sz="4" w:space="0" w:color="1A171C"/>
            </w:tcBorders>
            <w:vAlign w:val="center"/>
          </w:tcPr>
          <w:p w14:paraId="7FE1BBDB" w14:textId="77777777" w:rsidR="00534D9A" w:rsidRDefault="003243B2">
            <w:pPr>
              <w:pStyle w:val="P68B1DB1-TableParagraph17"/>
              <w:spacing w:before="108"/>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BDC" w14:textId="77777777" w:rsidR="00534D9A" w:rsidRDefault="003243B2">
            <w:pPr>
              <w:pStyle w:val="P68B1DB1-TableParagraph14"/>
              <w:spacing w:before="108"/>
              <w:jc w:val="both"/>
              <w:rPr>
                <w:bCs/>
              </w:rPr>
            </w:pPr>
            <w:r>
              <w:t>Indikatur tad-daqs 1</w:t>
            </w:r>
          </w:p>
          <w:p w14:paraId="0D530995"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BDD" w14:textId="31D8226E" w:rsidR="00534D9A" w:rsidRDefault="00534D9A">
            <w:pPr>
              <w:pStyle w:val="TableParagraph"/>
              <w:spacing w:before="108"/>
              <w:jc w:val="both"/>
              <w:rPr>
                <w:rFonts w:ascii="Times New Roman" w:hAnsi="Times New Roman" w:cs="Times New Roman"/>
                <w:color w:val="000000" w:themeColor="text1"/>
                <w:sz w:val="20"/>
                <w:szCs w:val="20"/>
              </w:rPr>
            </w:pPr>
          </w:p>
          <w:p w14:paraId="7FE1BBDE" w14:textId="19F9153D" w:rsidR="00534D9A" w:rsidRDefault="003243B2">
            <w:pPr>
              <w:pStyle w:val="P68B1DB1-ListParagraph32"/>
              <w:numPr>
                <w:ilvl w:val="0"/>
                <w:numId w:val="300"/>
              </w:numPr>
              <w:spacing w:line="276" w:lineRule="auto"/>
            </w:pPr>
            <w:r>
              <w:t xml:space="preserve">Ġudizzju espert tad-daqs </w:t>
            </w:r>
            <w:r>
              <w:rPr>
                <w:b/>
              </w:rPr>
              <w:t>tal-valur</w:t>
            </w:r>
            <w:r>
              <w:t xml:space="preserve"> tat-tranżazzjonijiet (c0030 għall-funzjonijiet ID 3.1, 3.2, 3.3 u 3.4); pożizzjonijiet miftuħa (c0050 għal ID 3.5); jew assi totali taħt kustodja (c0060 għal ID 3.6) minn perspettiva </w:t>
            </w:r>
            <w:r>
              <w:rPr>
                <w:b/>
              </w:rPr>
              <w:t>tal-UE</w:t>
            </w:r>
            <w:r>
              <w:t xml:space="preserve"> [</w:t>
            </w:r>
            <w:r>
              <w:rPr>
                <w:i/>
              </w:rPr>
              <w:t>livell wieħed ogħla mis-suq rilevanti]</w:t>
            </w:r>
            <w:r>
              <w:t xml:space="preserve">: </w:t>
            </w:r>
          </w:p>
          <w:p w14:paraId="7FE1BBDF" w14:textId="77777777" w:rsidR="00534D9A" w:rsidRDefault="003243B2">
            <w:pPr>
              <w:pStyle w:val="P68B1DB1-ListParagraph32"/>
              <w:numPr>
                <w:ilvl w:val="0"/>
                <w:numId w:val="126"/>
              </w:numPr>
              <w:spacing w:line="276" w:lineRule="auto"/>
            </w:pPr>
            <w:r>
              <w:t xml:space="preserve">Minn perspettiva tal-UE, kemm taħseb li huwa kbir il-valur tat-tranżazzjonijiet ipproċessati mill-bank tiegħek </w:t>
            </w:r>
            <w:r>
              <w:rPr>
                <w:i/>
              </w:rPr>
              <w:t>jew</w:t>
            </w:r>
            <w:r>
              <w:t xml:space="preserve"> il-pożizzjonijiet miftuħa tal-klijenti tal-bank tiegħek fis-CCPs, </w:t>
            </w:r>
            <w:r>
              <w:rPr>
                <w:i/>
              </w:rPr>
              <w:t>jew</w:t>
            </w:r>
            <w:r>
              <w:t xml:space="preserve"> l-assi totali li l-istituzzjoni tiegħek qed iżżomm taħt kustodja għall-klijenti tagħha?</w:t>
            </w:r>
          </w:p>
        </w:tc>
      </w:tr>
      <w:tr w:rsidR="00534D9A" w14:paraId="7FE1BBE7" w14:textId="77777777">
        <w:tc>
          <w:tcPr>
            <w:tcW w:w="1080" w:type="dxa"/>
            <w:tcBorders>
              <w:top w:val="single" w:sz="4" w:space="0" w:color="1A171C"/>
              <w:left w:val="nil"/>
              <w:bottom w:val="single" w:sz="4" w:space="0" w:color="1A171C"/>
              <w:right w:val="single" w:sz="4" w:space="0" w:color="1A171C"/>
            </w:tcBorders>
            <w:vAlign w:val="center"/>
          </w:tcPr>
          <w:p w14:paraId="7FE1BBE1" w14:textId="77777777" w:rsidR="00534D9A" w:rsidRDefault="003243B2">
            <w:pPr>
              <w:pStyle w:val="P68B1DB1-TableParagraph17"/>
              <w:spacing w:before="108"/>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BE2" w14:textId="77777777" w:rsidR="00534D9A" w:rsidRDefault="003243B2">
            <w:pPr>
              <w:pStyle w:val="P68B1DB1-TableParagraph14"/>
              <w:spacing w:before="108"/>
              <w:jc w:val="both"/>
              <w:rPr>
                <w:bCs/>
              </w:rPr>
            </w:pPr>
            <w:r>
              <w:t>Indikatur tad-daqs 2</w:t>
            </w:r>
          </w:p>
          <w:p w14:paraId="7D6A05E9"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BE3" w14:textId="27BCCC99" w:rsidR="00534D9A" w:rsidRDefault="003243B2">
            <w:pPr>
              <w:pStyle w:val="P68B1DB1-TableParagraph13"/>
              <w:spacing w:before="108"/>
              <w:jc w:val="both"/>
            </w:pPr>
            <w:r>
              <w:t xml:space="preserve"> </w:t>
            </w:r>
          </w:p>
          <w:p w14:paraId="7FE1BBE4" w14:textId="0FB26117" w:rsidR="00534D9A" w:rsidRDefault="003243B2">
            <w:pPr>
              <w:pStyle w:val="P68B1DB1-ListParagraph32"/>
              <w:numPr>
                <w:ilvl w:val="0"/>
                <w:numId w:val="120"/>
              </w:numPr>
              <w:spacing w:line="276" w:lineRule="auto"/>
            </w:pPr>
            <w:r>
              <w:t xml:space="preserve">Ġudizzju espert tad-daqs </w:t>
            </w:r>
            <w:r>
              <w:rPr>
                <w:b/>
              </w:rPr>
              <w:t>tal-għadd</w:t>
            </w:r>
            <w:r>
              <w:t xml:space="preserve"> ta’ tranżazzjonijiet (c0100 għall-funzjoni ID 3.1, 3.2, 3.3 u 3.4); jew l-għadd ta’ klijenti (c0110 għall-ID 3.5 u 3.6) minn perspettiva </w:t>
            </w:r>
            <w:r>
              <w:rPr>
                <w:b/>
              </w:rPr>
              <w:t>nazzjonali</w:t>
            </w:r>
            <w:r>
              <w:t xml:space="preserve"> [</w:t>
            </w:r>
            <w:r>
              <w:rPr>
                <w:i/>
              </w:rPr>
              <w:t>fil-livell tas-suq rilevanti</w:t>
            </w:r>
            <w:r>
              <w:t>]:</w:t>
            </w:r>
          </w:p>
          <w:p w14:paraId="7FE1BBE5" w14:textId="77777777" w:rsidR="00534D9A" w:rsidRDefault="003243B2">
            <w:pPr>
              <w:pStyle w:val="P68B1DB1-ListParagraph32"/>
              <w:numPr>
                <w:ilvl w:val="1"/>
                <w:numId w:val="124"/>
              </w:numPr>
              <w:spacing w:line="276" w:lineRule="auto"/>
            </w:pPr>
            <w:r>
              <w:t>Minn perspettiva nazzjonali, kemm huwa kbir l-għadd totali stmat ta’ tranżazzjonijiet</w:t>
            </w:r>
            <w:r>
              <w:rPr>
                <w:i/>
              </w:rPr>
              <w:t xml:space="preserve"> jew</w:t>
            </w:r>
            <w:r>
              <w:t xml:space="preserve"> l-għadd stmat ta’ klijenti tal-istituzzjoni tiegħek?</w:t>
            </w:r>
          </w:p>
          <w:p w14:paraId="7FE1BBE6" w14:textId="77777777" w:rsidR="00534D9A" w:rsidRDefault="00534D9A">
            <w:pPr>
              <w:spacing w:line="276" w:lineRule="auto"/>
              <w:rPr>
                <w:rFonts w:ascii="Times New Roman" w:hAnsi="Times New Roman"/>
                <w:color w:val="000000" w:themeColor="text1"/>
                <w:sz w:val="20"/>
                <w:szCs w:val="20"/>
              </w:rPr>
            </w:pPr>
          </w:p>
        </w:tc>
      </w:tr>
      <w:tr w:rsidR="00534D9A" w14:paraId="7FE1BBEE" w14:textId="77777777">
        <w:tc>
          <w:tcPr>
            <w:tcW w:w="1080" w:type="dxa"/>
            <w:tcBorders>
              <w:top w:val="single" w:sz="4" w:space="0" w:color="1A171C"/>
              <w:left w:val="nil"/>
              <w:bottom w:val="single" w:sz="4" w:space="0" w:color="1A171C"/>
              <w:right w:val="single" w:sz="4" w:space="0" w:color="1A171C"/>
            </w:tcBorders>
            <w:vAlign w:val="center"/>
          </w:tcPr>
          <w:p w14:paraId="7FE1BBE8" w14:textId="77777777" w:rsidR="00534D9A" w:rsidRDefault="003243B2">
            <w:pPr>
              <w:pStyle w:val="P68B1DB1-TableParagraph17"/>
              <w:spacing w:before="108"/>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BE9" w14:textId="77777777" w:rsidR="00534D9A" w:rsidRDefault="003243B2">
            <w:pPr>
              <w:pStyle w:val="P68B1DB1-TableParagraph14"/>
              <w:spacing w:before="108"/>
              <w:jc w:val="both"/>
              <w:rPr>
                <w:bCs/>
              </w:rPr>
            </w:pPr>
            <w:r>
              <w:t>Indikatur transkonfinali</w:t>
            </w:r>
          </w:p>
          <w:p w14:paraId="7FE1BBEA" w14:textId="77777777" w:rsidR="00534D9A" w:rsidRDefault="003243B2">
            <w:pPr>
              <w:pStyle w:val="P68B1DB1-TableParagraph13"/>
              <w:spacing w:before="108"/>
              <w:jc w:val="both"/>
            </w:pPr>
            <w:r>
              <w:t>Tivvaluta l-importanza relattiva tal-attivitajiet transfruntiera għall-funzjonijiet ekonomiċi differenti.</w:t>
            </w:r>
          </w:p>
          <w:p w14:paraId="7FE1BBEB" w14:textId="77777777" w:rsidR="00534D9A" w:rsidRDefault="003243B2">
            <w:pPr>
              <w:pStyle w:val="P68B1DB1-TableParagraph13"/>
              <w:spacing w:before="108"/>
              <w:jc w:val="both"/>
            </w:pPr>
            <w:r>
              <w:t xml:space="preserve">Dan ma għandux għalfejn jiġi vvalutat fil-każ ta’ rapporti li fihom is-suq rilevanti jitqies bħala reġjonali. </w:t>
            </w:r>
          </w:p>
          <w:p w14:paraId="31893031" w14:textId="17F40C8B" w:rsidR="00534D9A" w:rsidRDefault="003243B2">
            <w:pPr>
              <w:pStyle w:val="P68B1DB1-TableParagraph33"/>
              <w:spacing w:before="108"/>
              <w:jc w:val="both"/>
            </w:pPr>
            <w:r>
              <w:t xml:space="preserve">L-għadd ta’ pajjiżi tal-UE fejn l-entità relatriċi għandha sehem mis-suq ta’ aktar minn 2 % (espress f’valur ta’ pagament, titoli jew tranżazzjonijiet fi flus, jew pożizzjonijiet ta’ klijenti miftuħa fis-CCPs, jew assi totali taħt kustodja). Rapport: </w:t>
            </w:r>
          </w:p>
          <w:p w14:paraId="58BCAA6E" w14:textId="090336B0" w:rsidR="00534D9A" w:rsidRDefault="003243B2">
            <w:pPr>
              <w:pStyle w:val="P68B1DB1-TableParagraph33"/>
              <w:numPr>
                <w:ilvl w:val="0"/>
                <w:numId w:val="282"/>
              </w:numPr>
              <w:spacing w:before="108"/>
              <w:jc w:val="both"/>
            </w:pPr>
            <w:r>
              <w:t xml:space="preserve">≤ 1 pajjiż; </w:t>
            </w:r>
          </w:p>
          <w:p w14:paraId="5B55A7F9" w14:textId="6B3C23F3" w:rsidR="00534D9A" w:rsidRDefault="003243B2">
            <w:pPr>
              <w:pStyle w:val="P68B1DB1-TableParagraph33"/>
              <w:numPr>
                <w:ilvl w:val="0"/>
                <w:numId w:val="282"/>
              </w:numPr>
              <w:spacing w:before="108"/>
              <w:jc w:val="both"/>
            </w:pPr>
            <w:r>
              <w:t>Żewġ (2)-tliet (3) pajjiżi</w:t>
            </w:r>
          </w:p>
          <w:p w14:paraId="6A334CED" w14:textId="15F946E0" w:rsidR="00534D9A" w:rsidRDefault="003243B2">
            <w:pPr>
              <w:pStyle w:val="P68B1DB1-TableParagraph33"/>
              <w:numPr>
                <w:ilvl w:val="0"/>
                <w:numId w:val="282"/>
              </w:numPr>
              <w:spacing w:before="108"/>
              <w:jc w:val="both"/>
            </w:pPr>
            <w:r>
              <w:t xml:space="preserve">4–5 pajjiż; </w:t>
            </w:r>
          </w:p>
          <w:p w14:paraId="4D1B0AB8" w14:textId="03F4FDF2" w:rsidR="00534D9A" w:rsidRDefault="003243B2">
            <w:pPr>
              <w:pStyle w:val="P68B1DB1-TableParagraph33"/>
              <w:numPr>
                <w:ilvl w:val="0"/>
                <w:numId w:val="282"/>
              </w:numPr>
              <w:spacing w:before="108"/>
              <w:jc w:val="both"/>
            </w:pPr>
            <w:r>
              <w:lastRenderedPageBreak/>
              <w:t xml:space="preserve">&gt; 5 pajjiż, </w:t>
            </w:r>
          </w:p>
          <w:p w14:paraId="7FE1BBED" w14:textId="6A2A41A1" w:rsidR="00534D9A" w:rsidRDefault="003243B2">
            <w:pPr>
              <w:pStyle w:val="P68B1DB1-TableParagraph33"/>
              <w:spacing w:before="108"/>
              <w:jc w:val="both"/>
              <w:rPr>
                <w:rFonts w:cs="Times New Roman"/>
                <w:color w:val="000000" w:themeColor="text1"/>
              </w:rPr>
            </w:pPr>
            <w:r>
              <w:t xml:space="preserve"> </w:t>
            </w:r>
          </w:p>
        </w:tc>
      </w:tr>
      <w:tr w:rsidR="00534D9A" w14:paraId="7FE1BBFD" w14:textId="77777777">
        <w:tc>
          <w:tcPr>
            <w:tcW w:w="1080" w:type="dxa"/>
            <w:tcBorders>
              <w:top w:val="single" w:sz="4" w:space="0" w:color="1A171C"/>
              <w:left w:val="nil"/>
              <w:bottom w:val="single" w:sz="4" w:space="0" w:color="1A171C"/>
              <w:right w:val="single" w:sz="4" w:space="0" w:color="1A171C"/>
            </w:tcBorders>
            <w:vAlign w:val="center"/>
          </w:tcPr>
          <w:p w14:paraId="7FE1BBEF" w14:textId="77777777" w:rsidR="00534D9A" w:rsidRDefault="003243B2">
            <w:pPr>
              <w:pStyle w:val="P68B1DB1-TableParagraph17"/>
              <w:spacing w:before="108"/>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BF0" w14:textId="77777777" w:rsidR="00534D9A" w:rsidRDefault="003243B2">
            <w:pPr>
              <w:pStyle w:val="P68B1DB1-TableParagraph14"/>
              <w:spacing w:before="108"/>
              <w:jc w:val="both"/>
              <w:rPr>
                <w:bCs/>
              </w:rPr>
            </w:pPr>
            <w:r>
              <w:t xml:space="preserve">Rilevanza — </w:t>
            </w:r>
          </w:p>
          <w:p w14:paraId="7FE1BBF1" w14:textId="77777777" w:rsidR="00534D9A" w:rsidRDefault="003243B2">
            <w:pPr>
              <w:pStyle w:val="P68B1DB1-TableParagraph13"/>
              <w:spacing w:before="108"/>
              <w:jc w:val="both"/>
            </w:pPr>
            <w:r>
              <w:t>Fuq livell lokali, reġjonali, nazzjonali jew Ewropew, kif xieraq għas-suq ikkonċernat. Ir-rilevanza tal-istituzzjoni tista’ tiġi evalwata abbażi tas-sehem tas-suq, l-interkonnettività, il-kumplessità u attivitajiet transkonfinali.</w:t>
            </w:r>
          </w:p>
          <w:p w14:paraId="7FE1BBF2" w14:textId="77777777" w:rsidR="00534D9A" w:rsidRDefault="003243B2">
            <w:pPr>
              <w:pStyle w:val="P68B1DB1-TableParagraph14"/>
              <w:spacing w:before="108"/>
              <w:jc w:val="both"/>
              <w:rPr>
                <w:bCs/>
              </w:rPr>
            </w:pPr>
            <w:r>
              <w:t>Sehem mis-suq</w:t>
            </w:r>
          </w:p>
          <w:p w14:paraId="30AC503F" w14:textId="77777777" w:rsidR="00534D9A" w:rsidRDefault="003243B2">
            <w:pPr>
              <w:pStyle w:val="P68B1DB1-Normal31"/>
              <w:spacing w:line="276" w:lineRule="auto"/>
              <w:jc w:val="both"/>
            </w:pPr>
            <w:r>
              <w:t xml:space="preserve">Ivvaluta kemm huwa importanti s-sehem mis-suq tal-entità relatriċi, meta mqabbel mas-suq nazzjonali jew suq rilevanti ieħor, kif indikat fil-mudell. Din il-valutazzjoni hija espressa b’mod kwalitattiv bħala </w:t>
            </w:r>
          </w:p>
          <w:p w14:paraId="5D8F45F8" w14:textId="77777777" w:rsidR="00534D9A" w:rsidRDefault="003243B2">
            <w:pPr>
              <w:pStyle w:val="P68B1DB1-ListParagraph32"/>
              <w:numPr>
                <w:ilvl w:val="0"/>
                <w:numId w:val="276"/>
              </w:numPr>
              <w:spacing w:line="276" w:lineRule="auto"/>
              <w:jc w:val="both"/>
            </w:pPr>
            <w:r>
              <w:t>Għoli, jekk is-sehem mis-suq ikun kbir</w:t>
            </w:r>
          </w:p>
          <w:p w14:paraId="5C7C2710" w14:textId="77777777" w:rsidR="00534D9A" w:rsidRDefault="003243B2">
            <w:pPr>
              <w:pStyle w:val="P68B1DB1-ListParagraph32"/>
              <w:numPr>
                <w:ilvl w:val="0"/>
                <w:numId w:val="276"/>
              </w:numPr>
              <w:spacing w:line="276" w:lineRule="auto"/>
              <w:jc w:val="both"/>
            </w:pPr>
            <w:r>
              <w:t>Medju-għoli, jekk is-sehem mis-suq huwa medju</w:t>
            </w:r>
          </w:p>
          <w:p w14:paraId="21F38734" w14:textId="77777777" w:rsidR="00534D9A" w:rsidRDefault="003243B2">
            <w:pPr>
              <w:pStyle w:val="P68B1DB1-ListParagraph32"/>
              <w:numPr>
                <w:ilvl w:val="0"/>
                <w:numId w:val="276"/>
              </w:numPr>
              <w:spacing w:line="276" w:lineRule="auto"/>
              <w:jc w:val="both"/>
            </w:pPr>
            <w:r>
              <w:t xml:space="preserve">Medju-baxx, jekk is-sehem mis-suq ikun żgħir jew </w:t>
            </w:r>
          </w:p>
          <w:p w14:paraId="16968912" w14:textId="77777777" w:rsidR="00534D9A" w:rsidRDefault="003243B2">
            <w:pPr>
              <w:pStyle w:val="P68B1DB1-ListParagraph32"/>
              <w:numPr>
                <w:ilvl w:val="0"/>
                <w:numId w:val="276"/>
              </w:numPr>
              <w:spacing w:line="276" w:lineRule="auto"/>
              <w:jc w:val="both"/>
            </w:pPr>
            <w:r>
              <w:t xml:space="preserve">Baxx, jekk is-sehem mis-suq ikun negliġibbli. </w:t>
            </w:r>
          </w:p>
          <w:p w14:paraId="7FE1BBF7" w14:textId="3931B1D9" w:rsidR="00534D9A" w:rsidRDefault="00534D9A">
            <w:pPr>
              <w:pStyle w:val="ListParagraph"/>
              <w:spacing w:line="276" w:lineRule="auto"/>
              <w:jc w:val="both"/>
              <w:rPr>
                <w:rFonts w:ascii="Times New Roman" w:eastAsiaTheme="minorHAnsi" w:hAnsi="Times New Roman"/>
                <w:color w:val="000000" w:themeColor="text1"/>
                <w:sz w:val="20"/>
                <w:szCs w:val="20"/>
              </w:rPr>
            </w:pPr>
          </w:p>
          <w:p w14:paraId="7FE1BBF8" w14:textId="77777777" w:rsidR="00534D9A" w:rsidRDefault="003243B2">
            <w:pPr>
              <w:pStyle w:val="P68B1DB1-TableParagraph13"/>
              <w:spacing w:before="108"/>
              <w:jc w:val="both"/>
            </w:pPr>
            <w:r>
              <w:t xml:space="preserve">Din il-valutazzjoni tqis l-istruttura tas-suq tal-pajjiż tal-entità relatriċi (jew suq rilevanti ieħor), u l-ishma mis-suq irrapportati parzjalment </w:t>
            </w:r>
          </w:p>
          <w:p w14:paraId="7FE1BBF9" w14:textId="77777777" w:rsidR="00534D9A" w:rsidRDefault="003243B2">
            <w:pPr>
              <w:pStyle w:val="P68B1DB1-TableParagraph13"/>
              <w:spacing w:before="108"/>
              <w:jc w:val="both"/>
            </w:pPr>
            <w:r>
              <w:t>2.Data kwantitattiva:</w:t>
            </w:r>
          </w:p>
          <w:p w14:paraId="7FE1BBFA" w14:textId="77777777" w:rsidR="00534D9A" w:rsidRDefault="003243B2">
            <w:pPr>
              <w:pStyle w:val="P68B1DB1-ListParagraph32"/>
              <w:numPr>
                <w:ilvl w:val="0"/>
                <w:numId w:val="117"/>
              </w:numPr>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BFB"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BFC"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09" w14:textId="77777777">
        <w:tc>
          <w:tcPr>
            <w:tcW w:w="1080" w:type="dxa"/>
            <w:tcBorders>
              <w:top w:val="single" w:sz="4" w:space="0" w:color="1A171C"/>
              <w:left w:val="nil"/>
              <w:bottom w:val="single" w:sz="4" w:space="0" w:color="1A171C"/>
              <w:right w:val="single" w:sz="4" w:space="0" w:color="1A171C"/>
            </w:tcBorders>
            <w:vAlign w:val="center"/>
          </w:tcPr>
          <w:p w14:paraId="7FE1BBFE" w14:textId="77777777" w:rsidR="00534D9A" w:rsidRDefault="003243B2">
            <w:pPr>
              <w:pStyle w:val="P68B1DB1-TableParagraph17"/>
              <w:spacing w:before="108"/>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BFF" w14:textId="77777777" w:rsidR="00534D9A" w:rsidRDefault="003243B2">
            <w:pPr>
              <w:pStyle w:val="P68B1DB1-TableParagraph14"/>
              <w:spacing w:before="108"/>
              <w:jc w:val="both"/>
              <w:rPr>
                <w:bCs/>
              </w:rPr>
            </w:pPr>
            <w:r>
              <w:t>Struttura tas-Suq — Konċentrazzjoni tas-suq</w:t>
            </w:r>
          </w:p>
          <w:p w14:paraId="7FE1BC00" w14:textId="77777777" w:rsidR="00534D9A" w:rsidRDefault="003243B2">
            <w:pPr>
              <w:pStyle w:val="P68B1DB1-TableParagraph13"/>
              <w:spacing w:before="108"/>
              <w:jc w:val="both"/>
            </w:pPr>
            <w:r>
              <w:t xml:space="preserve">Il-konċentrazzjoni tas-suq, imkejla skont l-għadd ta’ kompetituri li qed iwettqu bħalissa </w:t>
            </w:r>
          </w:p>
          <w:p w14:paraId="7FE1BC01" w14:textId="77777777" w:rsidR="00534D9A" w:rsidRDefault="003243B2">
            <w:pPr>
              <w:pStyle w:val="P68B1DB1-TableParagraph13"/>
              <w:spacing w:before="108"/>
              <w:jc w:val="both"/>
            </w:pPr>
            <w:r>
              <w:t xml:space="preserve">funzjonijiet ekonomiċi simili u/jew li joffru servizzi simili fuq termini ugwali (jiġifieri għal </w:t>
            </w:r>
          </w:p>
          <w:p w14:paraId="7FE1BC02" w14:textId="77777777" w:rsidR="00534D9A" w:rsidRDefault="003243B2">
            <w:pPr>
              <w:pStyle w:val="P68B1DB1-TableParagraph13"/>
              <w:spacing w:before="108"/>
              <w:jc w:val="both"/>
            </w:pPr>
            <w:r>
              <w:t xml:space="preserve">livell u kwalità komparabbli u bi spiża komparabbli) li potenzjalment jieħdu f’idejhom </w:t>
            </w:r>
          </w:p>
          <w:p w14:paraId="7FE1BC03" w14:textId="77777777" w:rsidR="00534D9A" w:rsidRDefault="003243B2">
            <w:pPr>
              <w:pStyle w:val="P68B1DB1-TableParagraph13"/>
              <w:spacing w:before="108"/>
              <w:jc w:val="both"/>
            </w:pPr>
            <w:r>
              <w:t xml:space="preserve">(parti minn) il-klijenti u/jew in-negozju tal-entità relatriċi f’perjodu ta’ żmien raġonevoli. </w:t>
            </w:r>
          </w:p>
          <w:p w14:paraId="7FE1BC04" w14:textId="77777777" w:rsidR="00534D9A" w:rsidRDefault="003243B2">
            <w:pPr>
              <w:pStyle w:val="P68B1DB1-TableParagraph13"/>
              <w:spacing w:before="108"/>
              <w:jc w:val="both"/>
            </w:pPr>
            <w:r>
              <w:t xml:space="preserve">Dan għandu jiġi rrapportat f’buckets, li huma l-istess għal kull subfunzjoni </w:t>
            </w:r>
          </w:p>
          <w:p w14:paraId="4C2F14CB" w14:textId="77777777" w:rsidR="00534D9A" w:rsidRDefault="003243B2">
            <w:pPr>
              <w:pStyle w:val="P68B1DB1-ListParagraph32"/>
              <w:numPr>
                <w:ilvl w:val="0"/>
                <w:numId w:val="277"/>
              </w:numPr>
              <w:jc w:val="both"/>
            </w:pPr>
            <w:r>
              <w:t xml:space="preserve">&gt; 20 kompetituri; </w:t>
            </w:r>
          </w:p>
          <w:p w14:paraId="453D853E" w14:textId="77777777" w:rsidR="00534D9A" w:rsidRDefault="003243B2">
            <w:pPr>
              <w:pStyle w:val="P68B1DB1-ListParagraph32"/>
              <w:numPr>
                <w:ilvl w:val="0"/>
                <w:numId w:val="277"/>
              </w:numPr>
              <w:jc w:val="both"/>
            </w:pPr>
            <w:r>
              <w:t xml:space="preserve">11–20 kompetituri; </w:t>
            </w:r>
          </w:p>
          <w:p w14:paraId="642D6421" w14:textId="77777777" w:rsidR="00534D9A" w:rsidRDefault="003243B2">
            <w:pPr>
              <w:pStyle w:val="P68B1DB1-ListParagraph32"/>
              <w:numPr>
                <w:ilvl w:val="0"/>
                <w:numId w:val="277"/>
              </w:numPr>
              <w:jc w:val="both"/>
            </w:pPr>
            <w:r>
              <w:t xml:space="preserve">5–10 kompetituri, </w:t>
            </w:r>
          </w:p>
          <w:p w14:paraId="3C672034" w14:textId="77777777" w:rsidR="00534D9A" w:rsidRDefault="003243B2">
            <w:pPr>
              <w:pStyle w:val="P68B1DB1-ListParagraph32"/>
              <w:numPr>
                <w:ilvl w:val="0"/>
                <w:numId w:val="277"/>
              </w:numPr>
              <w:jc w:val="both"/>
              <w:rPr>
                <w:b/>
                <w:bCs/>
                <w:color w:val="000000" w:themeColor="text1"/>
              </w:rPr>
            </w:pPr>
            <w:r>
              <w:t>Kompetittività 5 kompetituri</w:t>
            </w:r>
          </w:p>
          <w:p w14:paraId="7FE1BC08" w14:textId="3B09659F" w:rsidR="00534D9A" w:rsidRDefault="00534D9A">
            <w:pPr>
              <w:jc w:val="both"/>
              <w:rPr>
                <w:rFonts w:ascii="Times New Roman" w:hAnsi="Times New Roman"/>
                <w:color w:val="000000" w:themeColor="text1"/>
                <w:sz w:val="20"/>
                <w:szCs w:val="20"/>
              </w:rPr>
            </w:pPr>
          </w:p>
        </w:tc>
      </w:tr>
      <w:tr w:rsidR="00534D9A" w14:paraId="7FE1BC19" w14:textId="77777777">
        <w:tc>
          <w:tcPr>
            <w:tcW w:w="1080" w:type="dxa"/>
            <w:tcBorders>
              <w:top w:val="single" w:sz="4" w:space="0" w:color="1A171C"/>
              <w:left w:val="nil"/>
              <w:bottom w:val="single" w:sz="4" w:space="0" w:color="1A171C"/>
              <w:right w:val="single" w:sz="4" w:space="0" w:color="1A171C"/>
            </w:tcBorders>
            <w:vAlign w:val="center"/>
          </w:tcPr>
          <w:p w14:paraId="7FE1BC0A" w14:textId="77777777" w:rsidR="00534D9A" w:rsidRDefault="003243B2">
            <w:pPr>
              <w:pStyle w:val="P68B1DB1-TableParagraph17"/>
              <w:spacing w:before="108"/>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0B" w14:textId="77777777" w:rsidR="00534D9A" w:rsidRDefault="003243B2">
            <w:pPr>
              <w:pStyle w:val="P68B1DB1-TableParagraph14"/>
              <w:spacing w:before="108"/>
              <w:jc w:val="both"/>
              <w:rPr>
                <w:bCs/>
              </w:rPr>
            </w:pPr>
            <w:r>
              <w:t>Żmien — Żmien mistenni għas-sostituzzjoni</w:t>
            </w:r>
          </w:p>
          <w:p w14:paraId="7FE1BC0C" w14:textId="77777777" w:rsidR="00534D9A" w:rsidRDefault="003243B2">
            <w:pPr>
              <w:pStyle w:val="P68B1DB1-TableParagraph13"/>
              <w:spacing w:before="108"/>
              <w:jc w:val="both"/>
            </w:pPr>
            <w:r>
              <w:t>Stima taż-żmien meħtieġ għall-funzjoni ekonomika pprovduta mir-rapportar</w:t>
            </w:r>
          </w:p>
          <w:p w14:paraId="7FE1BC0D" w14:textId="77777777" w:rsidR="00534D9A" w:rsidRDefault="003243B2">
            <w:pPr>
              <w:pStyle w:val="P68B1DB1-TableParagraph13"/>
              <w:spacing w:before="108"/>
              <w:jc w:val="both"/>
            </w:pPr>
            <w:r>
              <w:t xml:space="preserve">entità li għandha tiġi assorbita mis-suq f’sitwazzjoni ta’ kriżi. Dan jinkludi: </w:t>
            </w:r>
          </w:p>
          <w:p w14:paraId="7FE1BC0E" w14:textId="77777777" w:rsidR="00534D9A" w:rsidRDefault="003243B2">
            <w:pPr>
              <w:pStyle w:val="P68B1DB1-ListParagraph38"/>
              <w:numPr>
                <w:ilvl w:val="0"/>
                <w:numId w:val="274"/>
              </w:numPr>
              <w:jc w:val="both"/>
            </w:pPr>
            <w:r>
              <w:t xml:space="preserve">iż-żmien mistenni meħtieġ minn kompetitur wieħed jew aktar biex iwettqu l-passi legali u tekniċi biex jieħdu f’idejhom il-funzjoni; kif ukoll  </w:t>
            </w:r>
          </w:p>
          <w:p w14:paraId="7FE1BC0F" w14:textId="77777777" w:rsidR="00534D9A" w:rsidRDefault="003243B2">
            <w:pPr>
              <w:pStyle w:val="P68B1DB1-ListParagraph38"/>
              <w:numPr>
                <w:ilvl w:val="0"/>
                <w:numId w:val="274"/>
              </w:numPr>
              <w:jc w:val="both"/>
            </w:pPr>
            <w:r>
              <w:t xml:space="preserve">il-ħin meħtieġ mill-utenti tas-servizz biex imorru għand fornitur ta’ servizz ieħor. </w:t>
            </w:r>
          </w:p>
          <w:p w14:paraId="7FE1BC10"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11" w14:textId="77777777" w:rsidR="00534D9A" w:rsidRDefault="003243B2">
            <w:pPr>
              <w:pStyle w:val="P68B1DB1-TableParagraph13"/>
              <w:spacing w:before="108"/>
              <w:jc w:val="both"/>
            </w:pPr>
            <w:r>
              <w:t>Bħala indikatur għal tal-ewwel, ipprovdi stima taż-żmien li l-entità relatriċi tieħu biex tassorbi fin-negozju tagħha stess (parti minn) is-servizz ipprovdut minn istituzzjoni oħra, b’kost raġonevoli, f’sitwazzjoni ta’ kriżi. Irrapporta ż-żmien stmat għas-sostituzzjoni fil-buckets ipprovduti fil-mudell:</w:t>
            </w:r>
          </w:p>
          <w:p w14:paraId="7FE1BC12" w14:textId="77777777" w:rsidR="00534D9A" w:rsidRDefault="00534D9A">
            <w:pPr>
              <w:jc w:val="both"/>
              <w:rPr>
                <w:rFonts w:ascii="Times New Roman" w:eastAsia="Times New Roman" w:hAnsi="Times New Roman" w:cs="Times New Roman"/>
                <w:sz w:val="20"/>
                <w:szCs w:val="20"/>
              </w:rPr>
            </w:pPr>
          </w:p>
          <w:p w14:paraId="7FE1BC13" w14:textId="77777777" w:rsidR="00534D9A" w:rsidRDefault="003243B2">
            <w:pPr>
              <w:pStyle w:val="P68B1DB1-Normal31"/>
              <w:jc w:val="both"/>
            </w:pPr>
            <w:bookmarkStart w:id="118" w:name="_Hlk194476081"/>
            <w:r>
              <w:t xml:space="preserve">Bramel: </w:t>
            </w:r>
          </w:p>
          <w:p w14:paraId="7FE1BC14" w14:textId="728C4DE4" w:rsidR="00534D9A" w:rsidRDefault="003243B2">
            <w:pPr>
              <w:pStyle w:val="P68B1DB1-ListParagraph32"/>
              <w:numPr>
                <w:ilvl w:val="0"/>
                <w:numId w:val="284"/>
              </w:numPr>
              <w:jc w:val="both"/>
            </w:pPr>
            <w:r>
              <w:t xml:space="preserve">Għoxrin (1) jum; </w:t>
            </w:r>
          </w:p>
          <w:p w14:paraId="7FE1BC15" w14:textId="15883A0D" w:rsidR="00534D9A" w:rsidRDefault="003243B2">
            <w:pPr>
              <w:pStyle w:val="P68B1DB1-ListParagraph32"/>
              <w:numPr>
                <w:ilvl w:val="0"/>
                <w:numId w:val="284"/>
              </w:numPr>
              <w:jc w:val="both"/>
            </w:pPr>
            <w:r>
              <w:t xml:space="preserve">1–2 jum; </w:t>
            </w:r>
          </w:p>
          <w:p w14:paraId="7FE1BC16" w14:textId="0B950876" w:rsidR="00534D9A" w:rsidRDefault="003243B2">
            <w:pPr>
              <w:pStyle w:val="P68B1DB1-ListParagraph32"/>
              <w:numPr>
                <w:ilvl w:val="0"/>
                <w:numId w:val="284"/>
              </w:numPr>
              <w:jc w:val="both"/>
            </w:pPr>
            <w:r>
              <w:t xml:space="preserve">&gt; 2 ijiem ≤ ġimgħa (1), </w:t>
            </w:r>
          </w:p>
          <w:p w14:paraId="7FE1BC17" w14:textId="0973D87D" w:rsidR="00534D9A" w:rsidRDefault="003243B2">
            <w:pPr>
              <w:pStyle w:val="P68B1DB1-ListParagraph32"/>
              <w:numPr>
                <w:ilvl w:val="0"/>
                <w:numId w:val="284"/>
              </w:numPr>
              <w:jc w:val="both"/>
            </w:pPr>
            <w:r>
              <w:t xml:space="preserve">&gt; Ġimgħa (1) </w:t>
            </w:r>
          </w:p>
          <w:bookmarkEnd w:id="118"/>
          <w:p w14:paraId="7FE1BC18"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1C" w14:textId="77777777">
        <w:tc>
          <w:tcPr>
            <w:tcW w:w="1080" w:type="dxa"/>
            <w:tcBorders>
              <w:top w:val="single" w:sz="4" w:space="0" w:color="1A171C"/>
              <w:left w:val="nil"/>
              <w:bottom w:val="single" w:sz="4" w:space="0" w:color="1A171C"/>
              <w:right w:val="single" w:sz="4" w:space="0" w:color="1A171C"/>
            </w:tcBorders>
            <w:vAlign w:val="center"/>
          </w:tcPr>
          <w:p w14:paraId="7FE1BC1A" w14:textId="77777777" w:rsidR="00534D9A" w:rsidRDefault="003243B2">
            <w:pPr>
              <w:pStyle w:val="P68B1DB1-TableParagraph17"/>
              <w:spacing w:before="108"/>
              <w:jc w:val="both"/>
            </w:pPr>
            <w:r>
              <w:lastRenderedPageBreak/>
              <w:t>0180–0190</w:t>
            </w:r>
          </w:p>
        </w:tc>
        <w:tc>
          <w:tcPr>
            <w:tcW w:w="8003" w:type="dxa"/>
            <w:tcBorders>
              <w:top w:val="single" w:sz="4" w:space="0" w:color="1A171C"/>
              <w:left w:val="single" w:sz="4" w:space="0" w:color="1A171C"/>
              <w:bottom w:val="single" w:sz="4" w:space="0" w:color="1A171C"/>
              <w:right w:val="nil"/>
            </w:tcBorders>
            <w:vAlign w:val="center"/>
          </w:tcPr>
          <w:p w14:paraId="7FE1BC1B" w14:textId="77777777" w:rsidR="00534D9A" w:rsidRDefault="003243B2">
            <w:pPr>
              <w:pStyle w:val="P68B1DB1-TableParagraph14"/>
              <w:spacing w:before="108"/>
              <w:jc w:val="both"/>
              <w:rPr>
                <w:bCs/>
              </w:rPr>
            </w:pPr>
            <w:r>
              <w:t>Kapaċità ta’ sostituzzjoni</w:t>
            </w:r>
          </w:p>
        </w:tc>
      </w:tr>
      <w:tr w:rsidR="00534D9A" w14:paraId="7FE1BC26" w14:textId="77777777">
        <w:tc>
          <w:tcPr>
            <w:tcW w:w="1080" w:type="dxa"/>
            <w:tcBorders>
              <w:top w:val="single" w:sz="4" w:space="0" w:color="1A171C"/>
              <w:left w:val="nil"/>
              <w:bottom w:val="single" w:sz="4" w:space="0" w:color="1A171C"/>
              <w:right w:val="single" w:sz="4" w:space="0" w:color="1A171C"/>
            </w:tcBorders>
            <w:vAlign w:val="center"/>
          </w:tcPr>
          <w:p w14:paraId="7FE1BC1D" w14:textId="77777777" w:rsidR="00534D9A" w:rsidRDefault="003243B2">
            <w:pPr>
              <w:pStyle w:val="P68B1DB1-TableParagraph17"/>
              <w:spacing w:before="108"/>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1E" w14:textId="77777777" w:rsidR="00534D9A" w:rsidRDefault="003243B2">
            <w:pPr>
              <w:pStyle w:val="P68B1DB1-TableParagraph14"/>
              <w:spacing w:before="108"/>
              <w:jc w:val="both"/>
              <w:rPr>
                <w:bCs/>
              </w:rPr>
            </w:pPr>
            <w:r>
              <w:t>Ostakli legali għad-dħul jew l-espansjoni</w:t>
            </w:r>
          </w:p>
          <w:p w14:paraId="7FE1BC1F"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20" w14:textId="77777777" w:rsidR="00534D9A" w:rsidRDefault="003243B2">
            <w:pPr>
              <w:pStyle w:val="P68B1DB1-TableParagraph13"/>
              <w:spacing w:before="108"/>
              <w:jc w:val="both"/>
            </w:pPr>
            <w:r>
              <w:t xml:space="preserve">Ostakli legali għall-kompetituri biex joffru s-servizz. Ir-rekwiżiti legali għat-twettiq tan-negozju tal-istituzzjonijiet ta’ kreditu (eż. liċenzji bankarji jew rekwiżiti kapitali) ma għandhomx jitqiesu bħala ostakli insuperabbli fil-preżenza ta’ fornituri alternattivi. Dan l-indikatur irid jiġi rrapportat f’buckets, li huma l-istess għal kull subfunzjoni: </w:t>
            </w:r>
          </w:p>
          <w:p w14:paraId="7FE1BC21" w14:textId="474C67C3" w:rsidR="00534D9A" w:rsidRDefault="003243B2">
            <w:pPr>
              <w:pStyle w:val="P68B1DB1-ListParagraph39"/>
              <w:numPr>
                <w:ilvl w:val="0"/>
                <w:numId w:val="275"/>
              </w:numPr>
              <w:jc w:val="both"/>
            </w:pPr>
            <w:r>
              <w:t xml:space="preserve">l-ebda ostaklu kbir, </w:t>
            </w:r>
          </w:p>
          <w:p w14:paraId="7FE1BC22" w14:textId="2597009C" w:rsidR="00534D9A" w:rsidRDefault="003243B2">
            <w:pPr>
              <w:pStyle w:val="P68B1DB1-ListParagraph39"/>
              <w:numPr>
                <w:ilvl w:val="0"/>
                <w:numId w:val="275"/>
              </w:numPr>
              <w:jc w:val="both"/>
            </w:pPr>
            <w:r>
              <w:t xml:space="preserve">xi ostakli, </w:t>
            </w:r>
          </w:p>
          <w:p w14:paraId="7FE1BC23" w14:textId="78601E46" w:rsidR="00534D9A" w:rsidRDefault="003243B2">
            <w:pPr>
              <w:pStyle w:val="P68B1DB1-ListParagraph39"/>
              <w:numPr>
                <w:ilvl w:val="0"/>
                <w:numId w:val="275"/>
              </w:numPr>
              <w:jc w:val="both"/>
            </w:pPr>
            <w:r>
              <w:t xml:space="preserve">barrieri sostanzjali (iżda li jistgħu jingħelbu), </w:t>
            </w:r>
          </w:p>
          <w:p w14:paraId="7FE1BC25" w14:textId="12D666ED" w:rsidR="00534D9A" w:rsidRDefault="003243B2">
            <w:pPr>
              <w:pStyle w:val="P68B1DB1-ListParagraph8"/>
              <w:numPr>
                <w:ilvl w:val="0"/>
                <w:numId w:val="275"/>
              </w:numPr>
              <w:jc w:val="both"/>
            </w:pPr>
            <w:r>
              <w:t>ostakli kritiċi (diffiċli biex jingħelbu).</w:t>
            </w:r>
          </w:p>
        </w:tc>
      </w:tr>
      <w:tr w:rsidR="00534D9A" w14:paraId="7FE1BC31" w14:textId="77777777">
        <w:tc>
          <w:tcPr>
            <w:tcW w:w="1080" w:type="dxa"/>
            <w:tcBorders>
              <w:top w:val="single" w:sz="4" w:space="0" w:color="1A171C"/>
              <w:left w:val="nil"/>
              <w:bottom w:val="single" w:sz="4" w:space="0" w:color="1A171C"/>
              <w:right w:val="single" w:sz="4" w:space="0" w:color="1A171C"/>
            </w:tcBorders>
            <w:vAlign w:val="center"/>
          </w:tcPr>
          <w:p w14:paraId="7FE1BC27" w14:textId="77777777" w:rsidR="00534D9A" w:rsidRDefault="003243B2">
            <w:pPr>
              <w:pStyle w:val="P68B1DB1-TableParagraph17"/>
              <w:spacing w:before="108"/>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28" w14:textId="77777777" w:rsidR="00534D9A" w:rsidRDefault="003243B2">
            <w:pPr>
              <w:pStyle w:val="P68B1DB1-TableParagraph14"/>
              <w:spacing w:before="108"/>
              <w:jc w:val="both"/>
              <w:rPr>
                <w:bCs/>
              </w:rPr>
            </w:pPr>
            <w:r>
              <w:t>Rekwiżiti operazzjonali għad-dħul jew l-espansjoni</w:t>
            </w:r>
          </w:p>
          <w:p w14:paraId="7FE1BC29"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2A" w14:textId="46374DD1" w:rsidR="00534D9A" w:rsidRDefault="003243B2">
            <w:pPr>
              <w:pStyle w:val="P68B1DB1-TableParagraph13"/>
              <w:spacing w:before="108"/>
              <w:jc w:val="both"/>
            </w:pPr>
            <w:r>
              <w:t xml:space="preserve">Rekwiżiti organizzattivi, tekniċi u infrastrutturali għall-kompetituri biex joffru s-servizz. L-offerta tas-servizzi relatati mas- (sub) funzjoni tirrikjedi li l-fornituri jinvestu f’infrastruttura (ġdida jew addizzjonali) — jew jimmodifikaw l-organizzazzjonijiet tagħhom. Ivvaluta l-kapaċità tas-suq li jassorbi n-negozju partikolari, pereżempju f’termini ta’ rekwiżiti kapitali. </w:t>
            </w:r>
          </w:p>
          <w:p w14:paraId="7FE1BC2B" w14:textId="77777777" w:rsidR="00534D9A" w:rsidRDefault="003243B2">
            <w:pPr>
              <w:pStyle w:val="P68B1DB1-TableParagraph13"/>
              <w:spacing w:before="108"/>
              <w:jc w:val="both"/>
            </w:pPr>
            <w:r>
              <w:t xml:space="preserve">Dan l-indikatur irid jiġi rrapportat f’buckets, li huma l-istess għal kull subfunzjoni: </w:t>
            </w:r>
          </w:p>
          <w:p w14:paraId="7FE1BC2C" w14:textId="59F4E6B2" w:rsidR="00534D9A" w:rsidRDefault="003243B2">
            <w:pPr>
              <w:pStyle w:val="P68B1DB1-ListParagraph39"/>
              <w:numPr>
                <w:ilvl w:val="0"/>
                <w:numId w:val="278"/>
              </w:numPr>
              <w:jc w:val="both"/>
            </w:pPr>
            <w:r>
              <w:t xml:space="preserve">l-ebda rekwiżit maġġuri, </w:t>
            </w:r>
          </w:p>
          <w:p w14:paraId="7FE1BC2D" w14:textId="17A47EF8" w:rsidR="00534D9A" w:rsidRDefault="003243B2">
            <w:pPr>
              <w:pStyle w:val="P68B1DB1-ListParagraph39"/>
              <w:numPr>
                <w:ilvl w:val="0"/>
                <w:numId w:val="278"/>
              </w:numPr>
              <w:jc w:val="both"/>
            </w:pPr>
            <w:r>
              <w:t xml:space="preserve">xi rekwiżiti, </w:t>
            </w:r>
          </w:p>
          <w:p w14:paraId="7FE1BC2E" w14:textId="6B2B459E" w:rsidR="00534D9A" w:rsidRDefault="003243B2">
            <w:pPr>
              <w:pStyle w:val="P68B1DB1-ListParagraph39"/>
              <w:numPr>
                <w:ilvl w:val="0"/>
                <w:numId w:val="278"/>
              </w:numPr>
              <w:jc w:val="both"/>
            </w:pPr>
            <w:r>
              <w:t xml:space="preserve">rekwiżiti sostanzjali (iżda li jistgħu jingħelbu), </w:t>
            </w:r>
          </w:p>
          <w:p w14:paraId="7FE1BC2F" w14:textId="79851C7C" w:rsidR="00534D9A" w:rsidRDefault="003243B2">
            <w:pPr>
              <w:pStyle w:val="P68B1DB1-ListParagraph39"/>
              <w:numPr>
                <w:ilvl w:val="0"/>
                <w:numId w:val="278"/>
              </w:numPr>
              <w:jc w:val="both"/>
            </w:pPr>
            <w:r>
              <w:t>rekwiżiti kritiċi (diffiċli biex jinqabżu).</w:t>
            </w:r>
          </w:p>
          <w:p w14:paraId="7FE1BC30"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3C" w14:textId="77777777">
        <w:tc>
          <w:tcPr>
            <w:tcW w:w="1080" w:type="dxa"/>
            <w:tcBorders>
              <w:top w:val="single" w:sz="4" w:space="0" w:color="1A171C"/>
              <w:left w:val="nil"/>
              <w:bottom w:val="single" w:sz="4" w:space="0" w:color="1A171C"/>
              <w:right w:val="single" w:sz="4" w:space="0" w:color="1A171C"/>
            </w:tcBorders>
            <w:vAlign w:val="center"/>
          </w:tcPr>
          <w:p w14:paraId="7FE1BC32" w14:textId="52B11BD9" w:rsidR="00534D9A" w:rsidRDefault="003243B2">
            <w:pPr>
              <w:pStyle w:val="P68B1DB1-TableParagraph17"/>
              <w:spacing w:before="108"/>
              <w:jc w:val="both"/>
            </w:pPr>
            <w:r>
              <w:t>0200–0210</w:t>
            </w:r>
          </w:p>
        </w:tc>
        <w:tc>
          <w:tcPr>
            <w:tcW w:w="8003" w:type="dxa"/>
            <w:tcBorders>
              <w:top w:val="single" w:sz="4" w:space="0" w:color="1A171C"/>
              <w:left w:val="single" w:sz="4" w:space="0" w:color="1A171C"/>
              <w:bottom w:val="single" w:sz="4" w:space="0" w:color="1A171C"/>
              <w:right w:val="nil"/>
            </w:tcBorders>
            <w:vAlign w:val="center"/>
          </w:tcPr>
          <w:p w14:paraId="7FE1BC3B" w14:textId="49D1E6DE" w:rsidR="00534D9A" w:rsidRDefault="003243B2">
            <w:pPr>
              <w:pStyle w:val="P68B1DB1-TableParagraph14"/>
              <w:spacing w:before="108"/>
              <w:jc w:val="both"/>
              <w:rPr>
                <w:bCs/>
              </w:rPr>
            </w:pPr>
            <w:r>
              <w:t>Kapaċità ta’ onboarding</w:t>
            </w:r>
          </w:p>
        </w:tc>
      </w:tr>
      <w:tr w:rsidR="00534D9A" w14:paraId="0BE6FD10" w14:textId="77777777">
        <w:tc>
          <w:tcPr>
            <w:tcW w:w="1080" w:type="dxa"/>
            <w:tcBorders>
              <w:top w:val="single" w:sz="4" w:space="0" w:color="1A171C"/>
              <w:left w:val="nil"/>
              <w:bottom w:val="single" w:sz="4" w:space="0" w:color="1A171C"/>
              <w:right w:val="single" w:sz="4" w:space="0" w:color="1A171C"/>
            </w:tcBorders>
            <w:vAlign w:val="center"/>
          </w:tcPr>
          <w:p w14:paraId="1AAF59C4" w14:textId="3EB76F52" w:rsidR="00534D9A" w:rsidRDefault="003243B2">
            <w:pPr>
              <w:pStyle w:val="P68B1DB1-TableParagraph17"/>
              <w:spacing w:before="108"/>
              <w:jc w:val="both"/>
            </w:pPr>
            <w:r>
              <w:t>0200</w:t>
            </w:r>
          </w:p>
        </w:tc>
        <w:tc>
          <w:tcPr>
            <w:tcW w:w="8003" w:type="dxa"/>
            <w:tcBorders>
              <w:top w:val="single" w:sz="4" w:space="0" w:color="1A171C"/>
              <w:left w:val="single" w:sz="4" w:space="0" w:color="1A171C"/>
              <w:bottom w:val="single" w:sz="4" w:space="0" w:color="1A171C"/>
              <w:right w:val="nil"/>
            </w:tcBorders>
            <w:vAlign w:val="center"/>
          </w:tcPr>
          <w:p w14:paraId="31D48F67" w14:textId="6F8A0F32" w:rsidR="00534D9A" w:rsidRDefault="003243B2">
            <w:pPr>
              <w:pStyle w:val="P68B1DB1-TableParagraph14"/>
              <w:spacing w:before="108"/>
              <w:rPr>
                <w:bCs/>
              </w:rPr>
            </w:pPr>
            <w:r>
              <w:t>Kapaċità ta’ onboarding — Għadd ta’ applikazzjonijiet minn klijent ġdid 1 jum tax-xogħol (Numru)</w:t>
            </w:r>
          </w:p>
          <w:p w14:paraId="2BBAFCB8" w14:textId="77777777" w:rsidR="00534D9A" w:rsidRDefault="003243B2">
            <w:pPr>
              <w:pStyle w:val="P68B1DB1-TableParagraph13"/>
              <w:spacing w:before="108"/>
            </w:pPr>
            <w:r>
              <w:t>L-istituzzjonijiet huma mitluba jipprovdu l-ogħla numru ta’ applikazzjonijiet fejn l-istituzzjoni tkun ivvalidat it-talba għal servizz bankarju.</w:t>
            </w:r>
          </w:p>
          <w:p w14:paraId="3F7DDDEF"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5AB7F16A" w14:textId="77777777" w:rsidR="00534D9A" w:rsidRDefault="003243B2">
            <w:pPr>
              <w:pStyle w:val="P68B1DB1-TableParagraph13"/>
              <w:spacing w:before="108"/>
              <w:jc w:val="both"/>
              <w:rPr>
                <w:b/>
                <w:bCs/>
              </w:rPr>
            </w:pPr>
            <w:r>
              <w:t xml:space="preserve">Il-kapaċità ta’ onboarding għal servizzi ta’ Pagament lill-MFIs, Servizzi ta’ ħlas lil dawk li mhumiex MFIs u Servizzi ta’ flus kontanti f’termini ta’ numru ta’ kontijiet ġodda hija espressa għal aktar minn 1 jum ta’ xogħol. </w:t>
            </w:r>
          </w:p>
          <w:p w14:paraId="10BCF6A2" w14:textId="77777777" w:rsidR="00534D9A" w:rsidRDefault="003243B2">
            <w:pPr>
              <w:pStyle w:val="P68B1DB1-TableParagraph13"/>
              <w:spacing w:before="108"/>
              <w:jc w:val="both"/>
              <w:rPr>
                <w:b/>
                <w:bCs/>
              </w:rPr>
            </w:pPr>
            <w:r>
              <w:t>L-istituzzjonijiet huma mistennija li jqisu l-perjodu ta’ żmien għall-onboarding ta’ klijenti ġodda minn meta klijent ġdid ikun applika għal servizz bankarju.</w:t>
            </w:r>
          </w:p>
          <w:p w14:paraId="54138520" w14:textId="77777777" w:rsidR="00534D9A" w:rsidRDefault="00534D9A">
            <w:pPr>
              <w:pStyle w:val="TableParagraph"/>
              <w:spacing w:before="108"/>
              <w:rPr>
                <w:rFonts w:ascii="Times New Roman" w:hAnsi="Times New Roman" w:cs="Times New Roman"/>
                <w:b/>
                <w:bCs/>
                <w:color w:val="000000" w:themeColor="text1"/>
                <w:sz w:val="20"/>
                <w:szCs w:val="20"/>
              </w:rPr>
            </w:pPr>
          </w:p>
        </w:tc>
      </w:tr>
      <w:tr w:rsidR="00534D9A" w14:paraId="2D232CA8" w14:textId="77777777">
        <w:tc>
          <w:tcPr>
            <w:tcW w:w="1080" w:type="dxa"/>
            <w:tcBorders>
              <w:top w:val="single" w:sz="4" w:space="0" w:color="1A171C"/>
              <w:left w:val="nil"/>
              <w:bottom w:val="single" w:sz="4" w:space="0" w:color="1A171C"/>
              <w:right w:val="single" w:sz="4" w:space="0" w:color="1A171C"/>
            </w:tcBorders>
            <w:vAlign w:val="center"/>
          </w:tcPr>
          <w:p w14:paraId="2162C590" w14:textId="3E29DAE4" w:rsidR="00534D9A" w:rsidRDefault="003243B2">
            <w:pPr>
              <w:pStyle w:val="P68B1DB1-TableParagraph17"/>
              <w:spacing w:before="108"/>
              <w:jc w:val="both"/>
            </w:pPr>
            <w:r>
              <w:t>0210</w:t>
            </w:r>
          </w:p>
        </w:tc>
        <w:tc>
          <w:tcPr>
            <w:tcW w:w="8003" w:type="dxa"/>
            <w:tcBorders>
              <w:top w:val="single" w:sz="4" w:space="0" w:color="1A171C"/>
              <w:left w:val="single" w:sz="4" w:space="0" w:color="1A171C"/>
              <w:bottom w:val="single" w:sz="4" w:space="0" w:color="1A171C"/>
              <w:right w:val="nil"/>
            </w:tcBorders>
            <w:vAlign w:val="center"/>
          </w:tcPr>
          <w:p w14:paraId="65DBE0BE" w14:textId="55EA2BB1" w:rsidR="00534D9A" w:rsidRDefault="003243B2">
            <w:pPr>
              <w:pStyle w:val="P68B1DB1-TableParagraph14"/>
              <w:spacing w:before="108"/>
              <w:rPr>
                <w:bCs/>
              </w:rPr>
            </w:pPr>
            <w:r>
              <w:t>Kapaċità ta’ onboarding — Għadd ta’ applikazzjonijiet minn klijenti ġodda ta’ aktar minn 7 jum ta’ xogħol (Numru)</w:t>
            </w:r>
          </w:p>
          <w:p w14:paraId="6C6045B8" w14:textId="77777777" w:rsidR="00534D9A" w:rsidRDefault="003243B2">
            <w:pPr>
              <w:pStyle w:val="P68B1DB1-TableParagraph13"/>
              <w:spacing w:before="108"/>
            </w:pPr>
            <w:r>
              <w:lastRenderedPageBreak/>
              <w:t>L-istituzzjonijiet huma mitluba jipprovdu l-ogħla numru ta’ applikazzjonijiet fejn l-istituzzjoni tkun ivvalidat it-talba għal servizz bankarju.</w:t>
            </w:r>
          </w:p>
          <w:p w14:paraId="59CBAFC9" w14:textId="77777777" w:rsidR="00534D9A" w:rsidRDefault="003243B2">
            <w:pPr>
              <w:pStyle w:val="P68B1DB1-TableParagraph13"/>
              <w:spacing w:before="108"/>
              <w:jc w:val="both"/>
            </w:pPr>
            <w:r>
              <w:t>Il-kapaċità ta’ onboarding għal servizzi ta’ Saldu tat-Titoli, servizzi ta’ kklerjar tas-CCP, Servizzi ta’ Kustodja f’termini ta’ għadd ta’ kontijiet ġodda hija espressa għal aktar minn 7 jum ta’ xogħol.</w:t>
            </w:r>
          </w:p>
          <w:p w14:paraId="7623A7E1" w14:textId="77777777" w:rsidR="00534D9A" w:rsidRDefault="003243B2">
            <w:pPr>
              <w:pStyle w:val="P68B1DB1-TableParagraph13"/>
              <w:spacing w:before="108"/>
              <w:jc w:val="both"/>
              <w:rPr>
                <w:b/>
                <w:bCs/>
              </w:rPr>
            </w:pPr>
            <w:r>
              <w:t>L-istituzzjonijiet huma mistennija li jqisu l-perjodu ta’ żmien għall-onboarding ta’ klijenti ġodda minn meta klijent ġdid ikun applika għal servizz bankarju.</w:t>
            </w:r>
          </w:p>
          <w:p w14:paraId="6541ECB8" w14:textId="7269F4A9" w:rsidR="00534D9A" w:rsidRDefault="00534D9A">
            <w:pPr>
              <w:pStyle w:val="TableParagraph"/>
              <w:spacing w:before="108"/>
              <w:rPr>
                <w:rFonts w:ascii="Times New Roman" w:hAnsi="Times New Roman" w:cs="Times New Roman"/>
                <w:b/>
                <w:bCs/>
                <w:color w:val="000000" w:themeColor="text1"/>
                <w:sz w:val="20"/>
                <w:szCs w:val="20"/>
              </w:rPr>
            </w:pPr>
          </w:p>
        </w:tc>
      </w:tr>
      <w:tr w:rsidR="00534D9A" w14:paraId="7FE1BC3F" w14:textId="77777777">
        <w:tc>
          <w:tcPr>
            <w:tcW w:w="1080" w:type="dxa"/>
            <w:tcBorders>
              <w:top w:val="single" w:sz="4" w:space="0" w:color="1A171C"/>
              <w:left w:val="nil"/>
              <w:bottom w:val="single" w:sz="4" w:space="0" w:color="1A171C"/>
              <w:right w:val="single" w:sz="4" w:space="0" w:color="1A171C"/>
            </w:tcBorders>
            <w:vAlign w:val="center"/>
          </w:tcPr>
          <w:p w14:paraId="7FE1BC3D" w14:textId="77777777" w:rsidR="00534D9A" w:rsidRDefault="003243B2">
            <w:pPr>
              <w:pStyle w:val="P68B1DB1-TableParagraph17"/>
              <w:spacing w:before="108"/>
              <w:jc w:val="both"/>
            </w:pPr>
            <w:r>
              <w:lastRenderedPageBreak/>
              <w:t>0230–0250</w:t>
            </w:r>
          </w:p>
        </w:tc>
        <w:tc>
          <w:tcPr>
            <w:tcW w:w="8003" w:type="dxa"/>
            <w:tcBorders>
              <w:top w:val="single" w:sz="4" w:space="0" w:color="1A171C"/>
              <w:left w:val="single" w:sz="4" w:space="0" w:color="1A171C"/>
              <w:bottom w:val="single" w:sz="4" w:space="0" w:color="1A171C"/>
              <w:right w:val="nil"/>
            </w:tcBorders>
            <w:vAlign w:val="center"/>
          </w:tcPr>
          <w:p w14:paraId="7FE1BC3E" w14:textId="77777777" w:rsidR="00534D9A" w:rsidRDefault="003243B2">
            <w:pPr>
              <w:pStyle w:val="P68B1DB1-TableParagraph14"/>
              <w:spacing w:before="108"/>
              <w:rPr>
                <w:bCs/>
              </w:rPr>
            </w:pPr>
            <w:r>
              <w:t>Valutazzjoni tal-Kritiċità</w:t>
            </w:r>
          </w:p>
        </w:tc>
      </w:tr>
      <w:tr w:rsidR="00534D9A" w14:paraId="7FE1BC45" w14:textId="77777777">
        <w:tc>
          <w:tcPr>
            <w:tcW w:w="1080" w:type="dxa"/>
            <w:tcBorders>
              <w:top w:val="single" w:sz="4" w:space="0" w:color="1A171C"/>
              <w:left w:val="nil"/>
              <w:bottom w:val="single" w:sz="4" w:space="0" w:color="1A171C"/>
              <w:right w:val="single" w:sz="4" w:space="0" w:color="1A171C"/>
            </w:tcBorders>
            <w:vAlign w:val="center"/>
          </w:tcPr>
          <w:p w14:paraId="7FE1BC40" w14:textId="77777777" w:rsidR="00534D9A" w:rsidRDefault="003243B2">
            <w:pPr>
              <w:pStyle w:val="P68B1DB1-TableParagraph17"/>
              <w:spacing w:before="108"/>
              <w:jc w:val="both"/>
            </w:pPr>
            <w:r>
              <w:t>0230</w:t>
            </w:r>
          </w:p>
        </w:tc>
        <w:tc>
          <w:tcPr>
            <w:tcW w:w="8003" w:type="dxa"/>
            <w:tcBorders>
              <w:top w:val="single" w:sz="4" w:space="0" w:color="1A171C"/>
              <w:left w:val="single" w:sz="4" w:space="0" w:color="1A171C"/>
              <w:bottom w:val="single" w:sz="4" w:space="0" w:color="1A171C"/>
              <w:right w:val="nil"/>
            </w:tcBorders>
            <w:vAlign w:val="center"/>
          </w:tcPr>
          <w:p w14:paraId="7FE1BC41" w14:textId="77777777" w:rsidR="00534D9A" w:rsidRDefault="003243B2">
            <w:pPr>
              <w:pStyle w:val="P68B1DB1-TableParagraph13"/>
              <w:spacing w:before="108"/>
            </w:pPr>
            <w:r>
              <w:t xml:space="preserve">L-impatt fuq is-suq </w:t>
            </w:r>
          </w:p>
          <w:p w14:paraId="7FE1BC42" w14:textId="77777777" w:rsidR="00534D9A" w:rsidRDefault="003243B2">
            <w:pPr>
              <w:pStyle w:val="P68B1DB1-TableParagraph13"/>
              <w:spacing w:before="108"/>
            </w:pPr>
            <w:r>
              <w:t>L-impatt stmat ta’ waqfien f’daqqa tal-funzjoni fuq partijiet terzi, swieq finanzjarji u l-ekonomija reali, filwaqt li jitqiesu d-daqs, is-sehem mis-suq fil-pajjiż, l-interkonnettività esterna u interna, il-kumplessità, u l-attivitajiet transfruntiera tal-istituzzjoni.</w:t>
            </w:r>
          </w:p>
          <w:p w14:paraId="7FE1BC43" w14:textId="46266FB9" w:rsidR="00534D9A" w:rsidRDefault="003243B2">
            <w:pPr>
              <w:pStyle w:val="P68B1DB1-TableParagraph13"/>
              <w:spacing w:before="108"/>
            </w:pPr>
            <w:r>
              <w:t>Din il-valutazzjoni għandha tiġi espressa b’mod kwalitattiv bħala “Għoli”, “Medja għolja”, “Medja baxxa” jew “Baxxa”.</w:t>
            </w:r>
          </w:p>
          <w:p w14:paraId="7FE1BC44" w14:textId="7CCB4614" w:rsidR="00534D9A" w:rsidRDefault="003243B2">
            <w:pPr>
              <w:pStyle w:val="P68B1DB1-TableParagraph13"/>
              <w:spacing w:before="108"/>
            </w:pPr>
            <w:r>
              <w:t>“High” għandha tintgħażel jekk il-waqfien għal għarrieda jkollu impatt kbir fuq is-suq nazzjonali; “Medju-għoli” jekk l-impatt ikun sinifikanti; “Medju-baxx” jekk l-impatt ikun materjali, iżda limitat; u “B” jekk l-impatt ikun baxx.</w:t>
            </w:r>
          </w:p>
        </w:tc>
      </w:tr>
      <w:tr w:rsidR="00534D9A" w14:paraId="7FE1BC52" w14:textId="77777777">
        <w:tc>
          <w:tcPr>
            <w:tcW w:w="1080" w:type="dxa"/>
            <w:tcBorders>
              <w:top w:val="single" w:sz="4" w:space="0" w:color="1A171C"/>
              <w:left w:val="nil"/>
              <w:bottom w:val="single" w:sz="4" w:space="0" w:color="1A171C"/>
              <w:right w:val="single" w:sz="4" w:space="0" w:color="1A171C"/>
            </w:tcBorders>
            <w:vAlign w:val="center"/>
          </w:tcPr>
          <w:p w14:paraId="7FE1BC46" w14:textId="77777777" w:rsidR="00534D9A" w:rsidRDefault="003243B2">
            <w:pPr>
              <w:pStyle w:val="P68B1DB1-TableParagraph17"/>
              <w:spacing w:before="108"/>
              <w:jc w:val="both"/>
            </w:pPr>
            <w:r>
              <w:t>0240</w:t>
            </w:r>
          </w:p>
        </w:tc>
        <w:tc>
          <w:tcPr>
            <w:tcW w:w="8003" w:type="dxa"/>
            <w:tcBorders>
              <w:top w:val="single" w:sz="4" w:space="0" w:color="1A171C"/>
              <w:left w:val="single" w:sz="4" w:space="0" w:color="1A171C"/>
              <w:bottom w:val="single" w:sz="4" w:space="0" w:color="1A171C"/>
              <w:right w:val="nil"/>
            </w:tcBorders>
            <w:vAlign w:val="center"/>
          </w:tcPr>
          <w:p w14:paraId="7FE1BC47" w14:textId="77777777" w:rsidR="00534D9A" w:rsidRDefault="003243B2">
            <w:pPr>
              <w:pStyle w:val="P68B1DB1-TableParagraph14"/>
              <w:spacing w:before="108"/>
              <w:rPr>
                <w:bCs/>
              </w:rPr>
            </w:pPr>
            <w:r>
              <w:t>Is-sostitwibbiltà</w:t>
            </w:r>
          </w:p>
          <w:p w14:paraId="7FE1BC48" w14:textId="77777777" w:rsidR="00534D9A" w:rsidRDefault="003243B2">
            <w:pPr>
              <w:pStyle w:val="P68B1DB1-TableParagraph13"/>
              <w:spacing w:before="108"/>
            </w:pPr>
            <w:r>
              <w:t>L-Artikolu 6(3) tar-Regolament Delegat (UE) 2016/778.</w:t>
            </w:r>
          </w:p>
          <w:p w14:paraId="7FE1BC49" w14:textId="77777777" w:rsidR="00534D9A" w:rsidRDefault="003243B2">
            <w:pPr>
              <w:pStyle w:val="P68B1DB1-TableParagraph13"/>
              <w:spacing w:before="108"/>
            </w:pPr>
            <w:r>
              <w:t>Funzjoni titqies bħala sostitwibbli fejn din tista’ tiġi ssostitwita b’mod aċċettabbli u fi żmien raġonevoli u b’hekk jiġu evitati problemi sistemiċi għall-ekonomija reali u għas-swieq finanzjarji. Għandhom jitqiesu l-punti li ġejjin:</w:t>
            </w:r>
          </w:p>
          <w:p w14:paraId="7FE1BC4A" w14:textId="77777777" w:rsidR="00534D9A" w:rsidRDefault="003243B2">
            <w:pPr>
              <w:pStyle w:val="P68B1DB1-TableParagraph13"/>
              <w:spacing w:before="108"/>
            </w:pPr>
            <w:r>
              <w:t xml:space="preserve">(a) l-istruttura tas-suq għal dik il-funzjoni u d-disponibbiltà ta’ fornituri alternattivi; </w:t>
            </w:r>
          </w:p>
          <w:p w14:paraId="7FE1BC4B" w14:textId="77777777" w:rsidR="00534D9A" w:rsidRDefault="003243B2">
            <w:pPr>
              <w:pStyle w:val="P68B1DB1-TableParagraph13"/>
              <w:spacing w:before="108"/>
            </w:pPr>
            <w:r>
              <w:t xml:space="preserve">(b) l-abbiltà ta’ fornituri oħra f’termini ta’ kapaċità, ir-rekwiżiti biex iwettqu l-funzjoni, u ostakli potenzjali għad-dħul jew l-espansjoni; </w:t>
            </w:r>
          </w:p>
          <w:p w14:paraId="7FE1BC4C" w14:textId="77777777" w:rsidR="00534D9A" w:rsidRDefault="003243B2">
            <w:pPr>
              <w:pStyle w:val="P68B1DB1-TableParagraph13"/>
              <w:spacing w:before="108"/>
            </w:pPr>
            <w:r>
              <w:t xml:space="preserve">(c) l-inċentiv ta’ fornituri oħra biex iwettqu dawn l-attivitajiet; </w:t>
            </w:r>
          </w:p>
          <w:p w14:paraId="7FE1BC4D" w14:textId="77777777" w:rsidR="00534D9A" w:rsidRDefault="003243B2">
            <w:pPr>
              <w:pStyle w:val="P68B1DB1-TableParagraph13"/>
              <w:spacing w:before="108"/>
            </w:pPr>
            <w:r>
              <w:t>(d) iż-żmien meħtieġ mill-utenti tas-servizz biex jittrażlokaw għall-fornitur il-ġdid ta’ servizzi u l-ispejjeż taċ-ċaqliq, iż-żmien meħtieġ għal kompetituri oħra biex jieħdu f’idejhom il-funzjonijiet u jekk dak iż-żmien huwiex biżżejjed biex jiġi evitat tfixkil sinifikanti skont it-tip ta’ servizz.</w:t>
            </w:r>
          </w:p>
          <w:p w14:paraId="7FE1BC4E" w14:textId="5259F9E9" w:rsidR="00534D9A" w:rsidRDefault="003243B2">
            <w:pPr>
              <w:pStyle w:val="P68B1DB1-TableParagraph13"/>
              <w:spacing w:before="108"/>
            </w:pPr>
            <w:r>
              <w:t xml:space="preserve">Ipprovdi valutazzjoni ġenerali tal-grad mistenni ta’ sostitwibbiltà għal kull funzjoni, filwaqt li tqis id-dimensjonijiet differenti vvalutati qabel (is-sehem mis-suq, il-konċentrazzjoni tas-suq, iż-żmien għas-sostituzzjoni, l-ostakli legali, u r-rekwiżiti operazzjonali għad-dħul jew l-espansjoni). Din il-valutazzjoni għandha tiġi espressa b’mod kwalitattiv bħala “Għoli”, “Medja għolja”, “Medja baxxa” jew “Baxxa”. </w:t>
            </w:r>
          </w:p>
          <w:p w14:paraId="7FE1BC4F" w14:textId="2848C2C9" w:rsidR="00534D9A" w:rsidRDefault="003243B2">
            <w:pPr>
              <w:pStyle w:val="P68B1DB1-TableParagraph13"/>
              <w:spacing w:before="108"/>
            </w:pPr>
            <w:r>
              <w:t>“High” għandha tintgħażel jekk funzjoni tkun tista’ faċilment tiġi pprovduta minn bank ieħor taħt kundizzjonijiet paragunabbli fi żmien raġonevoli;</w:t>
            </w:r>
          </w:p>
          <w:p w14:paraId="7FE1BC50" w14:textId="60D54ED6" w:rsidR="00534D9A" w:rsidRDefault="003243B2">
            <w:pPr>
              <w:pStyle w:val="P68B1DB1-TableParagraph13"/>
              <w:spacing w:before="108"/>
            </w:pPr>
            <w:r>
              <w:t xml:space="preserve">“Low” jekk funzjoni ma tkunx tista’ tiġi sostitwita faċilment jew f’qasir żmien; </w:t>
            </w:r>
          </w:p>
          <w:p w14:paraId="7FE1BC51" w14:textId="0F9A1660" w:rsidR="00534D9A" w:rsidRDefault="003243B2">
            <w:pPr>
              <w:pStyle w:val="P68B1DB1-TableParagraph13"/>
              <w:spacing w:before="108"/>
            </w:pPr>
            <w:r>
              <w:t>“MH” u “ML” għal każijiet intermedji li jqisu dimensjonijiet differenti (pereż. is-sehem mis-suq, il-konċentrazzjoni tas-suq, il-ħin għas-sostituzzjoni, kif ukoll l-ostakoli ġuridiċi u r-rekwiżiti operazzjonali għad-dħul jew għall-espansjoni)</w:t>
            </w:r>
          </w:p>
        </w:tc>
      </w:tr>
      <w:tr w:rsidR="00534D9A" w14:paraId="7FE1BC57" w14:textId="77777777">
        <w:tc>
          <w:tcPr>
            <w:tcW w:w="1080" w:type="dxa"/>
            <w:tcBorders>
              <w:top w:val="single" w:sz="4" w:space="0" w:color="1A171C"/>
              <w:left w:val="nil"/>
              <w:bottom w:val="single" w:sz="4" w:space="0" w:color="1A171C"/>
              <w:right w:val="single" w:sz="4" w:space="0" w:color="1A171C"/>
            </w:tcBorders>
            <w:vAlign w:val="center"/>
          </w:tcPr>
          <w:p w14:paraId="7FE1BC53" w14:textId="77777777" w:rsidR="00534D9A" w:rsidRDefault="003243B2">
            <w:pPr>
              <w:pStyle w:val="P68B1DB1-TableParagraph17"/>
              <w:spacing w:before="108"/>
              <w:jc w:val="both"/>
            </w:pPr>
            <w:r>
              <w:t>0250</w:t>
            </w:r>
          </w:p>
        </w:tc>
        <w:tc>
          <w:tcPr>
            <w:tcW w:w="8003" w:type="dxa"/>
            <w:tcBorders>
              <w:top w:val="single" w:sz="4" w:space="0" w:color="1A171C"/>
              <w:left w:val="single" w:sz="4" w:space="0" w:color="1A171C"/>
              <w:bottom w:val="single" w:sz="4" w:space="0" w:color="1A171C"/>
              <w:right w:val="nil"/>
            </w:tcBorders>
            <w:vAlign w:val="center"/>
          </w:tcPr>
          <w:p w14:paraId="7FE1BC54" w14:textId="77777777" w:rsidR="00534D9A" w:rsidRDefault="003243B2">
            <w:pPr>
              <w:pStyle w:val="P68B1DB1-TableParagraph14"/>
              <w:spacing w:before="108"/>
              <w:rPr>
                <w:bCs/>
              </w:rPr>
            </w:pPr>
            <w:r>
              <w:t>Il-Funzjoni Kritika</w:t>
            </w:r>
          </w:p>
          <w:p w14:paraId="7FE1BC55" w14:textId="77777777" w:rsidR="00534D9A" w:rsidRDefault="003243B2">
            <w:pPr>
              <w:pStyle w:val="P68B1DB1-TableParagraph13"/>
              <w:spacing w:before="108"/>
            </w:pPr>
            <w:r>
              <w:t>F’din il-kolonna għandu jiġi rrapportat jekk, meta titqies l-analiżi tal-impatt u tas-sostitwibbiltà mwettqa mill-istituzzjoni, il-funzjoni ekonomika titqiesx bħala kritika fis-suq għall-pajjiż rilevanti.</w:t>
            </w:r>
          </w:p>
          <w:p w14:paraId="7FE1BC56" w14:textId="77777777" w:rsidR="00534D9A" w:rsidRDefault="003243B2">
            <w:pPr>
              <w:pStyle w:val="P68B1DB1-TableParagraph13"/>
              <w:spacing w:before="108"/>
            </w:pPr>
            <w:r>
              <w:t>Irrapporta “Iva” jew “Le”</w:t>
            </w:r>
          </w:p>
        </w:tc>
      </w:tr>
      <w:tr w:rsidR="00534D9A" w14:paraId="7FE1BC5B" w14:textId="77777777">
        <w:tc>
          <w:tcPr>
            <w:tcW w:w="1080" w:type="dxa"/>
            <w:tcBorders>
              <w:top w:val="single" w:sz="4" w:space="0" w:color="1A171C"/>
              <w:left w:val="nil"/>
              <w:bottom w:val="single" w:sz="4" w:space="0" w:color="1A171C"/>
              <w:right w:val="single" w:sz="4" w:space="0" w:color="1A171C"/>
            </w:tcBorders>
            <w:vAlign w:val="center"/>
          </w:tcPr>
          <w:p w14:paraId="7FE1BC58" w14:textId="77777777" w:rsidR="00534D9A" w:rsidRDefault="003243B2">
            <w:pPr>
              <w:pStyle w:val="P68B1DB1-TableParagraph17"/>
              <w:spacing w:before="108"/>
              <w:jc w:val="both"/>
            </w:pPr>
            <w:r>
              <w:lastRenderedPageBreak/>
              <w:t>0260</w:t>
            </w:r>
          </w:p>
        </w:tc>
        <w:tc>
          <w:tcPr>
            <w:tcW w:w="8003" w:type="dxa"/>
            <w:tcBorders>
              <w:top w:val="single" w:sz="4" w:space="0" w:color="1A171C"/>
              <w:left w:val="single" w:sz="4" w:space="0" w:color="1A171C"/>
              <w:bottom w:val="single" w:sz="4" w:space="0" w:color="1A171C"/>
              <w:right w:val="nil"/>
            </w:tcBorders>
            <w:vAlign w:val="center"/>
          </w:tcPr>
          <w:p w14:paraId="7FE1BC59" w14:textId="77777777" w:rsidR="00534D9A" w:rsidRDefault="003243B2">
            <w:pPr>
              <w:pStyle w:val="P68B1DB1-TableParagraph14"/>
              <w:spacing w:before="108"/>
              <w:rPr>
                <w:bCs/>
              </w:rPr>
            </w:pPr>
            <w:r>
              <w:t>Kummenti mill-Grupp</w:t>
            </w:r>
          </w:p>
          <w:p w14:paraId="7FE1BC5A" w14:textId="77777777" w:rsidR="00534D9A" w:rsidRDefault="003243B2">
            <w:pPr>
              <w:pStyle w:val="P68B1DB1-TableParagraph13"/>
              <w:spacing w:before="108"/>
            </w:pPr>
            <w:r>
              <w:t>Din il-kaxxa tippermetti lill-entità relatriċi tispjega kwalunkwe suppożizzjoni użata fil-valutazzjoni tal-kritikalità tal-funzjoni (jiet) irrapportata/i.</w:t>
            </w:r>
          </w:p>
        </w:tc>
      </w:tr>
    </w:tbl>
    <w:p w14:paraId="7FE1BC5C" w14:textId="77777777" w:rsidR="00534D9A" w:rsidRDefault="00534D9A">
      <w:pPr>
        <w:pStyle w:val="Instructionsberschrift2"/>
        <w:rPr>
          <w:rFonts w:ascii="Times New Roman" w:hAnsi="Times New Roman" w:cs="Times New Roman"/>
        </w:rPr>
      </w:pPr>
    </w:p>
    <w:p w14:paraId="7FE1BC5D" w14:textId="5C971E12" w:rsidR="00534D9A" w:rsidRDefault="003243B2">
      <w:pPr>
        <w:pStyle w:val="P68B1DB1-Instructionsberschrift25"/>
      </w:pPr>
      <w:bookmarkStart w:id="119" w:name="_Toc208245007"/>
      <w:r>
        <w:t>II.13</w:t>
      </w:r>
      <w:r>
        <w:tab/>
        <w:t>Z 07.01.4 FUNC 1 CM</w:t>
      </w:r>
      <w:bookmarkEnd w:id="119"/>
    </w:p>
    <w:p w14:paraId="7FE1BC65" w14:textId="77777777" w:rsidR="00534D9A" w:rsidRDefault="00534D9A">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34D9A" w14:paraId="7FE1BC68"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C66" w14:textId="77777777" w:rsidR="00534D9A" w:rsidRDefault="003243B2">
            <w:pPr>
              <w:pStyle w:val="P68B1DB1-TableParagraph17"/>
              <w:spacing w:before="108"/>
              <w:ind w:left="85"/>
              <w:jc w:val="both"/>
            </w:pPr>
            <w:r>
              <w:t>Kolonni</w:t>
            </w:r>
          </w:p>
        </w:tc>
        <w:tc>
          <w:tcPr>
            <w:tcW w:w="8003" w:type="dxa"/>
            <w:tcBorders>
              <w:top w:val="single" w:sz="4" w:space="0" w:color="1A171C"/>
              <w:left w:val="single" w:sz="4" w:space="0" w:color="1A171C"/>
              <w:bottom w:val="single" w:sz="4" w:space="0" w:color="1A171C"/>
              <w:right w:val="nil"/>
            </w:tcBorders>
            <w:shd w:val="clear" w:color="auto" w:fill="E4E5E5"/>
          </w:tcPr>
          <w:p w14:paraId="7FE1BC67" w14:textId="77777777" w:rsidR="00534D9A" w:rsidRDefault="003243B2">
            <w:pPr>
              <w:pStyle w:val="P68B1DB1-TableParagraph17"/>
              <w:spacing w:before="108"/>
              <w:ind w:left="85" w:right="1"/>
              <w:jc w:val="both"/>
            </w:pPr>
            <w:r>
              <w:t>Struzzjonijiet</w:t>
            </w:r>
          </w:p>
        </w:tc>
      </w:tr>
      <w:tr w:rsidR="00534D9A" w14:paraId="7FE1BC6C" w14:textId="77777777">
        <w:tc>
          <w:tcPr>
            <w:tcW w:w="1080" w:type="dxa"/>
            <w:tcBorders>
              <w:top w:val="single" w:sz="4" w:space="0" w:color="1A171C"/>
              <w:left w:val="nil"/>
              <w:bottom w:val="single" w:sz="4" w:space="0" w:color="1A171C"/>
              <w:right w:val="single" w:sz="4" w:space="0" w:color="1A171C"/>
            </w:tcBorders>
            <w:vAlign w:val="center"/>
          </w:tcPr>
          <w:p w14:paraId="7FE1BC69" w14:textId="77777777" w:rsidR="00534D9A" w:rsidRDefault="003243B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C6A" w14:textId="77777777" w:rsidR="00534D9A" w:rsidRDefault="003243B2">
            <w:pPr>
              <w:pStyle w:val="P68B1DB1-TableParagraph14"/>
              <w:spacing w:before="108"/>
              <w:ind w:left="85"/>
              <w:jc w:val="both"/>
              <w:rPr>
                <w:bCs/>
              </w:rPr>
            </w:pPr>
            <w:r>
              <w:t>Il-funzjonijiet ekonomiċi kif definiti hawn fuq Kolonni Struzzjonijiet 0010 Id-deskrizzjoni ta’ funzjoni ekonomika</w:t>
            </w:r>
          </w:p>
          <w:p w14:paraId="7FE1BC6B" w14:textId="673475F1" w:rsidR="00534D9A" w:rsidRDefault="003243B2">
            <w:pPr>
              <w:pStyle w:val="TableParagraph"/>
              <w:spacing w:before="108"/>
              <w:ind w:left="85"/>
              <w:rPr>
                <w:rFonts w:ascii="Times New Roman" w:eastAsia="Cambria" w:hAnsi="Times New Roman" w:cs="Times New Roman"/>
                <w:color w:val="000000" w:themeColor="text1"/>
                <w:sz w:val="20"/>
                <w:szCs w:val="20"/>
              </w:rPr>
            </w:pPr>
            <w:r>
              <w:rPr>
                <w:rFonts w:ascii="Times New Roman" w:eastAsia="Cambria" w:hAnsi="Times New Roman" w:cs="Times New Roman"/>
                <w:color w:val="000000" w:themeColor="text1"/>
                <w:sz w:val="20"/>
                <w:szCs w:val="20"/>
              </w:rPr>
              <w:t>Meta l-funzjoni ekonomika tkun tat-tip “Oħrajn” (</w:t>
            </w:r>
            <w:r>
              <w:t xml:space="preserve">Z 07.01.4 FUNC 1 CM </w:t>
            </w:r>
            <w:r>
              <w:rPr>
                <w:rFonts w:ascii="Times New Roman" w:eastAsia="Cambria" w:hAnsi="Times New Roman" w:cs="Times New Roman"/>
                <w:color w:val="000000" w:themeColor="text1"/>
                <w:sz w:val="20"/>
                <w:szCs w:val="20"/>
              </w:rPr>
              <w:t xml:space="preserve">r0290 sa r0310), għandha tiġi pprovduta deskrizzjoni ta’ dik il-funzjoni. </w:t>
            </w:r>
          </w:p>
        </w:tc>
      </w:tr>
      <w:tr w:rsidR="00534D9A" w14:paraId="7FE1BC70" w14:textId="77777777">
        <w:tc>
          <w:tcPr>
            <w:tcW w:w="1080" w:type="dxa"/>
            <w:tcBorders>
              <w:top w:val="single" w:sz="4" w:space="0" w:color="1A171C"/>
              <w:left w:val="nil"/>
              <w:bottom w:val="single" w:sz="4" w:space="0" w:color="1A171C"/>
              <w:right w:val="single" w:sz="4" w:space="0" w:color="1A171C"/>
            </w:tcBorders>
            <w:vAlign w:val="center"/>
          </w:tcPr>
          <w:p w14:paraId="7FE1BC6D" w14:textId="77777777" w:rsidR="00534D9A" w:rsidRDefault="003243B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C6E" w14:textId="77777777" w:rsidR="00534D9A" w:rsidRDefault="003243B2">
            <w:pPr>
              <w:pStyle w:val="P68B1DB1-TableParagraph14"/>
              <w:spacing w:before="108"/>
              <w:ind w:left="85"/>
              <w:jc w:val="both"/>
              <w:rPr>
                <w:bCs/>
              </w:rPr>
            </w:pPr>
            <w:r>
              <w:t xml:space="preserve">Sehem mis-suq </w:t>
            </w:r>
          </w:p>
          <w:p w14:paraId="7FE1BC6F" w14:textId="629D801B" w:rsidR="00534D9A" w:rsidRDefault="003243B2">
            <w:pPr>
              <w:pStyle w:val="P68B1DB1-TableParagraph17"/>
              <w:spacing w:before="108"/>
              <w:ind w:left="85"/>
            </w:pPr>
            <w:r>
              <w:t>L-istima tas-sehem mis-suq tal-istituzzjoni jew tal-grupp għall-funzjoni ekonomika fil-pajjiż jew fil-ġeografija rispettiv. Perċentwal tas-suq totali f’termini tal-ammont nozzjonali għad-derivattivi; l-ammont riportat għas-swieq sekondarji u l-introjtu mit-tariffi għas-swieq primarji.</w:t>
            </w:r>
          </w:p>
        </w:tc>
      </w:tr>
      <w:tr w:rsidR="00534D9A" w14:paraId="7FE1BC77" w14:textId="77777777">
        <w:tc>
          <w:tcPr>
            <w:tcW w:w="1080" w:type="dxa"/>
            <w:tcBorders>
              <w:top w:val="single" w:sz="4" w:space="0" w:color="1A171C"/>
              <w:left w:val="nil"/>
              <w:bottom w:val="single" w:sz="4" w:space="0" w:color="1A171C"/>
              <w:right w:val="single" w:sz="4" w:space="0" w:color="1A171C"/>
            </w:tcBorders>
            <w:vAlign w:val="center"/>
          </w:tcPr>
          <w:p w14:paraId="7FE1BC71" w14:textId="77777777" w:rsidR="00534D9A" w:rsidRDefault="003243B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C72" w14:textId="77777777" w:rsidR="00534D9A" w:rsidRDefault="003243B2">
            <w:pPr>
              <w:pStyle w:val="P68B1DB1-TableParagraph14"/>
              <w:spacing w:before="108"/>
              <w:rPr>
                <w:bCs/>
              </w:rPr>
            </w:pPr>
            <w:r>
              <w:t>Ammont nozzjonali</w:t>
            </w:r>
          </w:p>
          <w:p w14:paraId="7FE1BC73" w14:textId="77777777" w:rsidR="00534D9A" w:rsidRDefault="003243B2">
            <w:pPr>
              <w:pStyle w:val="P68B1DB1-TableParagraph17"/>
              <w:spacing w:before="108"/>
            </w:pPr>
            <w:r>
              <w:t xml:space="preserve">ammont nominali gross tan-negozji kollha konklużi u għadhom mhux issaldati fid-data ta’ referenza. </w:t>
            </w:r>
          </w:p>
          <w:p w14:paraId="7FE1BC74" w14:textId="77777777" w:rsidR="00534D9A" w:rsidRDefault="003243B2">
            <w:pPr>
              <w:pStyle w:val="P68B1DB1-TableParagraph17"/>
              <w:spacing w:before="108"/>
            </w:pPr>
            <w:r>
              <w:t>Referenzi: FINREP, l-Anness V, il-Parti 2, il-paragrafu 133 għad-definizzjoni; għad-data FINREP, l-Annessi III; IV u V:</w:t>
            </w:r>
          </w:p>
          <w:p w14:paraId="7FE1BC75" w14:textId="77777777" w:rsidR="00534D9A" w:rsidRDefault="003243B2">
            <w:pPr>
              <w:pStyle w:val="P68B1DB1-TableParagraph17"/>
              <w:spacing w:before="108"/>
            </w:pPr>
            <w:r>
              <w:t>— It-total tad-derivattivi (4.1–4.2): Il-mudell F 10.00, il-kolonna 030, ir-ringiela 290.</w:t>
            </w:r>
          </w:p>
          <w:p w14:paraId="7FE1BC76" w14:textId="77777777" w:rsidR="00534D9A" w:rsidRDefault="003243B2">
            <w:pPr>
              <w:pStyle w:val="P68B1DB1-TableParagraph17"/>
              <w:spacing w:before="108"/>
            </w:pPr>
            <w:r>
              <w:t>— Id-derivattivi OTC (4.1): Il-mudell F 10.00, il-kolonna 030, ir-ringieli 300+ 310+ 320.</w:t>
            </w:r>
          </w:p>
        </w:tc>
      </w:tr>
      <w:tr w:rsidR="00534D9A" w14:paraId="7FE1BC7C" w14:textId="77777777">
        <w:tc>
          <w:tcPr>
            <w:tcW w:w="1080" w:type="dxa"/>
            <w:tcBorders>
              <w:top w:val="single" w:sz="4" w:space="0" w:color="1A171C"/>
              <w:left w:val="nil"/>
              <w:bottom w:val="single" w:sz="4" w:space="0" w:color="1A171C"/>
              <w:right w:val="single" w:sz="4" w:space="0" w:color="1A171C"/>
            </w:tcBorders>
            <w:vAlign w:val="center"/>
          </w:tcPr>
          <w:p w14:paraId="7FE1BC78" w14:textId="77777777" w:rsidR="00534D9A" w:rsidRDefault="003243B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C79" w14:textId="77777777" w:rsidR="00534D9A" w:rsidRDefault="003243B2">
            <w:pPr>
              <w:pStyle w:val="P68B1DB1-TableParagraph14"/>
              <w:spacing w:before="108"/>
              <w:rPr>
                <w:bCs/>
              </w:rPr>
            </w:pPr>
            <w:r>
              <w:t>Ammont riportat</w:t>
            </w:r>
          </w:p>
          <w:p w14:paraId="7FE1BC7A" w14:textId="77777777" w:rsidR="00534D9A" w:rsidRDefault="003243B2">
            <w:pPr>
              <w:pStyle w:val="P68B1DB1-TableParagraph17"/>
              <w:spacing w:before="108"/>
            </w:pPr>
            <w:r>
              <w:t>Assi tal-valur riportat — il-valur riportat li jrid jiġi rrapportat fuq in-naħa tal-assi tal-karta bilanċjali, inkluż l-imgħax dovut [FINREP: L-Anness V, il-Parti 1, il-paragrafu 27] għal strumenti ta’ ekwità u titoli ta’ dejn [FINREP: L-Anness V, il-Parti 1, il-paragrafu 31], ikklassifikat bħala “Miżmum għan-Negozju” [FINREP: L-Anness V, il-Parti 1, il-paragrafu 15, il-punt (a) u l-paragrafu 16, il-punt (a)].</w:t>
            </w:r>
          </w:p>
          <w:p w14:paraId="7FE1BC7B" w14:textId="77777777" w:rsidR="00534D9A" w:rsidRDefault="003243B2">
            <w:pPr>
              <w:pStyle w:val="P68B1DB1-TableParagraph17"/>
              <w:spacing w:before="108"/>
            </w:pPr>
            <w:r>
              <w:t>Referenza: FINREP: L-Anness III, il-Mudell F 04.01, il-kolonna 010, ir-ringieli 010+ 060+ 120.</w:t>
            </w:r>
          </w:p>
        </w:tc>
      </w:tr>
      <w:tr w:rsidR="00534D9A" w14:paraId="7FE1BC81" w14:textId="77777777">
        <w:tc>
          <w:tcPr>
            <w:tcW w:w="1080" w:type="dxa"/>
            <w:tcBorders>
              <w:top w:val="single" w:sz="4" w:space="0" w:color="1A171C"/>
              <w:left w:val="nil"/>
              <w:bottom w:val="single" w:sz="4" w:space="0" w:color="1A171C"/>
              <w:right w:val="single" w:sz="4" w:space="0" w:color="1A171C"/>
            </w:tcBorders>
            <w:vAlign w:val="center"/>
          </w:tcPr>
          <w:p w14:paraId="7FE1BC7D" w14:textId="77777777" w:rsidR="00534D9A" w:rsidRDefault="003243B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C7E" w14:textId="77777777" w:rsidR="00534D9A" w:rsidRDefault="003243B2">
            <w:pPr>
              <w:pStyle w:val="P68B1DB1-TableParagraph14"/>
              <w:spacing w:before="108"/>
              <w:jc w:val="both"/>
              <w:rPr>
                <w:bCs/>
              </w:rPr>
            </w:pPr>
            <w:r>
              <w:t>Dħul minn miżati</w:t>
            </w:r>
          </w:p>
          <w:p w14:paraId="7FE1BC7F" w14:textId="77777777" w:rsidR="00534D9A" w:rsidRDefault="003243B2">
            <w:pPr>
              <w:pStyle w:val="P68B1DB1-TableParagraph13"/>
              <w:spacing w:before="108"/>
              <w:jc w:val="both"/>
            </w:pPr>
            <w:r>
              <w:t>Tariffi u kummissjonijiet riċevuti għall-involviment fl-oriġinazzjoni jew il-ħruġ ta’ titoli mhux oriġinati jew maħruġin mill-istituzzjoni.</w:t>
            </w:r>
          </w:p>
          <w:p w14:paraId="7FE1BC80" w14:textId="77777777" w:rsidR="00534D9A" w:rsidRDefault="003243B2">
            <w:pPr>
              <w:pStyle w:val="P68B1DB1-TableParagraph13"/>
              <w:spacing w:before="108"/>
              <w:jc w:val="both"/>
            </w:pPr>
            <w:r>
              <w:t>Referenza: FINREP: L-Anness III, IV il-Mudell F 22.01, il-kolonna 010, ir-ringieli 030+ 180.</w:t>
            </w:r>
          </w:p>
        </w:tc>
      </w:tr>
      <w:tr w:rsidR="00534D9A" w14:paraId="7FE1BC87" w14:textId="77777777">
        <w:tc>
          <w:tcPr>
            <w:tcW w:w="1080" w:type="dxa"/>
            <w:tcBorders>
              <w:top w:val="single" w:sz="4" w:space="0" w:color="1A171C"/>
              <w:left w:val="nil"/>
              <w:bottom w:val="single" w:sz="4" w:space="0" w:color="1A171C"/>
              <w:right w:val="single" w:sz="4" w:space="0" w:color="1A171C"/>
            </w:tcBorders>
            <w:vAlign w:val="center"/>
          </w:tcPr>
          <w:p w14:paraId="7FE1BC82" w14:textId="77777777" w:rsidR="00534D9A" w:rsidRDefault="003243B2">
            <w:pPr>
              <w:pStyle w:val="P68B1DB1-TableParagraph17"/>
              <w:spacing w:before="108"/>
              <w:jc w:val="both"/>
            </w:pPr>
            <w:r>
              <w:t>0060–0080</w:t>
            </w:r>
          </w:p>
        </w:tc>
        <w:tc>
          <w:tcPr>
            <w:tcW w:w="8003" w:type="dxa"/>
            <w:tcBorders>
              <w:top w:val="single" w:sz="4" w:space="0" w:color="1A171C"/>
              <w:left w:val="single" w:sz="4" w:space="0" w:color="1A171C"/>
              <w:bottom w:val="single" w:sz="4" w:space="0" w:color="1A171C"/>
              <w:right w:val="nil"/>
            </w:tcBorders>
            <w:vAlign w:val="center"/>
          </w:tcPr>
          <w:p w14:paraId="7FE1BC83" w14:textId="77777777" w:rsidR="00534D9A" w:rsidRDefault="003243B2">
            <w:pPr>
              <w:pStyle w:val="P68B1DB1-TableParagraph14"/>
              <w:spacing w:before="108"/>
              <w:jc w:val="both"/>
              <w:rPr>
                <w:bCs/>
              </w:rPr>
            </w:pPr>
            <w:r>
              <w:t>Valur transkonfinali</w:t>
            </w:r>
          </w:p>
          <w:p w14:paraId="7FE1BC84" w14:textId="4F4878AE" w:rsidR="00534D9A" w:rsidRDefault="003243B2">
            <w:pPr>
              <w:pStyle w:val="P68B1DB1-TableParagraph13"/>
              <w:spacing w:before="108"/>
              <w:jc w:val="both"/>
            </w:pPr>
            <w:r>
              <w:t xml:space="preserve">Derivattivi: l-ammont nozzjonali pendenti barra mill-pajjiż tad-domiċilju jew il-pajjiż rilevanti. </w:t>
            </w:r>
          </w:p>
          <w:p w14:paraId="7FE1BC85" w14:textId="77777777" w:rsidR="00534D9A" w:rsidRDefault="003243B2">
            <w:pPr>
              <w:pStyle w:val="P68B1DB1-TableParagraph13"/>
              <w:spacing w:before="108"/>
              <w:jc w:val="both"/>
            </w:pPr>
            <w:r>
              <w:t>Swieq sekondarji: ammont riportat gross pendenti barra mill-pajjiż tad-domiċilju jew il-pajjiż rilevanti. Referenza tal-isfond: FINREP Annex III Table 20.04 column 011 rows 040+080, all countries except home or relevant country.</w:t>
            </w:r>
          </w:p>
          <w:p w14:paraId="7FE1BC86" w14:textId="68837303" w:rsidR="00534D9A" w:rsidRDefault="003243B2">
            <w:pPr>
              <w:pStyle w:val="P68B1DB1-TableParagraph13"/>
              <w:spacing w:before="108"/>
              <w:jc w:val="both"/>
            </w:pPr>
            <w:r>
              <w:t>Swieq primarji: l-introjtu mit-tariffi ġġenerat barra mill-pajjiż tad-domiċilju jew mill-pajjiż rilevanti.</w:t>
            </w:r>
          </w:p>
        </w:tc>
      </w:tr>
      <w:tr w:rsidR="00534D9A" w14:paraId="7FE1BC8B" w14:textId="77777777">
        <w:tc>
          <w:tcPr>
            <w:tcW w:w="1080" w:type="dxa"/>
            <w:tcBorders>
              <w:top w:val="single" w:sz="4" w:space="0" w:color="1A171C"/>
              <w:left w:val="nil"/>
              <w:bottom w:val="single" w:sz="4" w:space="0" w:color="1A171C"/>
              <w:right w:val="single" w:sz="4" w:space="0" w:color="1A171C"/>
            </w:tcBorders>
            <w:vAlign w:val="center"/>
          </w:tcPr>
          <w:p w14:paraId="7FE1BC88" w14:textId="77777777" w:rsidR="00534D9A" w:rsidRDefault="003243B2">
            <w:pPr>
              <w:pStyle w:val="P68B1DB1-TableParagraph17"/>
              <w:spacing w:before="108"/>
              <w:ind w:left="85"/>
              <w:jc w:val="both"/>
            </w:pPr>
            <w:r>
              <w:lastRenderedPageBreak/>
              <w:t>0090–0100</w:t>
            </w:r>
          </w:p>
        </w:tc>
        <w:tc>
          <w:tcPr>
            <w:tcW w:w="8003" w:type="dxa"/>
            <w:tcBorders>
              <w:top w:val="single" w:sz="4" w:space="0" w:color="1A171C"/>
              <w:left w:val="single" w:sz="4" w:space="0" w:color="1A171C"/>
              <w:bottom w:val="single" w:sz="4" w:space="0" w:color="1A171C"/>
              <w:right w:val="nil"/>
            </w:tcBorders>
            <w:vAlign w:val="center"/>
          </w:tcPr>
          <w:p w14:paraId="7FE1BC89" w14:textId="77777777" w:rsidR="00534D9A" w:rsidRDefault="003243B2">
            <w:pPr>
              <w:pStyle w:val="P68B1DB1-TableParagraph14"/>
              <w:spacing w:before="108"/>
              <w:jc w:val="both"/>
              <w:rPr>
                <w:bCs/>
              </w:rPr>
            </w:pPr>
            <w:r>
              <w:t>In-numru ta’ kontropartijiet jew tranżazzjonijiet.</w:t>
            </w:r>
          </w:p>
          <w:p w14:paraId="7FE1BC8A" w14:textId="77777777" w:rsidR="00534D9A" w:rsidRDefault="003243B2">
            <w:pPr>
              <w:pStyle w:val="P68B1DB1-TableParagraph13"/>
              <w:spacing w:before="108"/>
              <w:jc w:val="both"/>
              <w:rPr>
                <w:b/>
                <w:bCs/>
              </w:rPr>
            </w:pPr>
            <w:r>
              <w:t>Għad-derivattivi u s-swieq sekondarji, in-numru totali ta’ kontropartijiet. Għas-swieq primarji, l-għadd totali ta’ tranżazzjonijiet sottoskritti.</w:t>
            </w:r>
          </w:p>
        </w:tc>
      </w:tr>
      <w:tr w:rsidR="00534D9A" w14:paraId="7FE1BC94" w14:textId="77777777">
        <w:tc>
          <w:tcPr>
            <w:tcW w:w="1080" w:type="dxa"/>
            <w:tcBorders>
              <w:top w:val="single" w:sz="4" w:space="0" w:color="1A171C"/>
              <w:left w:val="nil"/>
              <w:bottom w:val="single" w:sz="4" w:space="0" w:color="1A171C"/>
              <w:right w:val="single" w:sz="4" w:space="0" w:color="1A171C"/>
            </w:tcBorders>
            <w:vAlign w:val="center"/>
          </w:tcPr>
          <w:p w14:paraId="7FE1BC8C" w14:textId="77777777" w:rsidR="00534D9A" w:rsidRDefault="003243B2">
            <w:pPr>
              <w:pStyle w:val="P68B1DB1-TableParagraph17"/>
              <w:spacing w:before="108"/>
              <w:ind w:left="85"/>
              <w:jc w:val="both"/>
            </w:pPr>
            <w:r>
              <w:t>0110–0180</w:t>
            </w:r>
          </w:p>
        </w:tc>
        <w:tc>
          <w:tcPr>
            <w:tcW w:w="8003" w:type="dxa"/>
            <w:tcBorders>
              <w:top w:val="single" w:sz="4" w:space="0" w:color="1A171C"/>
              <w:left w:val="single" w:sz="4" w:space="0" w:color="1A171C"/>
              <w:bottom w:val="single" w:sz="4" w:space="0" w:color="1A171C"/>
              <w:right w:val="nil"/>
            </w:tcBorders>
            <w:vAlign w:val="center"/>
          </w:tcPr>
          <w:p w14:paraId="7FE1BC8D" w14:textId="77777777" w:rsidR="00534D9A" w:rsidRDefault="003243B2">
            <w:pPr>
              <w:pStyle w:val="P68B1DB1-TableParagraph14"/>
              <w:spacing w:before="108"/>
              <w:jc w:val="both"/>
              <w:rPr>
                <w:bCs/>
              </w:rPr>
            </w:pPr>
            <w:r>
              <w:t>Analiżi tal-Impatt u tas-Sostitwibbiltà</w:t>
            </w:r>
          </w:p>
          <w:p w14:paraId="7FE1BC8E" w14:textId="77777777" w:rsidR="00534D9A" w:rsidRDefault="003243B2">
            <w:pPr>
              <w:pStyle w:val="P68B1DB1-TableParagraph13"/>
              <w:spacing w:before="108"/>
              <w:jc w:val="both"/>
            </w:pPr>
            <w:r>
              <w:t>Il-kriterji tal-valutazzjoni għall-impatt fuq partijiet terzi għandhom jinkludu l-elementi li ġejjin f’konformità mar-Regolament Delegat tal-Kummissjoni (UE) 2016/778 dwar il-funzjonijiet kritiċi:</w:t>
            </w:r>
          </w:p>
          <w:p w14:paraId="7FE1BC8F" w14:textId="77777777" w:rsidR="00534D9A" w:rsidRDefault="003243B2">
            <w:pPr>
              <w:pStyle w:val="P68B1DB1-ListParagraph38"/>
              <w:numPr>
                <w:ilvl w:val="0"/>
                <w:numId w:val="131"/>
              </w:numPr>
              <w:spacing w:line="276" w:lineRule="auto"/>
            </w:pPr>
            <w:r>
              <w:t>in-natura u l-firxa tal-attività, l-ilħuq globali, nazzjonali jew reġjonali, il-volum u l-għadd ta’ tranżazzjonijiet; l-għadd ta’ klijenti u kontropartijiet; in-numru ta’ klijenti li għalihom l-istituzzjoni hija l-unika sieħba bankarja jew dik prinċipali.</w:t>
            </w:r>
          </w:p>
          <w:p w14:paraId="7FE1BC90" w14:textId="77777777" w:rsidR="00534D9A" w:rsidRDefault="003243B2">
            <w:pPr>
              <w:pStyle w:val="P68B1DB1-ListParagraph38"/>
              <w:numPr>
                <w:ilvl w:val="0"/>
                <w:numId w:val="131"/>
              </w:numPr>
              <w:spacing w:line="276" w:lineRule="auto"/>
            </w:pPr>
            <w:r>
              <w:t>ir-rilevanza tal-istituzzjoni, fuq bażi lokali, reġjonali, nazzjonali jew dak Ewropew, kif xieraq għas-suq konċernat. Ir-rilevanza tal-istituzzjoni tista’ tiġi evalwata abbażi tas-sehem tas-suq, l-interkonnettività, il-kumplessità u attivitajiet transkonfinali.</w:t>
            </w:r>
          </w:p>
          <w:p w14:paraId="7FE1BC91" w14:textId="77777777" w:rsidR="00534D9A" w:rsidRDefault="003243B2">
            <w:pPr>
              <w:pStyle w:val="P68B1DB1-ListParagraph38"/>
              <w:numPr>
                <w:ilvl w:val="0"/>
                <w:numId w:val="131"/>
              </w:numPr>
              <w:spacing w:line="276" w:lineRule="auto"/>
            </w:pPr>
            <w:r>
              <w:t xml:space="preserve">in-natura tal-klijenti u partijiet interessati affettwati mill-funzjoni, bħal, iżda mhux limitati għal klijenti individwali, klijenti korporattivi, klijenti interbankarji, il-kmamar tal-ikklerjar ċentrali u entitajiet pubbliċi. </w:t>
            </w:r>
          </w:p>
          <w:p w14:paraId="7FE1BC92" w14:textId="77777777" w:rsidR="00534D9A" w:rsidRDefault="003243B2">
            <w:pPr>
              <w:pStyle w:val="P68B1DB1-ListParagraph38"/>
              <w:numPr>
                <w:ilvl w:val="0"/>
                <w:numId w:val="131"/>
              </w:numPr>
              <w:spacing w:line="276" w:lineRule="auto"/>
            </w:pPr>
            <w:r>
              <w:t>il-potenzjal ta’ tfixkil ta’ funzjoni fuq is-swieq, infrastrutturi, klijenti u s-servizzi pubbliċi. B’mod partikolari, il-valutazzjoni tista’ tinkludi l-effett fuq il-likwidità tas-swieq ikkonċernati, l-impatt u l-grad ta’ tfixkil għan-negozju tal-klijenti, u l-bżonnijiet ta’ likwidità fuq perjodu qasir ta’ żmien; il-perċettibbiltà għal kontropartijiet, klijenti u l-pubbliku; il-kapaċità u l-veloċità ta’ reazzjoni tal-klijenti; ir-rilevanza għall-funzjonament ta’ swieq oħra; l-effett fuq il-likwidità, l-ope</w:t>
            </w:r>
            <w:r>
              <w:t>razzjonijiet, l-istruttura ta’ suq ieħor; l-effett fuq kontropartijiet oħra relatati ma’ klijenti ewlenin u l-interrelazzjoni tal-funzjoni ma’ servizzi oħra.</w:t>
            </w:r>
          </w:p>
          <w:p w14:paraId="7FE1BC93"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98" w14:textId="77777777">
        <w:tc>
          <w:tcPr>
            <w:tcW w:w="1080" w:type="dxa"/>
            <w:tcBorders>
              <w:top w:val="single" w:sz="4" w:space="0" w:color="1A171C"/>
              <w:left w:val="nil"/>
              <w:bottom w:val="single" w:sz="4" w:space="0" w:color="1A171C"/>
              <w:right w:val="single" w:sz="4" w:space="0" w:color="1A171C"/>
            </w:tcBorders>
            <w:vAlign w:val="center"/>
          </w:tcPr>
          <w:p w14:paraId="7FE1BC95" w14:textId="77777777" w:rsidR="00534D9A" w:rsidRDefault="003243B2">
            <w:pPr>
              <w:pStyle w:val="P68B1DB1-TableParagraph17"/>
              <w:spacing w:before="108"/>
              <w:ind w:left="85"/>
              <w:jc w:val="both"/>
            </w:pPr>
            <w:r>
              <w:t>0110–0130</w:t>
            </w:r>
          </w:p>
        </w:tc>
        <w:tc>
          <w:tcPr>
            <w:tcW w:w="8003" w:type="dxa"/>
            <w:tcBorders>
              <w:top w:val="single" w:sz="4" w:space="0" w:color="1A171C"/>
              <w:left w:val="single" w:sz="4" w:space="0" w:color="1A171C"/>
              <w:bottom w:val="single" w:sz="4" w:space="0" w:color="1A171C"/>
              <w:right w:val="nil"/>
            </w:tcBorders>
            <w:vAlign w:val="center"/>
          </w:tcPr>
          <w:p w14:paraId="7FE1BC96" w14:textId="77777777" w:rsidR="00534D9A" w:rsidRDefault="003243B2">
            <w:pPr>
              <w:pStyle w:val="P68B1DB1-TableParagraph14"/>
              <w:spacing w:before="108"/>
              <w:jc w:val="both"/>
              <w:rPr>
                <w:bCs/>
              </w:rPr>
            </w:pPr>
            <w:r>
              <w:t xml:space="preserve">Natura u Reach </w:t>
            </w:r>
          </w:p>
          <w:p w14:paraId="7FE1BC97" w14:textId="77777777" w:rsidR="00534D9A" w:rsidRDefault="003243B2">
            <w:pPr>
              <w:pStyle w:val="P68B1DB1-TableParagraph13"/>
              <w:spacing w:before="108"/>
              <w:jc w:val="both"/>
            </w:pPr>
            <w:r>
              <w:t>Il-firxa globali, nazzjonali jew reġjonali, il-volum u l-għadd ta’ tranżazzjonijiet; l-għadd ta’ klijenti u kontropartijiet; in-numru ta’ klijenti li għalihom l-istituzzjoni hija l-unika sieħba bankarja jew dik prinċipali.</w:t>
            </w:r>
          </w:p>
        </w:tc>
      </w:tr>
      <w:tr w:rsidR="00534D9A" w14:paraId="7FE1BC9E" w14:textId="77777777">
        <w:tc>
          <w:tcPr>
            <w:tcW w:w="1080" w:type="dxa"/>
            <w:tcBorders>
              <w:top w:val="single" w:sz="4" w:space="0" w:color="1A171C"/>
              <w:left w:val="nil"/>
              <w:bottom w:val="single" w:sz="4" w:space="0" w:color="1A171C"/>
              <w:right w:val="single" w:sz="4" w:space="0" w:color="1A171C"/>
            </w:tcBorders>
            <w:vAlign w:val="center"/>
          </w:tcPr>
          <w:p w14:paraId="7FE1BC99" w14:textId="77777777" w:rsidR="00534D9A" w:rsidRDefault="003243B2">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C9A" w14:textId="77777777" w:rsidR="00534D9A" w:rsidRDefault="003243B2">
            <w:pPr>
              <w:pStyle w:val="P68B1DB1-TableParagraph14"/>
              <w:spacing w:before="108"/>
              <w:jc w:val="both"/>
              <w:rPr>
                <w:bCs/>
              </w:rPr>
            </w:pPr>
            <w:r>
              <w:t>Indikatur tad-daqs 1</w:t>
            </w:r>
          </w:p>
          <w:p w14:paraId="4965F0DF"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C9B" w14:textId="478A7B58" w:rsidR="00534D9A" w:rsidRDefault="003243B2">
            <w:pPr>
              <w:pStyle w:val="P68B1DB1-TableParagraph13"/>
              <w:spacing w:before="108"/>
              <w:jc w:val="both"/>
            </w:pPr>
            <w:r>
              <w:t xml:space="preserve"> </w:t>
            </w:r>
          </w:p>
          <w:p w14:paraId="7FE1BC9C" w14:textId="3823487E" w:rsidR="00534D9A" w:rsidRDefault="003243B2">
            <w:pPr>
              <w:pStyle w:val="P68B1DB1-ListParagraph32"/>
              <w:numPr>
                <w:ilvl w:val="0"/>
                <w:numId w:val="126"/>
              </w:numPr>
              <w:spacing w:line="276" w:lineRule="auto"/>
            </w:pPr>
            <w:r>
              <w:t xml:space="preserve">Ġudizzju espert tad-daqs </w:t>
            </w:r>
            <w:r>
              <w:rPr>
                <w:b/>
              </w:rPr>
              <w:t>tal-valur</w:t>
            </w:r>
            <w:r>
              <w:t xml:space="preserve"> tal-ammont nozzjonali pendenti (c0030 għall-funzjoni ID 4.1 u 4.2); ammont riportat (c0040 għall-ID 4.3); jew introjtu mit-tariffi ġġenerat (c0050 għall-ID 4.4) minn perspettiva </w:t>
            </w:r>
            <w:r>
              <w:rPr>
                <w:b/>
              </w:rPr>
              <w:t>globali</w:t>
            </w:r>
            <w:r>
              <w:t xml:space="preserve"> [livell</w:t>
            </w:r>
            <w:r>
              <w:rPr>
                <w:i/>
              </w:rPr>
              <w:t>wieħed ogħla mis-suq rilevanti. Jekk is-suq rilevanti jkun globali, allura d-daqs 1 isir superfluwu u ma jkollux għalfejn jiġi rrapportat]</w:t>
            </w:r>
            <w:r>
              <w:t>:</w:t>
            </w:r>
          </w:p>
          <w:p w14:paraId="7FE1BC9D" w14:textId="77777777" w:rsidR="00534D9A" w:rsidRDefault="003243B2">
            <w:pPr>
              <w:pStyle w:val="P68B1DB1-TableParagraph33"/>
              <w:spacing w:before="108"/>
              <w:jc w:val="both"/>
              <w:rPr>
                <w:rFonts w:cs="Times New Roman"/>
                <w:color w:val="000000" w:themeColor="text1"/>
              </w:rPr>
            </w:pPr>
            <w:r>
              <w:t>Minn perspettiva globali, kemm taħseb li l-ammont nozzjonali totali pendenti jew l-ammont riportat jew l-introjtu mit-tariffi ġġenerat huwa kbir?</w:t>
            </w:r>
          </w:p>
        </w:tc>
      </w:tr>
      <w:tr w:rsidR="00534D9A" w14:paraId="7FE1BCA5" w14:textId="77777777">
        <w:tc>
          <w:tcPr>
            <w:tcW w:w="1080" w:type="dxa"/>
            <w:tcBorders>
              <w:top w:val="single" w:sz="4" w:space="0" w:color="1A171C"/>
              <w:left w:val="nil"/>
              <w:bottom w:val="single" w:sz="4" w:space="0" w:color="1A171C"/>
              <w:right w:val="single" w:sz="4" w:space="0" w:color="1A171C"/>
            </w:tcBorders>
            <w:vAlign w:val="center"/>
          </w:tcPr>
          <w:p w14:paraId="7FE1BC9F" w14:textId="77777777" w:rsidR="00534D9A" w:rsidRDefault="003243B2">
            <w:pPr>
              <w:pStyle w:val="P68B1DB1-TableParagraph17"/>
              <w:spacing w:before="108"/>
              <w:ind w:left="85"/>
              <w:jc w:val="both"/>
            </w:pPr>
            <w:r>
              <w:t>0120</w:t>
            </w:r>
          </w:p>
        </w:tc>
        <w:tc>
          <w:tcPr>
            <w:tcW w:w="8003" w:type="dxa"/>
            <w:tcBorders>
              <w:top w:val="single" w:sz="4" w:space="0" w:color="1A171C"/>
              <w:left w:val="single" w:sz="4" w:space="0" w:color="1A171C"/>
              <w:bottom w:val="single" w:sz="4" w:space="0" w:color="1A171C"/>
              <w:right w:val="nil"/>
            </w:tcBorders>
            <w:vAlign w:val="center"/>
          </w:tcPr>
          <w:p w14:paraId="7FE1BCA0" w14:textId="77777777" w:rsidR="00534D9A" w:rsidRDefault="003243B2">
            <w:pPr>
              <w:pStyle w:val="P68B1DB1-TableParagraph14"/>
              <w:spacing w:before="108"/>
              <w:jc w:val="both"/>
              <w:rPr>
                <w:bCs/>
              </w:rPr>
            </w:pPr>
            <w:r>
              <w:t>Indikatur tad-daqs 2</w:t>
            </w:r>
          </w:p>
          <w:p w14:paraId="419C7762" w14:textId="77777777" w:rsidR="00534D9A" w:rsidRDefault="003243B2">
            <w:pPr>
              <w:pStyle w:val="P68B1DB1-Normal31"/>
              <w:spacing w:line="276" w:lineRule="auto"/>
              <w:jc w:val="both"/>
            </w:pPr>
            <w:r>
              <w:lastRenderedPageBreak/>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CA1" w14:textId="7FB998B3" w:rsidR="00534D9A" w:rsidRDefault="003243B2">
            <w:pPr>
              <w:pStyle w:val="P68B1DB1-TableParagraph13"/>
              <w:spacing w:before="108"/>
              <w:jc w:val="both"/>
            </w:pPr>
            <w:r>
              <w:t xml:space="preserve"> </w:t>
            </w:r>
          </w:p>
          <w:p w14:paraId="3C42A32E" w14:textId="77777777" w:rsidR="00534D9A" w:rsidRDefault="003243B2">
            <w:pPr>
              <w:pStyle w:val="P68B1DB1-ListParagraph32"/>
              <w:numPr>
                <w:ilvl w:val="0"/>
                <w:numId w:val="124"/>
              </w:numPr>
              <w:spacing w:line="276" w:lineRule="auto"/>
            </w:pPr>
            <w:r>
              <w:t xml:space="preserve">Ġudizzju espert tad-daqs tan-numru ta’ kontropartijiet (c0090 għall-funzjoni ID 4,1, 4.2, 4.3) jew </w:t>
            </w:r>
            <w:r>
              <w:rPr>
                <w:b/>
              </w:rPr>
              <w:t>l-għadd</w:t>
            </w:r>
            <w:r>
              <w:t xml:space="preserve"> ta’ tranżazzjonijiet sottoskritti (c0100 għal ID 4.4) minn perspettiva </w:t>
            </w:r>
            <w:r>
              <w:rPr>
                <w:b/>
              </w:rPr>
              <w:t>nazzjonali</w:t>
            </w:r>
            <w:r>
              <w:t xml:space="preserve"> [</w:t>
            </w:r>
            <w:r>
              <w:rPr>
                <w:i/>
              </w:rPr>
              <w:t>fil-livell tas-suq rilevanti</w:t>
            </w:r>
            <w:r>
              <w:t>]:</w:t>
            </w:r>
          </w:p>
          <w:p w14:paraId="7FE1BCA3" w14:textId="77777777" w:rsidR="00534D9A" w:rsidRDefault="003243B2">
            <w:pPr>
              <w:pStyle w:val="P68B1DB1-ListParagraph32"/>
              <w:numPr>
                <w:ilvl w:val="1"/>
                <w:numId w:val="124"/>
              </w:numPr>
              <w:spacing w:line="276" w:lineRule="auto"/>
            </w:pPr>
            <w:r>
              <w:t>Minn perspettiva nazzjonali, kemm huwa kbir l-għadd stmat ta’ kontropartijiet</w:t>
            </w:r>
            <w:r>
              <w:rPr>
                <w:i/>
              </w:rPr>
              <w:t xml:space="preserve"> jew</w:t>
            </w:r>
            <w:r>
              <w:t xml:space="preserve"> tranżazzjonijiet sottoskritti mill-istituzzjoni tiegħek?</w:t>
            </w:r>
          </w:p>
          <w:p w14:paraId="7FE1BCA4"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B0" w14:textId="77777777">
        <w:tc>
          <w:tcPr>
            <w:tcW w:w="1080" w:type="dxa"/>
            <w:tcBorders>
              <w:top w:val="single" w:sz="4" w:space="0" w:color="1A171C"/>
              <w:left w:val="nil"/>
              <w:bottom w:val="single" w:sz="4" w:space="0" w:color="1A171C"/>
              <w:right w:val="single" w:sz="4" w:space="0" w:color="1A171C"/>
            </w:tcBorders>
            <w:vAlign w:val="center"/>
          </w:tcPr>
          <w:p w14:paraId="7FE1BCA6" w14:textId="77777777" w:rsidR="00534D9A" w:rsidRDefault="003243B2">
            <w:pPr>
              <w:pStyle w:val="P68B1DB1-TableParagraph17"/>
              <w:spacing w:before="108"/>
              <w:ind w:left="85"/>
              <w:jc w:val="both"/>
            </w:pPr>
            <w:r>
              <w:lastRenderedPageBreak/>
              <w:t>0130</w:t>
            </w:r>
          </w:p>
        </w:tc>
        <w:tc>
          <w:tcPr>
            <w:tcW w:w="8003" w:type="dxa"/>
            <w:tcBorders>
              <w:top w:val="single" w:sz="4" w:space="0" w:color="1A171C"/>
              <w:left w:val="single" w:sz="4" w:space="0" w:color="1A171C"/>
              <w:bottom w:val="single" w:sz="4" w:space="0" w:color="1A171C"/>
              <w:right w:val="nil"/>
            </w:tcBorders>
            <w:vAlign w:val="center"/>
          </w:tcPr>
          <w:p w14:paraId="7FE1BCA7" w14:textId="77777777" w:rsidR="00534D9A" w:rsidRDefault="003243B2">
            <w:pPr>
              <w:pStyle w:val="P68B1DB1-TableParagraph14"/>
              <w:spacing w:before="108"/>
              <w:jc w:val="both"/>
              <w:rPr>
                <w:bCs/>
              </w:rPr>
            </w:pPr>
            <w:r>
              <w:t>Indikatur transkonfinali</w:t>
            </w:r>
          </w:p>
          <w:p w14:paraId="7FE1BCA8" w14:textId="77777777" w:rsidR="00534D9A" w:rsidRDefault="003243B2">
            <w:pPr>
              <w:pStyle w:val="P68B1DB1-TableParagraph13"/>
              <w:spacing w:before="108"/>
              <w:jc w:val="both"/>
            </w:pPr>
            <w:r>
              <w:t>Tivvaluta l-importanza relattiva tal-attivitajiet transfruntiera għall-funzjonijiet ekonomiċi differenti.</w:t>
            </w:r>
          </w:p>
          <w:p w14:paraId="7FE1BCA9" w14:textId="77777777" w:rsidR="00534D9A" w:rsidRDefault="003243B2">
            <w:pPr>
              <w:pStyle w:val="P68B1DB1-TableParagraph13"/>
              <w:spacing w:before="108"/>
              <w:jc w:val="both"/>
            </w:pPr>
            <w:r>
              <w:t xml:space="preserve">Dan ma għandux għalfejn jiġi vvalutat fil-każ ta’ rapporti li fihom is-suq rilevanti jitqies bħala reġjonali. </w:t>
            </w:r>
          </w:p>
          <w:p w14:paraId="7FE1BCAA" w14:textId="77777777" w:rsidR="00534D9A" w:rsidRDefault="003243B2">
            <w:pPr>
              <w:pStyle w:val="P68B1DB1-ListParagraph32"/>
              <w:numPr>
                <w:ilvl w:val="0"/>
                <w:numId w:val="118"/>
              </w:numPr>
              <w:rPr>
                <w:i/>
                <w:iCs/>
              </w:rPr>
            </w:pPr>
            <w:r>
              <w:t xml:space="preserve">Is-sehem tal-attività transġuriżdizzjonali tal-entità relatriċi bħala perċentwal tal-valur totali, espress f’ammonti nozzjonali (derivattivi), ammont riportat (swieq sekondarji), introjtu mit-tariffi minn klijenti barranin (swieq primarji). Rapport: </w:t>
            </w:r>
          </w:p>
          <w:p w14:paraId="7FE1BCAB" w14:textId="7D11D6B0" w:rsidR="00534D9A" w:rsidRDefault="003243B2">
            <w:pPr>
              <w:pStyle w:val="P68B1DB1-ListParagraph32"/>
              <w:numPr>
                <w:ilvl w:val="1"/>
                <w:numId w:val="118"/>
              </w:numPr>
              <w:rPr>
                <w:i/>
                <w:iCs/>
              </w:rPr>
            </w:pPr>
            <w:bookmarkStart w:id="120" w:name="_Hlk194476322"/>
            <w:r>
              <w:t xml:space="preserve">5 %; </w:t>
            </w:r>
          </w:p>
          <w:p w14:paraId="7FE1BCAC" w14:textId="35A9186D" w:rsidR="00534D9A" w:rsidRDefault="003243B2">
            <w:pPr>
              <w:pStyle w:val="P68B1DB1-ListParagraph32"/>
              <w:numPr>
                <w:ilvl w:val="1"/>
                <w:numId w:val="118"/>
              </w:numPr>
              <w:rPr>
                <w:i/>
                <w:iCs/>
              </w:rPr>
            </w:pPr>
            <w:r>
              <w:t xml:space="preserve">5 — -15 %; </w:t>
            </w:r>
          </w:p>
          <w:p w14:paraId="7FE1BCAD" w14:textId="54C07240" w:rsidR="00534D9A" w:rsidRDefault="003243B2">
            <w:pPr>
              <w:pStyle w:val="P68B1DB1-ListParagraph32"/>
              <w:numPr>
                <w:ilvl w:val="1"/>
                <w:numId w:val="118"/>
              </w:numPr>
              <w:rPr>
                <w:i/>
                <w:iCs/>
              </w:rPr>
            </w:pPr>
            <w:r>
              <w:t xml:space="preserve">16–25 %, </w:t>
            </w:r>
          </w:p>
          <w:p w14:paraId="7FE1BCAE" w14:textId="34AC2F5B" w:rsidR="00534D9A" w:rsidRDefault="003243B2">
            <w:pPr>
              <w:pStyle w:val="P68B1DB1-ListParagraph32"/>
              <w:numPr>
                <w:ilvl w:val="1"/>
                <w:numId w:val="118"/>
              </w:numPr>
              <w:rPr>
                <w:i/>
                <w:iCs/>
              </w:rPr>
            </w:pPr>
            <w:r>
              <w:t xml:space="preserve">&gt; 25 %. </w:t>
            </w:r>
          </w:p>
          <w:bookmarkEnd w:id="120"/>
          <w:p w14:paraId="7FE1BCAF"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BF" w14:textId="77777777">
        <w:tc>
          <w:tcPr>
            <w:tcW w:w="1080" w:type="dxa"/>
            <w:tcBorders>
              <w:top w:val="single" w:sz="4" w:space="0" w:color="1A171C"/>
              <w:left w:val="nil"/>
              <w:bottom w:val="single" w:sz="4" w:space="0" w:color="1A171C"/>
              <w:right w:val="single" w:sz="4" w:space="0" w:color="1A171C"/>
            </w:tcBorders>
            <w:vAlign w:val="center"/>
          </w:tcPr>
          <w:p w14:paraId="7FE1BCB1" w14:textId="77777777" w:rsidR="00534D9A" w:rsidRDefault="003243B2">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CB2" w14:textId="77777777" w:rsidR="00534D9A" w:rsidRDefault="003243B2">
            <w:pPr>
              <w:pStyle w:val="P68B1DB1-TableParagraph14"/>
              <w:spacing w:before="108"/>
              <w:jc w:val="both"/>
              <w:rPr>
                <w:bCs/>
              </w:rPr>
            </w:pPr>
            <w:r>
              <w:t xml:space="preserve">Rilevanza — </w:t>
            </w:r>
          </w:p>
          <w:p w14:paraId="7FE1BCB3" w14:textId="77777777" w:rsidR="00534D9A" w:rsidRDefault="003243B2">
            <w:pPr>
              <w:pStyle w:val="P68B1DB1-TableParagraph13"/>
              <w:spacing w:before="108"/>
              <w:jc w:val="both"/>
            </w:pPr>
            <w:r>
              <w:t>Fuq livell lokali, reġjonali, nazzjonali jew Ewropew, kif xieraq għas-suq ikkonċernat. Ir-rilevanza tal-istituzzjoni tista’ tiġi evalwata abbażi tas-sehem tas-suq, l-interkonnettività, il-kumplessità u attivitajiet transkonfinali.</w:t>
            </w:r>
          </w:p>
          <w:p w14:paraId="7FE1BCB4" w14:textId="77777777" w:rsidR="00534D9A" w:rsidRDefault="003243B2">
            <w:pPr>
              <w:pStyle w:val="P68B1DB1-TableParagraph14"/>
              <w:spacing w:before="108"/>
              <w:jc w:val="both"/>
              <w:rPr>
                <w:bCs/>
              </w:rPr>
            </w:pPr>
            <w:r>
              <w:t>Sehem mis-suq</w:t>
            </w:r>
          </w:p>
          <w:p w14:paraId="7FE1BCB5" w14:textId="77777777" w:rsidR="00534D9A" w:rsidRDefault="003243B2">
            <w:pPr>
              <w:pStyle w:val="P68B1DB1-TableParagraph13"/>
              <w:spacing w:before="108"/>
              <w:jc w:val="both"/>
            </w:pPr>
            <w:r>
              <w:t xml:space="preserve">Ivvaluta kemm huwa importanti s-sehem mis-suq tal-entità relatriċi, meta mqabbel mas-suq nazzjonali jew suq rilevanti ieħor, kif indikat fil-mudell. Din il-valutazzjoni hija espressa b’mod kwalitattiv bħala </w:t>
            </w:r>
          </w:p>
          <w:p w14:paraId="7FE1BCB6" w14:textId="3D988DC8" w:rsidR="00534D9A" w:rsidRDefault="003243B2">
            <w:pPr>
              <w:pStyle w:val="P68B1DB1-ListParagraph38"/>
              <w:numPr>
                <w:ilvl w:val="0"/>
                <w:numId w:val="276"/>
              </w:numPr>
              <w:spacing w:line="276" w:lineRule="auto"/>
              <w:jc w:val="both"/>
            </w:pPr>
            <w:r>
              <w:t>Għoli, jekk is-sehem mis-suq ikun kbir</w:t>
            </w:r>
          </w:p>
          <w:p w14:paraId="7FE1BCB7" w14:textId="2084195C" w:rsidR="00534D9A" w:rsidRDefault="003243B2">
            <w:pPr>
              <w:pStyle w:val="P68B1DB1-ListParagraph38"/>
              <w:numPr>
                <w:ilvl w:val="0"/>
                <w:numId w:val="276"/>
              </w:numPr>
              <w:spacing w:line="276" w:lineRule="auto"/>
              <w:jc w:val="both"/>
            </w:pPr>
            <w:r>
              <w:t>Medju-għoli, jekk is-sehem mis-suq huwa medju</w:t>
            </w:r>
          </w:p>
          <w:p w14:paraId="7FE1BCB8" w14:textId="06CDA0E3" w:rsidR="00534D9A" w:rsidRDefault="003243B2">
            <w:pPr>
              <w:pStyle w:val="P68B1DB1-ListParagraph38"/>
              <w:numPr>
                <w:ilvl w:val="0"/>
                <w:numId w:val="276"/>
              </w:numPr>
              <w:spacing w:line="276" w:lineRule="auto"/>
              <w:jc w:val="both"/>
            </w:pPr>
            <w:r>
              <w:t xml:space="preserve">Medju-baxx jekk is-sehem mis-suq ikun żgħir jew </w:t>
            </w:r>
          </w:p>
          <w:p w14:paraId="7FE1BCB9" w14:textId="19A1DC5D" w:rsidR="00534D9A" w:rsidRDefault="003243B2">
            <w:pPr>
              <w:pStyle w:val="P68B1DB1-ListParagraph38"/>
              <w:numPr>
                <w:ilvl w:val="0"/>
                <w:numId w:val="276"/>
              </w:numPr>
              <w:spacing w:line="276" w:lineRule="auto"/>
              <w:jc w:val="both"/>
            </w:pPr>
            <w:r>
              <w:t xml:space="preserve">Baxx” jekk is-sehem mis-suq ikun negliġibbli. </w:t>
            </w:r>
          </w:p>
          <w:p w14:paraId="7FE1BCBA" w14:textId="77777777" w:rsidR="00534D9A" w:rsidRDefault="003243B2">
            <w:pPr>
              <w:pStyle w:val="P68B1DB1-TableParagraph13"/>
              <w:spacing w:before="108"/>
              <w:jc w:val="both"/>
            </w:pPr>
            <w:r>
              <w:t xml:space="preserve">Din il-valutazzjoni tqis l-istruttura tas-suq tal-pajjiż tal-entità relatriċi (jew suq rilevanti ieħor), u l-ishma mis-suq irrapportati parzjalment </w:t>
            </w:r>
          </w:p>
          <w:p w14:paraId="7FE1BCBB" w14:textId="77777777" w:rsidR="00534D9A" w:rsidRDefault="003243B2">
            <w:pPr>
              <w:pStyle w:val="P68B1DB1-TableParagraph13"/>
              <w:spacing w:before="108"/>
              <w:jc w:val="both"/>
            </w:pPr>
            <w:r>
              <w:t>2.Data kwantitattiva:</w:t>
            </w:r>
          </w:p>
          <w:p w14:paraId="7FE1BCBC" w14:textId="77777777" w:rsidR="00534D9A" w:rsidRDefault="003243B2">
            <w:pPr>
              <w:pStyle w:val="P68B1DB1-ListParagraph32"/>
              <w:numPr>
                <w:ilvl w:val="0"/>
                <w:numId w:val="117"/>
              </w:numPr>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CBD"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BE"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CB" w14:textId="77777777">
        <w:tc>
          <w:tcPr>
            <w:tcW w:w="1080" w:type="dxa"/>
            <w:tcBorders>
              <w:top w:val="single" w:sz="4" w:space="0" w:color="1A171C"/>
              <w:left w:val="nil"/>
              <w:bottom w:val="single" w:sz="4" w:space="0" w:color="1A171C"/>
              <w:right w:val="single" w:sz="4" w:space="0" w:color="1A171C"/>
            </w:tcBorders>
            <w:vAlign w:val="center"/>
          </w:tcPr>
          <w:p w14:paraId="7FE1BCC0" w14:textId="77777777" w:rsidR="00534D9A" w:rsidRDefault="003243B2">
            <w:pPr>
              <w:pStyle w:val="P68B1DB1-TableParagraph17"/>
              <w:spacing w:before="108"/>
              <w:ind w:left="85"/>
              <w:jc w:val="both"/>
            </w:pPr>
            <w:r>
              <w:lastRenderedPageBreak/>
              <w:t>0150</w:t>
            </w:r>
          </w:p>
        </w:tc>
        <w:tc>
          <w:tcPr>
            <w:tcW w:w="8003" w:type="dxa"/>
            <w:tcBorders>
              <w:top w:val="single" w:sz="4" w:space="0" w:color="1A171C"/>
              <w:left w:val="single" w:sz="4" w:space="0" w:color="1A171C"/>
              <w:bottom w:val="single" w:sz="4" w:space="0" w:color="1A171C"/>
              <w:right w:val="nil"/>
            </w:tcBorders>
            <w:vAlign w:val="center"/>
          </w:tcPr>
          <w:p w14:paraId="7FE1BCC1" w14:textId="77777777" w:rsidR="00534D9A" w:rsidRDefault="003243B2">
            <w:pPr>
              <w:pStyle w:val="P68B1DB1-TableParagraph14"/>
              <w:spacing w:before="108"/>
              <w:jc w:val="both"/>
              <w:rPr>
                <w:bCs/>
              </w:rPr>
            </w:pPr>
            <w:r>
              <w:t>Struttura tas-Suq — Konċentrazzjoni tas-suq</w:t>
            </w:r>
          </w:p>
          <w:p w14:paraId="7FE1BCC2" w14:textId="77777777" w:rsidR="00534D9A" w:rsidRDefault="003243B2">
            <w:pPr>
              <w:pStyle w:val="P68B1DB1-TableParagraph13"/>
              <w:spacing w:before="108"/>
              <w:jc w:val="both"/>
            </w:pPr>
            <w:r>
              <w:t xml:space="preserve">Il-konċentrazzjoni tas-suq, imkejla skont l-għadd ta’ kompetituri li qed iwettqu bħalissa </w:t>
            </w:r>
          </w:p>
          <w:p w14:paraId="7FE1BCC3" w14:textId="77777777" w:rsidR="00534D9A" w:rsidRDefault="003243B2">
            <w:pPr>
              <w:pStyle w:val="P68B1DB1-TableParagraph13"/>
              <w:spacing w:before="108"/>
              <w:jc w:val="both"/>
            </w:pPr>
            <w:r>
              <w:t xml:space="preserve">funzjonijiet ekonomiċi simili u/jew li joffru servizzi simili fuq termini ugwali (jiġifieri għal </w:t>
            </w:r>
          </w:p>
          <w:p w14:paraId="7FE1BCC4" w14:textId="77777777" w:rsidR="00534D9A" w:rsidRDefault="003243B2">
            <w:pPr>
              <w:pStyle w:val="P68B1DB1-TableParagraph13"/>
              <w:spacing w:before="108"/>
              <w:jc w:val="both"/>
            </w:pPr>
            <w:r>
              <w:t xml:space="preserve">livell u kwalità komparabbli u bi spiża komparabbli) li potenzjalment jieħdu f’idejhom </w:t>
            </w:r>
          </w:p>
          <w:p w14:paraId="7FE1BCC5" w14:textId="77777777" w:rsidR="00534D9A" w:rsidRDefault="003243B2">
            <w:pPr>
              <w:pStyle w:val="P68B1DB1-TableParagraph13"/>
              <w:spacing w:before="108"/>
              <w:jc w:val="both"/>
            </w:pPr>
            <w:r>
              <w:t xml:space="preserve">(parti minn) il-klijenti u/jew in-negozju tal-entità relatriċi f’perjodu ta’ żmien raġonevoli. </w:t>
            </w:r>
          </w:p>
          <w:p w14:paraId="7FE1BCC6" w14:textId="77777777" w:rsidR="00534D9A" w:rsidRDefault="003243B2">
            <w:pPr>
              <w:pStyle w:val="P68B1DB1-TableParagraph13"/>
              <w:spacing w:before="108"/>
              <w:jc w:val="both"/>
            </w:pPr>
            <w:r>
              <w:t xml:space="preserve">Dan għandu jiġi rrapportat f’buckets, li huma l-istess għal kull subfunzjoni </w:t>
            </w:r>
          </w:p>
          <w:p w14:paraId="6E6D19F8" w14:textId="77777777" w:rsidR="00534D9A" w:rsidRDefault="003243B2">
            <w:pPr>
              <w:pStyle w:val="P68B1DB1-ListParagraph32"/>
              <w:numPr>
                <w:ilvl w:val="0"/>
                <w:numId w:val="277"/>
              </w:numPr>
              <w:jc w:val="both"/>
            </w:pPr>
            <w:r>
              <w:t xml:space="preserve">&gt; 20 kompetituri; </w:t>
            </w:r>
          </w:p>
          <w:p w14:paraId="6A8A3C5F" w14:textId="77777777" w:rsidR="00534D9A" w:rsidRDefault="003243B2">
            <w:pPr>
              <w:pStyle w:val="P68B1DB1-ListParagraph32"/>
              <w:numPr>
                <w:ilvl w:val="0"/>
                <w:numId w:val="277"/>
              </w:numPr>
              <w:jc w:val="both"/>
            </w:pPr>
            <w:r>
              <w:t xml:space="preserve">11–20 kompetituri; </w:t>
            </w:r>
          </w:p>
          <w:p w14:paraId="543AFD53" w14:textId="77777777" w:rsidR="00534D9A" w:rsidRDefault="003243B2">
            <w:pPr>
              <w:pStyle w:val="P68B1DB1-ListParagraph32"/>
              <w:numPr>
                <w:ilvl w:val="0"/>
                <w:numId w:val="277"/>
              </w:numPr>
              <w:jc w:val="both"/>
            </w:pPr>
            <w:r>
              <w:t xml:space="preserve">5–10 kompetituri, </w:t>
            </w:r>
          </w:p>
          <w:p w14:paraId="761539CF" w14:textId="77777777" w:rsidR="00534D9A" w:rsidRDefault="003243B2">
            <w:pPr>
              <w:pStyle w:val="P68B1DB1-ListParagraph32"/>
              <w:numPr>
                <w:ilvl w:val="0"/>
                <w:numId w:val="277"/>
              </w:numPr>
              <w:jc w:val="both"/>
              <w:rPr>
                <w:b/>
                <w:bCs/>
                <w:color w:val="000000" w:themeColor="text1"/>
              </w:rPr>
            </w:pPr>
            <w:r>
              <w:t>Kompetittività 5 kompetituri</w:t>
            </w:r>
          </w:p>
          <w:p w14:paraId="7FE1BCCA" w14:textId="06EC2320" w:rsidR="00534D9A" w:rsidRDefault="00534D9A">
            <w:pPr>
              <w:jc w:val="both"/>
              <w:rPr>
                <w:rFonts w:ascii="Times New Roman" w:hAnsi="Times New Roman"/>
                <w:color w:val="000000" w:themeColor="text1"/>
                <w:sz w:val="20"/>
                <w:szCs w:val="20"/>
              </w:rPr>
            </w:pPr>
          </w:p>
        </w:tc>
      </w:tr>
      <w:tr w:rsidR="00534D9A" w14:paraId="7FE1BCDA" w14:textId="77777777">
        <w:tc>
          <w:tcPr>
            <w:tcW w:w="1080" w:type="dxa"/>
            <w:tcBorders>
              <w:top w:val="single" w:sz="4" w:space="0" w:color="1A171C"/>
              <w:left w:val="nil"/>
              <w:bottom w:val="single" w:sz="4" w:space="0" w:color="1A171C"/>
              <w:right w:val="single" w:sz="4" w:space="0" w:color="1A171C"/>
            </w:tcBorders>
            <w:vAlign w:val="center"/>
          </w:tcPr>
          <w:p w14:paraId="7FE1BCCC" w14:textId="77777777" w:rsidR="00534D9A" w:rsidRDefault="003243B2">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CCD" w14:textId="77777777" w:rsidR="00534D9A" w:rsidRDefault="003243B2">
            <w:pPr>
              <w:pStyle w:val="P68B1DB1-TableParagraph14"/>
              <w:spacing w:before="108"/>
              <w:jc w:val="both"/>
              <w:rPr>
                <w:bCs/>
              </w:rPr>
            </w:pPr>
            <w:r>
              <w:t>Żmien — Żmien mistenni għas-sostituzzjoni</w:t>
            </w:r>
          </w:p>
          <w:p w14:paraId="7FE1BCCE" w14:textId="77777777" w:rsidR="00534D9A" w:rsidRDefault="003243B2">
            <w:pPr>
              <w:pStyle w:val="P68B1DB1-TableParagraph13"/>
              <w:spacing w:before="108"/>
              <w:jc w:val="both"/>
            </w:pPr>
            <w:r>
              <w:t>Stima taż-żmien meħtieġ għall-funzjoni ekonomika pprovduta mir-rapportar</w:t>
            </w:r>
          </w:p>
          <w:p w14:paraId="7FE1BCCF" w14:textId="77777777" w:rsidR="00534D9A" w:rsidRDefault="003243B2">
            <w:pPr>
              <w:pStyle w:val="P68B1DB1-TableParagraph13"/>
              <w:spacing w:before="108"/>
              <w:jc w:val="both"/>
            </w:pPr>
            <w:r>
              <w:t xml:space="preserve">entità li għandha tiġi assorbita mis-suq f’sitwazzjoni ta’ kriżi. Dan jinkludi: </w:t>
            </w:r>
          </w:p>
          <w:p w14:paraId="7FE1BCD0" w14:textId="77777777" w:rsidR="00534D9A" w:rsidRDefault="003243B2">
            <w:pPr>
              <w:pStyle w:val="P68B1DB1-ListParagraph38"/>
              <w:numPr>
                <w:ilvl w:val="0"/>
                <w:numId w:val="274"/>
              </w:numPr>
              <w:jc w:val="both"/>
            </w:pPr>
            <w:r>
              <w:t xml:space="preserve">iż-żmien mistenni meħtieġ minn kompetitur wieħed jew aktar biex iwettqu l-passi legali u tekniċi biex jieħdu f’idejhom il-funzjoni; kif ukoll  </w:t>
            </w:r>
          </w:p>
          <w:p w14:paraId="7FE1BCD1" w14:textId="77777777" w:rsidR="00534D9A" w:rsidRDefault="003243B2">
            <w:pPr>
              <w:pStyle w:val="P68B1DB1-ListParagraph38"/>
              <w:numPr>
                <w:ilvl w:val="0"/>
                <w:numId w:val="274"/>
              </w:numPr>
              <w:jc w:val="both"/>
            </w:pPr>
            <w:r>
              <w:t xml:space="preserve">il-ħin meħtieġ mill-utenti tas-servizz biex imorru għand fornitur ta’ servizz ieħor. </w:t>
            </w:r>
          </w:p>
          <w:p w14:paraId="7FE1BCD2"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D3" w14:textId="77777777" w:rsidR="00534D9A" w:rsidRDefault="003243B2">
            <w:pPr>
              <w:pStyle w:val="P68B1DB1-TableParagraph13"/>
              <w:spacing w:before="108"/>
              <w:jc w:val="both"/>
            </w:pPr>
            <w:r>
              <w:t>Bħala indikatur għal tal-ewwel, ipprovdi stima taż-żmien li l-entità relatriċi tieħu biex tassorbi fin-negozju tagħha stess (parti minn) is-servizz ipprovdut minn istituzzjoni oħra, b’kost raġonevoli, f’sitwazzjoni ta’ kriżi. Irrapporta ż-żmien stmat għas-sostituzzjoni fil-buckets ipprovduti fil-mudell:</w:t>
            </w:r>
          </w:p>
          <w:p w14:paraId="7FE1BCD4" w14:textId="77777777" w:rsidR="00534D9A" w:rsidRDefault="003243B2">
            <w:pPr>
              <w:pStyle w:val="P68B1DB1-Normal31"/>
              <w:jc w:val="both"/>
            </w:pPr>
            <w:r>
              <w:t xml:space="preserve">Bramel: </w:t>
            </w:r>
          </w:p>
          <w:p w14:paraId="7FE1BCD5" w14:textId="275C74C6" w:rsidR="00534D9A" w:rsidRDefault="003243B2">
            <w:pPr>
              <w:pStyle w:val="P68B1DB1-ListParagraph32"/>
              <w:numPr>
                <w:ilvl w:val="0"/>
                <w:numId w:val="286"/>
              </w:numPr>
              <w:jc w:val="both"/>
            </w:pPr>
            <w:r>
              <w:t xml:space="preserve">Ġimgħatejn (1); </w:t>
            </w:r>
          </w:p>
          <w:p w14:paraId="7FE1BCD6" w14:textId="712CDEEF" w:rsidR="00534D9A" w:rsidRDefault="003243B2">
            <w:pPr>
              <w:pStyle w:val="P68B1DB1-ListParagraph32"/>
              <w:numPr>
                <w:ilvl w:val="0"/>
                <w:numId w:val="286"/>
              </w:numPr>
              <w:jc w:val="both"/>
            </w:pPr>
            <w:r>
              <w:t xml:space="preserve">1 ġimgħa — 1-il xahar; </w:t>
            </w:r>
          </w:p>
          <w:p w14:paraId="7FE1BCD7" w14:textId="5ECCCD1B" w:rsidR="00534D9A" w:rsidRDefault="003243B2">
            <w:pPr>
              <w:pStyle w:val="P68B1DB1-ListParagraph32"/>
              <w:numPr>
                <w:ilvl w:val="0"/>
                <w:numId w:val="286"/>
              </w:numPr>
              <w:jc w:val="both"/>
            </w:pPr>
            <w:r>
              <w:t xml:space="preserve">&gt; 1-il xahar — 6-il xahar, </w:t>
            </w:r>
          </w:p>
          <w:p w14:paraId="7FE1BCD8" w14:textId="66817B18" w:rsidR="00534D9A" w:rsidRDefault="003243B2">
            <w:pPr>
              <w:pStyle w:val="P68B1DB1-ListParagraph32"/>
              <w:numPr>
                <w:ilvl w:val="0"/>
                <w:numId w:val="286"/>
              </w:numPr>
              <w:jc w:val="both"/>
            </w:pPr>
            <w:r>
              <w:t xml:space="preserve">+ 6 xhur  </w:t>
            </w:r>
          </w:p>
          <w:p w14:paraId="7FE1BCD9"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DD" w14:textId="77777777">
        <w:tc>
          <w:tcPr>
            <w:tcW w:w="1080" w:type="dxa"/>
            <w:tcBorders>
              <w:top w:val="single" w:sz="4" w:space="0" w:color="1A171C"/>
              <w:left w:val="nil"/>
              <w:bottom w:val="single" w:sz="4" w:space="0" w:color="1A171C"/>
              <w:right w:val="single" w:sz="4" w:space="0" w:color="1A171C"/>
            </w:tcBorders>
            <w:vAlign w:val="center"/>
          </w:tcPr>
          <w:p w14:paraId="7FE1BCDB" w14:textId="77777777" w:rsidR="00534D9A" w:rsidRDefault="003243B2">
            <w:pPr>
              <w:pStyle w:val="P68B1DB1-TableParagraph17"/>
              <w:spacing w:before="108"/>
              <w:ind w:left="85"/>
              <w:jc w:val="both"/>
            </w:pPr>
            <w:r>
              <w:t>0170–0180</w:t>
            </w:r>
          </w:p>
        </w:tc>
        <w:tc>
          <w:tcPr>
            <w:tcW w:w="8003" w:type="dxa"/>
            <w:tcBorders>
              <w:top w:val="single" w:sz="4" w:space="0" w:color="1A171C"/>
              <w:left w:val="single" w:sz="4" w:space="0" w:color="1A171C"/>
              <w:bottom w:val="single" w:sz="4" w:space="0" w:color="1A171C"/>
              <w:right w:val="nil"/>
            </w:tcBorders>
            <w:vAlign w:val="center"/>
          </w:tcPr>
          <w:p w14:paraId="7FE1BCDC" w14:textId="77777777" w:rsidR="00534D9A" w:rsidRDefault="003243B2">
            <w:pPr>
              <w:pStyle w:val="P68B1DB1-TableParagraph14"/>
              <w:spacing w:before="108"/>
              <w:jc w:val="both"/>
              <w:rPr>
                <w:bCs/>
              </w:rPr>
            </w:pPr>
            <w:r>
              <w:t>Kapaċità ta’ sostituzzjoni</w:t>
            </w:r>
          </w:p>
        </w:tc>
      </w:tr>
      <w:tr w:rsidR="00534D9A" w14:paraId="7FE1BCE7" w14:textId="77777777">
        <w:tc>
          <w:tcPr>
            <w:tcW w:w="1080" w:type="dxa"/>
            <w:tcBorders>
              <w:top w:val="single" w:sz="4" w:space="0" w:color="1A171C"/>
              <w:left w:val="nil"/>
              <w:bottom w:val="single" w:sz="4" w:space="0" w:color="1A171C"/>
              <w:right w:val="single" w:sz="4" w:space="0" w:color="1A171C"/>
            </w:tcBorders>
            <w:vAlign w:val="center"/>
          </w:tcPr>
          <w:p w14:paraId="7FE1BCDE" w14:textId="77777777" w:rsidR="00534D9A" w:rsidRDefault="003243B2">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CDF" w14:textId="77777777" w:rsidR="00534D9A" w:rsidRDefault="003243B2">
            <w:pPr>
              <w:pStyle w:val="P68B1DB1-TableParagraph14"/>
              <w:spacing w:before="108"/>
              <w:jc w:val="both"/>
              <w:rPr>
                <w:bCs/>
              </w:rPr>
            </w:pPr>
            <w:r>
              <w:t>Ostakli legali għad-dħul jew l-espansjoni</w:t>
            </w:r>
          </w:p>
          <w:p w14:paraId="7FE1BCE0"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E1" w14:textId="77777777" w:rsidR="00534D9A" w:rsidRDefault="003243B2">
            <w:pPr>
              <w:pStyle w:val="P68B1DB1-TableParagraph13"/>
              <w:spacing w:before="108"/>
              <w:jc w:val="both"/>
            </w:pPr>
            <w:r>
              <w:t xml:space="preserve">Ostakli legali għall-kompetituri biex joffru s-servizz. Ir-rekwiżiti legali għat-twettiq tan-negozju tal-istituzzjonijiet ta’ kreditu (eż. liċenzji bankarji jew rekwiżiti kapitali) ma għandhomx jitqiesu bħala ostakli insuperabbli fil-preżenza ta’ fornituri alternattivi. Dan l-indikatur irid jiġi rrapportat f’buckets, li huma l-istess għal kull subfunzjoni: </w:t>
            </w:r>
          </w:p>
          <w:p w14:paraId="7FE1BCE2" w14:textId="67FD7AF2" w:rsidR="00534D9A" w:rsidRDefault="003243B2">
            <w:pPr>
              <w:pStyle w:val="P68B1DB1-ListParagraph39"/>
              <w:numPr>
                <w:ilvl w:val="0"/>
                <w:numId w:val="275"/>
              </w:numPr>
              <w:jc w:val="both"/>
            </w:pPr>
            <w:r>
              <w:t xml:space="preserve">l-ebda ostaklu kbir, </w:t>
            </w:r>
          </w:p>
          <w:p w14:paraId="7FE1BCE3" w14:textId="6C8F8F76" w:rsidR="00534D9A" w:rsidRDefault="003243B2">
            <w:pPr>
              <w:pStyle w:val="P68B1DB1-ListParagraph39"/>
              <w:numPr>
                <w:ilvl w:val="0"/>
                <w:numId w:val="275"/>
              </w:numPr>
              <w:jc w:val="both"/>
            </w:pPr>
            <w:r>
              <w:t xml:space="preserve">xi ostakli, </w:t>
            </w:r>
          </w:p>
          <w:p w14:paraId="7FE1BCE4" w14:textId="389397E1" w:rsidR="00534D9A" w:rsidRDefault="003243B2">
            <w:pPr>
              <w:pStyle w:val="P68B1DB1-ListParagraph39"/>
              <w:numPr>
                <w:ilvl w:val="0"/>
                <w:numId w:val="275"/>
              </w:numPr>
              <w:jc w:val="both"/>
            </w:pPr>
            <w:r>
              <w:t xml:space="preserve">barrieri sostanzjali (iżda li jistgħu jingħelbu), </w:t>
            </w:r>
          </w:p>
          <w:p w14:paraId="7FE1BCE6" w14:textId="5882E7D2" w:rsidR="00534D9A" w:rsidRDefault="003243B2">
            <w:pPr>
              <w:pStyle w:val="P68B1DB1-ListParagraph8"/>
              <w:numPr>
                <w:ilvl w:val="0"/>
                <w:numId w:val="275"/>
              </w:numPr>
              <w:jc w:val="both"/>
            </w:pPr>
            <w:r>
              <w:t>ostakli kritiċi (diffiċli biex jingħelbu).</w:t>
            </w:r>
          </w:p>
        </w:tc>
      </w:tr>
      <w:tr w:rsidR="00534D9A" w14:paraId="7FE1BCF2" w14:textId="77777777">
        <w:tc>
          <w:tcPr>
            <w:tcW w:w="1080" w:type="dxa"/>
            <w:tcBorders>
              <w:top w:val="single" w:sz="4" w:space="0" w:color="1A171C"/>
              <w:left w:val="nil"/>
              <w:bottom w:val="single" w:sz="4" w:space="0" w:color="1A171C"/>
              <w:right w:val="single" w:sz="4" w:space="0" w:color="1A171C"/>
            </w:tcBorders>
            <w:vAlign w:val="center"/>
          </w:tcPr>
          <w:p w14:paraId="7FE1BCE8" w14:textId="77777777" w:rsidR="00534D9A" w:rsidRDefault="003243B2">
            <w:pPr>
              <w:pStyle w:val="P68B1DB1-TableParagraph17"/>
              <w:spacing w:before="108"/>
              <w:ind w:left="85"/>
              <w:jc w:val="both"/>
            </w:pPr>
            <w:r>
              <w:t>0180</w:t>
            </w:r>
          </w:p>
        </w:tc>
        <w:tc>
          <w:tcPr>
            <w:tcW w:w="8003" w:type="dxa"/>
            <w:tcBorders>
              <w:top w:val="single" w:sz="4" w:space="0" w:color="1A171C"/>
              <w:left w:val="single" w:sz="4" w:space="0" w:color="1A171C"/>
              <w:bottom w:val="single" w:sz="4" w:space="0" w:color="1A171C"/>
              <w:right w:val="nil"/>
            </w:tcBorders>
            <w:vAlign w:val="center"/>
          </w:tcPr>
          <w:p w14:paraId="7FE1BCE9" w14:textId="77777777" w:rsidR="00534D9A" w:rsidRDefault="003243B2">
            <w:pPr>
              <w:pStyle w:val="P68B1DB1-TableParagraph14"/>
              <w:spacing w:before="108"/>
              <w:jc w:val="both"/>
              <w:rPr>
                <w:bCs/>
              </w:rPr>
            </w:pPr>
            <w:r>
              <w:t>Rekwiżiti operazzjonali għad-dħul jew l-espansjoni</w:t>
            </w:r>
          </w:p>
          <w:p w14:paraId="7FE1BCEA" w14:textId="77777777" w:rsidR="00534D9A" w:rsidRDefault="00534D9A">
            <w:pPr>
              <w:pStyle w:val="TableParagraph"/>
              <w:spacing w:before="108"/>
              <w:jc w:val="both"/>
              <w:rPr>
                <w:rFonts w:ascii="Times New Roman" w:hAnsi="Times New Roman" w:cs="Times New Roman"/>
                <w:color w:val="000000" w:themeColor="text1"/>
                <w:sz w:val="20"/>
                <w:szCs w:val="20"/>
              </w:rPr>
            </w:pPr>
          </w:p>
          <w:p w14:paraId="7FE1BCEB" w14:textId="31044453" w:rsidR="00534D9A" w:rsidRDefault="003243B2">
            <w:pPr>
              <w:pStyle w:val="P68B1DB1-TableParagraph13"/>
              <w:spacing w:before="108"/>
              <w:jc w:val="both"/>
            </w:pPr>
            <w:r>
              <w:t xml:space="preserve">Rekwiżiti organizzattivi, tekniċi u infrastrutturali għall-kompetituri biex joffru s-servizz. L-offerta tas-servizzi relatati mas- (sub) funzjoni tirrikjedi li l-fornituri jinvestu f’infrastruttura (ġdida jew addizzjonali) — jew jimmodifikaw l-organizzazzjonijiet tagħhom. Ivvaluta l-kapaċità tas-suq li jassorbi n-negozju partikolari, pereżempju f’termini ta’ rekwiżiti kapitali. </w:t>
            </w:r>
          </w:p>
          <w:p w14:paraId="7FE1BCEC" w14:textId="77777777" w:rsidR="00534D9A" w:rsidRDefault="003243B2">
            <w:pPr>
              <w:pStyle w:val="P68B1DB1-TableParagraph13"/>
              <w:spacing w:before="108"/>
              <w:jc w:val="both"/>
            </w:pPr>
            <w:r>
              <w:lastRenderedPageBreak/>
              <w:t xml:space="preserve">Dan l-indikatur irid jiġi rrapportat f’buckets, li huma l-istess għal kull subfunzjoni: </w:t>
            </w:r>
          </w:p>
          <w:p w14:paraId="7FE1BCED" w14:textId="5283E021" w:rsidR="00534D9A" w:rsidRDefault="003243B2">
            <w:pPr>
              <w:pStyle w:val="P68B1DB1-ListParagraph39"/>
              <w:numPr>
                <w:ilvl w:val="0"/>
                <w:numId w:val="278"/>
              </w:numPr>
              <w:jc w:val="both"/>
            </w:pPr>
            <w:r>
              <w:t xml:space="preserve">l-ebda rekwiżit maġġuri, </w:t>
            </w:r>
          </w:p>
          <w:p w14:paraId="7FE1BCEE" w14:textId="5ADAB5CD" w:rsidR="00534D9A" w:rsidRDefault="003243B2">
            <w:pPr>
              <w:pStyle w:val="P68B1DB1-ListParagraph39"/>
              <w:numPr>
                <w:ilvl w:val="0"/>
                <w:numId w:val="278"/>
              </w:numPr>
              <w:jc w:val="both"/>
            </w:pPr>
            <w:r>
              <w:t xml:space="preserve">xi rekwiżiti, </w:t>
            </w:r>
          </w:p>
          <w:p w14:paraId="7FE1BCEF" w14:textId="579CC165" w:rsidR="00534D9A" w:rsidRDefault="003243B2">
            <w:pPr>
              <w:pStyle w:val="P68B1DB1-ListParagraph39"/>
              <w:numPr>
                <w:ilvl w:val="0"/>
                <w:numId w:val="278"/>
              </w:numPr>
              <w:jc w:val="both"/>
            </w:pPr>
            <w:r>
              <w:t xml:space="preserve">rekwiżiti sostanzjali (iżda li jistgħu jingħelbu), </w:t>
            </w:r>
          </w:p>
          <w:p w14:paraId="7FE1BCF0" w14:textId="5F9F9690" w:rsidR="00534D9A" w:rsidRDefault="003243B2">
            <w:pPr>
              <w:pStyle w:val="P68B1DB1-ListParagraph39"/>
              <w:numPr>
                <w:ilvl w:val="0"/>
                <w:numId w:val="278"/>
              </w:numPr>
              <w:jc w:val="both"/>
            </w:pPr>
            <w:r>
              <w:t>rekwiżiti kritiċi (diffiċli biex jinqabżu).</w:t>
            </w:r>
          </w:p>
          <w:p w14:paraId="7FE1BCF1" w14:textId="77777777" w:rsidR="00534D9A" w:rsidRDefault="00534D9A">
            <w:pPr>
              <w:pStyle w:val="TableParagraph"/>
              <w:spacing w:before="108"/>
              <w:jc w:val="both"/>
              <w:rPr>
                <w:rFonts w:ascii="Times New Roman" w:hAnsi="Times New Roman" w:cs="Times New Roman"/>
                <w:color w:val="000000" w:themeColor="text1"/>
                <w:sz w:val="20"/>
                <w:szCs w:val="20"/>
              </w:rPr>
            </w:pPr>
          </w:p>
        </w:tc>
      </w:tr>
      <w:tr w:rsidR="00534D9A" w14:paraId="7FE1BCF5" w14:textId="77777777">
        <w:tc>
          <w:tcPr>
            <w:tcW w:w="1080" w:type="dxa"/>
            <w:tcBorders>
              <w:top w:val="single" w:sz="4" w:space="0" w:color="1A171C"/>
              <w:left w:val="nil"/>
              <w:bottom w:val="single" w:sz="4" w:space="0" w:color="1A171C"/>
              <w:right w:val="single" w:sz="4" w:space="0" w:color="1A171C"/>
            </w:tcBorders>
            <w:vAlign w:val="center"/>
          </w:tcPr>
          <w:p w14:paraId="7FE1BCF3" w14:textId="77777777" w:rsidR="00534D9A" w:rsidRDefault="003243B2">
            <w:pPr>
              <w:pStyle w:val="P68B1DB1-TableParagraph17"/>
              <w:spacing w:before="108"/>
              <w:ind w:left="85"/>
              <w:jc w:val="both"/>
            </w:pPr>
            <w:r>
              <w:lastRenderedPageBreak/>
              <w:t>0190–0210</w:t>
            </w:r>
          </w:p>
        </w:tc>
        <w:tc>
          <w:tcPr>
            <w:tcW w:w="8003" w:type="dxa"/>
            <w:tcBorders>
              <w:top w:val="single" w:sz="4" w:space="0" w:color="1A171C"/>
              <w:left w:val="single" w:sz="4" w:space="0" w:color="1A171C"/>
              <w:bottom w:val="single" w:sz="4" w:space="0" w:color="1A171C"/>
              <w:right w:val="nil"/>
            </w:tcBorders>
            <w:vAlign w:val="center"/>
          </w:tcPr>
          <w:p w14:paraId="7FE1BCF4" w14:textId="77777777" w:rsidR="00534D9A" w:rsidRDefault="003243B2">
            <w:pPr>
              <w:pStyle w:val="P68B1DB1-TableParagraph14"/>
              <w:spacing w:before="108"/>
              <w:jc w:val="both"/>
              <w:rPr>
                <w:bCs/>
              </w:rPr>
            </w:pPr>
            <w:r>
              <w:t>Valutazzjoni tal-Kritiċità</w:t>
            </w:r>
          </w:p>
        </w:tc>
      </w:tr>
      <w:tr w:rsidR="00534D9A" w14:paraId="7FE1BCFB" w14:textId="77777777">
        <w:tc>
          <w:tcPr>
            <w:tcW w:w="1080" w:type="dxa"/>
            <w:tcBorders>
              <w:top w:val="single" w:sz="4" w:space="0" w:color="1A171C"/>
              <w:left w:val="nil"/>
              <w:bottom w:val="single" w:sz="4" w:space="0" w:color="1A171C"/>
              <w:right w:val="single" w:sz="4" w:space="0" w:color="1A171C"/>
            </w:tcBorders>
            <w:vAlign w:val="center"/>
          </w:tcPr>
          <w:p w14:paraId="7FE1BCF6" w14:textId="77777777" w:rsidR="00534D9A" w:rsidRDefault="003243B2">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CF7" w14:textId="77777777" w:rsidR="00534D9A" w:rsidRDefault="003243B2">
            <w:pPr>
              <w:pStyle w:val="P68B1DB1-TableParagraph14"/>
              <w:spacing w:before="108"/>
              <w:jc w:val="both"/>
              <w:rPr>
                <w:bCs/>
              </w:rPr>
            </w:pPr>
            <w:r>
              <w:t xml:space="preserve">L-impatt fuq is-suq </w:t>
            </w:r>
          </w:p>
          <w:p w14:paraId="7FE1BCF8" w14:textId="77777777" w:rsidR="00534D9A" w:rsidRDefault="003243B2">
            <w:pPr>
              <w:pStyle w:val="P68B1DB1-TableParagraph13"/>
              <w:spacing w:before="108"/>
              <w:jc w:val="both"/>
            </w:pPr>
            <w:r>
              <w:t>L-impatt stmat ta’ waqfien f’daqqa tal-funzjoni fuq partijiet terzi, swieq finanzjarji u l-ekonomija reali, filwaqt li jitqiesu d-daqs, is-sehem mis-suq fil-pajjiż, l-interkonnettività esterna u interna, il-kumplessità, u l-attivitajiet transfruntiera tal-istituzzjoni.</w:t>
            </w:r>
          </w:p>
          <w:p w14:paraId="7FE1BCF9" w14:textId="22534111" w:rsidR="00534D9A" w:rsidRDefault="003243B2">
            <w:pPr>
              <w:pStyle w:val="P68B1DB1-TableParagraph13"/>
              <w:spacing w:before="108"/>
              <w:jc w:val="both"/>
            </w:pPr>
            <w:r>
              <w:t>Din il-valutazzjoni għandha tiġi espressa b’mod kwalitattiv bħala “Għoli”, “Medja għolja”, “Medja baxxa” jew “Baxxa”.</w:t>
            </w:r>
          </w:p>
          <w:p w14:paraId="7FE1BCFA" w14:textId="60C791C3" w:rsidR="00534D9A" w:rsidRDefault="003243B2">
            <w:pPr>
              <w:pStyle w:val="P68B1DB1-TableParagraph13"/>
              <w:spacing w:before="108"/>
              <w:jc w:val="both"/>
            </w:pPr>
            <w:r>
              <w:t>“High” għandha tintgħażel jekk il-waqfien għal għarrieda jkollu impatt kbir fuq is-suq nazzjonali; “Medju-għoli” jekk l-impatt ikun sinifikanti; “Medju-baxx” jekk l-impatt ikun materjali, iżda limitat; u “B” jekk l-impatt ikun baxx.</w:t>
            </w:r>
          </w:p>
        </w:tc>
      </w:tr>
      <w:tr w:rsidR="00534D9A" w14:paraId="7FE1BD08" w14:textId="77777777">
        <w:tc>
          <w:tcPr>
            <w:tcW w:w="1080" w:type="dxa"/>
            <w:tcBorders>
              <w:top w:val="single" w:sz="4" w:space="0" w:color="1A171C"/>
              <w:left w:val="nil"/>
              <w:bottom w:val="single" w:sz="4" w:space="0" w:color="1A171C"/>
              <w:right w:val="single" w:sz="4" w:space="0" w:color="1A171C"/>
            </w:tcBorders>
            <w:vAlign w:val="center"/>
          </w:tcPr>
          <w:p w14:paraId="7FE1BCFC" w14:textId="77777777" w:rsidR="00534D9A" w:rsidRDefault="003243B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CFD" w14:textId="77777777" w:rsidR="00534D9A" w:rsidRDefault="003243B2">
            <w:pPr>
              <w:pStyle w:val="P68B1DB1-TableParagraph14"/>
              <w:spacing w:before="108"/>
              <w:jc w:val="both"/>
              <w:rPr>
                <w:bCs/>
              </w:rPr>
            </w:pPr>
            <w:r>
              <w:t>Is-sostitwibbiltà</w:t>
            </w:r>
          </w:p>
          <w:p w14:paraId="7FE1BCFE" w14:textId="77777777" w:rsidR="00534D9A" w:rsidRDefault="003243B2">
            <w:pPr>
              <w:pStyle w:val="P68B1DB1-TableParagraph13"/>
              <w:spacing w:before="108"/>
              <w:jc w:val="both"/>
            </w:pPr>
            <w:r>
              <w:t>L-Artikolu 6(3) tar-Regolament Delegat (UE) 2016/778.</w:t>
            </w:r>
          </w:p>
          <w:p w14:paraId="7FE1BCFF" w14:textId="77777777" w:rsidR="00534D9A" w:rsidRDefault="003243B2">
            <w:pPr>
              <w:pStyle w:val="P68B1DB1-TableParagraph13"/>
              <w:spacing w:before="108"/>
              <w:jc w:val="both"/>
            </w:pPr>
            <w:r>
              <w:t>Funzjoni titqies bħala sostitwibbli fejn din tista’ tiġi ssostitwita b’mod aċċettabbli u fi żmien raġonevoli u b’hekk jiġu evitati problemi sistemiċi għall-ekonomija reali u għas-swieq finanzjarji. Għandhom jitqiesu l-punti li ġejjin:</w:t>
            </w:r>
          </w:p>
          <w:p w14:paraId="7FE1BD00" w14:textId="77777777" w:rsidR="00534D9A" w:rsidRDefault="003243B2">
            <w:pPr>
              <w:pStyle w:val="P68B1DB1-TableParagraph13"/>
              <w:spacing w:before="108"/>
              <w:jc w:val="both"/>
            </w:pPr>
            <w:r>
              <w:t xml:space="preserve">(a) l-istruttura tas-suq għal dik il-funzjoni u d-disponibbiltà ta’ fornituri alternattivi; </w:t>
            </w:r>
          </w:p>
          <w:p w14:paraId="7FE1BD01" w14:textId="77777777" w:rsidR="00534D9A" w:rsidRDefault="003243B2">
            <w:pPr>
              <w:pStyle w:val="P68B1DB1-TableParagraph13"/>
              <w:spacing w:before="108"/>
              <w:jc w:val="both"/>
            </w:pPr>
            <w:r>
              <w:t xml:space="preserve">(b) l-abbiltà ta’ fornituri oħra f’termini ta’ kapaċità, ir-rekwiżiti biex iwettqu l-funzjoni, u ostakli potenzjali għad-dħul jew l-espansjoni; </w:t>
            </w:r>
          </w:p>
          <w:p w14:paraId="7FE1BD02" w14:textId="77777777" w:rsidR="00534D9A" w:rsidRDefault="003243B2">
            <w:pPr>
              <w:pStyle w:val="P68B1DB1-TableParagraph13"/>
              <w:spacing w:before="108"/>
              <w:jc w:val="both"/>
            </w:pPr>
            <w:r>
              <w:t xml:space="preserve">(c) l-inċentiv ta’ fornituri oħra biex iwettqu dawn l-attivitajiet; </w:t>
            </w:r>
          </w:p>
          <w:p w14:paraId="7FE1BD03" w14:textId="77777777" w:rsidR="00534D9A" w:rsidRDefault="003243B2">
            <w:pPr>
              <w:pStyle w:val="P68B1DB1-TableParagraph13"/>
              <w:spacing w:before="108"/>
              <w:jc w:val="both"/>
            </w:pPr>
            <w:r>
              <w:t>(d) iż-żmien meħtieġ mill-utenti tas-servizz biex jittrażlokaw għall-fornitur il-ġdid ta’ servizzi u l-ispejjeż taċ-ċaqliq, iż-żmien meħtieġ għal kompetituri oħra biex jieħdu f’idejhom il-funzjonijiet u jekk dak iż-żmien huwiex biżżejjed biex jiġi evitat tfixkil sinifikanti skont it-tip ta’ servizz.</w:t>
            </w:r>
          </w:p>
          <w:p w14:paraId="7FE1BD04" w14:textId="379B1AA4" w:rsidR="00534D9A" w:rsidRDefault="003243B2">
            <w:pPr>
              <w:pStyle w:val="P68B1DB1-TableParagraph13"/>
              <w:spacing w:before="108"/>
              <w:jc w:val="both"/>
            </w:pPr>
            <w:r>
              <w:t xml:space="preserve">Ipprovdi valutazzjoni ġenerali tal-grad mistenni ta’ sostitwibbiltà għal kull funzjoni, filwaqt li tqis id-dimensjonijiet differenti vvalutati qabel (is-sehem mis-suq, il-konċentrazzjoni tas-suq, iż-żmien għas-sostituzzjoni, l-ostakli legali, u r-rekwiżiti operazzjonali għad-dħul jew l-espansjoni). Din il-valutazzjoni għandha tiġi espressa b’mod kwalitattiv bħala “Għoli”, “Medja għolja”, “Medja baxxa” jew “Baxxa”. </w:t>
            </w:r>
          </w:p>
          <w:p w14:paraId="7FE1BD05" w14:textId="3E0B0177" w:rsidR="00534D9A" w:rsidRDefault="003243B2">
            <w:pPr>
              <w:pStyle w:val="P68B1DB1-TableParagraph13"/>
              <w:spacing w:before="108"/>
              <w:jc w:val="both"/>
            </w:pPr>
            <w:r>
              <w:t>“High” għandha tintgħażel jekk funzjoni tkun tista’ faċilment tiġi pprovduta minn bank ieħor taħt kundizzjonijiet paragunabbli fi żmien raġonevoli;</w:t>
            </w:r>
          </w:p>
          <w:p w14:paraId="7FE1BD06" w14:textId="5459DD51" w:rsidR="00534D9A" w:rsidRDefault="003243B2">
            <w:pPr>
              <w:pStyle w:val="P68B1DB1-TableParagraph13"/>
              <w:spacing w:before="108"/>
              <w:jc w:val="both"/>
            </w:pPr>
            <w:r>
              <w:t xml:space="preserve">“Low” jekk funzjoni ma tkunx tista’ tiġi sostitwita faċilment jew f’qasir żmien; </w:t>
            </w:r>
          </w:p>
          <w:p w14:paraId="7FE1BD07" w14:textId="113A35A6" w:rsidR="00534D9A" w:rsidRDefault="003243B2">
            <w:pPr>
              <w:pStyle w:val="P68B1DB1-TableParagraph13"/>
              <w:spacing w:before="108"/>
              <w:jc w:val="both"/>
            </w:pPr>
            <w:r>
              <w:t>“Medium-High” u “Medium-Low” għal każijiet intermedji li jqisu dimensjonijiet differenti (pereż. is-sehem mis-suq, il-konċentrazzjoni tas-suq, il-ħin għas-sostituzzjoni, kif ukoll l-ostakoli ġuridiċi u r-rekwiżiti operazzjonali għad-dħul jew għall-espansjoni).</w:t>
            </w:r>
          </w:p>
        </w:tc>
      </w:tr>
      <w:tr w:rsidR="00534D9A" w14:paraId="7FE1BD0D" w14:textId="77777777">
        <w:tc>
          <w:tcPr>
            <w:tcW w:w="1080" w:type="dxa"/>
            <w:tcBorders>
              <w:top w:val="single" w:sz="4" w:space="0" w:color="1A171C"/>
              <w:left w:val="nil"/>
              <w:bottom w:val="single" w:sz="4" w:space="0" w:color="1A171C"/>
              <w:right w:val="single" w:sz="4" w:space="0" w:color="1A171C"/>
            </w:tcBorders>
            <w:vAlign w:val="center"/>
          </w:tcPr>
          <w:p w14:paraId="7FE1BD09" w14:textId="77777777" w:rsidR="00534D9A" w:rsidRDefault="003243B2">
            <w:pPr>
              <w:pStyle w:val="P68B1DB1-TableParagraph17"/>
              <w:spacing w:before="108"/>
              <w:ind w:left="85"/>
              <w:jc w:val="both"/>
            </w:pPr>
            <w:r>
              <w:t>0210</w:t>
            </w:r>
          </w:p>
        </w:tc>
        <w:tc>
          <w:tcPr>
            <w:tcW w:w="8003" w:type="dxa"/>
            <w:tcBorders>
              <w:top w:val="single" w:sz="4" w:space="0" w:color="1A171C"/>
              <w:left w:val="single" w:sz="4" w:space="0" w:color="1A171C"/>
              <w:bottom w:val="single" w:sz="4" w:space="0" w:color="1A171C"/>
              <w:right w:val="nil"/>
            </w:tcBorders>
            <w:vAlign w:val="center"/>
          </w:tcPr>
          <w:p w14:paraId="7FE1BD0A" w14:textId="77777777" w:rsidR="00534D9A" w:rsidRDefault="003243B2">
            <w:pPr>
              <w:pStyle w:val="P68B1DB1-TableParagraph14"/>
              <w:spacing w:before="108"/>
              <w:jc w:val="both"/>
              <w:rPr>
                <w:bCs/>
              </w:rPr>
            </w:pPr>
            <w:r>
              <w:t>Il-Funzjoni Kritika</w:t>
            </w:r>
          </w:p>
          <w:p w14:paraId="7FE1BD0B" w14:textId="77777777" w:rsidR="00534D9A" w:rsidRDefault="003243B2">
            <w:pPr>
              <w:pStyle w:val="P68B1DB1-TableParagraph13"/>
              <w:spacing w:before="108"/>
              <w:jc w:val="both"/>
            </w:pPr>
            <w:r>
              <w:t>F’din il-kolonna għandu jiġi rrapportat jekk, meta titqies l-analiżi tal-impatt u tas-sostitwibbiltà mwettqa mill-istituzzjoni, il-funzjoni ekonomika titqiesx bħala kritika fis-suq għall-pajjiż rilevanti.</w:t>
            </w:r>
          </w:p>
          <w:p w14:paraId="7FE1BD0C" w14:textId="77777777" w:rsidR="00534D9A" w:rsidRDefault="003243B2">
            <w:pPr>
              <w:pStyle w:val="P68B1DB1-TableParagraph13"/>
              <w:spacing w:before="108"/>
              <w:jc w:val="both"/>
            </w:pPr>
            <w:r>
              <w:t>Irrapporta “Iva” jew “Le”</w:t>
            </w:r>
          </w:p>
        </w:tc>
      </w:tr>
      <w:tr w:rsidR="00534D9A" w14:paraId="7FE1BD11" w14:textId="77777777">
        <w:tc>
          <w:tcPr>
            <w:tcW w:w="1080" w:type="dxa"/>
            <w:tcBorders>
              <w:top w:val="single" w:sz="4" w:space="0" w:color="1A171C"/>
              <w:left w:val="nil"/>
              <w:bottom w:val="single" w:sz="4" w:space="0" w:color="1A171C"/>
              <w:right w:val="single" w:sz="4" w:space="0" w:color="1A171C"/>
            </w:tcBorders>
            <w:vAlign w:val="center"/>
          </w:tcPr>
          <w:p w14:paraId="7FE1BD0E" w14:textId="77777777" w:rsidR="00534D9A" w:rsidRDefault="003243B2">
            <w:pPr>
              <w:pStyle w:val="P68B1DB1-TableParagraph17"/>
              <w:spacing w:before="108"/>
              <w:ind w:left="85"/>
              <w:jc w:val="both"/>
            </w:pPr>
            <w:r>
              <w:lastRenderedPageBreak/>
              <w:t>0220</w:t>
            </w:r>
          </w:p>
        </w:tc>
        <w:tc>
          <w:tcPr>
            <w:tcW w:w="8003" w:type="dxa"/>
            <w:tcBorders>
              <w:top w:val="single" w:sz="4" w:space="0" w:color="1A171C"/>
              <w:left w:val="single" w:sz="4" w:space="0" w:color="1A171C"/>
              <w:bottom w:val="single" w:sz="4" w:space="0" w:color="1A171C"/>
              <w:right w:val="nil"/>
            </w:tcBorders>
            <w:vAlign w:val="center"/>
          </w:tcPr>
          <w:p w14:paraId="7FE1BD0F" w14:textId="77777777" w:rsidR="00534D9A" w:rsidRDefault="003243B2">
            <w:pPr>
              <w:pStyle w:val="P68B1DB1-TableParagraph14"/>
              <w:spacing w:before="108"/>
              <w:jc w:val="both"/>
              <w:rPr>
                <w:bCs/>
              </w:rPr>
            </w:pPr>
            <w:r>
              <w:t>Kummenti mill-Grupp</w:t>
            </w:r>
          </w:p>
          <w:p w14:paraId="7FE1BD10" w14:textId="77777777" w:rsidR="00534D9A" w:rsidRDefault="003243B2">
            <w:pPr>
              <w:pStyle w:val="P68B1DB1-TableParagraph13"/>
              <w:spacing w:before="108"/>
              <w:jc w:val="both"/>
            </w:pPr>
            <w:r>
              <w:t>Din il-kaxxa tippermetti lill-entità relatriċi tispjega kwalunkwe suppożizzjoni użata fil-valutazzjoni tal-kritikalità tal-funzjoni (jiet) irrapportata/i.</w:t>
            </w:r>
          </w:p>
        </w:tc>
      </w:tr>
    </w:tbl>
    <w:p w14:paraId="7FE1BD12" w14:textId="77777777" w:rsidR="00534D9A" w:rsidRDefault="00534D9A">
      <w:pPr>
        <w:rPr>
          <w:rFonts w:ascii="Times New Roman" w:hAnsi="Times New Roman" w:cs="Times New Roman"/>
          <w:color w:val="000000" w:themeColor="text1"/>
          <w:sz w:val="20"/>
          <w:szCs w:val="20"/>
        </w:rPr>
      </w:pPr>
    </w:p>
    <w:p w14:paraId="7FE1BD13" w14:textId="77777777" w:rsidR="00534D9A" w:rsidRDefault="00534D9A">
      <w:pPr>
        <w:rPr>
          <w:rFonts w:ascii="Times New Roman" w:hAnsi="Times New Roman" w:cs="Times New Roman"/>
          <w:color w:val="000000" w:themeColor="text1"/>
          <w:sz w:val="20"/>
          <w:szCs w:val="20"/>
        </w:rPr>
      </w:pPr>
    </w:p>
    <w:p w14:paraId="7FE1BD14" w14:textId="168C612B" w:rsidR="00534D9A" w:rsidRDefault="003243B2">
      <w:pPr>
        <w:pStyle w:val="P68B1DB1-Instructionsberschrift25"/>
      </w:pPr>
      <w:bookmarkStart w:id="121" w:name="_Toc208245008"/>
      <w:r>
        <w:t>II.13</w:t>
      </w:r>
      <w:r>
        <w:tab/>
        <w:t>Z 07.01.5 FUNC 1 WF</w:t>
      </w:r>
      <w:bookmarkEnd w:id="121"/>
    </w:p>
    <w:p w14:paraId="7FE1BD1C" w14:textId="77777777" w:rsidR="00534D9A" w:rsidRDefault="00534D9A">
      <w:pPr>
        <w:rPr>
          <w:rFonts w:ascii="Times New Roman" w:hAnsi="Times New Roman" w:cs="Times New Roman"/>
          <w:color w:val="000000" w:themeColor="text1"/>
          <w:sz w:val="20"/>
          <w:szCs w:val="20"/>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080"/>
        <w:gridCol w:w="8003"/>
      </w:tblGrid>
      <w:tr w:rsidR="00534D9A" w14:paraId="7FE1BD1F" w14:textId="77777777">
        <w:trPr>
          <w:tblHeader/>
        </w:trPr>
        <w:tc>
          <w:tcPr>
            <w:tcW w:w="1080" w:type="dxa"/>
            <w:tcBorders>
              <w:top w:val="single" w:sz="4" w:space="0" w:color="1A171C"/>
              <w:left w:val="nil"/>
              <w:bottom w:val="single" w:sz="4" w:space="0" w:color="1A171C"/>
              <w:right w:val="single" w:sz="4" w:space="0" w:color="1A171C"/>
            </w:tcBorders>
            <w:shd w:val="clear" w:color="auto" w:fill="E4E5E5"/>
          </w:tcPr>
          <w:p w14:paraId="7FE1BD1D" w14:textId="77777777" w:rsidR="00534D9A" w:rsidRDefault="003243B2">
            <w:pPr>
              <w:pStyle w:val="P68B1DB1-TableParagraph17"/>
              <w:spacing w:before="108"/>
              <w:ind w:left="85"/>
              <w:jc w:val="both"/>
            </w:pPr>
            <w:r>
              <w:t>Kolonni</w:t>
            </w:r>
          </w:p>
        </w:tc>
        <w:tc>
          <w:tcPr>
            <w:tcW w:w="8003" w:type="dxa"/>
            <w:tcBorders>
              <w:top w:val="single" w:sz="4" w:space="0" w:color="1A171C"/>
              <w:left w:val="single" w:sz="4" w:space="0" w:color="1A171C"/>
              <w:bottom w:val="single" w:sz="4" w:space="0" w:color="1A171C"/>
              <w:right w:val="nil"/>
            </w:tcBorders>
            <w:shd w:val="clear" w:color="auto" w:fill="E4E5E5"/>
          </w:tcPr>
          <w:p w14:paraId="7FE1BD1E" w14:textId="77777777" w:rsidR="00534D9A" w:rsidRDefault="003243B2">
            <w:pPr>
              <w:pStyle w:val="P68B1DB1-TableParagraph17"/>
              <w:spacing w:before="108"/>
              <w:ind w:left="85" w:right="1"/>
              <w:jc w:val="both"/>
            </w:pPr>
            <w:r>
              <w:t>Struzzjonijiet</w:t>
            </w:r>
          </w:p>
        </w:tc>
      </w:tr>
      <w:tr w:rsidR="00534D9A" w14:paraId="7FE1BD23" w14:textId="77777777">
        <w:tc>
          <w:tcPr>
            <w:tcW w:w="1080" w:type="dxa"/>
            <w:tcBorders>
              <w:top w:val="single" w:sz="4" w:space="0" w:color="1A171C"/>
              <w:left w:val="nil"/>
              <w:bottom w:val="single" w:sz="4" w:space="0" w:color="1A171C"/>
              <w:right w:val="single" w:sz="4" w:space="0" w:color="1A171C"/>
            </w:tcBorders>
            <w:vAlign w:val="center"/>
          </w:tcPr>
          <w:p w14:paraId="7FE1BD20" w14:textId="77777777" w:rsidR="00534D9A" w:rsidRDefault="003243B2">
            <w:pPr>
              <w:pStyle w:val="P68B1DB1-TableParagraph17"/>
              <w:spacing w:before="108"/>
              <w:ind w:left="85"/>
              <w:jc w:val="both"/>
            </w:pPr>
            <w:r>
              <w:t>0010</w:t>
            </w:r>
          </w:p>
        </w:tc>
        <w:tc>
          <w:tcPr>
            <w:tcW w:w="8003" w:type="dxa"/>
            <w:tcBorders>
              <w:top w:val="single" w:sz="4" w:space="0" w:color="1A171C"/>
              <w:left w:val="single" w:sz="4" w:space="0" w:color="1A171C"/>
              <w:bottom w:val="single" w:sz="4" w:space="0" w:color="1A171C"/>
              <w:right w:val="nil"/>
            </w:tcBorders>
            <w:vAlign w:val="center"/>
          </w:tcPr>
          <w:p w14:paraId="7FE1BD21" w14:textId="77777777" w:rsidR="00534D9A" w:rsidRDefault="003243B2">
            <w:pPr>
              <w:pStyle w:val="P68B1DB1-TableParagraph14"/>
              <w:spacing w:before="108"/>
              <w:ind w:left="85"/>
              <w:jc w:val="both"/>
              <w:rPr>
                <w:bCs/>
              </w:rPr>
            </w:pPr>
            <w:r>
              <w:t>Il-funzjonijiet ekonomiċi kif definiti hawn fuq Kolonni Struzzjonijiet 0010 Id-deskrizzjoni ta’ funzjoni ekonomika</w:t>
            </w:r>
          </w:p>
          <w:p w14:paraId="7FE1BD22" w14:textId="3E7FC747" w:rsidR="00534D9A" w:rsidRDefault="003243B2">
            <w:pPr>
              <w:pStyle w:val="P68B1DB1-TableParagraph17"/>
              <w:spacing w:before="108"/>
              <w:ind w:left="85"/>
            </w:pPr>
            <w:r>
              <w:t xml:space="preserve">Meta l-funzjoni ekonomika tkun tat-tip “Oħrajn” (Z 07.01.5 FUNC 1 WF r0360 sa r0380), għandha tiġi pprovduta deskrizzjoni ta’ dik il-funzjoni. </w:t>
            </w:r>
          </w:p>
        </w:tc>
      </w:tr>
      <w:tr w:rsidR="00534D9A" w14:paraId="7FE1BD27" w14:textId="77777777">
        <w:tc>
          <w:tcPr>
            <w:tcW w:w="1080" w:type="dxa"/>
            <w:tcBorders>
              <w:top w:val="single" w:sz="4" w:space="0" w:color="1A171C"/>
              <w:left w:val="nil"/>
              <w:bottom w:val="single" w:sz="4" w:space="0" w:color="1A171C"/>
              <w:right w:val="single" w:sz="4" w:space="0" w:color="1A171C"/>
            </w:tcBorders>
            <w:vAlign w:val="center"/>
          </w:tcPr>
          <w:p w14:paraId="7FE1BD24" w14:textId="77777777" w:rsidR="00534D9A" w:rsidRDefault="003243B2">
            <w:pPr>
              <w:pStyle w:val="P68B1DB1-TableParagraph17"/>
              <w:spacing w:before="108"/>
              <w:ind w:left="85"/>
              <w:jc w:val="both"/>
            </w:pPr>
            <w:r>
              <w:t>0020</w:t>
            </w:r>
          </w:p>
        </w:tc>
        <w:tc>
          <w:tcPr>
            <w:tcW w:w="8003" w:type="dxa"/>
            <w:tcBorders>
              <w:top w:val="single" w:sz="4" w:space="0" w:color="1A171C"/>
              <w:left w:val="single" w:sz="4" w:space="0" w:color="1A171C"/>
              <w:bottom w:val="single" w:sz="4" w:space="0" w:color="1A171C"/>
              <w:right w:val="nil"/>
            </w:tcBorders>
            <w:vAlign w:val="center"/>
          </w:tcPr>
          <w:p w14:paraId="7FE1BD25" w14:textId="77777777" w:rsidR="00534D9A" w:rsidRDefault="003243B2">
            <w:pPr>
              <w:pStyle w:val="P68B1DB1-TableParagraph14"/>
              <w:spacing w:before="108"/>
              <w:ind w:left="85"/>
              <w:jc w:val="both"/>
              <w:rPr>
                <w:bCs/>
              </w:rPr>
            </w:pPr>
            <w:r>
              <w:t xml:space="preserve">Sehem mis-suq </w:t>
            </w:r>
          </w:p>
          <w:p w14:paraId="7FE1BD26" w14:textId="470CCD5A" w:rsidR="00534D9A" w:rsidRDefault="003243B2">
            <w:pPr>
              <w:pStyle w:val="P68B1DB1-TableParagraph17"/>
              <w:spacing w:before="108"/>
              <w:ind w:left="85"/>
            </w:pPr>
            <w:r>
              <w:t>L-istima tas-sehem mis-suq tal-istituzzjoni jew tal-grupp għall-funzjoni ekonomika fil-pajjiż jew fil-ġeografija rispettiv. Perċentwal tas-suq totali f’termini tal-ammont riportat gross.</w:t>
            </w:r>
          </w:p>
        </w:tc>
      </w:tr>
      <w:tr w:rsidR="00534D9A" w14:paraId="7FE1BD31" w14:textId="77777777">
        <w:tc>
          <w:tcPr>
            <w:tcW w:w="1080" w:type="dxa"/>
            <w:tcBorders>
              <w:top w:val="single" w:sz="4" w:space="0" w:color="1A171C"/>
              <w:left w:val="nil"/>
              <w:bottom w:val="single" w:sz="4" w:space="0" w:color="1A171C"/>
              <w:right w:val="single" w:sz="4" w:space="0" w:color="1A171C"/>
            </w:tcBorders>
            <w:vAlign w:val="center"/>
          </w:tcPr>
          <w:p w14:paraId="7FE1BD28" w14:textId="77777777" w:rsidR="00534D9A" w:rsidRDefault="003243B2">
            <w:pPr>
              <w:pStyle w:val="P68B1DB1-TableParagraph17"/>
              <w:spacing w:before="108"/>
              <w:ind w:left="85"/>
              <w:jc w:val="both"/>
            </w:pPr>
            <w:r>
              <w:t>0030</w:t>
            </w:r>
          </w:p>
        </w:tc>
        <w:tc>
          <w:tcPr>
            <w:tcW w:w="8003" w:type="dxa"/>
            <w:tcBorders>
              <w:top w:val="single" w:sz="4" w:space="0" w:color="1A171C"/>
              <w:left w:val="single" w:sz="4" w:space="0" w:color="1A171C"/>
              <w:bottom w:val="single" w:sz="4" w:space="0" w:color="1A171C"/>
              <w:right w:val="nil"/>
            </w:tcBorders>
            <w:vAlign w:val="center"/>
          </w:tcPr>
          <w:p w14:paraId="7FE1BD29" w14:textId="77777777" w:rsidR="00534D9A" w:rsidRDefault="003243B2">
            <w:pPr>
              <w:pStyle w:val="P68B1DB1-Normal42"/>
              <w:rPr>
                <w:bCs/>
              </w:rPr>
            </w:pPr>
            <w:r>
              <w:t>Ammont riportat gross</w:t>
            </w:r>
          </w:p>
          <w:p w14:paraId="7FE1BD2A" w14:textId="77777777" w:rsidR="00534D9A" w:rsidRDefault="003243B2">
            <w:pPr>
              <w:pStyle w:val="P68B1DB1-TableParagraph17"/>
              <w:spacing w:before="108"/>
            </w:pPr>
            <w:r>
              <w:t xml:space="preserve">Uża l-valur riportat gross kif definit f’FINREP. </w:t>
            </w:r>
          </w:p>
          <w:p w14:paraId="7FE1BD2B" w14:textId="77777777" w:rsidR="00534D9A" w:rsidRDefault="003243B2">
            <w:pPr>
              <w:pStyle w:val="P68B1DB1-TableParagraph17"/>
              <w:spacing w:before="108"/>
            </w:pPr>
            <w:r>
              <w:t xml:space="preserve">Referenzi: FINREP: L-Anness V, il-Parti 1, il-paragrafu 34, FINREP: L-Anness III, IV, Mudelli: </w:t>
            </w:r>
          </w:p>
          <w:p w14:paraId="7FE1BD2C" w14:textId="77777777" w:rsidR="00534D9A" w:rsidRDefault="003243B2">
            <w:pPr>
              <w:pStyle w:val="P68B1DB1-TableParagraph17"/>
              <w:spacing w:before="108"/>
            </w:pPr>
            <w:r>
              <w:t>Teħid b’Self (5.1): Il-mudell F 20.06, il-kolonna 010, ir-ringieli 100+ 110, il-pajjiżi kollha.</w:t>
            </w:r>
          </w:p>
          <w:p w14:paraId="7FE1BD2D" w14:textId="77777777" w:rsidR="00534D9A" w:rsidRDefault="003243B2">
            <w:pPr>
              <w:pStyle w:val="P68B1DB1-TableParagraph17"/>
              <w:spacing w:before="108"/>
            </w:pPr>
            <w:r>
              <w:t>— Id-derivattivi (l-assi) (5.2): Il-mudell F20.04, il-kolonna 010, ir-ringiela 010, il-pajjiżi kollha.</w:t>
            </w:r>
          </w:p>
          <w:p w14:paraId="7FE1BD2E" w14:textId="77777777" w:rsidR="00534D9A" w:rsidRDefault="003243B2">
            <w:pPr>
              <w:pStyle w:val="P68B1DB1-TableParagraph17"/>
              <w:spacing w:before="108"/>
            </w:pPr>
            <w:r>
              <w:t xml:space="preserve">— L-għoti ta’ self (5.3): Il-mudell F 20.04, il-kolonna 010, ir-ringieli 170+ 180, il-pajjiżi kollha. </w:t>
            </w:r>
          </w:p>
          <w:p w14:paraId="7FE1BD30" w14:textId="58CF223C" w:rsidR="00534D9A" w:rsidRDefault="003243B2">
            <w:pPr>
              <w:pStyle w:val="P68B1DB1-TableParagraph17"/>
              <w:spacing w:before="108"/>
            </w:pPr>
            <w:r>
              <w:t>— Id-Derivattivi (l-obbligazzjonijiet) (5.4): Il-mudell F 20.06, kolonna 010, ringiela 010, il-pajjiżi kollha.</w:t>
            </w:r>
          </w:p>
        </w:tc>
      </w:tr>
      <w:tr w:rsidR="00534D9A" w14:paraId="7FE1BD35" w14:textId="77777777">
        <w:tc>
          <w:tcPr>
            <w:tcW w:w="1080" w:type="dxa"/>
            <w:tcBorders>
              <w:top w:val="single" w:sz="4" w:space="0" w:color="1A171C"/>
              <w:left w:val="nil"/>
              <w:bottom w:val="single" w:sz="4" w:space="0" w:color="1A171C"/>
              <w:right w:val="single" w:sz="4" w:space="0" w:color="1A171C"/>
            </w:tcBorders>
            <w:vAlign w:val="center"/>
          </w:tcPr>
          <w:p w14:paraId="7FE1BD32" w14:textId="77777777" w:rsidR="00534D9A" w:rsidRDefault="003243B2">
            <w:pPr>
              <w:pStyle w:val="P68B1DB1-TableParagraph17"/>
              <w:spacing w:before="108"/>
              <w:ind w:left="85"/>
              <w:jc w:val="both"/>
            </w:pPr>
            <w:r>
              <w:t>0040</w:t>
            </w:r>
          </w:p>
        </w:tc>
        <w:tc>
          <w:tcPr>
            <w:tcW w:w="8003" w:type="dxa"/>
            <w:tcBorders>
              <w:top w:val="single" w:sz="4" w:space="0" w:color="1A171C"/>
              <w:left w:val="single" w:sz="4" w:space="0" w:color="1A171C"/>
              <w:bottom w:val="single" w:sz="4" w:space="0" w:color="1A171C"/>
              <w:right w:val="nil"/>
            </w:tcBorders>
            <w:vAlign w:val="center"/>
          </w:tcPr>
          <w:p w14:paraId="7FE1BD33" w14:textId="77777777" w:rsidR="00534D9A" w:rsidRDefault="003243B2">
            <w:pPr>
              <w:pStyle w:val="P68B1DB1-Normal42"/>
              <w:rPr>
                <w:bCs/>
              </w:rPr>
            </w:pPr>
            <w:r>
              <w:t>Għadd ta’ kontropartijiet</w:t>
            </w:r>
          </w:p>
          <w:p w14:paraId="7FE1BD34" w14:textId="77777777" w:rsidR="00534D9A" w:rsidRDefault="003243B2">
            <w:pPr>
              <w:pStyle w:val="P68B1DB1-TableParagraph17"/>
              <w:spacing w:before="108"/>
            </w:pPr>
            <w:r>
              <w:t>In-numru totali ta’ kontropartijiet. Jekk kontroparti oħra jkollha aktar minn kont wieħed u/jew aktar minn tranżazzjoni waħda, il-kontroparti għandha tiġi kkalkulata darba biss.</w:t>
            </w:r>
          </w:p>
        </w:tc>
      </w:tr>
      <w:tr w:rsidR="00534D9A" w14:paraId="7FE1BD43" w14:textId="77777777">
        <w:tc>
          <w:tcPr>
            <w:tcW w:w="1080" w:type="dxa"/>
            <w:tcBorders>
              <w:top w:val="single" w:sz="4" w:space="0" w:color="1A171C"/>
              <w:left w:val="nil"/>
              <w:bottom w:val="single" w:sz="4" w:space="0" w:color="1A171C"/>
              <w:right w:val="single" w:sz="4" w:space="0" w:color="1A171C"/>
            </w:tcBorders>
            <w:vAlign w:val="center"/>
          </w:tcPr>
          <w:p w14:paraId="7FE1BD36" w14:textId="77777777" w:rsidR="00534D9A" w:rsidRDefault="003243B2">
            <w:pPr>
              <w:pStyle w:val="P68B1DB1-TableParagraph17"/>
              <w:spacing w:before="108"/>
              <w:ind w:left="85"/>
              <w:jc w:val="both"/>
            </w:pPr>
            <w:r>
              <w:t>0050</w:t>
            </w:r>
          </w:p>
        </w:tc>
        <w:tc>
          <w:tcPr>
            <w:tcW w:w="8003" w:type="dxa"/>
            <w:tcBorders>
              <w:top w:val="single" w:sz="4" w:space="0" w:color="1A171C"/>
              <w:left w:val="single" w:sz="4" w:space="0" w:color="1A171C"/>
              <w:bottom w:val="single" w:sz="4" w:space="0" w:color="1A171C"/>
              <w:right w:val="nil"/>
            </w:tcBorders>
            <w:vAlign w:val="center"/>
          </w:tcPr>
          <w:p w14:paraId="7FE1BD37" w14:textId="77777777" w:rsidR="00534D9A" w:rsidRDefault="003243B2">
            <w:pPr>
              <w:pStyle w:val="P68B1DB1-TableParagraph14"/>
              <w:spacing w:before="108"/>
              <w:jc w:val="both"/>
              <w:rPr>
                <w:bCs/>
              </w:rPr>
            </w:pPr>
            <w:r>
              <w:t>Ftehimiet ta’ riakkwist (bil-maqlub)</w:t>
            </w:r>
          </w:p>
          <w:p w14:paraId="7FE1BD38" w14:textId="77777777" w:rsidR="00534D9A" w:rsidRDefault="003243B2">
            <w:pPr>
              <w:pStyle w:val="P68B1DB1-TableParagraph13"/>
              <w:spacing w:before="108"/>
              <w:jc w:val="both"/>
            </w:pPr>
            <w:r>
              <w:t>Irrapporta ftehimiet ta’ riakkwist taħt self bl-ingrossa. Riakkwist</w:t>
            </w:r>
          </w:p>
          <w:p w14:paraId="7FE1BD39" w14:textId="77777777" w:rsidR="00534D9A" w:rsidRDefault="003243B2">
            <w:pPr>
              <w:pStyle w:val="P68B1DB1-TableParagraph13"/>
              <w:spacing w:before="108"/>
              <w:jc w:val="both"/>
            </w:pPr>
            <w:r>
              <w:t>ftehimiet ifissru flus riċevuti bi skambju għal titoli mibjugħa bi prezz partikolari taħt</w:t>
            </w:r>
          </w:p>
          <w:p w14:paraId="7FE1BD3A" w14:textId="77777777" w:rsidR="00534D9A" w:rsidRDefault="003243B2">
            <w:pPr>
              <w:pStyle w:val="P68B1DB1-TableParagraph13"/>
              <w:spacing w:before="108"/>
              <w:jc w:val="both"/>
            </w:pPr>
            <w:r>
              <w:t>impenn sod ta’ riakkwist tal-istess titoli (jew simili) bi prezz fiss fuq</w:t>
            </w:r>
          </w:p>
          <w:p w14:paraId="7FE1BD3B" w14:textId="77777777" w:rsidR="00534D9A" w:rsidRDefault="003243B2">
            <w:pPr>
              <w:pStyle w:val="P68B1DB1-TableParagraph13"/>
              <w:spacing w:before="108"/>
              <w:jc w:val="both"/>
            </w:pPr>
            <w:r>
              <w:t xml:space="preserve">data speċifika għall-ġejjieni. </w:t>
            </w:r>
          </w:p>
          <w:p w14:paraId="7FE1BD3C" w14:textId="77777777" w:rsidR="00534D9A" w:rsidRDefault="003243B2">
            <w:pPr>
              <w:pStyle w:val="P68B1DB1-TableParagraph13"/>
              <w:spacing w:before="108"/>
              <w:jc w:val="both"/>
            </w:pPr>
            <w:r>
              <w:t>Irrapporta self ta’ retroriakkwist taħt self bl-ingrossa. Self ta’ retroriakkwist ifisser finanzjament mogħti bi skambju għal titoli mixtrija</w:t>
            </w:r>
          </w:p>
          <w:p w14:paraId="7FE1BD3D" w14:textId="77777777" w:rsidR="00534D9A" w:rsidRDefault="003243B2">
            <w:pPr>
              <w:pStyle w:val="P68B1DB1-TableParagraph13"/>
              <w:spacing w:before="108"/>
              <w:jc w:val="both"/>
            </w:pPr>
            <w:r>
              <w:t>taħt ftehimiet ta’ riakkwist jew mislufa taħt ftehimiet ta’ self ta’ titoli.</w:t>
            </w:r>
          </w:p>
          <w:p w14:paraId="7FE1BD3E" w14:textId="77777777" w:rsidR="00534D9A" w:rsidRDefault="003243B2">
            <w:pPr>
              <w:pStyle w:val="P68B1DB1-TableParagraph13"/>
              <w:spacing w:before="108"/>
              <w:jc w:val="both"/>
            </w:pPr>
            <w:r>
              <w:t>Referenzi ta’ sfond: Ir-Regolament (2015/2365) dwar it-trasparenza tal-finanzjament tat-titoli</w:t>
            </w:r>
          </w:p>
          <w:p w14:paraId="7FE1BD3F" w14:textId="77777777" w:rsidR="00534D9A" w:rsidRDefault="003243B2">
            <w:pPr>
              <w:pStyle w:val="P68B1DB1-TableParagraph13"/>
              <w:spacing w:before="108"/>
              <w:jc w:val="both"/>
            </w:pPr>
            <w:r>
              <w:t>tranżazzjonijiet u l-użu mill-ġdid tal-Art. 3 (9); FINREP: Anness V. Parti 2. Kapitolu 5, paragrafu 85 (e)</w:t>
            </w:r>
          </w:p>
          <w:p w14:paraId="7FE1BD40" w14:textId="77777777" w:rsidR="00534D9A" w:rsidRDefault="003243B2">
            <w:pPr>
              <w:pStyle w:val="P68B1DB1-TableParagraph13"/>
              <w:spacing w:before="108"/>
              <w:jc w:val="both"/>
            </w:pPr>
            <w:r>
              <w:t>u l-Kapitolu 14, il-paragrafu 183; L-Anness III tal-FINREP:</w:t>
            </w:r>
          </w:p>
          <w:p w14:paraId="7FE1BD41" w14:textId="77777777" w:rsidR="00534D9A" w:rsidRDefault="003243B2">
            <w:pPr>
              <w:pStyle w:val="P68B1DB1-TableParagraph13"/>
              <w:numPr>
                <w:ilvl w:val="0"/>
                <w:numId w:val="153"/>
              </w:numPr>
              <w:spacing w:before="108"/>
              <w:jc w:val="both"/>
            </w:pPr>
            <w:r>
              <w:t>Ftehimiet ta’ riakkwist: Tabella 08.01 kolonni 010 + 020 + 030 ringieli 200 + 250.</w:t>
            </w:r>
          </w:p>
          <w:p w14:paraId="7FE1BD42" w14:textId="77777777" w:rsidR="00534D9A" w:rsidRDefault="003243B2">
            <w:pPr>
              <w:pStyle w:val="P68B1DB1-TableParagraph13"/>
              <w:numPr>
                <w:ilvl w:val="0"/>
                <w:numId w:val="153"/>
              </w:numPr>
              <w:spacing w:before="108"/>
              <w:jc w:val="both"/>
            </w:pPr>
            <w:r>
              <w:lastRenderedPageBreak/>
              <w:t>Ftehimiet ta’ riakkwist invers: It-tabella 05.00, il-kolonni 030 + 040, ir-ringiela 050.</w:t>
            </w:r>
          </w:p>
        </w:tc>
      </w:tr>
      <w:tr w:rsidR="00534D9A" w14:paraId="7FE1BD47" w14:textId="77777777">
        <w:tc>
          <w:tcPr>
            <w:tcW w:w="1080" w:type="dxa"/>
            <w:tcBorders>
              <w:top w:val="single" w:sz="4" w:space="0" w:color="1A171C"/>
              <w:left w:val="nil"/>
              <w:bottom w:val="single" w:sz="4" w:space="0" w:color="1A171C"/>
              <w:right w:val="single" w:sz="4" w:space="0" w:color="1A171C"/>
            </w:tcBorders>
            <w:vAlign w:val="center"/>
          </w:tcPr>
          <w:p w14:paraId="7FE1BD44" w14:textId="1D61499E" w:rsidR="00534D9A" w:rsidRDefault="003243B2">
            <w:pPr>
              <w:pStyle w:val="P68B1DB1-TableParagraph17"/>
              <w:spacing w:before="108"/>
              <w:jc w:val="both"/>
            </w:pPr>
            <w:r>
              <w:lastRenderedPageBreak/>
              <w:t>0060</w:t>
            </w:r>
          </w:p>
        </w:tc>
        <w:tc>
          <w:tcPr>
            <w:tcW w:w="8003" w:type="dxa"/>
            <w:tcBorders>
              <w:top w:val="single" w:sz="4" w:space="0" w:color="1A171C"/>
              <w:left w:val="single" w:sz="4" w:space="0" w:color="1A171C"/>
              <w:bottom w:val="single" w:sz="4" w:space="0" w:color="1A171C"/>
              <w:right w:val="nil"/>
            </w:tcBorders>
            <w:vAlign w:val="center"/>
          </w:tcPr>
          <w:p w14:paraId="7FE1BD45" w14:textId="77777777" w:rsidR="00534D9A" w:rsidRDefault="003243B2">
            <w:pPr>
              <w:pStyle w:val="P68B1DB1-TableParagraph14"/>
              <w:spacing w:before="108"/>
              <w:jc w:val="both"/>
              <w:rPr>
                <w:bCs/>
              </w:rPr>
            </w:pPr>
            <w:r>
              <w:t>Valur transkonfinali</w:t>
            </w:r>
          </w:p>
          <w:p w14:paraId="7FE1BD46" w14:textId="77777777" w:rsidR="00534D9A" w:rsidRDefault="003243B2">
            <w:pPr>
              <w:pStyle w:val="P68B1DB1-TableParagraph13"/>
              <w:spacing w:before="108"/>
              <w:jc w:val="both"/>
            </w:pPr>
            <w:r>
              <w:t>Żid l-ammonti riportati grossi tal-pajjiżi kollha, ħlief għall-pajjiż tad-domiċilju jew il-pajjiż rilevanti.</w:t>
            </w:r>
          </w:p>
        </w:tc>
      </w:tr>
      <w:tr w:rsidR="00534D9A" w14:paraId="7FE1BD51" w14:textId="77777777">
        <w:tc>
          <w:tcPr>
            <w:tcW w:w="1080" w:type="dxa"/>
            <w:tcBorders>
              <w:top w:val="single" w:sz="4" w:space="0" w:color="1A171C"/>
              <w:left w:val="nil"/>
              <w:bottom w:val="single" w:sz="4" w:space="0" w:color="1A171C"/>
              <w:right w:val="single" w:sz="4" w:space="0" w:color="1A171C"/>
            </w:tcBorders>
            <w:vAlign w:val="center"/>
          </w:tcPr>
          <w:p w14:paraId="7FE1BD48" w14:textId="77777777" w:rsidR="00534D9A" w:rsidRDefault="003243B2">
            <w:pPr>
              <w:pStyle w:val="P68B1DB1-TableParagraph17"/>
              <w:spacing w:before="108"/>
              <w:ind w:left="85"/>
              <w:jc w:val="both"/>
            </w:pPr>
            <w:r>
              <w:t>0070</w:t>
            </w:r>
          </w:p>
        </w:tc>
        <w:tc>
          <w:tcPr>
            <w:tcW w:w="8003" w:type="dxa"/>
            <w:tcBorders>
              <w:top w:val="single" w:sz="4" w:space="0" w:color="1A171C"/>
              <w:left w:val="single" w:sz="4" w:space="0" w:color="1A171C"/>
              <w:bottom w:val="single" w:sz="4" w:space="0" w:color="1A171C"/>
              <w:right w:val="nil"/>
            </w:tcBorders>
            <w:vAlign w:val="center"/>
          </w:tcPr>
          <w:p w14:paraId="7FE1BD49" w14:textId="77777777" w:rsidR="00534D9A" w:rsidRDefault="003243B2">
            <w:pPr>
              <w:pStyle w:val="P68B1DB1-Normal42"/>
              <w:rPr>
                <w:bCs/>
              </w:rPr>
            </w:pPr>
            <w:r>
              <w:t>Valur fl-Istituzzjonijiet ta’ Kreditu</w:t>
            </w:r>
          </w:p>
          <w:p w14:paraId="7FE1BD4A" w14:textId="77777777" w:rsidR="00534D9A" w:rsidRDefault="003243B2">
            <w:pPr>
              <w:pStyle w:val="P68B1DB1-TableParagraph13"/>
              <w:spacing w:before="108"/>
              <w:jc w:val="both"/>
            </w:pPr>
            <w:r>
              <w:t>Ammont riportat gross pendenti f’istituzzjonijiet ta’ kreditu. Definizzjoni tas-settur skont</w:t>
            </w:r>
          </w:p>
          <w:p w14:paraId="7FE1BD4B" w14:textId="77777777" w:rsidR="00534D9A" w:rsidRDefault="003243B2">
            <w:pPr>
              <w:pStyle w:val="P68B1DB1-TableParagraph13"/>
              <w:spacing w:before="108"/>
              <w:jc w:val="both"/>
            </w:pPr>
            <w:r>
              <w:t xml:space="preserve">FINREP (Anness V) </w:t>
            </w:r>
          </w:p>
          <w:p w14:paraId="7FE1BD4C" w14:textId="77777777" w:rsidR="00534D9A" w:rsidRDefault="003243B2">
            <w:pPr>
              <w:pStyle w:val="P68B1DB1-TableParagraph13"/>
              <w:spacing w:before="108"/>
              <w:jc w:val="both"/>
            </w:pPr>
            <w:r>
              <w:t>Referenzi ta’ sfond: FINREP: Anness III:</w:t>
            </w:r>
          </w:p>
          <w:p w14:paraId="7FE1BD4D" w14:textId="77777777" w:rsidR="00534D9A" w:rsidRDefault="003243B2">
            <w:pPr>
              <w:pStyle w:val="P68B1DB1-TableParagraph13"/>
              <w:numPr>
                <w:ilvl w:val="0"/>
                <w:numId w:val="153"/>
              </w:numPr>
              <w:spacing w:before="108"/>
              <w:jc w:val="both"/>
            </w:pPr>
            <w:r>
              <w:t>Teħid b’self: Il-tabella 20.06, kolonna 010, ringiela 100, il-pajjiżi kollha.</w:t>
            </w:r>
          </w:p>
          <w:p w14:paraId="7FE1BD4E" w14:textId="77777777" w:rsidR="00534D9A" w:rsidRDefault="003243B2">
            <w:pPr>
              <w:pStyle w:val="P68B1DB1-TableParagraph13"/>
              <w:numPr>
                <w:ilvl w:val="0"/>
                <w:numId w:val="153"/>
              </w:numPr>
              <w:spacing w:before="108"/>
              <w:jc w:val="both"/>
            </w:pPr>
            <w:r>
              <w:t>Derivattivi (assi): Il-tabella 20.04, kolonna 010, ringiela 020, il-pajjiżi kollha.</w:t>
            </w:r>
          </w:p>
          <w:p w14:paraId="7FE1BD4F" w14:textId="77777777" w:rsidR="00534D9A" w:rsidRDefault="003243B2">
            <w:pPr>
              <w:pStyle w:val="P68B1DB1-TableParagraph13"/>
              <w:numPr>
                <w:ilvl w:val="0"/>
                <w:numId w:val="153"/>
              </w:numPr>
              <w:spacing w:before="108"/>
              <w:jc w:val="both"/>
            </w:pPr>
            <w:r>
              <w:t>Self: Il-tabella 20.04, kolonna 010, ringiela 170, il-pajjiżi kollha.</w:t>
            </w:r>
          </w:p>
          <w:p w14:paraId="7FE1BD50" w14:textId="77777777" w:rsidR="00534D9A" w:rsidRDefault="003243B2">
            <w:pPr>
              <w:pStyle w:val="P68B1DB1-TableParagraph13"/>
              <w:numPr>
                <w:ilvl w:val="0"/>
                <w:numId w:val="153"/>
              </w:numPr>
              <w:spacing w:before="108"/>
              <w:jc w:val="both"/>
            </w:pPr>
            <w:r>
              <w:t>Obbligazzjonijiet derivattivi: Il-tabella 20.06, kolonna 010, ringiela 020, il-pajjiżi kollha.</w:t>
            </w:r>
          </w:p>
        </w:tc>
      </w:tr>
      <w:tr w:rsidR="00534D9A" w14:paraId="7FE1BD5A" w14:textId="77777777">
        <w:tc>
          <w:tcPr>
            <w:tcW w:w="1080" w:type="dxa"/>
            <w:tcBorders>
              <w:top w:val="single" w:sz="4" w:space="0" w:color="1A171C"/>
              <w:left w:val="nil"/>
              <w:bottom w:val="single" w:sz="4" w:space="0" w:color="1A171C"/>
              <w:right w:val="single" w:sz="4" w:space="0" w:color="1A171C"/>
            </w:tcBorders>
            <w:vAlign w:val="center"/>
          </w:tcPr>
          <w:p w14:paraId="7FE1BD52" w14:textId="77777777" w:rsidR="00534D9A" w:rsidRDefault="003243B2">
            <w:pPr>
              <w:pStyle w:val="P68B1DB1-TableParagraph17"/>
              <w:spacing w:before="108"/>
              <w:ind w:left="85"/>
              <w:jc w:val="both"/>
            </w:pPr>
            <w:r>
              <w:t>0080–0150</w:t>
            </w:r>
          </w:p>
        </w:tc>
        <w:tc>
          <w:tcPr>
            <w:tcW w:w="8003" w:type="dxa"/>
            <w:tcBorders>
              <w:top w:val="single" w:sz="4" w:space="0" w:color="1A171C"/>
              <w:left w:val="single" w:sz="4" w:space="0" w:color="1A171C"/>
              <w:bottom w:val="single" w:sz="4" w:space="0" w:color="1A171C"/>
              <w:right w:val="nil"/>
            </w:tcBorders>
            <w:vAlign w:val="center"/>
          </w:tcPr>
          <w:p w14:paraId="7FE1BD53" w14:textId="77777777" w:rsidR="00534D9A" w:rsidRDefault="003243B2">
            <w:pPr>
              <w:pStyle w:val="P68B1DB1-Normal42"/>
              <w:rPr>
                <w:bCs/>
              </w:rPr>
            </w:pPr>
            <w:r>
              <w:t>Analiżi tal-Impatt u tas-Sostitwibbiltà</w:t>
            </w:r>
          </w:p>
          <w:p w14:paraId="7FE1BD54" w14:textId="77777777" w:rsidR="00534D9A" w:rsidRDefault="003243B2">
            <w:pPr>
              <w:pStyle w:val="P68B1DB1-Normal43"/>
            </w:pPr>
            <w:r>
              <w:t>Il-kriterji tal-valutazzjoni għall-impatt fuq partijiet terzi għandhom jinkludu l-elementi li ġejjin f’konformità mar-Regolament Delegat tal-Kummissjoni (UE) 2016/778 dwar il-funzjonijiet kritiċi:</w:t>
            </w:r>
          </w:p>
          <w:p w14:paraId="7FE1BD55" w14:textId="77777777" w:rsidR="00534D9A" w:rsidRDefault="003243B2">
            <w:pPr>
              <w:pStyle w:val="P68B1DB1-ListParagraph38"/>
              <w:numPr>
                <w:ilvl w:val="0"/>
                <w:numId w:val="131"/>
              </w:numPr>
              <w:spacing w:line="276" w:lineRule="auto"/>
            </w:pPr>
            <w:r>
              <w:t>in-natura u l-firxa tal-attività, l-ilħuq globali, nazzjonali jew reġjonali, il-volum u l-għadd ta’ tranżazzjonijiet; l-għadd ta’ klijenti u kontropartijiet; in-numru ta’ klijenti li għalihom l-istituzzjoni hija l-unika sieħba bankarja jew dik prinċipali.</w:t>
            </w:r>
          </w:p>
          <w:p w14:paraId="7FE1BD56" w14:textId="77777777" w:rsidR="00534D9A" w:rsidRDefault="003243B2">
            <w:pPr>
              <w:pStyle w:val="P68B1DB1-ListParagraph38"/>
              <w:numPr>
                <w:ilvl w:val="0"/>
                <w:numId w:val="131"/>
              </w:numPr>
              <w:spacing w:line="276" w:lineRule="auto"/>
            </w:pPr>
            <w:r>
              <w:t>ir-rilevanza tal-istituzzjoni, fuq bażi lokali, reġjonali, nazzjonali jew dak Ewropew, kif xieraq għas-suq konċernat. Ir-rilevanza tal-istituzzjoni tista’ tiġi evalwata abbażi tas-sehem tas-suq, l-interkonnettività, il-kumplessità u attivitajiet transkonfinali.</w:t>
            </w:r>
          </w:p>
          <w:p w14:paraId="7FE1BD57" w14:textId="77777777" w:rsidR="00534D9A" w:rsidRDefault="003243B2">
            <w:pPr>
              <w:pStyle w:val="P68B1DB1-ListParagraph38"/>
              <w:numPr>
                <w:ilvl w:val="0"/>
                <w:numId w:val="131"/>
              </w:numPr>
              <w:spacing w:line="276" w:lineRule="auto"/>
            </w:pPr>
            <w:r>
              <w:t xml:space="preserve">in-natura tal-klijenti u partijiet interessati affettwati mill-funzjoni, bħal, iżda mhux limitati għal klijenti individwali, klijenti korporattivi, klijenti interbankarji, il-kmamar tal-ikklerjar ċentrali u entitajiet pubbliċi. </w:t>
            </w:r>
          </w:p>
          <w:p w14:paraId="7FE1BD58" w14:textId="77777777" w:rsidR="00534D9A" w:rsidRDefault="003243B2">
            <w:pPr>
              <w:pStyle w:val="P68B1DB1-ListParagraph38"/>
              <w:numPr>
                <w:ilvl w:val="0"/>
                <w:numId w:val="131"/>
              </w:numPr>
              <w:spacing w:line="276" w:lineRule="auto"/>
            </w:pPr>
            <w:r>
              <w:t>il-potenzjal ta’ tfixkil ta’ funzjoni fuq is-swieq, infrastrutturi, klijenti u s-servizzi pubbliċi. B’mod partikolari, il-valutazzjoni tista’ tinkludi l-effett fuq il-likwidità tas-swieq ikkonċernati, l-impatt u l-grad ta’ tfixkil għan-negozju tal-klijenti, u l-bżonnijiet ta’ likwidità fuq perjodu qasir ta’ żmien; il-perċettibbiltà għal kontropartijiet, klijenti u l-pubbliku; il-kapaċità u l-veloċità ta’ reazzjoni tal-klijenti; ir-rilevanza għall-funzjonament ta’ swieq oħra; l-effett fuq il-likwidità, l-ope</w:t>
            </w:r>
            <w:r>
              <w:t>razzjonijiet, l-istruttura ta’ suq ieħor; l-effett fuq kontropartijiet oħra relatati ma’ klijenti ewlenin u l-interrelazzjoni tal-funzjoni ma’ servizzi oħra.</w:t>
            </w:r>
          </w:p>
          <w:p w14:paraId="7FE1BD59" w14:textId="77777777" w:rsidR="00534D9A" w:rsidRDefault="00534D9A">
            <w:pPr>
              <w:rPr>
                <w:rFonts w:ascii="Times New Roman" w:eastAsiaTheme="minorHAnsi" w:hAnsi="Times New Roman" w:cs="Times New Roman"/>
                <w:color w:val="000000" w:themeColor="text1"/>
                <w:sz w:val="20"/>
                <w:szCs w:val="20"/>
              </w:rPr>
            </w:pPr>
          </w:p>
        </w:tc>
      </w:tr>
      <w:tr w:rsidR="00534D9A" w14:paraId="7FE1BD5E" w14:textId="77777777">
        <w:tc>
          <w:tcPr>
            <w:tcW w:w="1080" w:type="dxa"/>
            <w:tcBorders>
              <w:top w:val="single" w:sz="4" w:space="0" w:color="1A171C"/>
              <w:left w:val="nil"/>
              <w:bottom w:val="single" w:sz="4" w:space="0" w:color="1A171C"/>
              <w:right w:val="single" w:sz="4" w:space="0" w:color="1A171C"/>
            </w:tcBorders>
            <w:vAlign w:val="center"/>
          </w:tcPr>
          <w:p w14:paraId="7FE1BD5B" w14:textId="77777777" w:rsidR="00534D9A" w:rsidRDefault="003243B2">
            <w:pPr>
              <w:pStyle w:val="P68B1DB1-TableParagraph17"/>
              <w:spacing w:before="108"/>
              <w:ind w:left="85"/>
              <w:jc w:val="both"/>
            </w:pPr>
            <w:r>
              <w:t>0080–0100</w:t>
            </w:r>
          </w:p>
        </w:tc>
        <w:tc>
          <w:tcPr>
            <w:tcW w:w="8003" w:type="dxa"/>
            <w:tcBorders>
              <w:top w:val="single" w:sz="4" w:space="0" w:color="1A171C"/>
              <w:left w:val="single" w:sz="4" w:space="0" w:color="1A171C"/>
              <w:bottom w:val="single" w:sz="4" w:space="0" w:color="1A171C"/>
              <w:right w:val="nil"/>
            </w:tcBorders>
            <w:vAlign w:val="center"/>
          </w:tcPr>
          <w:p w14:paraId="7FE1BD5C" w14:textId="77777777" w:rsidR="00534D9A" w:rsidRDefault="003243B2">
            <w:pPr>
              <w:pStyle w:val="P68B1DB1-Normal42"/>
              <w:rPr>
                <w:bCs/>
              </w:rPr>
            </w:pPr>
            <w:r>
              <w:t xml:space="preserve">Natura u Reach </w:t>
            </w:r>
          </w:p>
          <w:p w14:paraId="7FE1BD5D" w14:textId="77777777" w:rsidR="00534D9A" w:rsidRDefault="003243B2">
            <w:pPr>
              <w:pStyle w:val="P68B1DB1-Normal43"/>
            </w:pPr>
            <w:r>
              <w:t>Il-firxa globali, nazzjonali jew reġjonali, il-volum u l-għadd ta’ tranżazzjonijiet; l-għadd ta’ klijenti u kontropartijiet; in-numru ta’ klijenti li għalihom l-istituzzjoni hija l-unika sieħba bankarja jew dik prinċipali.</w:t>
            </w:r>
          </w:p>
        </w:tc>
      </w:tr>
      <w:tr w:rsidR="00534D9A" w14:paraId="7FE1BD65" w14:textId="77777777">
        <w:tc>
          <w:tcPr>
            <w:tcW w:w="1080" w:type="dxa"/>
            <w:tcBorders>
              <w:top w:val="single" w:sz="4" w:space="0" w:color="1A171C"/>
              <w:left w:val="nil"/>
              <w:bottom w:val="single" w:sz="4" w:space="0" w:color="1A171C"/>
              <w:right w:val="single" w:sz="4" w:space="0" w:color="1A171C"/>
            </w:tcBorders>
            <w:vAlign w:val="center"/>
          </w:tcPr>
          <w:p w14:paraId="7FE1BD5F" w14:textId="77777777" w:rsidR="00534D9A" w:rsidRDefault="003243B2">
            <w:pPr>
              <w:pStyle w:val="P68B1DB1-TableParagraph17"/>
              <w:spacing w:before="108"/>
              <w:ind w:left="85"/>
              <w:jc w:val="both"/>
            </w:pPr>
            <w:r>
              <w:t>0080</w:t>
            </w:r>
          </w:p>
        </w:tc>
        <w:tc>
          <w:tcPr>
            <w:tcW w:w="8003" w:type="dxa"/>
            <w:tcBorders>
              <w:top w:val="single" w:sz="4" w:space="0" w:color="1A171C"/>
              <w:left w:val="single" w:sz="4" w:space="0" w:color="1A171C"/>
              <w:bottom w:val="single" w:sz="4" w:space="0" w:color="1A171C"/>
              <w:right w:val="nil"/>
            </w:tcBorders>
            <w:vAlign w:val="center"/>
          </w:tcPr>
          <w:p w14:paraId="7FE1BD60" w14:textId="77777777" w:rsidR="00534D9A" w:rsidRDefault="003243B2">
            <w:pPr>
              <w:pStyle w:val="P68B1DB1-Normal42"/>
              <w:rPr>
                <w:bCs/>
              </w:rPr>
            </w:pPr>
            <w:r>
              <w:t>Indikatur tad-daqs 1</w:t>
            </w:r>
          </w:p>
          <w:p w14:paraId="611DAB08"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D61" w14:textId="0497CCAC" w:rsidR="00534D9A" w:rsidRDefault="003243B2">
            <w:pPr>
              <w:pStyle w:val="P68B1DB1-Normal43"/>
            </w:pPr>
            <w:r>
              <w:t xml:space="preserve"> </w:t>
            </w:r>
          </w:p>
          <w:p w14:paraId="7FE1BD62" w14:textId="77777777" w:rsidR="00534D9A" w:rsidRDefault="003243B2">
            <w:pPr>
              <w:pStyle w:val="P68B1DB1-ListParagraph32"/>
              <w:numPr>
                <w:ilvl w:val="0"/>
                <w:numId w:val="125"/>
              </w:numPr>
              <w:spacing w:line="276" w:lineRule="auto"/>
            </w:pPr>
            <w:r>
              <w:lastRenderedPageBreak/>
              <w:t xml:space="preserve">Ġudizzju espert tad-daqs </w:t>
            </w:r>
            <w:r>
              <w:rPr>
                <w:b/>
              </w:rPr>
              <w:t>tal-valur</w:t>
            </w:r>
            <w:r>
              <w:t xml:space="preserve"> tal-ammont riportat gross tal-istituzzjoni tar-rapportar (c0030) minn perspettiva </w:t>
            </w:r>
            <w:r>
              <w:rPr>
                <w:b/>
              </w:rPr>
              <w:t>globali</w:t>
            </w:r>
            <w:r>
              <w:t xml:space="preserve"> [livell</w:t>
            </w:r>
            <w:r>
              <w:rPr>
                <w:i/>
              </w:rPr>
              <w:t>wieħed ogħla mis-suq rilevanti. Jekk is-suq rilevanti jkun globali, allura d-daqs 1 isir superfluwu u ma jkollux għalfejn jiġi rrapportat]</w:t>
            </w:r>
            <w:r>
              <w:t>:</w:t>
            </w:r>
          </w:p>
          <w:p w14:paraId="7FE1BD63" w14:textId="77777777" w:rsidR="00534D9A" w:rsidRDefault="003243B2">
            <w:pPr>
              <w:pStyle w:val="P68B1DB1-ListParagraph32"/>
              <w:numPr>
                <w:ilvl w:val="1"/>
                <w:numId w:val="125"/>
              </w:numPr>
              <w:spacing w:line="276" w:lineRule="auto"/>
            </w:pPr>
            <w:r>
              <w:t>Minn perspettiva globali, kemm taħseb li huwa kbir l-ammont riportat gross tal-entità relatriċi?</w:t>
            </w:r>
          </w:p>
          <w:p w14:paraId="7FE1BD64" w14:textId="77777777" w:rsidR="00534D9A" w:rsidRDefault="00534D9A">
            <w:pPr>
              <w:rPr>
                <w:rFonts w:ascii="Times New Roman" w:eastAsiaTheme="minorHAnsi" w:hAnsi="Times New Roman" w:cs="Times New Roman"/>
                <w:color w:val="000000" w:themeColor="text1"/>
                <w:sz w:val="20"/>
                <w:szCs w:val="20"/>
              </w:rPr>
            </w:pPr>
          </w:p>
        </w:tc>
      </w:tr>
      <w:tr w:rsidR="00534D9A" w14:paraId="7FE1BD6C" w14:textId="77777777">
        <w:tc>
          <w:tcPr>
            <w:tcW w:w="1080" w:type="dxa"/>
            <w:tcBorders>
              <w:top w:val="single" w:sz="4" w:space="0" w:color="1A171C"/>
              <w:left w:val="nil"/>
              <w:bottom w:val="single" w:sz="4" w:space="0" w:color="1A171C"/>
              <w:right w:val="single" w:sz="4" w:space="0" w:color="1A171C"/>
            </w:tcBorders>
            <w:vAlign w:val="center"/>
          </w:tcPr>
          <w:p w14:paraId="7FE1BD66" w14:textId="77777777" w:rsidR="00534D9A" w:rsidRDefault="003243B2">
            <w:pPr>
              <w:pStyle w:val="P68B1DB1-TableParagraph17"/>
              <w:spacing w:before="108"/>
              <w:ind w:left="85"/>
              <w:jc w:val="both"/>
            </w:pPr>
            <w:r>
              <w:lastRenderedPageBreak/>
              <w:t>0090</w:t>
            </w:r>
          </w:p>
        </w:tc>
        <w:tc>
          <w:tcPr>
            <w:tcW w:w="8003" w:type="dxa"/>
            <w:tcBorders>
              <w:top w:val="single" w:sz="4" w:space="0" w:color="1A171C"/>
              <w:left w:val="single" w:sz="4" w:space="0" w:color="1A171C"/>
              <w:bottom w:val="single" w:sz="4" w:space="0" w:color="1A171C"/>
              <w:right w:val="nil"/>
            </w:tcBorders>
            <w:vAlign w:val="center"/>
          </w:tcPr>
          <w:p w14:paraId="7FE1BD67" w14:textId="77777777" w:rsidR="00534D9A" w:rsidRDefault="003243B2">
            <w:pPr>
              <w:pStyle w:val="P68B1DB1-Normal42"/>
              <w:rPr>
                <w:bCs/>
              </w:rPr>
            </w:pPr>
            <w:r>
              <w:t>Indikatur tad-daqs 2</w:t>
            </w:r>
          </w:p>
          <w:p w14:paraId="75C87AE7" w14:textId="77777777" w:rsidR="00534D9A" w:rsidRDefault="003243B2">
            <w:pPr>
              <w:pStyle w:val="P68B1DB1-Normal31"/>
              <w:spacing w:line="276" w:lineRule="auto"/>
              <w:jc w:val="both"/>
            </w:pPr>
            <w:r>
              <w:t>Ivvaluta kemm huwa importanti l-bank f’dawn l-attivitajiet. Din il-valutazzjoni hija espressa b’mod kwalitattiv bħala “għoli”, “Medju-Għoli”, “Medju-Baxx” jew “Baxx”. Irrapporta “Għoli” jekk id-daqs tal-funzjoni jkun kbir, “Medju-Għoli” jekk ikun medju, “Medju-Baxx” jekk ikun żgħir, u “Baxx” jekk ikun negliġibbli. Uża varjabbli makroekonomiċi bħall-PDG, il-popolazzjoni (għad-Depożiti, is-Self, il-Pagamenti, il-Flus, is-Saldu, l-Ikklerjar u s-Servizzi ta’ Kustodja), jew id-daqs tas-suq (għas-Swieq Kapitali u</w:t>
            </w:r>
            <w:r>
              <w:t xml:space="preserve"> l-Finanzjament bl-Ingrossa) bħala parametru referenzjarju għal din il-valutazzjoni kwalitattiva. </w:t>
            </w:r>
          </w:p>
          <w:p w14:paraId="7FE1BD68" w14:textId="10683EF9" w:rsidR="00534D9A" w:rsidRDefault="003243B2">
            <w:pPr>
              <w:pStyle w:val="P68B1DB1-Normal43"/>
            </w:pPr>
            <w:r>
              <w:t xml:space="preserve"> </w:t>
            </w:r>
          </w:p>
          <w:p w14:paraId="7FE1BD69" w14:textId="77777777" w:rsidR="00534D9A" w:rsidRDefault="003243B2">
            <w:pPr>
              <w:pStyle w:val="P68B1DB1-ListParagraph32"/>
              <w:numPr>
                <w:ilvl w:val="0"/>
                <w:numId w:val="119"/>
              </w:numPr>
              <w:spacing w:line="276" w:lineRule="auto"/>
            </w:pPr>
            <w:r>
              <w:t xml:space="preserve">Ġudizzju espert tad-daqs </w:t>
            </w:r>
            <w:r>
              <w:rPr>
                <w:b/>
              </w:rPr>
              <w:t>tal-għadd</w:t>
            </w:r>
            <w:r>
              <w:t xml:space="preserve"> ta’ kontropartijiet jew tranżazzjonijiet (c0040) minn perspettiva </w:t>
            </w:r>
            <w:r>
              <w:rPr>
                <w:b/>
              </w:rPr>
              <w:t>nazzjonali</w:t>
            </w:r>
            <w:r>
              <w:t xml:space="preserve"> [</w:t>
            </w:r>
            <w:r>
              <w:rPr>
                <w:i/>
              </w:rPr>
              <w:t>fil-livell tas-suq rilevanti</w:t>
            </w:r>
            <w:r>
              <w:t>]:</w:t>
            </w:r>
          </w:p>
          <w:p w14:paraId="7FE1BD6A" w14:textId="77777777" w:rsidR="00534D9A" w:rsidRDefault="003243B2">
            <w:pPr>
              <w:pStyle w:val="P68B1DB1-ListParagraph32"/>
              <w:numPr>
                <w:ilvl w:val="1"/>
                <w:numId w:val="119"/>
              </w:numPr>
              <w:spacing w:line="276" w:lineRule="auto"/>
            </w:pPr>
            <w:r>
              <w:t>Minn perspettiva nazzjonali, kemm huwa kbir l-għadd stmat ta’ kontropartijiet tal-istituzzjonijiet tiegħek?</w:t>
            </w:r>
          </w:p>
          <w:p w14:paraId="7FE1BD6B" w14:textId="77777777" w:rsidR="00534D9A" w:rsidRDefault="00534D9A">
            <w:pPr>
              <w:rPr>
                <w:rFonts w:ascii="Times New Roman" w:eastAsiaTheme="minorHAnsi" w:hAnsi="Times New Roman" w:cs="Times New Roman"/>
                <w:color w:val="000000" w:themeColor="text1"/>
                <w:sz w:val="20"/>
                <w:szCs w:val="20"/>
              </w:rPr>
            </w:pPr>
          </w:p>
        </w:tc>
      </w:tr>
      <w:tr w:rsidR="00534D9A" w14:paraId="7FE1BD73" w14:textId="77777777">
        <w:tc>
          <w:tcPr>
            <w:tcW w:w="1080" w:type="dxa"/>
            <w:tcBorders>
              <w:top w:val="single" w:sz="4" w:space="0" w:color="1A171C"/>
              <w:left w:val="nil"/>
              <w:bottom w:val="single" w:sz="4" w:space="0" w:color="1A171C"/>
              <w:right w:val="single" w:sz="4" w:space="0" w:color="1A171C"/>
            </w:tcBorders>
            <w:vAlign w:val="center"/>
          </w:tcPr>
          <w:p w14:paraId="7FE1BD6D" w14:textId="77777777" w:rsidR="00534D9A" w:rsidRDefault="003243B2">
            <w:pPr>
              <w:pStyle w:val="P68B1DB1-TableParagraph17"/>
              <w:spacing w:before="108"/>
              <w:ind w:left="85"/>
              <w:jc w:val="both"/>
            </w:pPr>
            <w:r>
              <w:t>0100</w:t>
            </w:r>
          </w:p>
        </w:tc>
        <w:tc>
          <w:tcPr>
            <w:tcW w:w="8003" w:type="dxa"/>
            <w:tcBorders>
              <w:top w:val="single" w:sz="4" w:space="0" w:color="1A171C"/>
              <w:left w:val="single" w:sz="4" w:space="0" w:color="1A171C"/>
              <w:bottom w:val="single" w:sz="4" w:space="0" w:color="1A171C"/>
              <w:right w:val="nil"/>
            </w:tcBorders>
            <w:vAlign w:val="center"/>
          </w:tcPr>
          <w:p w14:paraId="7FE1BD6E" w14:textId="77777777" w:rsidR="00534D9A" w:rsidRDefault="003243B2">
            <w:pPr>
              <w:pStyle w:val="P68B1DB1-Normal42"/>
              <w:rPr>
                <w:bCs/>
              </w:rPr>
            </w:pPr>
            <w:r>
              <w:t>Indikatur transkonfinali</w:t>
            </w:r>
          </w:p>
          <w:p w14:paraId="7FE1BD6F" w14:textId="77777777" w:rsidR="00534D9A" w:rsidRDefault="003243B2">
            <w:pPr>
              <w:pStyle w:val="P68B1DB1-Normal43"/>
            </w:pPr>
            <w:r>
              <w:t>Tivvaluta l-importanza relattiva tal-attivitajiet transfruntiera għall-funzjonijiet ekonomiċi differenti.</w:t>
            </w:r>
          </w:p>
          <w:p w14:paraId="7FE1BD70" w14:textId="77777777" w:rsidR="00534D9A" w:rsidRDefault="003243B2">
            <w:pPr>
              <w:pStyle w:val="P68B1DB1-Normal43"/>
            </w:pPr>
            <w:r>
              <w:t xml:space="preserve">Dan ma għandux għalfejn jiġi vvalutat fil-każ ta’ rapporti li fihom is-suq rilevanti jitqies bħala reġjonali. </w:t>
            </w:r>
          </w:p>
          <w:p w14:paraId="482F1D03" w14:textId="77777777" w:rsidR="00534D9A" w:rsidRDefault="003243B2">
            <w:pPr>
              <w:pStyle w:val="P68B1DB1-ListParagraph32"/>
              <w:numPr>
                <w:ilvl w:val="0"/>
                <w:numId w:val="118"/>
              </w:numPr>
              <w:rPr>
                <w:i/>
                <w:iCs/>
              </w:rPr>
            </w:pPr>
            <w:r>
              <w:t>Sehem tal-attività transġuriżdizzjonali tal-entità relatriċi bħala perċentwal tal-valur totali, espress f’ammont riportat gross. Rapport:</w:t>
            </w:r>
          </w:p>
          <w:p w14:paraId="7E6697A4" w14:textId="0A448298" w:rsidR="00534D9A" w:rsidRDefault="003243B2">
            <w:pPr>
              <w:pStyle w:val="P68B1DB1-ListParagraph32"/>
              <w:numPr>
                <w:ilvl w:val="1"/>
                <w:numId w:val="118"/>
              </w:numPr>
              <w:rPr>
                <w:i/>
                <w:iCs/>
              </w:rPr>
            </w:pPr>
            <w:r>
              <w:t xml:space="preserve"> 5 %; </w:t>
            </w:r>
          </w:p>
          <w:p w14:paraId="30B91FAF" w14:textId="5CD6C33D" w:rsidR="00534D9A" w:rsidRDefault="003243B2">
            <w:pPr>
              <w:pStyle w:val="P68B1DB1-ListParagraph32"/>
              <w:numPr>
                <w:ilvl w:val="1"/>
                <w:numId w:val="118"/>
              </w:numPr>
              <w:rPr>
                <w:i/>
                <w:iCs/>
              </w:rPr>
            </w:pPr>
            <w:r>
              <w:t xml:space="preserve">5 — -15 %; </w:t>
            </w:r>
          </w:p>
          <w:p w14:paraId="50353685" w14:textId="2995AD20" w:rsidR="00534D9A" w:rsidRDefault="003243B2">
            <w:pPr>
              <w:pStyle w:val="P68B1DB1-ListParagraph32"/>
              <w:numPr>
                <w:ilvl w:val="1"/>
                <w:numId w:val="118"/>
              </w:numPr>
              <w:rPr>
                <w:i/>
                <w:iCs/>
              </w:rPr>
            </w:pPr>
            <w:r>
              <w:t xml:space="preserve">15–25 %, </w:t>
            </w:r>
          </w:p>
          <w:p w14:paraId="7FE1BD71" w14:textId="6E1F5AA5" w:rsidR="00534D9A" w:rsidRDefault="003243B2">
            <w:pPr>
              <w:pStyle w:val="P68B1DB1-ListParagraph32"/>
              <w:numPr>
                <w:ilvl w:val="1"/>
                <w:numId w:val="118"/>
              </w:numPr>
              <w:rPr>
                <w:i/>
                <w:iCs/>
              </w:rPr>
            </w:pPr>
            <w:r>
              <w:t>&gt; 25 %.</w:t>
            </w:r>
          </w:p>
          <w:p w14:paraId="7FE1BD72" w14:textId="77777777" w:rsidR="00534D9A" w:rsidRDefault="00534D9A">
            <w:pPr>
              <w:rPr>
                <w:rFonts w:ascii="Times New Roman" w:eastAsiaTheme="minorHAnsi" w:hAnsi="Times New Roman" w:cs="Times New Roman"/>
                <w:color w:val="000000" w:themeColor="text1"/>
                <w:sz w:val="20"/>
                <w:szCs w:val="20"/>
              </w:rPr>
            </w:pPr>
          </w:p>
        </w:tc>
      </w:tr>
      <w:tr w:rsidR="00534D9A" w14:paraId="7FE1BD82" w14:textId="77777777">
        <w:tc>
          <w:tcPr>
            <w:tcW w:w="1080" w:type="dxa"/>
            <w:tcBorders>
              <w:top w:val="single" w:sz="4" w:space="0" w:color="1A171C"/>
              <w:left w:val="nil"/>
              <w:bottom w:val="single" w:sz="4" w:space="0" w:color="1A171C"/>
              <w:right w:val="single" w:sz="4" w:space="0" w:color="1A171C"/>
            </w:tcBorders>
            <w:vAlign w:val="center"/>
          </w:tcPr>
          <w:p w14:paraId="7FE1BD74" w14:textId="77777777" w:rsidR="00534D9A" w:rsidRDefault="003243B2">
            <w:pPr>
              <w:pStyle w:val="P68B1DB1-TableParagraph17"/>
              <w:spacing w:before="108"/>
              <w:ind w:left="85"/>
              <w:jc w:val="both"/>
            </w:pPr>
            <w:r>
              <w:t>0110</w:t>
            </w:r>
          </w:p>
        </w:tc>
        <w:tc>
          <w:tcPr>
            <w:tcW w:w="8003" w:type="dxa"/>
            <w:tcBorders>
              <w:top w:val="single" w:sz="4" w:space="0" w:color="1A171C"/>
              <w:left w:val="single" w:sz="4" w:space="0" w:color="1A171C"/>
              <w:bottom w:val="single" w:sz="4" w:space="0" w:color="1A171C"/>
              <w:right w:val="nil"/>
            </w:tcBorders>
            <w:vAlign w:val="center"/>
          </w:tcPr>
          <w:p w14:paraId="7FE1BD75" w14:textId="77777777" w:rsidR="00534D9A" w:rsidRDefault="003243B2">
            <w:pPr>
              <w:pStyle w:val="P68B1DB1-Normal42"/>
              <w:rPr>
                <w:bCs/>
              </w:rPr>
            </w:pPr>
            <w:r>
              <w:t xml:space="preserve">Rilevanza — </w:t>
            </w:r>
          </w:p>
          <w:p w14:paraId="7FE1BD76" w14:textId="77777777" w:rsidR="00534D9A" w:rsidRDefault="003243B2">
            <w:pPr>
              <w:pStyle w:val="P68B1DB1-Normal43"/>
            </w:pPr>
            <w:r>
              <w:t>Fuq livell lokali, reġjonali, nazzjonali jew Ewropew, kif xieraq għas-suq ikkonċernat. Ir-rilevanza tal-istituzzjoni tista’ tiġi evalwata abbażi tas-sehem tas-suq, l-interkonnettività, il-kumplessità u attivitajiet transkonfinali.</w:t>
            </w:r>
          </w:p>
          <w:p w14:paraId="7FE1BD77" w14:textId="77777777" w:rsidR="00534D9A" w:rsidRDefault="003243B2">
            <w:pPr>
              <w:pStyle w:val="P68B1DB1-Normal42"/>
              <w:rPr>
                <w:bCs/>
              </w:rPr>
            </w:pPr>
            <w:r>
              <w:t>Sehem mis-suq</w:t>
            </w:r>
          </w:p>
          <w:p w14:paraId="7FE1BD78" w14:textId="77777777" w:rsidR="00534D9A" w:rsidRDefault="003243B2">
            <w:pPr>
              <w:pStyle w:val="P68B1DB1-Normal43"/>
            </w:pPr>
            <w:r>
              <w:t xml:space="preserve">Ivvaluta kemm huwa importanti s-sehem mis-suq tal-entità relatriċi, meta mqabbel mas-suq nazzjonali jew suq rilevanti ieħor, kif indikat fil-mudell. Din il-valutazzjoni hija espressa b’mod kwalitattiv bħala </w:t>
            </w:r>
          </w:p>
          <w:p w14:paraId="7FE1BD79" w14:textId="43E56AB8" w:rsidR="00534D9A" w:rsidRDefault="003243B2">
            <w:pPr>
              <w:pStyle w:val="P68B1DB1-ListParagraph38"/>
              <w:numPr>
                <w:ilvl w:val="0"/>
                <w:numId w:val="276"/>
              </w:numPr>
              <w:spacing w:line="276" w:lineRule="auto"/>
              <w:jc w:val="both"/>
            </w:pPr>
            <w:r>
              <w:t>Għoli, jekk is-sehem mis-suq ikun kbir</w:t>
            </w:r>
          </w:p>
          <w:p w14:paraId="7FE1BD7A" w14:textId="533BFB92" w:rsidR="00534D9A" w:rsidRDefault="003243B2">
            <w:pPr>
              <w:pStyle w:val="P68B1DB1-ListParagraph38"/>
              <w:numPr>
                <w:ilvl w:val="0"/>
                <w:numId w:val="276"/>
              </w:numPr>
              <w:spacing w:line="276" w:lineRule="auto"/>
              <w:jc w:val="both"/>
            </w:pPr>
            <w:r>
              <w:t>Medju-għoli, jekk is-sehem mis-suq huwa medju</w:t>
            </w:r>
          </w:p>
          <w:p w14:paraId="7FE1BD7B" w14:textId="3F2EEB01" w:rsidR="00534D9A" w:rsidRDefault="003243B2">
            <w:pPr>
              <w:pStyle w:val="P68B1DB1-ListParagraph38"/>
              <w:numPr>
                <w:ilvl w:val="0"/>
                <w:numId w:val="276"/>
              </w:numPr>
              <w:spacing w:line="276" w:lineRule="auto"/>
              <w:jc w:val="both"/>
            </w:pPr>
            <w:r>
              <w:t xml:space="preserve">Medju-baxx jekk is-sehem mis-suq ikun żgħir jew </w:t>
            </w:r>
          </w:p>
          <w:p w14:paraId="7FE1BD7C" w14:textId="05FA4C79" w:rsidR="00534D9A" w:rsidRDefault="003243B2">
            <w:pPr>
              <w:pStyle w:val="P68B1DB1-ListParagraph38"/>
              <w:numPr>
                <w:ilvl w:val="0"/>
                <w:numId w:val="276"/>
              </w:numPr>
              <w:spacing w:line="276" w:lineRule="auto"/>
              <w:jc w:val="both"/>
            </w:pPr>
            <w:r>
              <w:t xml:space="preserve">Baxx jekk is-sehem mis-suq ikun negliġibbli. </w:t>
            </w:r>
          </w:p>
          <w:p w14:paraId="7FE1BD7D" w14:textId="77777777" w:rsidR="00534D9A" w:rsidRDefault="003243B2">
            <w:pPr>
              <w:pStyle w:val="P68B1DB1-Normal43"/>
            </w:pPr>
            <w:r>
              <w:t xml:space="preserve">Din il-valutazzjoni tqis l-istruttura tas-suq tal-pajjiż tal-entità relatriċi (jew suq rilevanti ieħor), u l-ishma mis-suq irrapportati parzjalment </w:t>
            </w:r>
          </w:p>
          <w:p w14:paraId="7FE1BD7E" w14:textId="77777777" w:rsidR="00534D9A" w:rsidRDefault="003243B2">
            <w:pPr>
              <w:pStyle w:val="P68B1DB1-Normal43"/>
            </w:pPr>
            <w:r>
              <w:t>2.Data kwantitattiva:</w:t>
            </w:r>
          </w:p>
          <w:p w14:paraId="7FE1BD7F" w14:textId="77777777" w:rsidR="00534D9A" w:rsidRDefault="003243B2">
            <w:pPr>
              <w:pStyle w:val="P68B1DB1-ListParagraph32"/>
              <w:numPr>
                <w:ilvl w:val="0"/>
                <w:numId w:val="116"/>
              </w:numPr>
              <w:jc w:val="both"/>
              <w:rPr>
                <w:i/>
                <w:iCs/>
              </w:rPr>
            </w:pPr>
            <w:r>
              <w:t xml:space="preserve">Ġudizzju espert tad-daqs tas-sehem mis-suq </w:t>
            </w:r>
            <w:r>
              <w:rPr>
                <w:b/>
              </w:rPr>
              <w:t xml:space="preserve">nazzjonali </w:t>
            </w:r>
            <w:r>
              <w:t>(irrapportat f’c0020, ħlief f’każijiet fejn ir-rapport huwa pprovdut għal livell tas-suq rilevanti differenti, f’liema każ hija mistennija valutazzjoni tas-sehem mis-suq rilevanti).</w:t>
            </w:r>
          </w:p>
          <w:p w14:paraId="7FE1BD80" w14:textId="77777777" w:rsidR="00534D9A" w:rsidRDefault="00534D9A">
            <w:pPr>
              <w:rPr>
                <w:rFonts w:ascii="Times New Roman" w:eastAsiaTheme="minorHAnsi" w:hAnsi="Times New Roman" w:cs="Times New Roman"/>
                <w:color w:val="000000" w:themeColor="text1"/>
                <w:sz w:val="20"/>
                <w:szCs w:val="20"/>
              </w:rPr>
            </w:pPr>
          </w:p>
          <w:p w14:paraId="7FE1BD81" w14:textId="77777777" w:rsidR="00534D9A" w:rsidRDefault="00534D9A">
            <w:pPr>
              <w:rPr>
                <w:rFonts w:ascii="Times New Roman" w:eastAsiaTheme="minorHAnsi" w:hAnsi="Times New Roman" w:cs="Times New Roman"/>
                <w:color w:val="000000" w:themeColor="text1"/>
                <w:sz w:val="20"/>
                <w:szCs w:val="20"/>
              </w:rPr>
            </w:pPr>
          </w:p>
        </w:tc>
      </w:tr>
      <w:tr w:rsidR="00534D9A" w14:paraId="7FE1BD8E" w14:textId="77777777">
        <w:tc>
          <w:tcPr>
            <w:tcW w:w="1080" w:type="dxa"/>
            <w:tcBorders>
              <w:top w:val="single" w:sz="4" w:space="0" w:color="1A171C"/>
              <w:left w:val="nil"/>
              <w:bottom w:val="single" w:sz="4" w:space="0" w:color="1A171C"/>
              <w:right w:val="single" w:sz="4" w:space="0" w:color="1A171C"/>
            </w:tcBorders>
            <w:vAlign w:val="center"/>
          </w:tcPr>
          <w:p w14:paraId="7FE1BD83" w14:textId="77777777" w:rsidR="00534D9A" w:rsidRDefault="003243B2">
            <w:pPr>
              <w:pStyle w:val="P68B1DB1-TableParagraph17"/>
              <w:spacing w:before="108"/>
              <w:ind w:left="85"/>
              <w:jc w:val="both"/>
            </w:pPr>
            <w:r>
              <w:lastRenderedPageBreak/>
              <w:t>0120</w:t>
            </w:r>
          </w:p>
        </w:tc>
        <w:tc>
          <w:tcPr>
            <w:tcW w:w="8003" w:type="dxa"/>
            <w:tcBorders>
              <w:top w:val="single" w:sz="4" w:space="0" w:color="1A171C"/>
              <w:left w:val="single" w:sz="4" w:space="0" w:color="1A171C"/>
              <w:bottom w:val="single" w:sz="4" w:space="0" w:color="1A171C"/>
              <w:right w:val="nil"/>
            </w:tcBorders>
            <w:vAlign w:val="center"/>
          </w:tcPr>
          <w:p w14:paraId="7FE1BD84" w14:textId="77777777" w:rsidR="00534D9A" w:rsidRDefault="003243B2">
            <w:pPr>
              <w:pStyle w:val="P68B1DB1-Normal42"/>
              <w:rPr>
                <w:bCs/>
              </w:rPr>
            </w:pPr>
            <w:r>
              <w:t>Struttura tas-Suq — Konċentrazzjoni tas-suq</w:t>
            </w:r>
          </w:p>
          <w:p w14:paraId="7FE1BD85" w14:textId="77777777" w:rsidR="00534D9A" w:rsidRDefault="003243B2">
            <w:pPr>
              <w:pStyle w:val="P68B1DB1-Normal43"/>
            </w:pPr>
            <w:r>
              <w:t xml:space="preserve">Il-konċentrazzjoni tas-suq, imkejla skont l-għadd ta’ kompetituri li qed iwettqu bħalissa </w:t>
            </w:r>
          </w:p>
          <w:p w14:paraId="7FE1BD86" w14:textId="77777777" w:rsidR="00534D9A" w:rsidRDefault="003243B2">
            <w:pPr>
              <w:pStyle w:val="P68B1DB1-Normal43"/>
            </w:pPr>
            <w:r>
              <w:t xml:space="preserve">funzjonijiet ekonomiċi simili u/jew li joffru servizzi simili fuq termini ugwali (jiġifieri għal </w:t>
            </w:r>
          </w:p>
          <w:p w14:paraId="7FE1BD87" w14:textId="77777777" w:rsidR="00534D9A" w:rsidRDefault="003243B2">
            <w:pPr>
              <w:pStyle w:val="P68B1DB1-Normal43"/>
            </w:pPr>
            <w:r>
              <w:t xml:space="preserve">livell u kwalità komparabbli u bi spiża komparabbli) li potenzjalment jieħdu f’idejhom </w:t>
            </w:r>
          </w:p>
          <w:p w14:paraId="7FE1BD88" w14:textId="77777777" w:rsidR="00534D9A" w:rsidRDefault="003243B2">
            <w:pPr>
              <w:pStyle w:val="P68B1DB1-Normal43"/>
            </w:pPr>
            <w:r>
              <w:t xml:space="preserve">(parti minn) il-klijenti u/jew in-negozju tal-entità relatriċi f’perjodu ta’ żmien raġonevoli. </w:t>
            </w:r>
          </w:p>
          <w:p w14:paraId="7FE1BD89" w14:textId="77777777" w:rsidR="00534D9A" w:rsidRDefault="003243B2">
            <w:pPr>
              <w:pStyle w:val="P68B1DB1-Normal43"/>
            </w:pPr>
            <w:r>
              <w:t xml:space="preserve">Dan għandu jiġi rrapportat f’buckets, li huma l-istess għal kull subfunzjoni </w:t>
            </w:r>
          </w:p>
          <w:p w14:paraId="5A8DDF15" w14:textId="77777777" w:rsidR="00534D9A" w:rsidRDefault="003243B2">
            <w:pPr>
              <w:pStyle w:val="P68B1DB1-ListParagraph32"/>
              <w:numPr>
                <w:ilvl w:val="0"/>
                <w:numId w:val="277"/>
              </w:numPr>
              <w:jc w:val="both"/>
            </w:pPr>
            <w:r>
              <w:t xml:space="preserve">&gt; 20 kompetituri; </w:t>
            </w:r>
          </w:p>
          <w:p w14:paraId="0FB3FECD" w14:textId="77777777" w:rsidR="00534D9A" w:rsidRDefault="003243B2">
            <w:pPr>
              <w:pStyle w:val="P68B1DB1-ListParagraph32"/>
              <w:numPr>
                <w:ilvl w:val="0"/>
                <w:numId w:val="277"/>
              </w:numPr>
              <w:jc w:val="both"/>
            </w:pPr>
            <w:r>
              <w:t xml:space="preserve">11–20 kompetituri; </w:t>
            </w:r>
          </w:p>
          <w:p w14:paraId="0742AD9B" w14:textId="77777777" w:rsidR="00534D9A" w:rsidRDefault="003243B2">
            <w:pPr>
              <w:pStyle w:val="P68B1DB1-ListParagraph32"/>
              <w:numPr>
                <w:ilvl w:val="0"/>
                <w:numId w:val="277"/>
              </w:numPr>
              <w:jc w:val="both"/>
            </w:pPr>
            <w:r>
              <w:t xml:space="preserve">5–10 kompetituri, </w:t>
            </w:r>
          </w:p>
          <w:p w14:paraId="240AD074" w14:textId="77777777" w:rsidR="00534D9A" w:rsidRDefault="003243B2">
            <w:pPr>
              <w:pStyle w:val="P68B1DB1-ListParagraph32"/>
              <w:numPr>
                <w:ilvl w:val="0"/>
                <w:numId w:val="277"/>
              </w:numPr>
              <w:jc w:val="both"/>
              <w:rPr>
                <w:b/>
                <w:bCs/>
                <w:color w:val="000000" w:themeColor="text1"/>
              </w:rPr>
            </w:pPr>
            <w:r>
              <w:t>Kompetittività 5 kompetituri</w:t>
            </w:r>
          </w:p>
          <w:p w14:paraId="7FE1BD8D" w14:textId="2F17E01A" w:rsidR="00534D9A" w:rsidRDefault="00534D9A">
            <w:pPr>
              <w:jc w:val="both"/>
              <w:rPr>
                <w:rFonts w:ascii="Times New Roman" w:hAnsi="Times New Roman"/>
                <w:color w:val="000000" w:themeColor="text1"/>
                <w:sz w:val="20"/>
                <w:szCs w:val="20"/>
              </w:rPr>
            </w:pPr>
          </w:p>
        </w:tc>
      </w:tr>
      <w:tr w:rsidR="00534D9A" w14:paraId="7FE1BD9C" w14:textId="77777777">
        <w:tc>
          <w:tcPr>
            <w:tcW w:w="1080" w:type="dxa"/>
            <w:tcBorders>
              <w:top w:val="single" w:sz="4" w:space="0" w:color="1A171C"/>
              <w:left w:val="nil"/>
              <w:bottom w:val="single" w:sz="4" w:space="0" w:color="1A171C"/>
              <w:right w:val="single" w:sz="4" w:space="0" w:color="1A171C"/>
            </w:tcBorders>
            <w:vAlign w:val="center"/>
          </w:tcPr>
          <w:p w14:paraId="7FE1BD8F" w14:textId="77777777" w:rsidR="00534D9A" w:rsidRDefault="003243B2">
            <w:pPr>
              <w:pStyle w:val="P68B1DB1-TableParagraph17"/>
              <w:spacing w:before="108"/>
              <w:ind w:left="85"/>
              <w:jc w:val="both"/>
            </w:pPr>
            <w:r>
              <w:t>0130</w:t>
            </w:r>
          </w:p>
        </w:tc>
        <w:tc>
          <w:tcPr>
            <w:tcW w:w="8003" w:type="dxa"/>
            <w:tcBorders>
              <w:top w:val="single" w:sz="4" w:space="0" w:color="1A171C"/>
              <w:left w:val="single" w:sz="4" w:space="0" w:color="1A171C"/>
              <w:bottom w:val="single" w:sz="4" w:space="0" w:color="1A171C"/>
              <w:right w:val="nil"/>
            </w:tcBorders>
            <w:vAlign w:val="center"/>
          </w:tcPr>
          <w:p w14:paraId="7FE1BD90" w14:textId="77777777" w:rsidR="00534D9A" w:rsidRDefault="003243B2">
            <w:pPr>
              <w:pStyle w:val="P68B1DB1-Normal42"/>
              <w:rPr>
                <w:bCs/>
              </w:rPr>
            </w:pPr>
            <w:r>
              <w:t>Żmien — Żmien mistenni għas-sostituzzjoni</w:t>
            </w:r>
          </w:p>
          <w:p w14:paraId="7FE1BD91" w14:textId="77777777" w:rsidR="00534D9A" w:rsidRDefault="003243B2">
            <w:pPr>
              <w:pStyle w:val="P68B1DB1-Normal43"/>
            </w:pPr>
            <w:r>
              <w:t>Stima taż-żmien meħtieġ għall-funzjoni ekonomika pprovduta mir-rapportar</w:t>
            </w:r>
          </w:p>
          <w:p w14:paraId="7FE1BD92" w14:textId="77777777" w:rsidR="00534D9A" w:rsidRDefault="003243B2">
            <w:pPr>
              <w:pStyle w:val="P68B1DB1-Normal43"/>
            </w:pPr>
            <w:r>
              <w:t xml:space="preserve">entità li għandha tiġi assorbita mis-suq f’sitwazzjoni ta’ kriżi. Dan jinkludi: </w:t>
            </w:r>
          </w:p>
          <w:p w14:paraId="7FE1BD93" w14:textId="77777777" w:rsidR="00534D9A" w:rsidRDefault="003243B2">
            <w:pPr>
              <w:pStyle w:val="P68B1DB1-ListParagraph38"/>
              <w:numPr>
                <w:ilvl w:val="0"/>
                <w:numId w:val="274"/>
              </w:numPr>
              <w:jc w:val="both"/>
            </w:pPr>
            <w:r>
              <w:t xml:space="preserve">iż-żmien mistenni meħtieġ minn kompetitur wieħed jew aktar biex iwettqu l-passi legali u tekniċi biex jieħdu f’idejhom il-funzjoni; kif ukoll  </w:t>
            </w:r>
          </w:p>
          <w:p w14:paraId="7FE1BD94" w14:textId="77777777" w:rsidR="00534D9A" w:rsidRDefault="003243B2">
            <w:pPr>
              <w:pStyle w:val="P68B1DB1-ListParagraph38"/>
              <w:numPr>
                <w:ilvl w:val="0"/>
                <w:numId w:val="274"/>
              </w:numPr>
              <w:jc w:val="both"/>
            </w:pPr>
            <w:r>
              <w:t xml:space="preserve">il-ħin meħtieġ mill-utenti tas-servizz biex imorru għand fornitur ta’ servizz ieħor. </w:t>
            </w:r>
          </w:p>
          <w:p w14:paraId="7FE1BD95" w14:textId="77777777" w:rsidR="00534D9A" w:rsidRDefault="00534D9A">
            <w:pPr>
              <w:rPr>
                <w:rFonts w:ascii="Times New Roman" w:eastAsiaTheme="minorHAnsi" w:hAnsi="Times New Roman" w:cs="Times New Roman"/>
                <w:color w:val="000000" w:themeColor="text1"/>
                <w:sz w:val="20"/>
                <w:szCs w:val="20"/>
              </w:rPr>
            </w:pPr>
          </w:p>
          <w:p w14:paraId="7FE1BD96" w14:textId="77777777" w:rsidR="00534D9A" w:rsidRDefault="003243B2">
            <w:pPr>
              <w:pStyle w:val="P68B1DB1-Normal43"/>
            </w:pPr>
            <w:r>
              <w:t>Bħala indikatur għal tal-ewwel, ipprovdi stima taż-żmien li l-entità relatriċi tieħu biex tassorbi fin-negozju tagħha stess (parti minn) is-servizz ipprovdut minn istituzzjoni oħra, b’kost raġonevoli, f’sitwazzjoni ta’ kriżi. Irrapporta ż-żmien stmat għas-sostituzzjoni fil-buckets ipprovduti fil-mudell:</w:t>
            </w:r>
          </w:p>
          <w:p w14:paraId="7FE1BD97" w14:textId="77777777" w:rsidR="00534D9A" w:rsidRDefault="003243B2">
            <w:pPr>
              <w:pStyle w:val="P68B1DB1-Normal31"/>
            </w:pPr>
            <w:r>
              <w:t xml:space="preserve">Bramel: </w:t>
            </w:r>
          </w:p>
          <w:p w14:paraId="7FE1BD98" w14:textId="077A9BD3" w:rsidR="00534D9A" w:rsidRDefault="003243B2">
            <w:pPr>
              <w:pStyle w:val="P68B1DB1-ListParagraph32"/>
              <w:numPr>
                <w:ilvl w:val="0"/>
                <w:numId w:val="287"/>
              </w:numPr>
            </w:pPr>
            <w:r>
              <w:t xml:space="preserve">≤ jum wieħed (1); </w:t>
            </w:r>
          </w:p>
          <w:p w14:paraId="7FE1BD99" w14:textId="07CCFE77" w:rsidR="00534D9A" w:rsidRDefault="003243B2">
            <w:pPr>
              <w:pStyle w:val="P68B1DB1-ListParagraph32"/>
              <w:numPr>
                <w:ilvl w:val="0"/>
                <w:numId w:val="287"/>
              </w:numPr>
            </w:pPr>
            <w:r>
              <w:t xml:space="preserve">Ġurnata — ġimgħa </w:t>
            </w:r>
          </w:p>
          <w:p w14:paraId="7FE1BD9A" w14:textId="47AC6C88" w:rsidR="00534D9A" w:rsidRDefault="003243B2">
            <w:pPr>
              <w:pStyle w:val="P68B1DB1-ListParagraph32"/>
              <w:numPr>
                <w:ilvl w:val="0"/>
                <w:numId w:val="287"/>
              </w:numPr>
            </w:pPr>
            <w:r>
              <w:t xml:space="preserve">&gt; Ġimgħa (1) — 1-il xahar; </w:t>
            </w:r>
          </w:p>
          <w:p w14:paraId="7FE1BD9B" w14:textId="3CEE3934" w:rsidR="00534D9A" w:rsidRDefault="003243B2">
            <w:pPr>
              <w:pStyle w:val="P68B1DB1-ListParagraph32"/>
              <w:numPr>
                <w:ilvl w:val="0"/>
                <w:numId w:val="287"/>
              </w:numPr>
              <w:rPr>
                <w:color w:val="000000" w:themeColor="text1"/>
              </w:rPr>
            </w:pPr>
            <w:r>
              <w:t>&gt; Xahar (1)</w:t>
            </w:r>
          </w:p>
        </w:tc>
      </w:tr>
      <w:tr w:rsidR="00534D9A" w14:paraId="7FE1BD9F" w14:textId="77777777">
        <w:tc>
          <w:tcPr>
            <w:tcW w:w="1080" w:type="dxa"/>
            <w:tcBorders>
              <w:top w:val="single" w:sz="4" w:space="0" w:color="1A171C"/>
              <w:left w:val="nil"/>
              <w:bottom w:val="single" w:sz="4" w:space="0" w:color="1A171C"/>
              <w:right w:val="single" w:sz="4" w:space="0" w:color="1A171C"/>
            </w:tcBorders>
            <w:vAlign w:val="center"/>
          </w:tcPr>
          <w:p w14:paraId="7FE1BD9D" w14:textId="77777777" w:rsidR="00534D9A" w:rsidRDefault="003243B2">
            <w:pPr>
              <w:pStyle w:val="P68B1DB1-TableParagraph17"/>
              <w:spacing w:before="108"/>
              <w:ind w:left="85"/>
              <w:jc w:val="both"/>
            </w:pPr>
            <w:r>
              <w:t>0140–0150</w:t>
            </w:r>
          </w:p>
        </w:tc>
        <w:tc>
          <w:tcPr>
            <w:tcW w:w="8003" w:type="dxa"/>
            <w:tcBorders>
              <w:top w:val="single" w:sz="4" w:space="0" w:color="1A171C"/>
              <w:left w:val="single" w:sz="4" w:space="0" w:color="1A171C"/>
              <w:bottom w:val="single" w:sz="4" w:space="0" w:color="1A171C"/>
              <w:right w:val="nil"/>
            </w:tcBorders>
            <w:vAlign w:val="center"/>
          </w:tcPr>
          <w:p w14:paraId="7FE1BD9E" w14:textId="77777777" w:rsidR="00534D9A" w:rsidRDefault="003243B2">
            <w:pPr>
              <w:pStyle w:val="P68B1DB1-Normal42"/>
              <w:rPr>
                <w:bCs/>
              </w:rPr>
            </w:pPr>
            <w:r>
              <w:t>Kapaċità ta’ sostituzzjoni</w:t>
            </w:r>
          </w:p>
        </w:tc>
      </w:tr>
      <w:tr w:rsidR="00534D9A" w14:paraId="7FE1BDA9" w14:textId="77777777">
        <w:tc>
          <w:tcPr>
            <w:tcW w:w="1080" w:type="dxa"/>
            <w:tcBorders>
              <w:top w:val="single" w:sz="4" w:space="0" w:color="1A171C"/>
              <w:left w:val="nil"/>
              <w:bottom w:val="single" w:sz="4" w:space="0" w:color="1A171C"/>
              <w:right w:val="single" w:sz="4" w:space="0" w:color="1A171C"/>
            </w:tcBorders>
            <w:vAlign w:val="center"/>
          </w:tcPr>
          <w:p w14:paraId="7FE1BDA0" w14:textId="77777777" w:rsidR="00534D9A" w:rsidRDefault="003243B2">
            <w:pPr>
              <w:pStyle w:val="P68B1DB1-TableParagraph17"/>
              <w:spacing w:before="108"/>
              <w:ind w:left="85"/>
              <w:jc w:val="both"/>
            </w:pPr>
            <w:r>
              <w:t>0140</w:t>
            </w:r>
          </w:p>
        </w:tc>
        <w:tc>
          <w:tcPr>
            <w:tcW w:w="8003" w:type="dxa"/>
            <w:tcBorders>
              <w:top w:val="single" w:sz="4" w:space="0" w:color="1A171C"/>
              <w:left w:val="single" w:sz="4" w:space="0" w:color="1A171C"/>
              <w:bottom w:val="single" w:sz="4" w:space="0" w:color="1A171C"/>
              <w:right w:val="nil"/>
            </w:tcBorders>
            <w:vAlign w:val="center"/>
          </w:tcPr>
          <w:p w14:paraId="7FE1BDA1" w14:textId="77777777" w:rsidR="00534D9A" w:rsidRDefault="003243B2">
            <w:pPr>
              <w:pStyle w:val="P68B1DB1-Normal42"/>
              <w:rPr>
                <w:bCs/>
              </w:rPr>
            </w:pPr>
            <w:r>
              <w:t>Ostakli legali għad-dħul jew l-espansjoni</w:t>
            </w:r>
          </w:p>
          <w:p w14:paraId="7FE1BDA2" w14:textId="77777777" w:rsidR="00534D9A" w:rsidRDefault="00534D9A">
            <w:pPr>
              <w:rPr>
                <w:rFonts w:ascii="Times New Roman" w:eastAsiaTheme="minorHAnsi" w:hAnsi="Times New Roman" w:cs="Times New Roman"/>
                <w:color w:val="000000" w:themeColor="text1"/>
                <w:sz w:val="20"/>
                <w:szCs w:val="20"/>
              </w:rPr>
            </w:pPr>
          </w:p>
          <w:p w14:paraId="7FE1BDA3" w14:textId="77777777" w:rsidR="00534D9A" w:rsidRDefault="003243B2">
            <w:pPr>
              <w:pStyle w:val="P68B1DB1-Normal43"/>
            </w:pPr>
            <w:r>
              <w:t xml:space="preserve">Ostakli legali għall-kompetituri biex joffru s-servizz. Ir-rekwiżiti legali għat-twettiq tan-negozju tal-istituzzjonijiet ta’ kreditu (eż. liċenzji bankarji jew rekwiżiti kapitali) ma għandhomx jitqiesu bħala ostakli insuperabbli fil-preżenza ta’ fornituri alternattivi. Dan l-indikatur irid jiġi rrapportat f’buckets, li huma l-istess għal kull subfunzjoni: </w:t>
            </w:r>
          </w:p>
          <w:p w14:paraId="7FE1BDA4" w14:textId="5F64D555" w:rsidR="00534D9A" w:rsidRDefault="003243B2">
            <w:pPr>
              <w:pStyle w:val="P68B1DB1-ListParagraph39"/>
              <w:numPr>
                <w:ilvl w:val="0"/>
                <w:numId w:val="275"/>
              </w:numPr>
              <w:jc w:val="both"/>
            </w:pPr>
            <w:r>
              <w:t xml:space="preserve">l-ebda ostaklu kbir, </w:t>
            </w:r>
          </w:p>
          <w:p w14:paraId="7FE1BDA5" w14:textId="09B8D427" w:rsidR="00534D9A" w:rsidRDefault="003243B2">
            <w:pPr>
              <w:pStyle w:val="P68B1DB1-ListParagraph39"/>
              <w:numPr>
                <w:ilvl w:val="0"/>
                <w:numId w:val="275"/>
              </w:numPr>
              <w:jc w:val="both"/>
            </w:pPr>
            <w:r>
              <w:t xml:space="preserve">xi ostakli, </w:t>
            </w:r>
          </w:p>
          <w:p w14:paraId="7FE1BDA6" w14:textId="14CFE055" w:rsidR="00534D9A" w:rsidRDefault="003243B2">
            <w:pPr>
              <w:pStyle w:val="P68B1DB1-ListParagraph39"/>
              <w:numPr>
                <w:ilvl w:val="0"/>
                <w:numId w:val="275"/>
              </w:numPr>
              <w:jc w:val="both"/>
            </w:pPr>
            <w:r>
              <w:t xml:space="preserve">barrieri sostanzjali (iżda li jistgħu jingħelbu), </w:t>
            </w:r>
          </w:p>
          <w:p w14:paraId="7FE1BDA8" w14:textId="2895BA0A" w:rsidR="00534D9A" w:rsidRDefault="003243B2">
            <w:pPr>
              <w:pStyle w:val="P68B1DB1-ListParagraph8"/>
              <w:numPr>
                <w:ilvl w:val="0"/>
                <w:numId w:val="275"/>
              </w:numPr>
              <w:jc w:val="both"/>
              <w:rPr>
                <w:rFonts w:eastAsiaTheme="minorHAnsi"/>
              </w:rPr>
            </w:pPr>
            <w:r>
              <w:t>ostakli kritiċi (diffiċli biex jingħelbu).</w:t>
            </w:r>
          </w:p>
        </w:tc>
      </w:tr>
      <w:tr w:rsidR="00534D9A" w14:paraId="7FE1BDB4" w14:textId="77777777">
        <w:tc>
          <w:tcPr>
            <w:tcW w:w="1080" w:type="dxa"/>
            <w:tcBorders>
              <w:top w:val="single" w:sz="4" w:space="0" w:color="1A171C"/>
              <w:left w:val="nil"/>
              <w:bottom w:val="single" w:sz="4" w:space="0" w:color="1A171C"/>
              <w:right w:val="single" w:sz="4" w:space="0" w:color="1A171C"/>
            </w:tcBorders>
            <w:vAlign w:val="center"/>
          </w:tcPr>
          <w:p w14:paraId="7FE1BDAA" w14:textId="77777777" w:rsidR="00534D9A" w:rsidRDefault="003243B2">
            <w:pPr>
              <w:pStyle w:val="P68B1DB1-TableParagraph17"/>
              <w:spacing w:before="108"/>
              <w:ind w:left="85"/>
              <w:jc w:val="both"/>
            </w:pPr>
            <w:r>
              <w:t>0150</w:t>
            </w:r>
          </w:p>
        </w:tc>
        <w:tc>
          <w:tcPr>
            <w:tcW w:w="8003" w:type="dxa"/>
            <w:tcBorders>
              <w:top w:val="single" w:sz="4" w:space="0" w:color="1A171C"/>
              <w:left w:val="single" w:sz="4" w:space="0" w:color="1A171C"/>
              <w:bottom w:val="single" w:sz="4" w:space="0" w:color="1A171C"/>
              <w:right w:val="nil"/>
            </w:tcBorders>
            <w:vAlign w:val="center"/>
          </w:tcPr>
          <w:p w14:paraId="7FE1BDAB" w14:textId="77777777" w:rsidR="00534D9A" w:rsidRDefault="003243B2">
            <w:pPr>
              <w:pStyle w:val="P68B1DB1-Normal42"/>
              <w:rPr>
                <w:bCs/>
              </w:rPr>
            </w:pPr>
            <w:r>
              <w:t>Rekwiżiti operazzjonali għad-dħul jew l-espansjoni</w:t>
            </w:r>
          </w:p>
          <w:p w14:paraId="7FE1BDAC" w14:textId="77777777" w:rsidR="00534D9A" w:rsidRDefault="00534D9A">
            <w:pPr>
              <w:rPr>
                <w:rFonts w:ascii="Times New Roman" w:eastAsiaTheme="minorHAnsi" w:hAnsi="Times New Roman" w:cs="Times New Roman"/>
                <w:color w:val="000000" w:themeColor="text1"/>
                <w:sz w:val="20"/>
                <w:szCs w:val="20"/>
              </w:rPr>
            </w:pPr>
          </w:p>
          <w:p w14:paraId="7FE1BDAD" w14:textId="130EC7BC" w:rsidR="00534D9A" w:rsidRDefault="003243B2">
            <w:pPr>
              <w:pStyle w:val="P68B1DB1-Normal43"/>
            </w:pPr>
            <w:r>
              <w:t xml:space="preserve">Rekwiżiti organizzattivi, tekniċi u infrastrutturali għall-kompetituri biex joffru s-servizz. L-offerta tas-servizzi relatati mas- (sub) funzjoni tirrikjedi li l-fornituri jinvestu f’infrastruttura (ġdida jew addizzjonali) — jew jimmodifikaw l-organizzazzjonijiet tagħhom. Ivvaluta l-kapaċità tas-suq li jassorbi n-negozju partikolari, pereżempju f’termini ta’ rekwiżiti kapitali. </w:t>
            </w:r>
          </w:p>
          <w:p w14:paraId="7FE1BDAE" w14:textId="77777777" w:rsidR="00534D9A" w:rsidRDefault="003243B2">
            <w:pPr>
              <w:pStyle w:val="P68B1DB1-Normal43"/>
            </w:pPr>
            <w:r>
              <w:t xml:space="preserve">Dan l-indikatur irid jiġi rrapportat f’buckets, li huma l-istess għal kull subfunzjoni: </w:t>
            </w:r>
          </w:p>
          <w:p w14:paraId="7FE1BDAF" w14:textId="39113051" w:rsidR="00534D9A" w:rsidRDefault="003243B2">
            <w:pPr>
              <w:pStyle w:val="P68B1DB1-ListParagraph38"/>
              <w:numPr>
                <w:ilvl w:val="0"/>
                <w:numId w:val="278"/>
              </w:numPr>
              <w:jc w:val="both"/>
            </w:pPr>
            <w:r>
              <w:t xml:space="preserve">l-ebda rekwiżit maġġuri, </w:t>
            </w:r>
          </w:p>
          <w:p w14:paraId="7FE1BDB0" w14:textId="63777608" w:rsidR="00534D9A" w:rsidRDefault="003243B2">
            <w:pPr>
              <w:pStyle w:val="P68B1DB1-ListParagraph38"/>
              <w:numPr>
                <w:ilvl w:val="0"/>
                <w:numId w:val="278"/>
              </w:numPr>
              <w:jc w:val="both"/>
            </w:pPr>
            <w:r>
              <w:t xml:space="preserve">xi rekwiżiti, </w:t>
            </w:r>
          </w:p>
          <w:p w14:paraId="7FE1BDB1" w14:textId="78F7EC3E" w:rsidR="00534D9A" w:rsidRDefault="003243B2">
            <w:pPr>
              <w:pStyle w:val="P68B1DB1-ListParagraph38"/>
              <w:numPr>
                <w:ilvl w:val="0"/>
                <w:numId w:val="278"/>
              </w:numPr>
              <w:jc w:val="both"/>
            </w:pPr>
            <w:r>
              <w:t xml:space="preserve">rekwiżiti sostanzjali (iżda li jistgħu jingħelbu), </w:t>
            </w:r>
          </w:p>
          <w:p w14:paraId="7FE1BDB2" w14:textId="5A2EF079" w:rsidR="00534D9A" w:rsidRDefault="003243B2">
            <w:pPr>
              <w:pStyle w:val="P68B1DB1-ListParagraph38"/>
              <w:numPr>
                <w:ilvl w:val="0"/>
                <w:numId w:val="278"/>
              </w:numPr>
              <w:jc w:val="both"/>
            </w:pPr>
            <w:r>
              <w:t>rekwiżiti kritiċi (diffiċli biex jinqabżu).</w:t>
            </w:r>
          </w:p>
          <w:p w14:paraId="7FE1BDB3" w14:textId="77777777" w:rsidR="00534D9A" w:rsidRDefault="00534D9A">
            <w:pPr>
              <w:rPr>
                <w:rFonts w:ascii="Times New Roman" w:eastAsiaTheme="minorHAnsi" w:hAnsi="Times New Roman" w:cs="Times New Roman"/>
                <w:color w:val="000000" w:themeColor="text1"/>
                <w:sz w:val="20"/>
                <w:szCs w:val="20"/>
              </w:rPr>
            </w:pPr>
          </w:p>
        </w:tc>
      </w:tr>
      <w:tr w:rsidR="00534D9A" w14:paraId="7FE1BDB7" w14:textId="77777777">
        <w:tc>
          <w:tcPr>
            <w:tcW w:w="1080" w:type="dxa"/>
            <w:tcBorders>
              <w:top w:val="single" w:sz="4" w:space="0" w:color="1A171C"/>
              <w:left w:val="nil"/>
              <w:bottom w:val="single" w:sz="4" w:space="0" w:color="1A171C"/>
              <w:right w:val="single" w:sz="4" w:space="0" w:color="1A171C"/>
            </w:tcBorders>
            <w:vAlign w:val="center"/>
          </w:tcPr>
          <w:p w14:paraId="7FE1BDB5" w14:textId="77777777" w:rsidR="00534D9A" w:rsidRDefault="003243B2">
            <w:pPr>
              <w:pStyle w:val="P68B1DB1-TableParagraph17"/>
              <w:spacing w:before="108"/>
              <w:ind w:left="85"/>
              <w:jc w:val="both"/>
            </w:pPr>
            <w:r>
              <w:lastRenderedPageBreak/>
              <w:t>0160–0180</w:t>
            </w:r>
          </w:p>
        </w:tc>
        <w:tc>
          <w:tcPr>
            <w:tcW w:w="8003" w:type="dxa"/>
            <w:tcBorders>
              <w:top w:val="single" w:sz="4" w:space="0" w:color="1A171C"/>
              <w:left w:val="single" w:sz="4" w:space="0" w:color="1A171C"/>
              <w:bottom w:val="single" w:sz="4" w:space="0" w:color="1A171C"/>
              <w:right w:val="nil"/>
            </w:tcBorders>
            <w:vAlign w:val="center"/>
          </w:tcPr>
          <w:p w14:paraId="7FE1BDB6" w14:textId="77777777" w:rsidR="00534D9A" w:rsidRDefault="003243B2">
            <w:pPr>
              <w:pStyle w:val="P68B1DB1-Normal42"/>
              <w:rPr>
                <w:bCs/>
              </w:rPr>
            </w:pPr>
            <w:r>
              <w:t>Valutazzjoni tal-Kritiċità</w:t>
            </w:r>
          </w:p>
        </w:tc>
      </w:tr>
      <w:tr w:rsidR="00534D9A" w14:paraId="7FE1BDBD" w14:textId="77777777">
        <w:tc>
          <w:tcPr>
            <w:tcW w:w="1080" w:type="dxa"/>
            <w:tcBorders>
              <w:top w:val="single" w:sz="4" w:space="0" w:color="1A171C"/>
              <w:left w:val="nil"/>
              <w:bottom w:val="single" w:sz="4" w:space="0" w:color="1A171C"/>
              <w:right w:val="single" w:sz="4" w:space="0" w:color="1A171C"/>
            </w:tcBorders>
            <w:vAlign w:val="center"/>
          </w:tcPr>
          <w:p w14:paraId="7FE1BDB8" w14:textId="77777777" w:rsidR="00534D9A" w:rsidRDefault="003243B2">
            <w:pPr>
              <w:pStyle w:val="P68B1DB1-TableParagraph17"/>
              <w:spacing w:before="108"/>
              <w:ind w:left="85"/>
              <w:jc w:val="both"/>
            </w:pPr>
            <w:r>
              <w:t>0160</w:t>
            </w:r>
          </w:p>
        </w:tc>
        <w:tc>
          <w:tcPr>
            <w:tcW w:w="8003" w:type="dxa"/>
            <w:tcBorders>
              <w:top w:val="single" w:sz="4" w:space="0" w:color="1A171C"/>
              <w:left w:val="single" w:sz="4" w:space="0" w:color="1A171C"/>
              <w:bottom w:val="single" w:sz="4" w:space="0" w:color="1A171C"/>
              <w:right w:val="nil"/>
            </w:tcBorders>
            <w:vAlign w:val="center"/>
          </w:tcPr>
          <w:p w14:paraId="7FE1BDB9" w14:textId="77777777" w:rsidR="00534D9A" w:rsidRDefault="003243B2">
            <w:pPr>
              <w:pStyle w:val="P68B1DB1-Normal42"/>
              <w:rPr>
                <w:bCs/>
              </w:rPr>
            </w:pPr>
            <w:r>
              <w:t xml:space="preserve">L-impatt fuq is-suq </w:t>
            </w:r>
          </w:p>
          <w:p w14:paraId="7FE1BDBA" w14:textId="77777777" w:rsidR="00534D9A" w:rsidRDefault="003243B2">
            <w:pPr>
              <w:pStyle w:val="P68B1DB1-Normal43"/>
            </w:pPr>
            <w:r>
              <w:t>L-impatt stmat ta’ waqfien f’daqqa tal-funzjoni fuq partijiet terzi, swieq finanzjarji u l-ekonomija reali, filwaqt li jitqiesu d-daqs, is-sehem mis-suq fil-pajjiż, l-interkonnettività esterna u interna, il-kumplessità, u l-attivitajiet transfruntiera tal-istituzzjoni.</w:t>
            </w:r>
          </w:p>
          <w:p w14:paraId="7FE1BDBB" w14:textId="26AC665D" w:rsidR="00534D9A" w:rsidRDefault="003243B2">
            <w:pPr>
              <w:pStyle w:val="P68B1DB1-Normal43"/>
            </w:pPr>
            <w:r>
              <w:t>Din il-valutazzjoni għandha tiġi espressa b’mod kwalitattiv bħala “Għoli”, “Medja għolja”, “Medja baxxa” jew “Baxxa”.</w:t>
            </w:r>
          </w:p>
          <w:p w14:paraId="7FE1BDBC" w14:textId="64D10370" w:rsidR="00534D9A" w:rsidRDefault="003243B2">
            <w:pPr>
              <w:pStyle w:val="P68B1DB1-Normal43"/>
            </w:pPr>
            <w:r>
              <w:t>“High” għandha tintgħażel jekk il-waqfien għal għarrieda jkollu impatt kbir fuq is-suq nazzjonali; “Medju-għoli” jekk l-impatt ikun sinifikanti; “Medju-baxx” jekk l-impatt ikun materjali, iżda limitat; u “B” jekk l-impatt ikun baxx.</w:t>
            </w:r>
          </w:p>
        </w:tc>
      </w:tr>
      <w:tr w:rsidR="00534D9A" w14:paraId="7FE1BDCA" w14:textId="77777777">
        <w:tc>
          <w:tcPr>
            <w:tcW w:w="1080" w:type="dxa"/>
            <w:tcBorders>
              <w:top w:val="single" w:sz="4" w:space="0" w:color="1A171C"/>
              <w:left w:val="nil"/>
              <w:bottom w:val="single" w:sz="4" w:space="0" w:color="1A171C"/>
              <w:right w:val="single" w:sz="4" w:space="0" w:color="1A171C"/>
            </w:tcBorders>
            <w:vAlign w:val="center"/>
          </w:tcPr>
          <w:p w14:paraId="7FE1BDBE" w14:textId="77777777" w:rsidR="00534D9A" w:rsidRDefault="003243B2">
            <w:pPr>
              <w:pStyle w:val="P68B1DB1-TableParagraph17"/>
              <w:spacing w:before="108"/>
              <w:ind w:left="85"/>
              <w:jc w:val="both"/>
            </w:pPr>
            <w:r>
              <w:t>0170</w:t>
            </w:r>
          </w:p>
        </w:tc>
        <w:tc>
          <w:tcPr>
            <w:tcW w:w="8003" w:type="dxa"/>
            <w:tcBorders>
              <w:top w:val="single" w:sz="4" w:space="0" w:color="1A171C"/>
              <w:left w:val="single" w:sz="4" w:space="0" w:color="1A171C"/>
              <w:bottom w:val="single" w:sz="4" w:space="0" w:color="1A171C"/>
              <w:right w:val="nil"/>
            </w:tcBorders>
            <w:vAlign w:val="center"/>
          </w:tcPr>
          <w:p w14:paraId="7FE1BDBF" w14:textId="77777777" w:rsidR="00534D9A" w:rsidRDefault="003243B2">
            <w:pPr>
              <w:pStyle w:val="P68B1DB1-Normal42"/>
              <w:rPr>
                <w:bCs/>
              </w:rPr>
            </w:pPr>
            <w:r>
              <w:t>Is-sostitwibbiltà</w:t>
            </w:r>
          </w:p>
          <w:p w14:paraId="7FE1BDC0" w14:textId="77777777" w:rsidR="00534D9A" w:rsidRDefault="003243B2">
            <w:pPr>
              <w:pStyle w:val="P68B1DB1-Normal43"/>
            </w:pPr>
            <w:r>
              <w:t>L-Artikolu 6(3) tar-Regolament Delegat (UE) 2016/778.</w:t>
            </w:r>
          </w:p>
          <w:p w14:paraId="7FE1BDC1" w14:textId="77777777" w:rsidR="00534D9A" w:rsidRDefault="003243B2">
            <w:pPr>
              <w:pStyle w:val="P68B1DB1-Normal43"/>
            </w:pPr>
            <w:r>
              <w:t>Funzjoni titqies bħala sostitwibbli fejn din tista’ tiġi ssostitwita b’mod aċċettabbli u fi żmien raġonevoli u b’hekk jiġu evitati problemi sistemiċi għall-ekonomija reali u għas-swieq finanzjarji. Għandhom jitqiesu l-punti li ġejjin:</w:t>
            </w:r>
          </w:p>
          <w:p w14:paraId="7FE1BDC2" w14:textId="77777777" w:rsidR="00534D9A" w:rsidRDefault="003243B2">
            <w:pPr>
              <w:pStyle w:val="P68B1DB1-Normal43"/>
            </w:pPr>
            <w:r>
              <w:t xml:space="preserve">(a) l-istruttura tas-suq għal dik il-funzjoni u d-disponibbiltà ta’ fornituri alternattivi; </w:t>
            </w:r>
          </w:p>
          <w:p w14:paraId="7FE1BDC3" w14:textId="77777777" w:rsidR="00534D9A" w:rsidRDefault="003243B2">
            <w:pPr>
              <w:pStyle w:val="P68B1DB1-Normal43"/>
            </w:pPr>
            <w:r>
              <w:t xml:space="preserve">(b) l-abbiltà ta’ fornituri oħra f’termini ta’ kapaċità, ir-rekwiżiti biex iwettqu l-funzjoni, u ostakli potenzjali għad-dħul jew l-espansjoni; </w:t>
            </w:r>
          </w:p>
          <w:p w14:paraId="7FE1BDC4" w14:textId="77777777" w:rsidR="00534D9A" w:rsidRDefault="003243B2">
            <w:pPr>
              <w:pStyle w:val="P68B1DB1-Normal43"/>
            </w:pPr>
            <w:r>
              <w:t xml:space="preserve">(c) l-inċentiv ta’ fornituri oħra biex iwettqu dawn l-attivitajiet; </w:t>
            </w:r>
          </w:p>
          <w:p w14:paraId="7FE1BDC5" w14:textId="77777777" w:rsidR="00534D9A" w:rsidRDefault="003243B2">
            <w:pPr>
              <w:pStyle w:val="P68B1DB1-Normal43"/>
            </w:pPr>
            <w:r>
              <w:t>(d) iż-żmien meħtieġ mill-utenti tas-servizz biex jittrażlokaw għall-fornitur il-ġdid ta’ servizzi u l-ispejjeż taċ-ċaqliq, iż-żmien meħtieġ għal kompetituri oħra biex jieħdu f’idejhom il-funzjonijiet u jekk dak iż-żmien huwiex biżżejjed biex jiġi evitat tfixkil sinifikanti skont it-tip ta’ servizz.</w:t>
            </w:r>
          </w:p>
          <w:p w14:paraId="7FE1BDC6" w14:textId="024DAF4C" w:rsidR="00534D9A" w:rsidRDefault="003243B2">
            <w:pPr>
              <w:pStyle w:val="P68B1DB1-Normal3"/>
            </w:pPr>
            <w:r>
              <w:t xml:space="preserve">Ipprovdi valutazzjoni ġenerali tal-grad mistenni ta’ sostitwibbiltà għal kull funzjoni, filwaqt li tqis id-dimensjonijiet differenti vvalutati qabel (is-sehem mis-suq, il-konċentrazzjoni tas-suq, iż-żmien għas-sostituzzjoni, l-ostakli legali, u r-rekwiżiti operazzjonali għad-dħul jew l-espansjoni). Din il-valutazzjoni għandha tiġi espressa b’mod kwalitattiv bħala “Għoli”, “Medja għolja”, “Medja baxxa” jew “Baxxa”. </w:t>
            </w:r>
          </w:p>
          <w:p w14:paraId="07F40115" w14:textId="77777777" w:rsidR="00534D9A" w:rsidRDefault="00534D9A">
            <w:pPr>
              <w:rPr>
                <w:rFonts w:ascii="Times New Roman" w:eastAsiaTheme="minorHAnsi" w:hAnsi="Times New Roman" w:cs="Times New Roman"/>
                <w:color w:val="000000" w:themeColor="text1"/>
                <w:sz w:val="20"/>
                <w:szCs w:val="20"/>
              </w:rPr>
            </w:pPr>
          </w:p>
          <w:p w14:paraId="7FE1BDC7" w14:textId="704E53DC" w:rsidR="00534D9A" w:rsidRDefault="003243B2">
            <w:pPr>
              <w:pStyle w:val="P68B1DB1-Normal43"/>
            </w:pPr>
            <w:r>
              <w:t>“High” għandha tintgħażel jekk funzjoni tkun tista’ faċilment tiġi pprovduta minn bank ieħor taħt kundizzjonijiet paragunabbli fi żmien raġonevoli;</w:t>
            </w:r>
          </w:p>
          <w:p w14:paraId="7FE1BDC8" w14:textId="794A9FE4" w:rsidR="00534D9A" w:rsidRDefault="003243B2">
            <w:pPr>
              <w:pStyle w:val="P68B1DB1-Normal43"/>
            </w:pPr>
            <w:r>
              <w:t xml:space="preserve">“Low” jekk funzjoni ma tkunx tista’ tiġi sostitwita faċilment jew f’qasir żmien; </w:t>
            </w:r>
          </w:p>
          <w:p w14:paraId="7FE1BDC9" w14:textId="02A9D6A2" w:rsidR="00534D9A" w:rsidRDefault="003243B2">
            <w:pPr>
              <w:pStyle w:val="P68B1DB1-Normal43"/>
            </w:pPr>
            <w:r>
              <w:t>“MGĦ” u “MB” għal każijiet intermedji filwaqt li jitqiesu dimensjonijiet differenti (eż. is-sehem mis-suq, il-konċentrazzjoni tas-suq, il-ħin għas-sostituzzjoni, kif ukoll l-ostakoli ġuridiċi u r-rekwiżiti operazzjonali għad-dħul jew għall-espansjoni).</w:t>
            </w:r>
          </w:p>
        </w:tc>
      </w:tr>
      <w:tr w:rsidR="00534D9A" w14:paraId="7FE1BDCF" w14:textId="77777777">
        <w:tc>
          <w:tcPr>
            <w:tcW w:w="1080" w:type="dxa"/>
            <w:tcBorders>
              <w:top w:val="single" w:sz="4" w:space="0" w:color="1A171C"/>
              <w:left w:val="nil"/>
              <w:bottom w:val="single" w:sz="4" w:space="0" w:color="1A171C"/>
              <w:right w:val="single" w:sz="4" w:space="0" w:color="1A171C"/>
            </w:tcBorders>
            <w:vAlign w:val="center"/>
          </w:tcPr>
          <w:p w14:paraId="7FE1BDCB" w14:textId="77777777" w:rsidR="00534D9A" w:rsidRDefault="003243B2">
            <w:pPr>
              <w:pStyle w:val="P68B1DB1-TableParagraph17"/>
              <w:spacing w:before="108"/>
              <w:ind w:left="85"/>
              <w:jc w:val="both"/>
            </w:pPr>
            <w:r>
              <w:t>0190</w:t>
            </w:r>
          </w:p>
        </w:tc>
        <w:tc>
          <w:tcPr>
            <w:tcW w:w="8003" w:type="dxa"/>
            <w:tcBorders>
              <w:top w:val="single" w:sz="4" w:space="0" w:color="1A171C"/>
              <w:left w:val="single" w:sz="4" w:space="0" w:color="1A171C"/>
              <w:bottom w:val="single" w:sz="4" w:space="0" w:color="1A171C"/>
              <w:right w:val="nil"/>
            </w:tcBorders>
            <w:vAlign w:val="center"/>
          </w:tcPr>
          <w:p w14:paraId="7FE1BDCC" w14:textId="77777777" w:rsidR="00534D9A" w:rsidRDefault="003243B2">
            <w:pPr>
              <w:pStyle w:val="P68B1DB1-Normal42"/>
              <w:rPr>
                <w:bCs/>
              </w:rPr>
            </w:pPr>
            <w:r>
              <w:t>Il-Funzjoni Kritika</w:t>
            </w:r>
          </w:p>
          <w:p w14:paraId="7FE1BDCD" w14:textId="77777777" w:rsidR="00534D9A" w:rsidRDefault="003243B2">
            <w:pPr>
              <w:pStyle w:val="P68B1DB1-Normal43"/>
            </w:pPr>
            <w:r>
              <w:t>F’din il-kolonna għandu jiġi rrapportat jekk, meta titqies l-analiżi tal-impatt u tas-sostitwibbiltà mwettqa mill-istituzzjoni, il-funzjoni ekonomika titqiesx bħala kritika fis-suq għall-pajjiż rilevanti.</w:t>
            </w:r>
          </w:p>
          <w:p w14:paraId="7FE1BDCE" w14:textId="77777777" w:rsidR="00534D9A" w:rsidRDefault="003243B2">
            <w:pPr>
              <w:pStyle w:val="P68B1DB1-Normal43"/>
            </w:pPr>
            <w:r>
              <w:t>Irrapporta “Iva” jew “Le”</w:t>
            </w:r>
          </w:p>
        </w:tc>
      </w:tr>
      <w:tr w:rsidR="00534D9A" w14:paraId="7FE1BDD3" w14:textId="77777777">
        <w:tc>
          <w:tcPr>
            <w:tcW w:w="1080" w:type="dxa"/>
            <w:tcBorders>
              <w:top w:val="single" w:sz="4" w:space="0" w:color="1A171C"/>
              <w:left w:val="nil"/>
              <w:bottom w:val="single" w:sz="4" w:space="0" w:color="1A171C"/>
              <w:right w:val="single" w:sz="4" w:space="0" w:color="1A171C"/>
            </w:tcBorders>
            <w:vAlign w:val="center"/>
          </w:tcPr>
          <w:p w14:paraId="7FE1BDD0" w14:textId="77777777" w:rsidR="00534D9A" w:rsidRDefault="003243B2">
            <w:pPr>
              <w:pStyle w:val="P68B1DB1-TableParagraph17"/>
              <w:spacing w:before="108"/>
              <w:ind w:left="85"/>
              <w:jc w:val="both"/>
            </w:pPr>
            <w:r>
              <w:t>0200</w:t>
            </w:r>
          </w:p>
        </w:tc>
        <w:tc>
          <w:tcPr>
            <w:tcW w:w="8003" w:type="dxa"/>
            <w:tcBorders>
              <w:top w:val="single" w:sz="4" w:space="0" w:color="1A171C"/>
              <w:left w:val="single" w:sz="4" w:space="0" w:color="1A171C"/>
              <w:bottom w:val="single" w:sz="4" w:space="0" w:color="1A171C"/>
              <w:right w:val="nil"/>
            </w:tcBorders>
            <w:vAlign w:val="center"/>
          </w:tcPr>
          <w:p w14:paraId="7FE1BDD1" w14:textId="77777777" w:rsidR="00534D9A" w:rsidRDefault="003243B2">
            <w:pPr>
              <w:pStyle w:val="P68B1DB1-Normal42"/>
              <w:rPr>
                <w:bCs/>
              </w:rPr>
            </w:pPr>
            <w:r>
              <w:t>Kummenti mill-Grupp</w:t>
            </w:r>
          </w:p>
          <w:p w14:paraId="7FE1BDD2" w14:textId="77777777" w:rsidR="00534D9A" w:rsidRDefault="003243B2">
            <w:pPr>
              <w:pStyle w:val="P68B1DB1-Normal43"/>
            </w:pPr>
            <w:r>
              <w:t>Din il-kaxxa tippermetti lill-entità relatriċi tispjega kwalunkwe suppożizzjoni użata fil-valutazzjoni tal-kritikalità tal-funzjoni (jiet) irrapportata/i.</w:t>
            </w:r>
          </w:p>
        </w:tc>
      </w:tr>
    </w:tbl>
    <w:p w14:paraId="7FE1BDD4" w14:textId="77777777" w:rsidR="00534D9A" w:rsidRDefault="00534D9A">
      <w:pPr>
        <w:rPr>
          <w:rFonts w:ascii="Times New Roman" w:hAnsi="Times New Roman" w:cs="Times New Roman"/>
          <w:color w:val="000000" w:themeColor="text1"/>
          <w:sz w:val="20"/>
          <w:szCs w:val="20"/>
        </w:rPr>
      </w:pPr>
    </w:p>
    <w:p w14:paraId="7FE1BFB4" w14:textId="77777777" w:rsidR="00534D9A" w:rsidRDefault="00534D9A">
      <w:pPr>
        <w:rPr>
          <w:rFonts w:ascii="Times New Roman" w:hAnsi="Times New Roman" w:cs="Times New Roman"/>
        </w:rPr>
      </w:pPr>
    </w:p>
    <w:p w14:paraId="7FE1BFB5" w14:textId="432A2FAA" w:rsidR="00534D9A" w:rsidRDefault="003243B2">
      <w:pPr>
        <w:pStyle w:val="P68B1DB1-Instructionsberschrift25"/>
        <w:numPr>
          <w:ilvl w:val="1"/>
          <w:numId w:val="49"/>
        </w:numPr>
        <w:ind w:left="357" w:hanging="357"/>
      </w:pPr>
      <w:bookmarkStart w:id="122" w:name="_Toc208245009"/>
      <w:r>
        <w:t>Z 07.02 — Immappjar tal-funzjonijiet ekonomika skont l-entità ġuridika (FUNC 2)</w:t>
      </w:r>
      <w:bookmarkEnd w:id="122"/>
      <w:r>
        <w:t xml:space="preserve"> </w:t>
      </w:r>
    </w:p>
    <w:p w14:paraId="7FE1BFB6" w14:textId="77777777" w:rsidR="00534D9A" w:rsidRDefault="003243B2">
      <w:pPr>
        <w:pStyle w:val="P68B1DB1-Instructionsberschrift312"/>
        <w:rPr>
          <w:color w:val="auto"/>
        </w:rPr>
      </w:pPr>
      <w:r>
        <w:t>Struzzjonijiet</w:t>
      </w:r>
      <w:r>
        <w:rPr>
          <w:color w:val="auto"/>
        </w:rPr>
        <w:t xml:space="preserve"> li jikkonċernaw pożizzjonijiet speċifiċi</w:t>
      </w:r>
    </w:p>
    <w:p w14:paraId="7FE1BFB7" w14:textId="7A5F9014" w:rsidR="00534D9A" w:rsidRDefault="003243B2">
      <w:pPr>
        <w:pStyle w:val="P68B1DB1-InstructionsText26"/>
        <w:numPr>
          <w:ilvl w:val="0"/>
          <w:numId w:val="232"/>
        </w:numPr>
        <w:spacing w:before="0"/>
      </w:pPr>
      <w:r>
        <w:t>Din il-formola għandha tiġi rrapportata għall-grupp kollu u meta jitqiesu l-funzjonijiet ekonomiċi li l-Grupp qed jipprovdi lill-ekonomija.</w:t>
      </w:r>
    </w:p>
    <w:p w14:paraId="7FE1BFB8" w14:textId="77777777" w:rsidR="00534D9A" w:rsidRDefault="003243B2">
      <w:pPr>
        <w:pStyle w:val="P68B1DB1-InstructionsText26"/>
        <w:numPr>
          <w:ilvl w:val="0"/>
          <w:numId w:val="232"/>
        </w:numPr>
        <w:spacing w:before="0"/>
      </w:pPr>
      <w:r>
        <w:t>Il-kombinament ta’ valuri rapportati fil-kolonni 0010, 0020 u 0040 ta’ dan il-mudell jifforma kodiċi primarju li jrid ikun uniku għal kull ringiela tal-mudell.</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34D9A" w14:paraId="7FE1BFBB" w14:textId="77777777">
        <w:tc>
          <w:tcPr>
            <w:tcW w:w="1191" w:type="dxa"/>
            <w:tcBorders>
              <w:top w:val="single" w:sz="4" w:space="0" w:color="1A171C"/>
              <w:left w:val="nil"/>
              <w:bottom w:val="single" w:sz="4" w:space="0" w:color="1A171C"/>
              <w:right w:val="single" w:sz="4" w:space="0" w:color="1A171C"/>
            </w:tcBorders>
            <w:shd w:val="clear" w:color="auto" w:fill="E4E5E5"/>
          </w:tcPr>
          <w:p w14:paraId="7FE1BFB9" w14:textId="77777777" w:rsidR="00534D9A" w:rsidRDefault="003243B2">
            <w:pPr>
              <w:pStyle w:val="P68B1DB1-TableParagraph17"/>
              <w:spacing w:before="108"/>
              <w:ind w:left="85"/>
              <w:jc w:val="both"/>
            </w:pPr>
            <w:r>
              <w:lastRenderedPageBreak/>
              <w:t>Kolonni</w:t>
            </w:r>
          </w:p>
        </w:tc>
        <w:tc>
          <w:tcPr>
            <w:tcW w:w="7892" w:type="dxa"/>
            <w:tcBorders>
              <w:top w:val="single" w:sz="4" w:space="0" w:color="1A171C"/>
              <w:left w:val="single" w:sz="4" w:space="0" w:color="1A171C"/>
              <w:bottom w:val="single" w:sz="4" w:space="0" w:color="1A171C"/>
              <w:right w:val="nil"/>
            </w:tcBorders>
            <w:shd w:val="clear" w:color="auto" w:fill="E4E5E5"/>
          </w:tcPr>
          <w:p w14:paraId="7FE1BFBA" w14:textId="77777777" w:rsidR="00534D9A" w:rsidRDefault="003243B2">
            <w:pPr>
              <w:pStyle w:val="P68B1DB1-TableParagraph17"/>
              <w:spacing w:before="108"/>
              <w:ind w:left="85" w:right="1"/>
              <w:jc w:val="both"/>
            </w:pPr>
            <w:r>
              <w:t>Struzzjonijiet</w:t>
            </w:r>
          </w:p>
        </w:tc>
      </w:tr>
      <w:tr w:rsidR="00534D9A" w14:paraId="7FE1BFBE" w14:textId="77777777">
        <w:tc>
          <w:tcPr>
            <w:tcW w:w="1191" w:type="dxa"/>
            <w:tcBorders>
              <w:top w:val="single" w:sz="4" w:space="0" w:color="1A171C"/>
              <w:left w:val="nil"/>
              <w:bottom w:val="single" w:sz="4" w:space="0" w:color="1A171C"/>
              <w:right w:val="single" w:sz="4" w:space="0" w:color="1A171C"/>
            </w:tcBorders>
            <w:vAlign w:val="center"/>
          </w:tcPr>
          <w:p w14:paraId="7FE1BFBC" w14:textId="77777777" w:rsidR="00534D9A" w:rsidRDefault="003243B2">
            <w:pPr>
              <w:pStyle w:val="P68B1DB1-TableParagraph17"/>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BFBD" w14:textId="3F275B4F" w:rsidR="00534D9A" w:rsidRDefault="003243B2">
            <w:pPr>
              <w:pStyle w:val="P68B1DB1-TableParagraph14"/>
              <w:spacing w:before="108"/>
              <w:ind w:left="85"/>
              <w:jc w:val="both"/>
              <w:rPr>
                <w:bCs/>
              </w:rPr>
            </w:pPr>
            <w:r>
              <w:t>Il-funzjoni ekonomika</w:t>
            </w:r>
          </w:p>
        </w:tc>
      </w:tr>
      <w:tr w:rsidR="00534D9A" w14:paraId="7FE1BFC2" w14:textId="77777777">
        <w:tc>
          <w:tcPr>
            <w:tcW w:w="1191" w:type="dxa"/>
            <w:tcBorders>
              <w:top w:val="single" w:sz="4" w:space="0" w:color="1A171C"/>
              <w:left w:val="nil"/>
              <w:bottom w:val="single" w:sz="4" w:space="0" w:color="1A171C"/>
              <w:right w:val="single" w:sz="4" w:space="0" w:color="1A171C"/>
            </w:tcBorders>
            <w:vAlign w:val="center"/>
          </w:tcPr>
          <w:p w14:paraId="7FE1BFBF" w14:textId="77777777" w:rsidR="00534D9A" w:rsidRDefault="003243B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C0" w14:textId="77777777" w:rsidR="00534D9A" w:rsidRDefault="003243B2">
            <w:pPr>
              <w:pStyle w:val="P68B1DB1-TableParagraph14"/>
              <w:spacing w:before="108"/>
              <w:ind w:left="85"/>
              <w:jc w:val="both"/>
              <w:rPr>
                <w:bCs/>
              </w:rPr>
            </w:pPr>
            <w:r>
              <w:t>Pajjiż</w:t>
            </w:r>
          </w:p>
          <w:p w14:paraId="7FE1BFC1" w14:textId="235DC4B1" w:rsidR="00534D9A" w:rsidRDefault="003243B2">
            <w:pPr>
              <w:pStyle w:val="P68B1DB1-TableParagraph17"/>
              <w:spacing w:before="108"/>
              <w:ind w:left="85"/>
            </w:pPr>
            <w:r>
              <w:t>Il-pajjiż li għalih hija pprovduta l-funzjoni ekonomika</w:t>
            </w:r>
          </w:p>
        </w:tc>
      </w:tr>
      <w:tr w:rsidR="00534D9A" w14:paraId="7FE1BFC6" w14:textId="77777777">
        <w:tc>
          <w:tcPr>
            <w:tcW w:w="1191" w:type="dxa"/>
            <w:tcBorders>
              <w:top w:val="single" w:sz="4" w:space="0" w:color="1A171C"/>
              <w:left w:val="nil"/>
              <w:bottom w:val="single" w:sz="4" w:space="0" w:color="1A171C"/>
              <w:right w:val="single" w:sz="4" w:space="0" w:color="1A171C"/>
            </w:tcBorders>
            <w:vAlign w:val="center"/>
          </w:tcPr>
          <w:p w14:paraId="7FE1BFC3" w14:textId="77777777" w:rsidR="00534D9A" w:rsidRDefault="003243B2">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BFC4" w14:textId="77777777" w:rsidR="00534D9A" w:rsidRDefault="003243B2">
            <w:pPr>
              <w:pStyle w:val="P68B1DB1-TableParagraph14"/>
              <w:spacing w:before="108"/>
              <w:ind w:left="85"/>
              <w:jc w:val="both"/>
              <w:rPr>
                <w:bCs/>
              </w:rPr>
            </w:pPr>
            <w:r>
              <w:t>ID</w:t>
            </w:r>
          </w:p>
          <w:p w14:paraId="7FE1BFC5" w14:textId="05F6B42D" w:rsidR="00534D9A" w:rsidRDefault="003243B2">
            <w:pPr>
              <w:pStyle w:val="P68B1DB1-TableParagraph17"/>
              <w:spacing w:before="108"/>
              <w:ind w:left="85"/>
            </w:pPr>
            <w:r>
              <w:t>L-ID tal-funzjonijiet ekonomiċi (kif imsemmi fil-mudell Z 07.01 (FUNC 1) fil-każ ta’ funzjonijiet kritiċi).</w:t>
            </w:r>
          </w:p>
        </w:tc>
      </w:tr>
      <w:tr w:rsidR="00534D9A" w14:paraId="7FE1BFC9" w14:textId="77777777">
        <w:tc>
          <w:tcPr>
            <w:tcW w:w="1191" w:type="dxa"/>
            <w:tcBorders>
              <w:top w:val="single" w:sz="4" w:space="0" w:color="1A171C"/>
              <w:left w:val="nil"/>
              <w:bottom w:val="single" w:sz="4" w:space="0" w:color="1A171C"/>
              <w:right w:val="single" w:sz="4" w:space="0" w:color="1A171C"/>
            </w:tcBorders>
            <w:vAlign w:val="center"/>
          </w:tcPr>
          <w:p w14:paraId="7FE1BFC7" w14:textId="77777777" w:rsidR="00534D9A" w:rsidRDefault="003243B2">
            <w:pPr>
              <w:pStyle w:val="P68B1DB1-TableParagraph17"/>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BFC8" w14:textId="77777777" w:rsidR="00534D9A" w:rsidRDefault="003243B2">
            <w:pPr>
              <w:pStyle w:val="P68B1DB1-TableParagraph14"/>
              <w:spacing w:before="108"/>
              <w:ind w:left="85"/>
              <w:jc w:val="both"/>
              <w:rPr>
                <w:bCs/>
              </w:rPr>
            </w:pPr>
            <w:r>
              <w:t>Entità legali</w:t>
            </w:r>
          </w:p>
        </w:tc>
      </w:tr>
      <w:tr w:rsidR="00534D9A" w14:paraId="7FE1BFCF" w14:textId="77777777">
        <w:tc>
          <w:tcPr>
            <w:tcW w:w="1191" w:type="dxa"/>
            <w:tcBorders>
              <w:top w:val="single" w:sz="4" w:space="0" w:color="1A171C"/>
              <w:left w:val="nil"/>
              <w:bottom w:val="single" w:sz="4" w:space="0" w:color="1A171C"/>
              <w:right w:val="single" w:sz="4" w:space="0" w:color="1A171C"/>
            </w:tcBorders>
            <w:vAlign w:val="center"/>
          </w:tcPr>
          <w:p w14:paraId="7FE1BFCA" w14:textId="77777777" w:rsidR="00534D9A" w:rsidRDefault="003243B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BFCB" w14:textId="77777777" w:rsidR="00534D9A" w:rsidRDefault="003243B2">
            <w:pPr>
              <w:pStyle w:val="P68B1DB1-TableParagraph14"/>
              <w:spacing w:before="108"/>
              <w:ind w:left="85"/>
              <w:jc w:val="both"/>
              <w:rPr>
                <w:bCs/>
              </w:rPr>
            </w:pPr>
            <w:r>
              <w:t>L-Isem tal-Entità</w:t>
            </w:r>
          </w:p>
          <w:p w14:paraId="7FE1BFCD" w14:textId="375A6177" w:rsidR="00534D9A" w:rsidRDefault="003243B2">
            <w:pPr>
              <w:pStyle w:val="P68B1DB1-TableParagraph17"/>
              <w:spacing w:before="108"/>
              <w:ind w:left="85"/>
            </w:pPr>
            <w:r>
              <w:t>Isem tal-entità li twettaq il-funzjoni ekonomika, kif irrapportat f’Z 01.01 (ORG 1).</w:t>
            </w:r>
          </w:p>
          <w:p w14:paraId="7FE1BFCE" w14:textId="2159DCA3" w:rsidR="00534D9A" w:rsidRDefault="003243B2">
            <w:pPr>
              <w:pStyle w:val="P68B1DB1-TableParagraph17"/>
              <w:spacing w:before="108"/>
              <w:ind w:left="85"/>
            </w:pPr>
            <w:r>
              <w:t>Jekk ikun hemm diversi entitajiet li jkunu qegħdin iwettqu l-istess funzjonijiet ekonomik fl-istess pajjiż, kull entità għandha tiġi rrapportata f’ringiela separata.</w:t>
            </w:r>
          </w:p>
        </w:tc>
      </w:tr>
      <w:tr w:rsidR="00534D9A" w14:paraId="7FE1BFD4" w14:textId="77777777">
        <w:tc>
          <w:tcPr>
            <w:tcW w:w="1191" w:type="dxa"/>
            <w:tcBorders>
              <w:top w:val="single" w:sz="4" w:space="0" w:color="1A171C"/>
              <w:left w:val="nil"/>
              <w:bottom w:val="single" w:sz="4" w:space="0" w:color="1A171C"/>
              <w:right w:val="single" w:sz="4" w:space="0" w:color="1A171C"/>
            </w:tcBorders>
            <w:vAlign w:val="center"/>
          </w:tcPr>
          <w:p w14:paraId="7FE1BFD0" w14:textId="77777777" w:rsidR="00534D9A" w:rsidRDefault="003243B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BFD1" w14:textId="77777777" w:rsidR="00534D9A" w:rsidRDefault="003243B2">
            <w:pPr>
              <w:pStyle w:val="P68B1DB1-TableParagraph14"/>
              <w:spacing w:before="108"/>
              <w:ind w:left="85"/>
              <w:jc w:val="both"/>
              <w:rPr>
                <w:bCs/>
              </w:rPr>
            </w:pPr>
            <w:r>
              <w:t>Numru</w:t>
            </w:r>
          </w:p>
          <w:p w14:paraId="7FE1BFD2" w14:textId="77777777" w:rsidR="00534D9A" w:rsidRDefault="003243B2">
            <w:pPr>
              <w:pStyle w:val="P68B1DB1-TableParagraph17"/>
              <w:spacing w:before="108"/>
              <w:ind w:left="85"/>
            </w:pPr>
            <w:r>
              <w:t>Identifikatur uniku tal-entità ġuridika fil-kolonna 0020, kif irrapportat fil-mudell Z 01.01 (ORG 1).</w:t>
            </w:r>
          </w:p>
          <w:p w14:paraId="7FE1BFD3" w14:textId="0AEAE2F2" w:rsidR="00534D9A" w:rsidRDefault="003243B2">
            <w:pPr>
              <w:pStyle w:val="P68B1DB1-TableParagraph17"/>
              <w:spacing w:before="108"/>
              <w:ind w:left="85"/>
            </w:pPr>
            <w:r>
              <w:t>L-identifikazzjoni tal-entitajiet għandha ssir b’mod konsistenti fil-mudelli kollha.</w:t>
            </w:r>
          </w:p>
        </w:tc>
      </w:tr>
      <w:tr w:rsidR="00534D9A" w14:paraId="7FE1BFDB" w14:textId="77777777">
        <w:tc>
          <w:tcPr>
            <w:tcW w:w="1191" w:type="dxa"/>
            <w:tcBorders>
              <w:top w:val="single" w:sz="4" w:space="0" w:color="1A171C"/>
              <w:left w:val="nil"/>
              <w:bottom w:val="single" w:sz="4" w:space="0" w:color="1A171C"/>
              <w:right w:val="single" w:sz="4" w:space="0" w:color="1A171C"/>
            </w:tcBorders>
            <w:vAlign w:val="center"/>
          </w:tcPr>
          <w:p w14:paraId="7FE1BFD5" w14:textId="77777777" w:rsidR="00534D9A" w:rsidRDefault="003243B2">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BFD6" w14:textId="77777777" w:rsidR="00534D9A" w:rsidRDefault="003243B2">
            <w:pPr>
              <w:pStyle w:val="P68B1DB1-TableParagraph14"/>
              <w:spacing w:before="108"/>
              <w:ind w:left="85"/>
              <w:jc w:val="both"/>
              <w:rPr>
                <w:bCs/>
              </w:rPr>
            </w:pPr>
            <w:r>
              <w:t>Tip ta’ kodiċi</w:t>
            </w:r>
          </w:p>
          <w:p w14:paraId="29A7EF10" w14:textId="77777777" w:rsidR="00534D9A" w:rsidRDefault="003243B2">
            <w:pPr>
              <w:pStyle w:val="P68B1DB1-TableParagraph13"/>
              <w:spacing w:before="108"/>
            </w:pPr>
            <w:r>
              <w:t>Għandha tintgħażel fost l-għażliet li ġejjin: “Kodiċi LEI”, “kodiċi MFI” jew “Tip ta’ identifikatur, minbarra LEI jew kodiċi MFI”.</w:t>
            </w:r>
          </w:p>
          <w:p w14:paraId="7FE1BFDA" w14:textId="77777777" w:rsidR="00534D9A" w:rsidRDefault="003243B2">
            <w:pPr>
              <w:pStyle w:val="P68B1DB1-TableParagraph13"/>
              <w:spacing w:before="108"/>
              <w:ind w:left="85"/>
              <w:jc w:val="both"/>
              <w:rPr>
                <w:b/>
                <w:bCs/>
              </w:rPr>
            </w:pPr>
            <w:r>
              <w:t>L-identifikazzjoni tal-entitajiet għandha ssir b’mod konsistenti fil-mudelli kollha.</w:t>
            </w:r>
          </w:p>
        </w:tc>
      </w:tr>
      <w:tr w:rsidR="00534D9A" w14:paraId="7FE1BFE4" w14:textId="77777777">
        <w:trPr>
          <w:trHeight w:val="302"/>
        </w:trPr>
        <w:tc>
          <w:tcPr>
            <w:tcW w:w="1191" w:type="dxa"/>
            <w:tcBorders>
              <w:top w:val="single" w:sz="4" w:space="0" w:color="1A171C"/>
              <w:left w:val="nil"/>
              <w:bottom w:val="single" w:sz="4" w:space="0" w:color="1A171C"/>
              <w:right w:val="single" w:sz="4" w:space="0" w:color="1A171C"/>
            </w:tcBorders>
            <w:vAlign w:val="center"/>
          </w:tcPr>
          <w:p w14:paraId="7FE1BFDC" w14:textId="50EDDBE3" w:rsidR="00534D9A" w:rsidRDefault="003243B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BFDD" w14:textId="501961FD" w:rsidR="00534D9A" w:rsidRDefault="003243B2">
            <w:pPr>
              <w:pStyle w:val="P68B1DB1-TableParagraph14"/>
              <w:spacing w:before="108"/>
              <w:ind w:left="85"/>
              <w:jc w:val="both"/>
              <w:rPr>
                <w:bCs/>
              </w:rPr>
            </w:pPr>
            <w:r>
              <w:t>L-ammont monetarju</w:t>
            </w:r>
          </w:p>
          <w:p w14:paraId="7FE1BFDE" w14:textId="1157FFA9" w:rsidR="00534D9A" w:rsidRDefault="003243B2">
            <w:pPr>
              <w:pStyle w:val="P68B1DB1-TableParagraph17"/>
              <w:spacing w:before="108"/>
              <w:ind w:left="85"/>
            </w:pPr>
            <w:r>
              <w:t>Il-kontribuzzjoni, f’ammont monetarju, tal-entità ġuridika għall-ammont monetarju kif deskritt fil-Mudell Z 07.01 (FUNC 1):</w:t>
            </w:r>
          </w:p>
          <w:p w14:paraId="7FE1BFDF" w14:textId="77777777" w:rsidR="00534D9A" w:rsidRDefault="003243B2">
            <w:pPr>
              <w:pStyle w:val="P68B1DB1-TableParagraph17"/>
              <w:numPr>
                <w:ilvl w:val="0"/>
                <w:numId w:val="64"/>
              </w:numPr>
              <w:spacing w:before="108"/>
            </w:pPr>
            <w:r>
              <w:t>Depożiti — Valur fuq il-kontijiet</w:t>
            </w:r>
          </w:p>
          <w:p w14:paraId="7FE1BFE0" w14:textId="77777777" w:rsidR="00534D9A" w:rsidRDefault="003243B2">
            <w:pPr>
              <w:pStyle w:val="P68B1DB1-TableParagraph17"/>
              <w:numPr>
                <w:ilvl w:val="0"/>
                <w:numId w:val="64"/>
              </w:numPr>
              <w:spacing w:before="108"/>
            </w:pPr>
            <w:r>
              <w:t>Self — Valur Pendenti</w:t>
            </w:r>
          </w:p>
          <w:p w14:paraId="7FE1BFE1" w14:textId="77777777" w:rsidR="00534D9A" w:rsidRDefault="003243B2">
            <w:pPr>
              <w:pStyle w:val="P68B1DB1-TableParagraph17"/>
              <w:numPr>
                <w:ilvl w:val="0"/>
                <w:numId w:val="64"/>
              </w:numPr>
              <w:spacing w:before="108"/>
            </w:pPr>
            <w:r>
              <w:t>Pagamenti — Valur tat-tranżazzjonijiet/pożizzjonijiet miftuħa/assi taħt kustodja (kif applikabbli)</w:t>
            </w:r>
          </w:p>
          <w:p w14:paraId="7FE1BFE2" w14:textId="77777777" w:rsidR="00534D9A" w:rsidRDefault="003243B2">
            <w:pPr>
              <w:pStyle w:val="P68B1DB1-TableParagraph17"/>
              <w:numPr>
                <w:ilvl w:val="0"/>
                <w:numId w:val="64"/>
              </w:numPr>
              <w:spacing w:before="108"/>
            </w:pPr>
            <w:r>
              <w:t>Swieq Kapitali — Ammont nozzjonali/Ammont riportat/Dħul mit-tariffi (kif applikabbli)</w:t>
            </w:r>
          </w:p>
          <w:p w14:paraId="7FE1BFE3" w14:textId="77777777" w:rsidR="00534D9A" w:rsidRDefault="003243B2">
            <w:pPr>
              <w:pStyle w:val="P68B1DB1-TableParagraph17"/>
              <w:numPr>
                <w:ilvl w:val="0"/>
                <w:numId w:val="64"/>
              </w:numPr>
              <w:spacing w:before="108"/>
            </w:pPr>
            <w:r>
              <w:t>Finanzjament bl-ingrossa — Ammont riportat gross</w:t>
            </w:r>
          </w:p>
        </w:tc>
      </w:tr>
    </w:tbl>
    <w:p w14:paraId="7FE1BFE5" w14:textId="77777777" w:rsidR="00534D9A" w:rsidRDefault="00534D9A">
      <w:pPr>
        <w:rPr>
          <w:rFonts w:ascii="Times New Roman" w:hAnsi="Times New Roman" w:cs="Times New Roman"/>
          <w:color w:val="000000" w:themeColor="text1"/>
          <w:sz w:val="20"/>
          <w:szCs w:val="20"/>
        </w:rPr>
      </w:pPr>
    </w:p>
    <w:p w14:paraId="7FE1BFE6" w14:textId="30C6C61A" w:rsidR="00534D9A" w:rsidRDefault="003243B2">
      <w:pPr>
        <w:pStyle w:val="P68B1DB1-Instructionsberschrift25"/>
        <w:numPr>
          <w:ilvl w:val="1"/>
          <w:numId w:val="49"/>
        </w:numPr>
        <w:ind w:left="357" w:hanging="357"/>
      </w:pPr>
      <w:bookmarkStart w:id="123" w:name="_Toc208245010"/>
      <w:r>
        <w:t>Z 07.03 — Immappjar tal-Linji ta’ Negozju Ewlenin mal-entitajiet ġuridiċi (FUNC 3)</w:t>
      </w:r>
      <w:bookmarkEnd w:id="123"/>
    </w:p>
    <w:p w14:paraId="7FE1BFE7" w14:textId="2A9EA2DA" w:rsidR="00534D9A" w:rsidRDefault="003243B2">
      <w:pPr>
        <w:pStyle w:val="P68B1DB1-Instructionsberschrift312"/>
        <w:rPr>
          <w:bCs/>
        </w:rPr>
      </w:pPr>
      <w:r>
        <w:t>Struzzjonijiet li jikkonċernaw pożizzjonijiet speċifiċi</w:t>
      </w:r>
    </w:p>
    <w:p w14:paraId="7FE1BFE8" w14:textId="22DA3D65" w:rsidR="00534D9A" w:rsidRDefault="003243B2">
      <w:pPr>
        <w:pStyle w:val="P68B1DB1-InstructionsText26"/>
        <w:numPr>
          <w:ilvl w:val="0"/>
          <w:numId w:val="232"/>
        </w:numPr>
        <w:spacing w:before="0"/>
      </w:pPr>
      <w:r>
        <w:t>Il-kombinament ta’ valuri rapportati fil-kolonni 0020 u 0050 ta’ dan il-mudell jifforma kodiċi primarju li jrid ikun uniku għal kull ringiela tal-mudell.</w:t>
      </w:r>
    </w:p>
    <w:p w14:paraId="7FE1BFE9" w14:textId="29720803" w:rsidR="00534D9A" w:rsidRDefault="003243B2">
      <w:pPr>
        <w:pStyle w:val="P68B1DB1-InstructionsText26"/>
        <w:numPr>
          <w:ilvl w:val="0"/>
          <w:numId w:val="232"/>
        </w:numPr>
        <w:spacing w:before="0"/>
      </w:pPr>
      <w:r>
        <w:t xml:space="preserve">Il-linji operatorji tal-entitajiet ġuridiċi rilevanti biss għandhom jiġu rrapportati f’din il-formola. </w:t>
      </w: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34D9A" w14:paraId="7FE1BFEC" w14:textId="77777777">
        <w:trPr>
          <w:tblHeader/>
        </w:trPr>
        <w:tc>
          <w:tcPr>
            <w:tcW w:w="1191" w:type="dxa"/>
            <w:tcBorders>
              <w:top w:val="single" w:sz="4" w:space="0" w:color="1A171C"/>
              <w:left w:val="nil"/>
              <w:bottom w:val="single" w:sz="4" w:space="0" w:color="1A171C"/>
              <w:right w:val="single" w:sz="4" w:space="0" w:color="1A171C"/>
            </w:tcBorders>
            <w:shd w:val="clear" w:color="auto" w:fill="E4E5E5"/>
          </w:tcPr>
          <w:p w14:paraId="7FE1BFEA" w14:textId="77777777" w:rsidR="00534D9A" w:rsidRDefault="003243B2">
            <w:pPr>
              <w:pStyle w:val="P68B1DB1-TableParagraph17"/>
              <w:spacing w:before="108"/>
              <w:ind w:left="85"/>
              <w:jc w:val="both"/>
            </w:pPr>
            <w:r>
              <w:lastRenderedPageBreak/>
              <w:t>Kolonni</w:t>
            </w:r>
          </w:p>
        </w:tc>
        <w:tc>
          <w:tcPr>
            <w:tcW w:w="7892" w:type="dxa"/>
            <w:tcBorders>
              <w:top w:val="single" w:sz="4" w:space="0" w:color="1A171C"/>
              <w:left w:val="single" w:sz="4" w:space="0" w:color="1A171C"/>
              <w:bottom w:val="single" w:sz="4" w:space="0" w:color="1A171C"/>
              <w:right w:val="nil"/>
            </w:tcBorders>
            <w:shd w:val="clear" w:color="auto" w:fill="E4E5E5"/>
          </w:tcPr>
          <w:p w14:paraId="7FE1BFEB" w14:textId="77777777" w:rsidR="00534D9A" w:rsidRDefault="003243B2">
            <w:pPr>
              <w:pStyle w:val="P68B1DB1-TableParagraph17"/>
              <w:spacing w:before="108"/>
              <w:ind w:left="85" w:right="1"/>
              <w:jc w:val="both"/>
            </w:pPr>
            <w:r>
              <w:t>Struzzjonijiet</w:t>
            </w:r>
          </w:p>
        </w:tc>
      </w:tr>
      <w:tr w:rsidR="00534D9A" w14:paraId="7FE1BFEF" w14:textId="77777777">
        <w:tc>
          <w:tcPr>
            <w:tcW w:w="1191" w:type="dxa"/>
            <w:tcBorders>
              <w:top w:val="single" w:sz="4" w:space="0" w:color="1A171C"/>
              <w:left w:val="nil"/>
              <w:bottom w:val="single" w:sz="4" w:space="0" w:color="1A171C"/>
              <w:right w:val="single" w:sz="4" w:space="0" w:color="1A171C"/>
            </w:tcBorders>
            <w:vAlign w:val="center"/>
          </w:tcPr>
          <w:p w14:paraId="7FE1BFED" w14:textId="77777777" w:rsidR="00534D9A" w:rsidRDefault="003243B2">
            <w:pPr>
              <w:pStyle w:val="P68B1DB1-TableParagraph17"/>
              <w:spacing w:before="108"/>
              <w:ind w:left="85"/>
            </w:pPr>
            <w:r>
              <w:t xml:space="preserve">0010–0030 </w:t>
            </w:r>
          </w:p>
        </w:tc>
        <w:tc>
          <w:tcPr>
            <w:tcW w:w="7892" w:type="dxa"/>
            <w:tcBorders>
              <w:top w:val="single" w:sz="4" w:space="0" w:color="1A171C"/>
              <w:left w:val="single" w:sz="4" w:space="0" w:color="1A171C"/>
              <w:bottom w:val="single" w:sz="4" w:space="0" w:color="1A171C"/>
              <w:right w:val="nil"/>
            </w:tcBorders>
            <w:vAlign w:val="center"/>
          </w:tcPr>
          <w:p w14:paraId="7FE1BFEE" w14:textId="164273BD" w:rsidR="00534D9A" w:rsidRDefault="003243B2">
            <w:pPr>
              <w:pStyle w:val="P68B1DB1-TableParagraph14"/>
              <w:spacing w:before="108"/>
              <w:ind w:left="85"/>
              <w:jc w:val="both"/>
              <w:rPr>
                <w:bCs/>
              </w:rPr>
            </w:pPr>
            <w:r>
              <w:t>Linja tan-negozju ewlenija</w:t>
            </w:r>
          </w:p>
        </w:tc>
      </w:tr>
      <w:tr w:rsidR="00534D9A" w14:paraId="7FE1BFFF" w14:textId="77777777">
        <w:tc>
          <w:tcPr>
            <w:tcW w:w="1191" w:type="dxa"/>
            <w:tcBorders>
              <w:top w:val="single" w:sz="4" w:space="0" w:color="1A171C"/>
              <w:left w:val="nil"/>
              <w:bottom w:val="single" w:sz="4" w:space="0" w:color="1A171C"/>
              <w:right w:val="single" w:sz="4" w:space="0" w:color="1A171C"/>
            </w:tcBorders>
            <w:vAlign w:val="center"/>
          </w:tcPr>
          <w:p w14:paraId="7FE1BFF0" w14:textId="0E5EC75F" w:rsidR="00534D9A" w:rsidRDefault="003243B2">
            <w:pPr>
              <w:pStyle w:val="P68B1DB1-TableParagraph17"/>
              <w:spacing w:before="108"/>
              <w:ind w:left="85"/>
            </w:pPr>
            <w:r>
              <w:t>0010</w:t>
            </w:r>
          </w:p>
        </w:tc>
        <w:tc>
          <w:tcPr>
            <w:tcW w:w="7892" w:type="dxa"/>
            <w:tcBorders>
              <w:top w:val="single" w:sz="4" w:space="0" w:color="1A171C"/>
              <w:left w:val="single" w:sz="4" w:space="0" w:color="1A171C"/>
              <w:bottom w:val="single" w:sz="4" w:space="0" w:color="1A171C"/>
              <w:right w:val="nil"/>
            </w:tcBorders>
            <w:vAlign w:val="center"/>
          </w:tcPr>
          <w:p w14:paraId="7FE1BFF1" w14:textId="77777777" w:rsidR="00534D9A" w:rsidRDefault="003243B2">
            <w:pPr>
              <w:pStyle w:val="P68B1DB1-TableParagraph14"/>
              <w:spacing w:before="108"/>
              <w:ind w:left="85"/>
              <w:jc w:val="both"/>
              <w:rPr>
                <w:bCs/>
              </w:rPr>
            </w:pPr>
            <w:r>
              <w:t>Linja tan-negozju ewlenija</w:t>
            </w:r>
          </w:p>
          <w:p w14:paraId="7FE1BFF2" w14:textId="65133358" w:rsidR="00534D9A" w:rsidRDefault="003243B2">
            <w:pPr>
              <w:pStyle w:val="P68B1DB1-TableParagraph17"/>
              <w:spacing w:before="108"/>
              <w:ind w:left="85"/>
            </w:pPr>
            <w:r>
              <w:t>“Linji ta’ negozju ewlenin” skont l-Artikolu 2(1)(36) u l-Artikolu 2(2) tad-Direttiva 2014/59/UE.</w:t>
            </w:r>
          </w:p>
          <w:p w14:paraId="7FE1BFF3" w14:textId="77777777" w:rsidR="00534D9A" w:rsidRDefault="003243B2">
            <w:pPr>
              <w:pStyle w:val="P68B1DB1-TableParagraph17"/>
              <w:spacing w:before="108"/>
              <w:ind w:left="85"/>
            </w:pPr>
            <w:r>
              <w:t>Il-linja operatorja ewlenija għandha tkun waħda mil-linji operatorji elenkati hawn taħt.</w:t>
            </w:r>
          </w:p>
          <w:p w14:paraId="7FE1BFF4" w14:textId="77777777" w:rsidR="00534D9A" w:rsidRDefault="003243B2">
            <w:pPr>
              <w:pStyle w:val="P68B1DB1-TableParagraph17"/>
              <w:numPr>
                <w:ilvl w:val="0"/>
                <w:numId w:val="139"/>
              </w:numPr>
              <w:spacing w:before="108"/>
              <w:rPr>
                <w:rFonts w:eastAsiaTheme="minorEastAsia"/>
              </w:rPr>
            </w:pPr>
            <w:r>
              <w:t xml:space="preserve">Servizzi bankarji għall-konsumatur </w:t>
            </w:r>
          </w:p>
          <w:p w14:paraId="7FE1BFF5" w14:textId="77777777" w:rsidR="00534D9A" w:rsidRDefault="003243B2">
            <w:pPr>
              <w:pStyle w:val="P68B1DB1-TableParagraph17"/>
              <w:numPr>
                <w:ilvl w:val="0"/>
                <w:numId w:val="139"/>
              </w:numPr>
              <w:spacing w:before="108"/>
            </w:pPr>
            <w:r>
              <w:t>Ibbankjar Korporattiv</w:t>
            </w:r>
          </w:p>
          <w:p w14:paraId="7FE1BFF6" w14:textId="77777777" w:rsidR="00534D9A" w:rsidRDefault="003243B2">
            <w:pPr>
              <w:pStyle w:val="P68B1DB1-TableParagraph17"/>
              <w:numPr>
                <w:ilvl w:val="0"/>
                <w:numId w:val="139"/>
              </w:numPr>
              <w:spacing w:before="108"/>
            </w:pPr>
            <w:r>
              <w:t xml:space="preserve">Bank tal-investiment </w:t>
            </w:r>
          </w:p>
          <w:p w14:paraId="7FE1BFF7" w14:textId="77777777" w:rsidR="00534D9A" w:rsidRDefault="003243B2">
            <w:pPr>
              <w:pStyle w:val="P68B1DB1-TableParagraph17"/>
              <w:numPr>
                <w:ilvl w:val="0"/>
                <w:numId w:val="139"/>
              </w:numPr>
              <w:spacing w:before="108"/>
            </w:pPr>
            <w:r>
              <w:t>Assigurazzjoni</w:t>
            </w:r>
          </w:p>
          <w:p w14:paraId="7FE1BFF8" w14:textId="77777777" w:rsidR="00534D9A" w:rsidRDefault="003243B2">
            <w:pPr>
              <w:pStyle w:val="P68B1DB1-TableParagraph17"/>
              <w:numPr>
                <w:ilvl w:val="0"/>
                <w:numId w:val="139"/>
              </w:numPr>
              <w:spacing w:before="108"/>
            </w:pPr>
            <w:r>
              <w:t>Riassigurazzjoni</w:t>
            </w:r>
          </w:p>
          <w:p w14:paraId="7FE1BFF9" w14:textId="77777777" w:rsidR="00534D9A" w:rsidRDefault="003243B2">
            <w:pPr>
              <w:pStyle w:val="P68B1DB1-TableParagraph17"/>
              <w:numPr>
                <w:ilvl w:val="0"/>
                <w:numId w:val="139"/>
              </w:numPr>
              <w:spacing w:before="108"/>
            </w:pPr>
            <w:r>
              <w:t>Senserija fil-livell tal-konsumatur</w:t>
            </w:r>
          </w:p>
          <w:p w14:paraId="7FE1BFFA" w14:textId="77777777" w:rsidR="00534D9A" w:rsidRDefault="003243B2">
            <w:pPr>
              <w:pStyle w:val="P68B1DB1-TableParagraph17"/>
              <w:numPr>
                <w:ilvl w:val="0"/>
                <w:numId w:val="139"/>
              </w:numPr>
              <w:spacing w:before="108"/>
            </w:pPr>
            <w:r>
              <w:t>Ġ</w:t>
            </w:r>
            <w:r>
              <w:t xml:space="preserve">estjoni tal-ġid </w:t>
            </w:r>
          </w:p>
          <w:p w14:paraId="7FE1BFFB" w14:textId="77777777" w:rsidR="00534D9A" w:rsidRDefault="003243B2">
            <w:pPr>
              <w:pStyle w:val="P68B1DB1-TableParagraph17"/>
              <w:numPr>
                <w:ilvl w:val="0"/>
                <w:numId w:val="139"/>
              </w:numPr>
              <w:spacing w:before="108"/>
            </w:pPr>
            <w:r>
              <w:t>Aġenzija tal-proprjetà immobbli</w:t>
            </w:r>
          </w:p>
          <w:p w14:paraId="7FE1BFFC" w14:textId="77777777" w:rsidR="00534D9A" w:rsidRDefault="003243B2">
            <w:pPr>
              <w:pStyle w:val="P68B1DB1-TableParagraph17"/>
              <w:numPr>
                <w:ilvl w:val="0"/>
                <w:numId w:val="139"/>
              </w:numPr>
              <w:spacing w:before="108"/>
            </w:pPr>
            <w:r>
              <w:t xml:space="preserve">Kontabilità </w:t>
            </w:r>
          </w:p>
          <w:p w14:paraId="7FE1BFFD" w14:textId="77777777" w:rsidR="00534D9A" w:rsidRDefault="003243B2">
            <w:pPr>
              <w:pStyle w:val="P68B1DB1-TableParagraph17"/>
              <w:numPr>
                <w:ilvl w:val="0"/>
                <w:numId w:val="139"/>
              </w:numPr>
              <w:spacing w:before="108"/>
            </w:pPr>
            <w:r>
              <w:t>Oħrajn</w:t>
            </w:r>
          </w:p>
          <w:p w14:paraId="7FE1BFFE" w14:textId="77777777" w:rsidR="00534D9A" w:rsidRDefault="00534D9A">
            <w:pPr>
              <w:pStyle w:val="TableParagraph"/>
              <w:spacing w:before="108"/>
              <w:ind w:left="85"/>
              <w:rPr>
                <w:rFonts w:ascii="Times New Roman" w:eastAsia="Cambria" w:hAnsi="Times New Roman" w:cs="Times New Roman"/>
                <w:color w:val="000000" w:themeColor="text1"/>
                <w:sz w:val="20"/>
                <w:szCs w:val="20"/>
              </w:rPr>
            </w:pPr>
          </w:p>
        </w:tc>
      </w:tr>
      <w:tr w:rsidR="00534D9A" w14:paraId="7FE1C003" w14:textId="77777777">
        <w:tc>
          <w:tcPr>
            <w:tcW w:w="1191" w:type="dxa"/>
            <w:tcBorders>
              <w:top w:val="single" w:sz="4" w:space="0" w:color="1A171C"/>
              <w:left w:val="nil"/>
              <w:bottom w:val="single" w:sz="4" w:space="0" w:color="1A171C"/>
              <w:right w:val="single" w:sz="4" w:space="0" w:color="1A171C"/>
            </w:tcBorders>
            <w:vAlign w:val="center"/>
          </w:tcPr>
          <w:p w14:paraId="7FE1C000" w14:textId="682F75AB" w:rsidR="00534D9A" w:rsidRDefault="003243B2">
            <w:pPr>
              <w:pStyle w:val="P68B1DB1-TableParagraph17"/>
              <w:spacing w:before="108"/>
              <w:ind w:left="85"/>
            </w:pPr>
            <w:r>
              <w:t>0020</w:t>
            </w:r>
          </w:p>
        </w:tc>
        <w:tc>
          <w:tcPr>
            <w:tcW w:w="7892" w:type="dxa"/>
            <w:tcBorders>
              <w:top w:val="single" w:sz="4" w:space="0" w:color="1A171C"/>
              <w:left w:val="single" w:sz="4" w:space="0" w:color="1A171C"/>
              <w:bottom w:val="single" w:sz="4" w:space="0" w:color="1A171C"/>
              <w:right w:val="nil"/>
            </w:tcBorders>
            <w:vAlign w:val="center"/>
          </w:tcPr>
          <w:p w14:paraId="7FE1C001" w14:textId="77777777" w:rsidR="00534D9A" w:rsidRDefault="003243B2">
            <w:pPr>
              <w:pStyle w:val="P68B1DB1-TableParagraph14"/>
              <w:spacing w:before="108"/>
              <w:ind w:left="85"/>
              <w:jc w:val="both"/>
              <w:rPr>
                <w:bCs/>
              </w:rPr>
            </w:pPr>
            <w:r>
              <w:t>L-ID tal-Linja ta’ Negozju</w:t>
            </w:r>
          </w:p>
          <w:p w14:paraId="7FE1C002" w14:textId="77777777" w:rsidR="00534D9A" w:rsidRDefault="003243B2">
            <w:pPr>
              <w:pStyle w:val="P68B1DB1-TableParagraph17"/>
              <w:spacing w:before="108"/>
              <w:ind w:left="85"/>
            </w:pPr>
            <w:r>
              <w:t>L-ID unika tal-linja ta’ negozju li trid tiġi pprovduta mill-istituzzjoni.</w:t>
            </w:r>
          </w:p>
        </w:tc>
      </w:tr>
      <w:tr w:rsidR="00534D9A" w14:paraId="7FE1C016" w14:textId="77777777">
        <w:tc>
          <w:tcPr>
            <w:tcW w:w="1191" w:type="dxa"/>
            <w:tcBorders>
              <w:top w:val="single" w:sz="4" w:space="0" w:color="1A171C"/>
              <w:left w:val="nil"/>
              <w:bottom w:val="single" w:sz="4" w:space="0" w:color="1A171C"/>
              <w:right w:val="single" w:sz="4" w:space="0" w:color="1A171C"/>
            </w:tcBorders>
            <w:vAlign w:val="center"/>
          </w:tcPr>
          <w:p w14:paraId="7FE1C013" w14:textId="77777777" w:rsidR="00534D9A" w:rsidRDefault="003243B2">
            <w:pPr>
              <w:pStyle w:val="P68B1DB1-TableParagraph17"/>
              <w:spacing w:before="108"/>
              <w:ind w:left="85"/>
            </w:pPr>
            <w:r>
              <w:t>0030</w:t>
            </w:r>
          </w:p>
        </w:tc>
        <w:tc>
          <w:tcPr>
            <w:tcW w:w="7892" w:type="dxa"/>
            <w:tcBorders>
              <w:top w:val="single" w:sz="4" w:space="0" w:color="1A171C"/>
              <w:left w:val="single" w:sz="4" w:space="0" w:color="1A171C"/>
              <w:bottom w:val="single" w:sz="4" w:space="0" w:color="1A171C"/>
              <w:right w:val="nil"/>
            </w:tcBorders>
            <w:vAlign w:val="center"/>
          </w:tcPr>
          <w:p w14:paraId="7FE1C014" w14:textId="77777777" w:rsidR="00534D9A" w:rsidRDefault="003243B2">
            <w:pPr>
              <w:pStyle w:val="P68B1DB1-TableParagraph14"/>
              <w:spacing w:before="108"/>
              <w:ind w:left="85"/>
              <w:jc w:val="both"/>
              <w:rPr>
                <w:bCs/>
              </w:rPr>
            </w:pPr>
            <w:r>
              <w:t>Deskrizzjoni</w:t>
            </w:r>
          </w:p>
          <w:p w14:paraId="7FE1C015" w14:textId="477A2340" w:rsidR="00534D9A" w:rsidRDefault="003243B2">
            <w:pPr>
              <w:pStyle w:val="P68B1DB1-TableParagraph17"/>
              <w:spacing w:before="108"/>
              <w:ind w:left="85"/>
            </w:pPr>
            <w:r>
              <w:t>Deskrizzjoni ta’ linja ta’ negozju.</w:t>
            </w:r>
          </w:p>
        </w:tc>
      </w:tr>
      <w:tr w:rsidR="00534D9A" w14:paraId="7FE1C02E" w14:textId="77777777">
        <w:tc>
          <w:tcPr>
            <w:tcW w:w="1191" w:type="dxa"/>
            <w:tcBorders>
              <w:top w:val="single" w:sz="4" w:space="0" w:color="1A171C"/>
              <w:left w:val="nil"/>
              <w:bottom w:val="single" w:sz="4" w:space="0" w:color="1A171C"/>
              <w:right w:val="single" w:sz="4" w:space="0" w:color="1A171C"/>
            </w:tcBorders>
            <w:vAlign w:val="center"/>
          </w:tcPr>
          <w:p w14:paraId="7FE1C02A" w14:textId="46C1B07D" w:rsidR="00534D9A" w:rsidRDefault="003243B2">
            <w:pPr>
              <w:pStyle w:val="P68B1DB1-TableParagraph17"/>
              <w:spacing w:before="108"/>
              <w:ind w:left="85"/>
            </w:pPr>
            <w:r>
              <w:t>0040</w:t>
            </w:r>
          </w:p>
        </w:tc>
        <w:tc>
          <w:tcPr>
            <w:tcW w:w="7892" w:type="dxa"/>
            <w:tcBorders>
              <w:top w:val="single" w:sz="4" w:space="0" w:color="1A171C"/>
              <w:left w:val="single" w:sz="4" w:space="0" w:color="1A171C"/>
              <w:bottom w:val="single" w:sz="4" w:space="0" w:color="1A171C"/>
              <w:right w:val="nil"/>
            </w:tcBorders>
            <w:vAlign w:val="center"/>
          </w:tcPr>
          <w:p w14:paraId="7FE1C02B" w14:textId="0F9C74D8" w:rsidR="00534D9A" w:rsidRDefault="003243B2">
            <w:pPr>
              <w:pStyle w:val="P68B1DB1-TableParagraph14"/>
              <w:spacing w:before="108"/>
              <w:ind w:left="85"/>
              <w:jc w:val="both"/>
              <w:rPr>
                <w:bCs/>
              </w:rPr>
            </w:pPr>
            <w:r>
              <w:t>Isem l-entità</w:t>
            </w:r>
          </w:p>
          <w:p w14:paraId="7FE1C02D" w14:textId="45109CE8" w:rsidR="00534D9A" w:rsidRDefault="003243B2">
            <w:pPr>
              <w:pStyle w:val="P68B1DB1-TableParagraph17"/>
              <w:spacing w:before="108"/>
              <w:ind w:left="85"/>
            </w:pPr>
            <w:r>
              <w:t>Isem l-Entità kif irrapportat f’Z 01.01 (ORG 1) li tipprovdi l-linja operatorja.</w:t>
            </w:r>
          </w:p>
        </w:tc>
      </w:tr>
      <w:tr w:rsidR="00534D9A" w14:paraId="7FE1C033" w14:textId="77777777">
        <w:tc>
          <w:tcPr>
            <w:tcW w:w="1191" w:type="dxa"/>
            <w:tcBorders>
              <w:top w:val="single" w:sz="4" w:space="0" w:color="1A171C"/>
              <w:left w:val="nil"/>
              <w:bottom w:val="single" w:sz="4" w:space="0" w:color="1A171C"/>
              <w:right w:val="single" w:sz="4" w:space="0" w:color="1A171C"/>
            </w:tcBorders>
            <w:vAlign w:val="center"/>
          </w:tcPr>
          <w:p w14:paraId="7FE1C02F" w14:textId="6C4ACCFA" w:rsidR="00534D9A" w:rsidRDefault="003243B2">
            <w:pPr>
              <w:pStyle w:val="P68B1DB1-TableParagraph17"/>
              <w:spacing w:before="108"/>
              <w:ind w:left="85"/>
            </w:pPr>
            <w:r>
              <w:t>0050</w:t>
            </w:r>
          </w:p>
        </w:tc>
        <w:tc>
          <w:tcPr>
            <w:tcW w:w="7892" w:type="dxa"/>
            <w:tcBorders>
              <w:top w:val="single" w:sz="4" w:space="0" w:color="1A171C"/>
              <w:left w:val="single" w:sz="4" w:space="0" w:color="1A171C"/>
              <w:bottom w:val="single" w:sz="4" w:space="0" w:color="1A171C"/>
              <w:right w:val="nil"/>
            </w:tcBorders>
            <w:vAlign w:val="center"/>
          </w:tcPr>
          <w:p w14:paraId="7FE1C030" w14:textId="77777777" w:rsidR="00534D9A" w:rsidRDefault="003243B2">
            <w:pPr>
              <w:pStyle w:val="P68B1DB1-TableParagraph14"/>
              <w:spacing w:before="108"/>
              <w:ind w:left="85"/>
              <w:jc w:val="both"/>
              <w:rPr>
                <w:bCs/>
              </w:rPr>
            </w:pPr>
            <w:r>
              <w:t xml:space="preserve">Numru </w:t>
            </w:r>
          </w:p>
          <w:p w14:paraId="7FE1C031" w14:textId="77777777" w:rsidR="00534D9A" w:rsidRDefault="003243B2">
            <w:pPr>
              <w:pStyle w:val="P68B1DB1-TableParagraph17"/>
              <w:spacing w:before="108"/>
              <w:ind w:left="85"/>
            </w:pPr>
            <w:r>
              <w:t>Identifikatur uniku tal-entità ġuridika fil-kolonna 0020, kif irrapportat fil-mudell Z 01.01 (ORG 1).</w:t>
            </w:r>
          </w:p>
          <w:p w14:paraId="7FE1C032" w14:textId="299C7D7B" w:rsidR="00534D9A" w:rsidRDefault="003243B2">
            <w:pPr>
              <w:pStyle w:val="P68B1DB1-TableParagraph17"/>
              <w:spacing w:before="108"/>
              <w:ind w:left="85"/>
            </w:pPr>
            <w:r>
              <w:t>L-identifikazzjoni tal-entitajiet għandha ssir b’mod konsistenti fil-mudelli kollha.</w:t>
            </w:r>
          </w:p>
        </w:tc>
      </w:tr>
      <w:tr w:rsidR="00534D9A" w14:paraId="7FE1C03A" w14:textId="77777777">
        <w:tc>
          <w:tcPr>
            <w:tcW w:w="1191" w:type="dxa"/>
            <w:tcBorders>
              <w:top w:val="single" w:sz="4" w:space="0" w:color="1A171C"/>
              <w:left w:val="nil"/>
              <w:bottom w:val="single" w:sz="4" w:space="0" w:color="1A171C"/>
              <w:right w:val="single" w:sz="4" w:space="0" w:color="1A171C"/>
            </w:tcBorders>
            <w:vAlign w:val="center"/>
          </w:tcPr>
          <w:p w14:paraId="7FE1C034" w14:textId="0F108D7B" w:rsidR="00534D9A" w:rsidRDefault="003243B2">
            <w:pPr>
              <w:pStyle w:val="P68B1DB1-TableParagraph17"/>
              <w:spacing w:before="108"/>
              <w:ind w:left="85"/>
            </w:pPr>
            <w:r>
              <w:t>0060</w:t>
            </w:r>
          </w:p>
        </w:tc>
        <w:tc>
          <w:tcPr>
            <w:tcW w:w="7892" w:type="dxa"/>
            <w:tcBorders>
              <w:top w:val="single" w:sz="4" w:space="0" w:color="1A171C"/>
              <w:left w:val="single" w:sz="4" w:space="0" w:color="1A171C"/>
              <w:bottom w:val="single" w:sz="4" w:space="0" w:color="1A171C"/>
              <w:right w:val="nil"/>
            </w:tcBorders>
            <w:vAlign w:val="center"/>
          </w:tcPr>
          <w:p w14:paraId="7FE1C035" w14:textId="77777777" w:rsidR="00534D9A" w:rsidRDefault="003243B2">
            <w:pPr>
              <w:pStyle w:val="P68B1DB1-TableParagraph14"/>
              <w:spacing w:before="108"/>
              <w:ind w:left="85"/>
              <w:jc w:val="both"/>
              <w:rPr>
                <w:bCs/>
              </w:rPr>
            </w:pPr>
            <w:r>
              <w:t>Tip ta’ kodiċi</w:t>
            </w:r>
          </w:p>
          <w:p w14:paraId="4F36B5CB" w14:textId="0A20F8AD" w:rsidR="00534D9A" w:rsidRDefault="003243B2">
            <w:pPr>
              <w:pStyle w:val="P68B1DB1-TableParagraph13"/>
              <w:spacing w:before="108"/>
              <w:ind w:left="85"/>
              <w:jc w:val="both"/>
              <w:rPr>
                <w:bCs/>
              </w:rPr>
            </w:pPr>
            <w:r>
              <w:t>Għandha tintgħażel fost l-għażliet li ġejjin: “Kodiċi LEI”, “kodiċi MFI” jew “Tip ta’ identifikatur, minbarra LEI jew kodiċi MFI”.</w:t>
            </w:r>
          </w:p>
          <w:p w14:paraId="7FE1C039" w14:textId="5BB46896" w:rsidR="00534D9A" w:rsidRDefault="003243B2">
            <w:pPr>
              <w:pStyle w:val="P68B1DB1-TableParagraph13"/>
              <w:spacing w:before="108"/>
              <w:ind w:left="85"/>
              <w:jc w:val="both"/>
              <w:rPr>
                <w:b/>
                <w:bCs/>
              </w:rPr>
            </w:pPr>
            <w:r>
              <w:t xml:space="preserve">L-identifikazzjoni tal-entitajiet għandha ssir b’mod konsistenti fil-mudelli kollha. </w:t>
            </w:r>
          </w:p>
        </w:tc>
      </w:tr>
    </w:tbl>
    <w:p w14:paraId="7FE1C03B" w14:textId="7E256DE6" w:rsidR="00534D9A" w:rsidRDefault="003243B2">
      <w:pPr>
        <w:pStyle w:val="P68B1DB1-Instructionsberschrift25"/>
        <w:numPr>
          <w:ilvl w:val="1"/>
          <w:numId w:val="49"/>
        </w:numPr>
        <w:ind w:left="357" w:hanging="357"/>
      </w:pPr>
      <w:bookmarkStart w:id="124" w:name="_Toc208245011"/>
      <w:r>
        <w:t>Z 07.04 — Immappjar tal-funzjonijiet ekonomik mal-linji ta’ negozju ewlenin (FUNC 4)</w:t>
      </w:r>
      <w:bookmarkEnd w:id="124"/>
    </w:p>
    <w:p w14:paraId="7FE1C03C" w14:textId="77777777" w:rsidR="00534D9A" w:rsidRDefault="003243B2">
      <w:pPr>
        <w:pStyle w:val="P68B1DB1-Instructionsberschrift312"/>
        <w:rPr>
          <w:bCs/>
        </w:rPr>
      </w:pPr>
      <w:r>
        <w:t>Struzzjonijiet li jikkonċernaw pożizzjonijiet speċifiċi</w:t>
      </w:r>
    </w:p>
    <w:p w14:paraId="7FE1C03E" w14:textId="1250AC76" w:rsidR="00534D9A" w:rsidRDefault="003243B2">
      <w:pPr>
        <w:pStyle w:val="P68B1DB1-InstructionsText26"/>
        <w:numPr>
          <w:ilvl w:val="0"/>
          <w:numId w:val="0"/>
        </w:numPr>
        <w:spacing w:before="0"/>
        <w:ind w:left="1800"/>
      </w:pPr>
      <w:r>
        <w:t>Il-kombinament ta’ valuri rapportati fil-kolonni 0010, 0020 u 0040 ta’ dan il-mudell jifforma kodiċi primarju li jrid ikun uniku għal kull ringiela tal-mudell.</w:t>
      </w:r>
    </w:p>
    <w:p w14:paraId="67939923" w14:textId="5A2745A8" w:rsidR="00534D9A" w:rsidRDefault="003243B2">
      <w:pPr>
        <w:pStyle w:val="CommentText"/>
        <w:rPr>
          <w:rFonts w:ascii="Times New Roman" w:hAnsi="Times New Roman" w:cs="Times New Roman"/>
        </w:rPr>
      </w:pPr>
      <w:r>
        <w:rPr>
          <w:rFonts w:ascii="Times New Roman" w:hAnsi="Times New Roman" w:cs="Times New Roman"/>
        </w:rPr>
        <w:lastRenderedPageBreak/>
        <w:t>Funzjonijiet kritiċi biss, kif identifikati fid-DEP</w:t>
      </w:r>
      <w:r>
        <w:rPr>
          <w:i/>
        </w:rPr>
        <w:t xml:space="preserve"> Z 07.01.1 FUNC 1; C0170; Z 07.01.2 FUNC 1 LEN, c0180; Z 07.01.3 FUNC 1 PAY, c0250; Z 07.01.4 FUNC 1 CM, c0210; Z 07.01.5 FUNC 1 WF, c0180 </w:t>
      </w:r>
      <w:r>
        <w:rPr>
          <w:rFonts w:ascii="Times New Roman" w:hAnsi="Times New Roman" w:cs="Times New Roman"/>
        </w:rPr>
        <w:t>s, għandha tiġi rrapportata f’din il-formola.</w:t>
      </w:r>
    </w:p>
    <w:p w14:paraId="7FE1C040" w14:textId="77777777" w:rsidR="00534D9A" w:rsidRDefault="00534D9A">
      <w:pPr>
        <w:pStyle w:val="CommentText"/>
        <w:rPr>
          <w:rFonts w:ascii="Times New Roman" w:hAnsi="Times New Roman" w:cs="Times New Roman"/>
        </w:rPr>
      </w:pPr>
    </w:p>
    <w:tbl>
      <w:tblPr>
        <w:tblW w:w="9083" w:type="dxa"/>
        <w:tblLayout w:type="fixed"/>
        <w:tblCellMar>
          <w:top w:w="57" w:type="dxa"/>
          <w:left w:w="57" w:type="dxa"/>
          <w:bottom w:w="57" w:type="dxa"/>
          <w:right w:w="0" w:type="dxa"/>
        </w:tblCellMar>
        <w:tblLook w:val="01E0" w:firstRow="1" w:lastRow="1" w:firstColumn="1" w:lastColumn="1" w:noHBand="0" w:noVBand="0"/>
      </w:tblPr>
      <w:tblGrid>
        <w:gridCol w:w="1191"/>
        <w:gridCol w:w="7892"/>
      </w:tblGrid>
      <w:tr w:rsidR="00534D9A" w14:paraId="7FE1C043" w14:textId="77777777">
        <w:tc>
          <w:tcPr>
            <w:tcW w:w="1191" w:type="dxa"/>
            <w:tcBorders>
              <w:top w:val="single" w:sz="4" w:space="0" w:color="1A171C"/>
              <w:left w:val="nil"/>
              <w:bottom w:val="single" w:sz="4" w:space="0" w:color="1A171C"/>
              <w:right w:val="single" w:sz="4" w:space="0" w:color="1A171C"/>
            </w:tcBorders>
            <w:shd w:val="clear" w:color="auto" w:fill="E4E5E5"/>
          </w:tcPr>
          <w:p w14:paraId="7FE1C041" w14:textId="77777777" w:rsidR="00534D9A" w:rsidRDefault="003243B2">
            <w:pPr>
              <w:pStyle w:val="P68B1DB1-TableParagraph17"/>
              <w:spacing w:before="108"/>
              <w:ind w:left="85"/>
              <w:jc w:val="both"/>
            </w:pPr>
            <w:r>
              <w:t>Kolonni</w:t>
            </w:r>
          </w:p>
        </w:tc>
        <w:tc>
          <w:tcPr>
            <w:tcW w:w="7892" w:type="dxa"/>
            <w:tcBorders>
              <w:top w:val="single" w:sz="4" w:space="0" w:color="1A171C"/>
              <w:left w:val="single" w:sz="4" w:space="0" w:color="1A171C"/>
              <w:bottom w:val="single" w:sz="4" w:space="0" w:color="1A171C"/>
              <w:right w:val="nil"/>
            </w:tcBorders>
            <w:shd w:val="clear" w:color="auto" w:fill="E4E5E5"/>
          </w:tcPr>
          <w:p w14:paraId="7FE1C042" w14:textId="77777777" w:rsidR="00534D9A" w:rsidRDefault="003243B2">
            <w:pPr>
              <w:pStyle w:val="P68B1DB1-TableParagraph17"/>
              <w:spacing w:before="108"/>
              <w:ind w:left="85" w:right="1"/>
              <w:jc w:val="both"/>
            </w:pPr>
            <w:r>
              <w:t>Struzzjonijiet</w:t>
            </w:r>
          </w:p>
        </w:tc>
      </w:tr>
      <w:tr w:rsidR="00534D9A" w14:paraId="7FE1C046" w14:textId="77777777">
        <w:tc>
          <w:tcPr>
            <w:tcW w:w="1191" w:type="dxa"/>
            <w:tcBorders>
              <w:top w:val="single" w:sz="4" w:space="0" w:color="1A171C"/>
              <w:left w:val="nil"/>
              <w:bottom w:val="single" w:sz="4" w:space="0" w:color="1A171C"/>
              <w:right w:val="single" w:sz="4" w:space="0" w:color="1A171C"/>
            </w:tcBorders>
            <w:vAlign w:val="center"/>
          </w:tcPr>
          <w:p w14:paraId="7FE1C044" w14:textId="77777777" w:rsidR="00534D9A" w:rsidRDefault="003243B2">
            <w:pPr>
              <w:pStyle w:val="P68B1DB1-TableParagraph13"/>
              <w:spacing w:before="108"/>
              <w:ind w:left="85"/>
            </w:pPr>
            <w:r>
              <w:t xml:space="preserve">0010–0020 </w:t>
            </w:r>
          </w:p>
        </w:tc>
        <w:tc>
          <w:tcPr>
            <w:tcW w:w="7892" w:type="dxa"/>
            <w:tcBorders>
              <w:top w:val="single" w:sz="4" w:space="0" w:color="1A171C"/>
              <w:left w:val="single" w:sz="4" w:space="0" w:color="1A171C"/>
              <w:bottom w:val="single" w:sz="4" w:space="0" w:color="1A171C"/>
              <w:right w:val="nil"/>
            </w:tcBorders>
            <w:vAlign w:val="center"/>
          </w:tcPr>
          <w:p w14:paraId="7FE1C045" w14:textId="2FA81A45" w:rsidR="00534D9A" w:rsidRDefault="003243B2">
            <w:pPr>
              <w:pStyle w:val="P68B1DB1-TableParagraph14"/>
              <w:spacing w:before="108"/>
              <w:ind w:left="85"/>
              <w:jc w:val="both"/>
              <w:rPr>
                <w:bCs/>
              </w:rPr>
            </w:pPr>
            <w:r>
              <w:t xml:space="preserve"> Funzjoni kritika</w:t>
            </w:r>
          </w:p>
        </w:tc>
      </w:tr>
      <w:tr w:rsidR="00534D9A" w14:paraId="7FE1C04A" w14:textId="77777777">
        <w:tc>
          <w:tcPr>
            <w:tcW w:w="1191" w:type="dxa"/>
            <w:tcBorders>
              <w:top w:val="single" w:sz="4" w:space="0" w:color="1A171C"/>
              <w:left w:val="nil"/>
              <w:bottom w:val="single" w:sz="4" w:space="0" w:color="1A171C"/>
              <w:right w:val="single" w:sz="4" w:space="0" w:color="1A171C"/>
            </w:tcBorders>
            <w:vAlign w:val="center"/>
          </w:tcPr>
          <w:p w14:paraId="7FE1C047" w14:textId="77777777" w:rsidR="00534D9A" w:rsidRDefault="003243B2">
            <w:pPr>
              <w:pStyle w:val="P68B1DB1-TableParagraph13"/>
              <w:spacing w:before="108"/>
              <w:ind w:left="85"/>
              <w:rPr>
                <w:rFonts w:eastAsia="Cambria"/>
              </w:rPr>
            </w:pPr>
            <w:r>
              <w:t>0010</w:t>
            </w:r>
          </w:p>
        </w:tc>
        <w:tc>
          <w:tcPr>
            <w:tcW w:w="7892" w:type="dxa"/>
            <w:tcBorders>
              <w:top w:val="single" w:sz="4" w:space="0" w:color="1A171C"/>
              <w:left w:val="single" w:sz="4" w:space="0" w:color="1A171C"/>
              <w:bottom w:val="single" w:sz="4" w:space="0" w:color="1A171C"/>
              <w:right w:val="nil"/>
            </w:tcBorders>
            <w:vAlign w:val="center"/>
          </w:tcPr>
          <w:p w14:paraId="7FE1C048" w14:textId="77777777" w:rsidR="00534D9A" w:rsidRDefault="003243B2">
            <w:pPr>
              <w:pStyle w:val="P68B1DB1-TableParagraph14"/>
              <w:spacing w:before="108"/>
              <w:ind w:left="85"/>
              <w:jc w:val="both"/>
              <w:rPr>
                <w:bCs/>
              </w:rPr>
            </w:pPr>
            <w:r>
              <w:t>Pajjiż</w:t>
            </w:r>
          </w:p>
          <w:p w14:paraId="7FE1C049" w14:textId="77777777" w:rsidR="00534D9A" w:rsidRDefault="003243B2">
            <w:pPr>
              <w:pStyle w:val="P68B1DB1-TableParagraph17"/>
              <w:spacing w:before="108"/>
              <w:ind w:left="85"/>
            </w:pPr>
            <w:r>
              <w:t>Pajjiż li l-funzjoni hija kritika għalih, kif irrapportat f’Z 07.01 (FUNC 1)</w:t>
            </w:r>
          </w:p>
        </w:tc>
      </w:tr>
      <w:tr w:rsidR="00534D9A" w14:paraId="7FE1C04E" w14:textId="77777777">
        <w:tc>
          <w:tcPr>
            <w:tcW w:w="1191" w:type="dxa"/>
            <w:tcBorders>
              <w:top w:val="single" w:sz="4" w:space="0" w:color="1A171C"/>
              <w:left w:val="nil"/>
              <w:bottom w:val="single" w:sz="4" w:space="0" w:color="1A171C"/>
              <w:right w:val="single" w:sz="4" w:space="0" w:color="1A171C"/>
            </w:tcBorders>
            <w:vAlign w:val="center"/>
          </w:tcPr>
          <w:p w14:paraId="7FE1C04B" w14:textId="77777777" w:rsidR="00534D9A" w:rsidRDefault="003243B2">
            <w:pPr>
              <w:pStyle w:val="P68B1DB1-TableParagraph13"/>
              <w:spacing w:before="108"/>
              <w:ind w:left="85"/>
              <w:rPr>
                <w:rFonts w:eastAsia="Cambria"/>
              </w:rPr>
            </w:pPr>
            <w:r>
              <w:t>0020</w:t>
            </w:r>
          </w:p>
        </w:tc>
        <w:tc>
          <w:tcPr>
            <w:tcW w:w="7892" w:type="dxa"/>
            <w:tcBorders>
              <w:top w:val="single" w:sz="4" w:space="0" w:color="1A171C"/>
              <w:left w:val="single" w:sz="4" w:space="0" w:color="1A171C"/>
              <w:bottom w:val="single" w:sz="4" w:space="0" w:color="1A171C"/>
              <w:right w:val="nil"/>
            </w:tcBorders>
            <w:vAlign w:val="center"/>
          </w:tcPr>
          <w:p w14:paraId="7FE1C04C" w14:textId="5F04938B" w:rsidR="00534D9A" w:rsidRDefault="003243B2">
            <w:pPr>
              <w:pStyle w:val="P68B1DB1-TableParagraph14"/>
              <w:spacing w:before="108"/>
              <w:ind w:left="85"/>
              <w:jc w:val="both"/>
              <w:rPr>
                <w:bCs/>
              </w:rPr>
            </w:pPr>
            <w:r>
              <w:t>ID</w:t>
            </w:r>
          </w:p>
          <w:p w14:paraId="7FE1C04D" w14:textId="4D9D2A77" w:rsidR="00534D9A" w:rsidRDefault="003243B2">
            <w:pPr>
              <w:pStyle w:val="P68B1DB1-TableParagraph17"/>
              <w:spacing w:before="108"/>
              <w:ind w:left="85"/>
            </w:pPr>
            <w:r>
              <w:t>Id tal-funzjonijiet kritiċi kif imsemmi fil-mudell Z 07.01 (FUNC 1)</w:t>
            </w:r>
          </w:p>
        </w:tc>
      </w:tr>
      <w:tr w:rsidR="00534D9A" w14:paraId="7FE1C051" w14:textId="77777777">
        <w:tc>
          <w:tcPr>
            <w:tcW w:w="1191" w:type="dxa"/>
            <w:tcBorders>
              <w:top w:val="single" w:sz="4" w:space="0" w:color="1A171C"/>
              <w:left w:val="nil"/>
              <w:bottom w:val="single" w:sz="4" w:space="0" w:color="1A171C"/>
              <w:right w:val="single" w:sz="4" w:space="0" w:color="1A171C"/>
            </w:tcBorders>
            <w:vAlign w:val="center"/>
          </w:tcPr>
          <w:p w14:paraId="7FE1C04F" w14:textId="77777777" w:rsidR="00534D9A" w:rsidRDefault="003243B2">
            <w:pPr>
              <w:pStyle w:val="P68B1DB1-TableParagraph13"/>
              <w:spacing w:before="108"/>
              <w:ind w:left="85"/>
            </w:pPr>
            <w:r>
              <w:t xml:space="preserve">0030–0040 </w:t>
            </w:r>
          </w:p>
        </w:tc>
        <w:tc>
          <w:tcPr>
            <w:tcW w:w="7892" w:type="dxa"/>
            <w:tcBorders>
              <w:top w:val="single" w:sz="4" w:space="0" w:color="1A171C"/>
              <w:left w:val="single" w:sz="4" w:space="0" w:color="1A171C"/>
              <w:bottom w:val="single" w:sz="4" w:space="0" w:color="1A171C"/>
              <w:right w:val="nil"/>
            </w:tcBorders>
            <w:vAlign w:val="center"/>
          </w:tcPr>
          <w:p w14:paraId="7FE1C050" w14:textId="2172F172" w:rsidR="00534D9A" w:rsidRDefault="003243B2">
            <w:pPr>
              <w:pStyle w:val="P68B1DB1-TableParagraph14"/>
              <w:spacing w:before="108"/>
              <w:ind w:left="85"/>
              <w:jc w:val="both"/>
              <w:rPr>
                <w:bCs/>
              </w:rPr>
            </w:pPr>
            <w:r>
              <w:t>Linja tan-negozju ewlenija</w:t>
            </w:r>
          </w:p>
        </w:tc>
      </w:tr>
      <w:tr w:rsidR="00534D9A" w14:paraId="7FE1C057" w14:textId="77777777">
        <w:tc>
          <w:tcPr>
            <w:tcW w:w="1191" w:type="dxa"/>
            <w:tcBorders>
              <w:top w:val="single" w:sz="4" w:space="0" w:color="1A171C"/>
              <w:left w:val="nil"/>
              <w:bottom w:val="single" w:sz="4" w:space="0" w:color="1A171C"/>
              <w:right w:val="single" w:sz="4" w:space="0" w:color="1A171C"/>
            </w:tcBorders>
            <w:vAlign w:val="center"/>
          </w:tcPr>
          <w:p w14:paraId="7FE1C052" w14:textId="77777777" w:rsidR="00534D9A" w:rsidRDefault="003243B2">
            <w:pPr>
              <w:pStyle w:val="P68B1DB1-TableParagraph13"/>
              <w:spacing w:before="108"/>
              <w:ind w:left="85"/>
              <w:rPr>
                <w:rFonts w:eastAsia="Cambria"/>
              </w:rPr>
            </w:pPr>
            <w:r>
              <w:t>0030</w:t>
            </w:r>
          </w:p>
        </w:tc>
        <w:tc>
          <w:tcPr>
            <w:tcW w:w="7892" w:type="dxa"/>
            <w:tcBorders>
              <w:top w:val="single" w:sz="4" w:space="0" w:color="1A171C"/>
              <w:left w:val="single" w:sz="4" w:space="0" w:color="1A171C"/>
              <w:bottom w:val="single" w:sz="4" w:space="0" w:color="1A171C"/>
              <w:right w:val="nil"/>
            </w:tcBorders>
            <w:vAlign w:val="center"/>
          </w:tcPr>
          <w:p w14:paraId="7FE1C055" w14:textId="77777777" w:rsidR="00534D9A" w:rsidRDefault="003243B2">
            <w:pPr>
              <w:pStyle w:val="P68B1DB1-TableParagraph14"/>
              <w:spacing w:before="108"/>
              <w:ind w:left="85"/>
              <w:jc w:val="both"/>
              <w:rPr>
                <w:bCs/>
              </w:rPr>
            </w:pPr>
            <w:r>
              <w:t>Linja tan-negozju ewlenija</w:t>
            </w:r>
          </w:p>
          <w:p w14:paraId="7FE1C056" w14:textId="77777777" w:rsidR="00534D9A" w:rsidRDefault="003243B2">
            <w:pPr>
              <w:pStyle w:val="P68B1DB1-TableParagraph17"/>
              <w:spacing w:before="108"/>
              <w:ind w:left="85"/>
            </w:pPr>
            <w:r>
              <w:t>Linji ta’ negozju ewlenin skont l-Artikolu 2(1)(36) u l-Artikolu 2(2) tad-Direttiva 2014/59/UE kif irrapportati fil-mudell Z 07.03 (FUNC 3)</w:t>
            </w:r>
          </w:p>
        </w:tc>
      </w:tr>
      <w:tr w:rsidR="00534D9A" w14:paraId="7FE1C05B" w14:textId="77777777">
        <w:tc>
          <w:tcPr>
            <w:tcW w:w="1191" w:type="dxa"/>
            <w:tcBorders>
              <w:top w:val="single" w:sz="4" w:space="0" w:color="1A171C"/>
              <w:left w:val="nil"/>
              <w:bottom w:val="single" w:sz="4" w:space="0" w:color="1A171C"/>
              <w:right w:val="single" w:sz="4" w:space="0" w:color="1A171C"/>
            </w:tcBorders>
            <w:vAlign w:val="center"/>
          </w:tcPr>
          <w:p w14:paraId="7FE1C058" w14:textId="7310E27F" w:rsidR="00534D9A" w:rsidRDefault="003243B2">
            <w:pPr>
              <w:pStyle w:val="P68B1DB1-TableParagraph13"/>
              <w:spacing w:before="108"/>
              <w:ind w:left="85"/>
              <w:rPr>
                <w:rFonts w:eastAsia="Cambria"/>
              </w:rPr>
            </w:pPr>
            <w:r>
              <w:t>0040</w:t>
            </w:r>
          </w:p>
        </w:tc>
        <w:tc>
          <w:tcPr>
            <w:tcW w:w="7892" w:type="dxa"/>
            <w:tcBorders>
              <w:top w:val="single" w:sz="4" w:space="0" w:color="1A171C"/>
              <w:left w:val="single" w:sz="4" w:space="0" w:color="1A171C"/>
              <w:bottom w:val="single" w:sz="4" w:space="0" w:color="1A171C"/>
              <w:right w:val="nil"/>
            </w:tcBorders>
            <w:vAlign w:val="center"/>
          </w:tcPr>
          <w:p w14:paraId="7FE1C059" w14:textId="77777777" w:rsidR="00534D9A" w:rsidRDefault="003243B2">
            <w:pPr>
              <w:pStyle w:val="P68B1DB1-TableParagraph14"/>
              <w:spacing w:before="108"/>
              <w:ind w:left="85"/>
              <w:jc w:val="both"/>
              <w:rPr>
                <w:bCs/>
              </w:rPr>
            </w:pPr>
            <w:r>
              <w:t>Linja operatorja: L-ID tal-Linja ta’ Negozju</w:t>
            </w:r>
          </w:p>
          <w:p w14:paraId="7FE1C05A" w14:textId="77777777" w:rsidR="00534D9A" w:rsidRDefault="003243B2">
            <w:pPr>
              <w:pStyle w:val="P68B1DB1-TableParagraph17"/>
              <w:spacing w:before="108"/>
              <w:ind w:left="85"/>
            </w:pPr>
            <w:r>
              <w:t>ID unika tal-linja ta’ negozju li trid tiġi provduta mill-istituzzjoni; l-istess ID kif irrapportata fil-mudell Z 07.03 (FUNC 3)</w:t>
            </w:r>
          </w:p>
        </w:tc>
      </w:tr>
    </w:tbl>
    <w:p w14:paraId="7FE1C222" w14:textId="77777777" w:rsidR="00534D9A" w:rsidRDefault="00534D9A">
      <w:pPr>
        <w:rPr>
          <w:rFonts w:ascii="Times New Roman" w:hAnsi="Times New Roman" w:cs="Times New Roman"/>
          <w:b/>
          <w:color w:val="000000" w:themeColor="text1"/>
          <w:sz w:val="20"/>
          <w:szCs w:val="20"/>
          <w:u w:val="single"/>
        </w:rPr>
      </w:pPr>
    </w:p>
    <w:p w14:paraId="7FE1C223" w14:textId="77777777" w:rsidR="00534D9A" w:rsidRDefault="003243B2">
      <w:pPr>
        <w:pStyle w:val="P68B1DB1-Instructionsberschrift244"/>
        <w:numPr>
          <w:ilvl w:val="1"/>
          <w:numId w:val="49"/>
        </w:numPr>
        <w:ind w:left="357" w:hanging="357"/>
      </w:pPr>
      <w:bookmarkStart w:id="125" w:name="_Toc208245012"/>
      <w:r>
        <w:t>Servizzi rilevanti</w:t>
      </w:r>
      <w:bookmarkEnd w:id="125"/>
    </w:p>
    <w:p w14:paraId="7FE1C224" w14:textId="70045BAA" w:rsidR="00534D9A" w:rsidRDefault="003243B2">
      <w:pPr>
        <w:pStyle w:val="P68B1DB1-Instructionsberschrift25"/>
        <w:numPr>
          <w:ilvl w:val="1"/>
          <w:numId w:val="49"/>
        </w:numPr>
        <w:ind w:left="357" w:hanging="357"/>
        <w:rPr>
          <w:rFonts w:eastAsia="Calibri"/>
        </w:rPr>
      </w:pPr>
      <w:bookmarkStart w:id="126" w:name="_Toc208245013"/>
      <w:r>
        <w:t>Z 08.01 — Servizzi rilevanti (SERV 1)</w:t>
      </w:r>
      <w:bookmarkEnd w:id="126"/>
      <w:r>
        <w:t xml:space="preserve"> </w:t>
      </w:r>
    </w:p>
    <w:p w14:paraId="7FE1C225" w14:textId="77777777" w:rsidR="00534D9A" w:rsidRDefault="003243B2">
      <w:pPr>
        <w:pStyle w:val="P68B1DB1-Normal45"/>
        <w:spacing w:line="276" w:lineRule="auto"/>
        <w:jc w:val="both"/>
      </w:pPr>
      <w:r>
        <w:t>II.8.1 Struzzjonijiet ġenerali</w:t>
      </w:r>
    </w:p>
    <w:p w14:paraId="7FE1C226" w14:textId="77777777" w:rsidR="00534D9A" w:rsidRDefault="00534D9A">
      <w:pPr>
        <w:spacing w:line="276" w:lineRule="auto"/>
        <w:jc w:val="both"/>
        <w:rPr>
          <w:rFonts w:ascii="Times New Roman" w:eastAsia="Calibri" w:hAnsi="Times New Roman" w:cs="Times New Roman"/>
          <w:sz w:val="20"/>
        </w:rPr>
      </w:pPr>
    </w:p>
    <w:p w14:paraId="7FE1C228" w14:textId="765604DB" w:rsidR="00534D9A" w:rsidRDefault="003243B2">
      <w:pPr>
        <w:pStyle w:val="P68B1DB1-Instructionsberschrift346"/>
        <w:numPr>
          <w:ilvl w:val="4"/>
          <w:numId w:val="49"/>
        </w:numPr>
        <w:ind w:left="928"/>
        <w:contextualSpacing/>
        <w:jc w:val="both"/>
        <w:rPr>
          <w:color w:val="auto"/>
        </w:rPr>
      </w:pPr>
      <w:r>
        <w:t xml:space="preserve">L-informazzjoni li trid tiġi inkluża f’dan il-mudell għandha tiġi rrapportata darba għall-grupp kollu, telenka s- </w:t>
      </w:r>
      <w:r>
        <w:rPr>
          <w:color w:val="auto"/>
        </w:rPr>
        <w:t xml:space="preserve">servizzi </w:t>
      </w:r>
      <w:r>
        <w:t xml:space="preserve">kritiċi riċevuti minn kwalunkwe entità fil-grupp, </w:t>
      </w:r>
      <w:r>
        <w:rPr>
          <w:color w:val="auto"/>
        </w:rPr>
        <w:t xml:space="preserve">u torbothom mal-funzjonijiet kritiċi </w:t>
      </w:r>
      <w:r>
        <w:t>provduti mill</w:t>
      </w:r>
      <w:r>
        <w:rPr>
          <w:color w:val="auto"/>
        </w:rPr>
        <w:t xml:space="preserve"> </w:t>
      </w:r>
      <w:r>
        <w:t>-grupp.</w:t>
      </w:r>
    </w:p>
    <w:p w14:paraId="7FE1C229" w14:textId="77777777" w:rsidR="00534D9A" w:rsidRDefault="003243B2">
      <w:pPr>
        <w:pStyle w:val="Instructionsberschrift3"/>
        <w:ind w:left="928"/>
        <w:contextualSpacing/>
        <w:jc w:val="both"/>
        <w:rPr>
          <w:rFonts w:eastAsia="MS Mincho"/>
          <w:color w:val="auto"/>
          <w:u w:val="none"/>
        </w:rPr>
      </w:pPr>
      <w:r>
        <w:rPr>
          <w:rFonts w:eastAsia="Calibri"/>
          <w:b/>
          <w:color w:val="auto"/>
          <w:u w:val="none"/>
        </w:rPr>
        <w:t>Servizzi rilevanti</w:t>
      </w:r>
      <w:r>
        <w:rPr>
          <w:rStyle w:val="FootnoteReference"/>
          <w:rFonts w:ascii="Times New Roman" w:eastAsia="Calibri" w:hAnsi="Times New Roman"/>
          <w:color w:val="auto"/>
          <w:sz w:val="20"/>
          <w:szCs w:val="20"/>
          <w:u w:val="none"/>
        </w:rPr>
        <w:footnoteReference w:id="22"/>
      </w:r>
      <w:r>
        <w:rPr>
          <w:rFonts w:eastAsia="Calibri"/>
          <w:color w:val="auto"/>
          <w:u w:val="none"/>
        </w:rPr>
        <w:t>: servizzi kritiċi u essenzjali</w:t>
      </w:r>
    </w:p>
    <w:p w14:paraId="7FE1C22A" w14:textId="77777777" w:rsidR="00534D9A" w:rsidRDefault="003243B2">
      <w:pPr>
        <w:pStyle w:val="P68B1DB1-Instructionsberschrift347"/>
        <w:ind w:left="928"/>
        <w:contextualSpacing/>
        <w:jc w:val="both"/>
        <w:rPr>
          <w:rFonts w:eastAsia="MS Mincho"/>
        </w:rPr>
      </w:pPr>
      <w:r>
        <w:rPr>
          <w:rFonts w:eastAsia="Calibri"/>
          <w:b/>
        </w:rPr>
        <w:t>Servizzi kritiċi</w:t>
      </w:r>
      <w:r>
        <w:footnoteReference w:id="23"/>
      </w:r>
      <w:r>
        <w:t>: servizzi li jitwettqu għal unitajiet jew entitajiet tan-negozju fi grupp (i) li d-diskontinwità tagħhom timpedixxi jew tipprevjeni serjament it-twettiq ta’ funzjoni kritika waħda jew aktar; u (ii) li ma jistgħux jiġu pprovduti minn fornitur ieħor f’perjodu ta’ żmien raġonevoli sa punt komparabbli fir-rigward tal-għan, il-kwalità u l-kost tiegħu.</w:t>
      </w:r>
    </w:p>
    <w:p w14:paraId="7FE1C22B" w14:textId="77777777" w:rsidR="00534D9A" w:rsidRDefault="003243B2">
      <w:pPr>
        <w:pStyle w:val="Instructionsberschrift3"/>
        <w:ind w:left="928"/>
        <w:contextualSpacing/>
        <w:jc w:val="both"/>
        <w:rPr>
          <w:rFonts w:eastAsia="MS Mincho"/>
          <w:color w:val="auto"/>
          <w:u w:val="none"/>
        </w:rPr>
      </w:pPr>
      <w:r>
        <w:rPr>
          <w:b/>
          <w:u w:val="none"/>
        </w:rPr>
        <w:t>Servizzi essenzjali</w:t>
      </w:r>
      <w:r>
        <w:rPr>
          <w:u w:val="none"/>
        </w:rPr>
        <w:t>: Servizzi assoċjati ma’ linji ta’ negozju ewlenin</w:t>
      </w:r>
      <w:r>
        <w:rPr>
          <w:u w:val="none"/>
        </w:rPr>
        <w:footnoteReference w:id="24"/>
      </w:r>
      <w:r>
        <w:rPr>
          <w:u w:val="none"/>
        </w:rPr>
        <w:t xml:space="preserve">, li l-kontinwità tagħhom hija meħtieġa għall-eżekuzzjoni effettiva tal-istrateġija ta’ riżoluzzjoni u kwalunkwe ristrutturar konsegwenti (i) li d-diskontinwità tagħhom timpedixxi jew tipprevjeni serjament il-prestazzjoni ta’ </w:t>
      </w:r>
      <w:r>
        <w:rPr>
          <w:u w:val="none"/>
        </w:rPr>
        <w:lastRenderedPageBreak/>
        <w:t>dawk il-linji tan-negozju ewlenin; u (ii) li ma jistgħux jiġu pprovduti minn fornitur ieħor f’perjodu ta’ żmien raġonevoli sa punt komparabbli fir-rigward tal-għan, il-kwalità u l-kost tiegħu.</w:t>
      </w:r>
      <w:r>
        <w:rPr>
          <w:rStyle w:val="FootnoteReference"/>
          <w:rFonts w:ascii="Times New Roman" w:eastAsia="Calibri" w:hAnsi="Times New Roman"/>
          <w:color w:val="auto"/>
          <w:sz w:val="20"/>
          <w:szCs w:val="20"/>
          <w:u w:val="none"/>
        </w:rPr>
        <w:footnoteReference w:id="25"/>
      </w:r>
    </w:p>
    <w:p w14:paraId="7FE1C22C" w14:textId="5D0544C9" w:rsidR="00534D9A" w:rsidRDefault="003243B2">
      <w:pPr>
        <w:pStyle w:val="P68B1DB1-Instructionsberschrift348"/>
        <w:numPr>
          <w:ilvl w:val="4"/>
          <w:numId w:val="49"/>
        </w:numPr>
        <w:ind w:left="928"/>
        <w:contextualSpacing/>
        <w:jc w:val="both"/>
        <w:rPr>
          <w:color w:val="auto"/>
        </w:rPr>
      </w:pPr>
      <w:r>
        <w:rPr>
          <w:color w:val="auto"/>
        </w:rPr>
        <w:t xml:space="preserve">Skont il-Premessa 8 tar-Regolament Delegat tal-Kummissjoni (UE) 2016/778 relatat ma’ servizzi kritiċi u fih applikat b’analoġija biex ikopri servizzi essenzjali kif definiti hawn fuq, is-servizzi rilevanti għandhom </w:t>
      </w:r>
      <w:r>
        <w:t xml:space="preserve">ifissru l-operazzjonijiet, l-attivitajiet u s-servizzi sottostanti mwettqa għal unità tan-negozju jew entità ġuridika waħda (servizzi ddedikati) jew aktar fi ħdan il-grupp li huma meħtieġa biex jipprovdu funzjoni kritika waħda jew aktar jew </w:t>
      </w:r>
      <w:r>
        <w:rPr>
          <w:color w:val="auto"/>
        </w:rPr>
        <w:t xml:space="preserve">linji tan-negozju ewlenin. </w:t>
      </w:r>
      <w:r>
        <w:t xml:space="preserve">Is-servizzi rilevanti jistgħu jitwettqu </w:t>
      </w:r>
      <w:r>
        <w:rPr>
          <w:color w:val="auto"/>
        </w:rPr>
        <w:t xml:space="preserve">minn unità tan-negozju waħda lil unità tan-negozju oħra tal-istess entità legali (servizz fi ħdan l-entità), </w:t>
      </w:r>
      <w:r>
        <w:t>minn entitajiet fi ħdan il-grupp (servizz</w:t>
      </w:r>
      <w:r>
        <w:rPr>
          <w:color w:val="auto"/>
        </w:rPr>
        <w:t>intragrupp</w:t>
      </w:r>
      <w:r>
        <w:t>)</w:t>
      </w:r>
      <w:r>
        <w:rPr>
          <w:color w:val="auto"/>
        </w:rPr>
        <w:t>,</w:t>
      </w:r>
      <w:r>
        <w:t xml:space="preserve"> jew jiġu esternalizzati lil fornitur este</w:t>
      </w:r>
      <w:r>
        <w:t>rn (servizz estern).</w:t>
      </w:r>
    </w:p>
    <w:p w14:paraId="7FE1C22D" w14:textId="2E2CBD58" w:rsidR="00534D9A" w:rsidRDefault="003243B2">
      <w:pPr>
        <w:pStyle w:val="P68B1DB1-Instructionsberschrift310"/>
        <w:numPr>
          <w:ilvl w:val="4"/>
          <w:numId w:val="49"/>
        </w:numPr>
        <w:ind w:left="928"/>
        <w:contextualSpacing/>
        <w:jc w:val="both"/>
        <w:rPr>
          <w:rFonts w:eastAsia="MS Mincho"/>
          <w:color w:val="auto"/>
        </w:rPr>
      </w:pPr>
      <w:r>
        <w:rPr>
          <w:rFonts w:eastAsia="MS Mincho"/>
        </w:rPr>
        <w:t>Mhux l-oqsma kollha japplikaw għat-tipi kollha ta’ servizzi (enfasizzati fl-istruzzjonijiet hawn taħt). F’dak il-każ, irrapporta “MHUX APPLIKABBLI” fiċ-ċellola rilevanti.</w:t>
      </w:r>
      <w:r>
        <w:t xml:space="preserve"> </w:t>
      </w:r>
    </w:p>
    <w:p w14:paraId="7FE1C22E" w14:textId="0568A925" w:rsidR="00534D9A" w:rsidRDefault="003243B2">
      <w:pPr>
        <w:pStyle w:val="P68B1DB1-Instructionsberschrift346"/>
        <w:numPr>
          <w:ilvl w:val="4"/>
          <w:numId w:val="49"/>
        </w:numPr>
        <w:ind w:left="928"/>
        <w:contextualSpacing/>
        <w:jc w:val="both"/>
        <w:rPr>
          <w:color w:val="auto"/>
        </w:rPr>
      </w:pPr>
      <w:r>
        <w:t xml:space="preserve">Il-kombinament ta’ valuri rapportati fil-kolonni 0010, </w:t>
      </w:r>
      <w:r>
        <w:rPr>
          <w:color w:val="auto"/>
        </w:rPr>
        <w:t>0020, 0040, 0060 u 0130</w:t>
      </w:r>
      <w:r>
        <w:t xml:space="preserve"> ta’ dan il-mudell jifforma kodiċi primarju li jrid ikun uniku għal kull ringiela tal-mudell.</w:t>
      </w:r>
    </w:p>
    <w:p w14:paraId="7FE1C22F" w14:textId="77777777" w:rsidR="00534D9A" w:rsidRDefault="00534D9A">
      <w:pPr>
        <w:pStyle w:val="Instructionsberschrift3"/>
        <w:numPr>
          <w:ilvl w:val="0"/>
          <w:numId w:val="0"/>
        </w:numPr>
        <w:ind w:left="720"/>
      </w:pPr>
    </w:p>
    <w:p w14:paraId="7FE1C230" w14:textId="77777777" w:rsidR="00534D9A" w:rsidRDefault="003243B2">
      <w:pPr>
        <w:pStyle w:val="P68B1DB1-Instructionsberschrift312"/>
        <w:rPr>
          <w:bCs/>
        </w:rPr>
      </w:pPr>
      <w:r>
        <w:t>Struzzjonijiet li jikkonċernaw pożizzjonijiet speċifiċi</w:t>
      </w:r>
    </w:p>
    <w:p w14:paraId="7FE1C23F" w14:textId="77777777" w:rsidR="00534D9A" w:rsidRDefault="00534D9A">
      <w:pPr>
        <w:spacing w:line="276" w:lineRule="auto"/>
        <w:jc w:val="both"/>
        <w:rPr>
          <w:rFonts w:ascii="Times New Roman" w:eastAsia="Calibri" w:hAnsi="Times New Roman" w:cs="Times New Roman"/>
          <w:color w:val="0070C0"/>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938"/>
      </w:tblGrid>
      <w:tr w:rsidR="00534D9A" w14:paraId="7FE1C242" w14:textId="77777777">
        <w:trPr>
          <w:trHeight w:val="808"/>
          <w:tblHeader/>
        </w:trPr>
        <w:tc>
          <w:tcPr>
            <w:tcW w:w="1129" w:type="dxa"/>
            <w:shd w:val="clear" w:color="auto" w:fill="E7E6E6"/>
          </w:tcPr>
          <w:p w14:paraId="7FE1C240" w14:textId="77777777" w:rsidR="00534D9A" w:rsidRDefault="003243B2">
            <w:pPr>
              <w:pStyle w:val="P68B1DB1-Normal49"/>
              <w:spacing w:before="120" w:after="120" w:line="276" w:lineRule="auto"/>
            </w:pPr>
            <w:r>
              <w:t>Kolonni</w:t>
            </w:r>
          </w:p>
        </w:tc>
        <w:tc>
          <w:tcPr>
            <w:tcW w:w="7938" w:type="dxa"/>
            <w:shd w:val="clear" w:color="auto" w:fill="E7E6E6"/>
          </w:tcPr>
          <w:p w14:paraId="7FE1C241" w14:textId="77777777" w:rsidR="00534D9A" w:rsidRDefault="003243B2">
            <w:pPr>
              <w:pStyle w:val="P68B1DB1-Normal49"/>
              <w:spacing w:before="120" w:after="120" w:line="276" w:lineRule="auto"/>
            </w:pPr>
            <w:r>
              <w:t>Struzzjonijiet</w:t>
            </w:r>
          </w:p>
        </w:tc>
      </w:tr>
      <w:tr w:rsidR="00534D9A" w14:paraId="7FE1C247" w14:textId="77777777">
        <w:trPr>
          <w:trHeight w:val="450"/>
        </w:trPr>
        <w:tc>
          <w:tcPr>
            <w:tcW w:w="1129" w:type="dxa"/>
            <w:shd w:val="clear" w:color="auto" w:fill="FFFFFF" w:themeFill="background1"/>
          </w:tcPr>
          <w:p w14:paraId="7FE1C243" w14:textId="77777777" w:rsidR="00534D9A" w:rsidRDefault="003243B2">
            <w:pPr>
              <w:pStyle w:val="P68B1DB1-Normal50"/>
              <w:spacing w:before="120" w:after="120" w:line="276" w:lineRule="auto"/>
            </w:pPr>
            <w:r>
              <w:t>0005</w:t>
            </w:r>
          </w:p>
        </w:tc>
        <w:tc>
          <w:tcPr>
            <w:tcW w:w="7938" w:type="dxa"/>
            <w:shd w:val="clear" w:color="auto" w:fill="FFFFFF" w:themeFill="background1"/>
          </w:tcPr>
          <w:p w14:paraId="7FE1C244" w14:textId="77777777" w:rsidR="00534D9A" w:rsidRDefault="003243B2">
            <w:pPr>
              <w:pStyle w:val="P68B1DB1-Normal49"/>
              <w:spacing w:before="120" w:after="120" w:line="276" w:lineRule="auto"/>
              <w:rPr>
                <w:bCs/>
              </w:rPr>
            </w:pPr>
            <w:r>
              <w:t>Identifikatur tas-Servizz</w:t>
            </w:r>
          </w:p>
          <w:p w14:paraId="7FE1C245" w14:textId="77777777" w:rsidR="00534D9A" w:rsidRDefault="003243B2">
            <w:pPr>
              <w:pStyle w:val="P68B1DB1-Normal50"/>
              <w:spacing w:before="120" w:after="120" w:line="276" w:lineRule="auto"/>
              <w:rPr>
                <w:iCs/>
              </w:rPr>
            </w:pPr>
            <w:r>
              <w:t>L-identifikatur tas-servizz jirreferi għas-servizz irrapportat taħt c0020.</w:t>
            </w:r>
          </w:p>
          <w:p w14:paraId="7FE1C246" w14:textId="77777777" w:rsidR="00534D9A" w:rsidRDefault="003243B2">
            <w:pPr>
              <w:pStyle w:val="P68B1DB1-Normal51"/>
              <w:spacing w:before="120" w:after="120" w:line="276" w:lineRule="auto"/>
            </w:pPr>
            <w:r>
              <w:t>Illustrazzjoni jew test liberu</w:t>
            </w:r>
          </w:p>
        </w:tc>
      </w:tr>
      <w:tr w:rsidR="00534D9A" w14:paraId="7FE1C28C" w14:textId="77777777">
        <w:trPr>
          <w:trHeight w:val="463"/>
        </w:trPr>
        <w:tc>
          <w:tcPr>
            <w:tcW w:w="1129" w:type="dxa"/>
            <w:shd w:val="clear" w:color="auto" w:fill="FFFFFF" w:themeFill="background1"/>
          </w:tcPr>
          <w:p w14:paraId="7FE1C248" w14:textId="77777777" w:rsidR="00534D9A" w:rsidRDefault="003243B2">
            <w:pPr>
              <w:pStyle w:val="P68B1DB1-Normal50"/>
              <w:spacing w:before="120" w:after="120" w:line="276" w:lineRule="auto"/>
            </w:pPr>
            <w:r>
              <w:t>0010</w:t>
            </w:r>
          </w:p>
        </w:tc>
        <w:tc>
          <w:tcPr>
            <w:tcW w:w="7938" w:type="dxa"/>
            <w:shd w:val="clear" w:color="auto" w:fill="FFFFFF" w:themeFill="background1"/>
          </w:tcPr>
          <w:p w14:paraId="7FE1C249" w14:textId="77777777" w:rsidR="00534D9A" w:rsidRDefault="003243B2">
            <w:pPr>
              <w:pStyle w:val="P68B1DB1-Normal49"/>
              <w:autoSpaceDE w:val="0"/>
              <w:autoSpaceDN w:val="0"/>
              <w:adjustRightInd w:val="0"/>
              <w:rPr>
                <w:rFonts w:eastAsia="MS Mincho"/>
                <w:bCs/>
              </w:rPr>
            </w:pPr>
            <w:r>
              <w:t>It-tip ta’ servizz</w:t>
            </w:r>
          </w:p>
          <w:p w14:paraId="7FE1C24A" w14:textId="77777777" w:rsidR="00534D9A" w:rsidRDefault="003243B2">
            <w:pPr>
              <w:pStyle w:val="P68B1DB1-Normal52"/>
              <w:autoSpaceDE w:val="0"/>
              <w:autoSpaceDN w:val="0"/>
              <w:adjustRightInd w:val="0"/>
            </w:pPr>
            <w:r>
              <w:t xml:space="preserve">It-tip ta’servizz għandu jkun wieħed mit-tipi ta’ servizzi elenkati hawn taħt. </w:t>
            </w:r>
          </w:p>
          <w:p w14:paraId="7FE1C24B" w14:textId="77777777" w:rsidR="00534D9A" w:rsidRDefault="003243B2">
            <w:pPr>
              <w:pStyle w:val="P68B1DB1-Normal50"/>
              <w:spacing w:before="120" w:after="120" w:line="276" w:lineRule="auto"/>
            </w:pPr>
            <w:r>
              <w:t xml:space="preserve">Meta jkun possibbli, għandha tiġi rrapportata s-sottokategorija (identifikazzjoni b’żewġ figuri). Meta ma tkun teżisti l-ebda sottokategorija jew l-ebda sottokategorija ma tiddeskrivi kif suppost is-servizz provdut mill-istituzzjoni, għandha tiġi rrapportata l-kategorija prinċipali (identifikazzjoni b’ċifra waħda). </w:t>
            </w:r>
          </w:p>
          <w:p w14:paraId="5B37DFFD" w14:textId="2C2BBAE4" w:rsidR="00534D9A" w:rsidRDefault="003243B2">
            <w:pPr>
              <w:pStyle w:val="P68B1DB1-Normal52"/>
            </w:pPr>
            <w:r>
              <w:t xml:space="preserve">L-appoġġ għar-riżorsi umani </w:t>
            </w:r>
          </w:p>
          <w:p w14:paraId="7DD533D5" w14:textId="73E47A6F" w:rsidR="00534D9A" w:rsidRDefault="003243B2">
            <w:pPr>
              <w:pStyle w:val="P68B1DB1-ListParagraph53"/>
              <w:numPr>
                <w:ilvl w:val="0"/>
                <w:numId w:val="288"/>
              </w:numPr>
              <w:autoSpaceDE w:val="0"/>
              <w:autoSpaceDN w:val="0"/>
              <w:adjustRightInd w:val="0"/>
              <w:ind w:left="1165"/>
            </w:pPr>
            <w:r>
              <w:t xml:space="preserve">l-amministrazzjoni tal-persunal, inkluża l-amministrazzjoni tal-kuntratti u tar-remunerazzjoni </w:t>
            </w:r>
          </w:p>
          <w:p w14:paraId="43AF548E" w14:textId="675245F6" w:rsidR="00534D9A" w:rsidRDefault="003243B2">
            <w:pPr>
              <w:pStyle w:val="P68B1DB1-ListParagraph53"/>
              <w:numPr>
                <w:ilvl w:val="0"/>
                <w:numId w:val="288"/>
              </w:numPr>
              <w:autoSpaceDE w:val="0"/>
              <w:autoSpaceDN w:val="0"/>
              <w:adjustRightInd w:val="0"/>
              <w:ind w:left="1165"/>
            </w:pPr>
            <w:r>
              <w:t>il-komunikazzjoni interna</w:t>
            </w:r>
          </w:p>
          <w:p w14:paraId="7FE1C250" w14:textId="1F903A05" w:rsidR="00534D9A" w:rsidRDefault="003243B2">
            <w:pPr>
              <w:pStyle w:val="P68B1DB1-ListParagraph53"/>
              <w:numPr>
                <w:ilvl w:val="0"/>
                <w:numId w:val="288"/>
              </w:numPr>
              <w:autoSpaceDE w:val="0"/>
              <w:autoSpaceDN w:val="0"/>
              <w:adjustRightInd w:val="0"/>
              <w:ind w:left="1165"/>
            </w:pPr>
            <w:r>
              <w:t>tip ieħor ta’ servizz ta’ appoġġ għar-riżorsi umani</w:t>
            </w:r>
          </w:p>
          <w:p w14:paraId="7FE1C251" w14:textId="77777777" w:rsidR="00534D9A" w:rsidRDefault="00534D9A">
            <w:pPr>
              <w:autoSpaceDE w:val="0"/>
              <w:autoSpaceDN w:val="0"/>
              <w:adjustRightInd w:val="0"/>
              <w:ind w:left="708"/>
              <w:rPr>
                <w:rFonts w:ascii="Times New Roman" w:eastAsia="MS Mincho" w:hAnsi="Times New Roman" w:cs="Times New Roman"/>
                <w:sz w:val="20"/>
                <w:szCs w:val="20"/>
              </w:rPr>
            </w:pPr>
          </w:p>
          <w:p w14:paraId="7FE1C252" w14:textId="7A6979E5" w:rsidR="00534D9A" w:rsidRDefault="003243B2">
            <w:pPr>
              <w:pStyle w:val="P68B1DB1-Normal52"/>
              <w:autoSpaceDE w:val="0"/>
              <w:autoSpaceDN w:val="0"/>
              <w:adjustRightInd w:val="0"/>
            </w:pPr>
            <w:r>
              <w:t xml:space="preserve"> Teknoloġija tal-informazzjoni </w:t>
            </w:r>
          </w:p>
          <w:p w14:paraId="7FE1C253" w14:textId="3B762F9E" w:rsidR="00534D9A" w:rsidRDefault="003243B2">
            <w:pPr>
              <w:pStyle w:val="P68B1DB1-ListParagraph53"/>
              <w:numPr>
                <w:ilvl w:val="1"/>
                <w:numId w:val="290"/>
              </w:numPr>
              <w:autoSpaceDE w:val="0"/>
              <w:autoSpaceDN w:val="0"/>
              <w:adjustRightInd w:val="0"/>
              <w:ind w:left="1449"/>
            </w:pPr>
            <w:r>
              <w:t xml:space="preserve">L-hardware tal-IT u tal-komunikazzjoni </w:t>
            </w:r>
          </w:p>
          <w:p w14:paraId="7FE1C254" w14:textId="400D89C1" w:rsidR="00534D9A" w:rsidRDefault="003243B2">
            <w:pPr>
              <w:pStyle w:val="P68B1DB1-ListParagraph53"/>
              <w:numPr>
                <w:ilvl w:val="1"/>
                <w:numId w:val="290"/>
              </w:numPr>
              <w:autoSpaceDE w:val="0"/>
              <w:autoSpaceDN w:val="0"/>
              <w:adjustRightInd w:val="0"/>
              <w:ind w:left="1449"/>
            </w:pPr>
            <w:r>
              <w:t xml:space="preserve">il-ħżin u l-ipproċessar tad-data </w:t>
            </w:r>
          </w:p>
          <w:p w14:paraId="7FE1C255" w14:textId="626A8448" w:rsidR="00534D9A" w:rsidRDefault="003243B2">
            <w:pPr>
              <w:pStyle w:val="P68B1DB1-ListParagraph53"/>
              <w:numPr>
                <w:ilvl w:val="1"/>
                <w:numId w:val="290"/>
              </w:numPr>
              <w:autoSpaceDE w:val="0"/>
              <w:autoSpaceDN w:val="0"/>
              <w:adjustRightInd w:val="0"/>
              <w:ind w:left="1449"/>
            </w:pPr>
            <w:r>
              <w:t xml:space="preserve">infrastruttura oħra tal-IT, stazzjonijiet tax-xogħol, telekomunikazzjonijiet, servers, ċentri tad-data u servizzi relatati </w:t>
            </w:r>
          </w:p>
          <w:p w14:paraId="7FE1C256" w14:textId="2B61AFD3" w:rsidR="00534D9A" w:rsidRDefault="003243B2">
            <w:pPr>
              <w:pStyle w:val="P68B1DB1-ListParagraph53"/>
              <w:numPr>
                <w:ilvl w:val="1"/>
                <w:numId w:val="290"/>
              </w:numPr>
              <w:autoSpaceDE w:val="0"/>
              <w:autoSpaceDN w:val="0"/>
              <w:adjustRightInd w:val="0"/>
              <w:ind w:left="1449"/>
            </w:pPr>
            <w:r>
              <w:t xml:space="preserve">l-amministrazzjoni ta’ liċenzji tas-software u applikazzjoni tas-software </w:t>
            </w:r>
          </w:p>
          <w:p w14:paraId="7FE1C257" w14:textId="5DA2FA2E" w:rsidR="00534D9A" w:rsidRDefault="003243B2">
            <w:pPr>
              <w:pStyle w:val="P68B1DB1-ListParagraph53"/>
              <w:numPr>
                <w:ilvl w:val="1"/>
                <w:numId w:val="290"/>
              </w:numPr>
              <w:autoSpaceDE w:val="0"/>
              <w:autoSpaceDN w:val="0"/>
              <w:adjustRightInd w:val="0"/>
              <w:ind w:left="1449"/>
            </w:pPr>
            <w:r>
              <w:t xml:space="preserve">l-aċċess għall-fornituri esterni, b’mod partikolari fornituri tad-data u tal-infrastruttura </w:t>
            </w:r>
          </w:p>
          <w:p w14:paraId="7FE1C258" w14:textId="5064B052" w:rsidR="00534D9A" w:rsidRDefault="003243B2">
            <w:pPr>
              <w:pStyle w:val="P68B1DB1-ListParagraph53"/>
              <w:numPr>
                <w:ilvl w:val="1"/>
                <w:numId w:val="290"/>
              </w:numPr>
              <w:autoSpaceDE w:val="0"/>
              <w:autoSpaceDN w:val="0"/>
              <w:adjustRightInd w:val="0"/>
              <w:ind w:left="1449"/>
            </w:pPr>
            <w:r>
              <w:lastRenderedPageBreak/>
              <w:t xml:space="preserve">il-manutenzjoni tal-applikazzjonijiet, inklużi l-manutenzjoni tal-applikazzjoni tas-software u l-flussi tad-data relatati </w:t>
            </w:r>
          </w:p>
          <w:p w14:paraId="7FE1C259" w14:textId="41CD0C0F" w:rsidR="00534D9A" w:rsidRDefault="003243B2">
            <w:pPr>
              <w:pStyle w:val="P68B1DB1-ListParagraph53"/>
              <w:numPr>
                <w:ilvl w:val="1"/>
                <w:numId w:val="290"/>
              </w:numPr>
              <w:autoSpaceDE w:val="0"/>
              <w:autoSpaceDN w:val="0"/>
              <w:adjustRightInd w:val="0"/>
              <w:ind w:left="1449"/>
            </w:pPr>
            <w:r>
              <w:t xml:space="preserve">l-iġġenerar tar-rapporti, il-flussi interni tal-informazzjoni u l-bażijiet tad-data </w:t>
            </w:r>
          </w:p>
          <w:p w14:paraId="7FE1C25A" w14:textId="72548638" w:rsidR="00534D9A" w:rsidRDefault="003243B2">
            <w:pPr>
              <w:pStyle w:val="P68B1DB1-ListParagraph53"/>
              <w:numPr>
                <w:ilvl w:val="1"/>
                <w:numId w:val="290"/>
              </w:numPr>
              <w:autoSpaceDE w:val="0"/>
              <w:autoSpaceDN w:val="0"/>
              <w:adjustRightInd w:val="0"/>
              <w:ind w:left="1449"/>
            </w:pPr>
            <w:r>
              <w:t xml:space="preserve">l-appoġġ għall-utenti </w:t>
            </w:r>
          </w:p>
          <w:p w14:paraId="7FE1C25B" w14:textId="2FAE0C54" w:rsidR="00534D9A" w:rsidRDefault="003243B2">
            <w:pPr>
              <w:pStyle w:val="P68B1DB1-ListParagraph53"/>
              <w:numPr>
                <w:ilvl w:val="1"/>
                <w:numId w:val="290"/>
              </w:numPr>
              <w:autoSpaceDE w:val="0"/>
              <w:autoSpaceDN w:val="0"/>
              <w:adjustRightInd w:val="0"/>
              <w:ind w:left="1449"/>
            </w:pPr>
            <w:r>
              <w:t>l-irkupru minn emerġenzi u diżastri</w:t>
            </w:r>
          </w:p>
          <w:p w14:paraId="7FE1C25C" w14:textId="431BC144" w:rsidR="00534D9A" w:rsidRDefault="003243B2">
            <w:pPr>
              <w:pStyle w:val="P68B1DB1-ListParagraph53"/>
              <w:numPr>
                <w:ilvl w:val="1"/>
                <w:numId w:val="290"/>
              </w:numPr>
              <w:autoSpaceDE w:val="0"/>
              <w:autoSpaceDN w:val="0"/>
              <w:adjustRightInd w:val="0"/>
              <w:ind w:left="1449"/>
            </w:pPr>
            <w:r>
              <w:t>tip ieħor ta’ servizz tat-teknoloġija tal-informazzjoni</w:t>
            </w:r>
          </w:p>
          <w:p w14:paraId="7FE1C25D" w14:textId="77777777" w:rsidR="00534D9A" w:rsidRDefault="00534D9A">
            <w:pPr>
              <w:autoSpaceDE w:val="0"/>
              <w:autoSpaceDN w:val="0"/>
              <w:adjustRightInd w:val="0"/>
              <w:rPr>
                <w:rFonts w:ascii="Times New Roman" w:eastAsia="MS Mincho" w:hAnsi="Times New Roman" w:cs="Times New Roman"/>
                <w:sz w:val="20"/>
                <w:szCs w:val="20"/>
              </w:rPr>
            </w:pPr>
          </w:p>
          <w:p w14:paraId="7FE1C25E" w14:textId="1AD223E0" w:rsidR="00534D9A" w:rsidRDefault="003243B2">
            <w:pPr>
              <w:pStyle w:val="P68B1DB1-Normal52"/>
              <w:autoSpaceDE w:val="0"/>
              <w:autoSpaceDN w:val="0"/>
              <w:adjustRightInd w:val="0"/>
            </w:pPr>
            <w:r>
              <w:t xml:space="preserve">L-ipproċessar tat-tranżazzjonijiet, inklużi kwistjonijiet ġuridiċi dwar it-tranżazzjonijiet, b’mod partikolari l-ħasil tal-flus. </w:t>
            </w:r>
          </w:p>
          <w:p w14:paraId="7FE1C25F" w14:textId="77777777" w:rsidR="00534D9A" w:rsidRDefault="00534D9A">
            <w:pPr>
              <w:autoSpaceDE w:val="0"/>
              <w:autoSpaceDN w:val="0"/>
              <w:adjustRightInd w:val="0"/>
              <w:rPr>
                <w:rFonts w:ascii="Times New Roman" w:eastAsia="MS Mincho" w:hAnsi="Times New Roman" w:cs="Times New Roman"/>
                <w:sz w:val="20"/>
                <w:szCs w:val="20"/>
              </w:rPr>
            </w:pPr>
          </w:p>
          <w:p w14:paraId="7FE1C260" w14:textId="0AB6F782" w:rsidR="00534D9A" w:rsidRDefault="003243B2">
            <w:pPr>
              <w:pStyle w:val="P68B1DB1-Normal52"/>
              <w:autoSpaceDE w:val="0"/>
              <w:autoSpaceDN w:val="0"/>
              <w:adjustRightInd w:val="0"/>
            </w:pPr>
            <w:bookmarkStart w:id="127" w:name="_Hlk191374143"/>
            <w:r>
              <w:t>Il-forniment jew il-ġestjoni ta’ faċilitajiet u proprjetà immobbli u l-faċilitajiet assoċjati</w:t>
            </w:r>
            <w:bookmarkEnd w:id="127"/>
            <w:r>
              <w:t xml:space="preserve"> </w:t>
            </w:r>
          </w:p>
          <w:p w14:paraId="7FE1C261" w14:textId="62999FEF" w:rsidR="00534D9A" w:rsidRDefault="003243B2">
            <w:pPr>
              <w:pStyle w:val="P68B1DB1-ListParagraph53"/>
              <w:numPr>
                <w:ilvl w:val="0"/>
                <w:numId w:val="291"/>
              </w:numPr>
              <w:autoSpaceDE w:val="0"/>
              <w:autoSpaceDN w:val="0"/>
              <w:adjustRightInd w:val="0"/>
            </w:pPr>
            <w:r>
              <w:t xml:space="preserve">bini tal-uffiċċji u mħażen </w:t>
            </w:r>
          </w:p>
          <w:p w14:paraId="7FE1C262" w14:textId="3A997023" w:rsidR="00534D9A" w:rsidRDefault="003243B2">
            <w:pPr>
              <w:pStyle w:val="P68B1DB1-ListParagraph53"/>
              <w:numPr>
                <w:ilvl w:val="0"/>
                <w:numId w:val="291"/>
              </w:numPr>
              <w:autoSpaceDE w:val="0"/>
              <w:autoSpaceDN w:val="0"/>
              <w:adjustRightInd w:val="0"/>
            </w:pPr>
            <w:r>
              <w:t>ġ</w:t>
            </w:r>
            <w:r>
              <w:t xml:space="preserve">estjoni tal-faċilitajiet interni </w:t>
            </w:r>
          </w:p>
          <w:p w14:paraId="7FE1C263" w14:textId="2B6FC02A" w:rsidR="00534D9A" w:rsidRDefault="003243B2">
            <w:pPr>
              <w:pStyle w:val="P68B1DB1-ListParagraph53"/>
              <w:numPr>
                <w:ilvl w:val="0"/>
                <w:numId w:val="291"/>
              </w:numPr>
              <w:autoSpaceDE w:val="0"/>
              <w:autoSpaceDN w:val="0"/>
              <w:adjustRightInd w:val="0"/>
            </w:pPr>
            <w:r>
              <w:t xml:space="preserve">is-sigurtà u l-kontroll tal-aċċess </w:t>
            </w:r>
          </w:p>
          <w:p w14:paraId="7FE1C264" w14:textId="792BCFBD" w:rsidR="00534D9A" w:rsidRDefault="003243B2">
            <w:pPr>
              <w:pStyle w:val="P68B1DB1-ListParagraph53"/>
              <w:numPr>
                <w:ilvl w:val="0"/>
                <w:numId w:val="291"/>
              </w:numPr>
              <w:autoSpaceDE w:val="0"/>
              <w:autoSpaceDN w:val="0"/>
              <w:adjustRightInd w:val="0"/>
            </w:pPr>
            <w:r>
              <w:t>ġ</w:t>
            </w:r>
            <w:r>
              <w:t xml:space="preserve">estjoni tal-portafoll tal-proprjetà immobbli </w:t>
            </w:r>
          </w:p>
          <w:p w14:paraId="7FE1C265" w14:textId="52ACD32B" w:rsidR="00534D9A" w:rsidRDefault="003243B2">
            <w:pPr>
              <w:pStyle w:val="P68B1DB1-ListParagraph53"/>
              <w:numPr>
                <w:ilvl w:val="0"/>
                <w:numId w:val="291"/>
              </w:numPr>
              <w:autoSpaceDE w:val="0"/>
              <w:autoSpaceDN w:val="0"/>
              <w:adjustRightInd w:val="0"/>
            </w:pPr>
            <w:r>
              <w:t>proprjetà immobbli oħra u forniment jew ġestjoni ta’ faċilitajiet u tip ta’ servizz ta’ faċilitajiet assoċjati</w:t>
            </w:r>
          </w:p>
          <w:p w14:paraId="7FE1C266" w14:textId="77777777" w:rsidR="00534D9A" w:rsidRDefault="00534D9A">
            <w:pPr>
              <w:autoSpaceDE w:val="0"/>
              <w:autoSpaceDN w:val="0"/>
              <w:adjustRightInd w:val="0"/>
              <w:rPr>
                <w:rFonts w:ascii="Times New Roman" w:eastAsia="MS Mincho" w:hAnsi="Times New Roman" w:cs="Times New Roman"/>
                <w:sz w:val="20"/>
                <w:szCs w:val="20"/>
              </w:rPr>
            </w:pPr>
          </w:p>
          <w:p w14:paraId="7FE1C267" w14:textId="4B2E0CD6" w:rsidR="00534D9A" w:rsidRDefault="003243B2">
            <w:pPr>
              <w:pStyle w:val="P68B1DB1-Normal52"/>
              <w:autoSpaceDE w:val="0"/>
              <w:autoSpaceDN w:val="0"/>
              <w:adjustRightInd w:val="0"/>
            </w:pPr>
            <w:r>
              <w:t xml:space="preserve">Servizzi legali u funzjonijiet ta’ konformità: </w:t>
            </w:r>
          </w:p>
          <w:p w14:paraId="7FE1C268" w14:textId="40AF3D04" w:rsidR="00534D9A" w:rsidRDefault="003243B2">
            <w:pPr>
              <w:pStyle w:val="P68B1DB1-ListParagraph53"/>
              <w:numPr>
                <w:ilvl w:val="0"/>
                <w:numId w:val="292"/>
              </w:numPr>
              <w:autoSpaceDE w:val="0"/>
              <w:autoSpaceDN w:val="0"/>
              <w:adjustRightInd w:val="0"/>
            </w:pPr>
            <w:r>
              <w:t xml:space="preserve">appoġġ ġuridiku korporattiv </w:t>
            </w:r>
          </w:p>
          <w:p w14:paraId="7FE1C269" w14:textId="1DC4A30A" w:rsidR="00534D9A" w:rsidRDefault="003243B2">
            <w:pPr>
              <w:pStyle w:val="P68B1DB1-ListParagraph53"/>
              <w:numPr>
                <w:ilvl w:val="0"/>
                <w:numId w:val="292"/>
              </w:numPr>
              <w:autoSpaceDE w:val="0"/>
              <w:autoSpaceDN w:val="0"/>
              <w:adjustRightInd w:val="0"/>
            </w:pPr>
            <w:r>
              <w:t xml:space="preserve">servizzi ġuridiċi tan-negozju u tranżazzjonali </w:t>
            </w:r>
          </w:p>
          <w:p w14:paraId="7FE1C26A" w14:textId="1BAF6F48" w:rsidR="00534D9A" w:rsidRDefault="003243B2">
            <w:pPr>
              <w:pStyle w:val="P68B1DB1-ListParagraph53"/>
              <w:numPr>
                <w:ilvl w:val="0"/>
                <w:numId w:val="292"/>
              </w:numPr>
              <w:autoSpaceDE w:val="0"/>
              <w:autoSpaceDN w:val="0"/>
              <w:adjustRightInd w:val="0"/>
            </w:pPr>
            <w:r>
              <w:t xml:space="preserve">l-appoġġ għall-konformità </w:t>
            </w:r>
          </w:p>
          <w:p w14:paraId="7FE1C26B" w14:textId="344CDCEC" w:rsidR="00534D9A" w:rsidRDefault="003243B2">
            <w:pPr>
              <w:pStyle w:val="P68B1DB1-ListParagraph53"/>
              <w:numPr>
                <w:ilvl w:val="0"/>
                <w:numId w:val="292"/>
              </w:numPr>
              <w:autoSpaceDE w:val="0"/>
              <w:autoSpaceDN w:val="0"/>
              <w:adjustRightInd w:val="0"/>
            </w:pPr>
            <w:r>
              <w:t>servizzi legali oħrajn u tip ta’ servizz ta’ funzjoni ta’ konformità</w:t>
            </w:r>
          </w:p>
          <w:p w14:paraId="7FE1C26C" w14:textId="77777777" w:rsidR="00534D9A" w:rsidRDefault="00534D9A">
            <w:pPr>
              <w:autoSpaceDE w:val="0"/>
              <w:autoSpaceDN w:val="0"/>
              <w:adjustRightInd w:val="0"/>
              <w:ind w:left="708"/>
              <w:rPr>
                <w:rFonts w:ascii="Times New Roman" w:eastAsia="MS Mincho" w:hAnsi="Times New Roman" w:cs="Times New Roman"/>
                <w:sz w:val="20"/>
                <w:szCs w:val="20"/>
              </w:rPr>
            </w:pPr>
          </w:p>
          <w:p w14:paraId="7FE1C26D" w14:textId="03C41351" w:rsidR="00534D9A" w:rsidRDefault="003243B2">
            <w:pPr>
              <w:pStyle w:val="P68B1DB1-Normal52"/>
              <w:autoSpaceDE w:val="0"/>
              <w:autoSpaceDN w:val="0"/>
              <w:adjustRightInd w:val="0"/>
            </w:pPr>
            <w:r>
              <w:t xml:space="preserve">Servizzi relatati mat-Teżor </w:t>
            </w:r>
          </w:p>
          <w:p w14:paraId="7FE1C26E" w14:textId="1425CC24" w:rsidR="00534D9A" w:rsidRDefault="003243B2">
            <w:pPr>
              <w:pStyle w:val="P68B1DB1-ListParagraph53"/>
              <w:numPr>
                <w:ilvl w:val="0"/>
                <w:numId w:val="293"/>
              </w:numPr>
              <w:autoSpaceDE w:val="0"/>
              <w:autoSpaceDN w:val="0"/>
              <w:adjustRightInd w:val="0"/>
            </w:pPr>
            <w:r>
              <w:t xml:space="preserve">koordinazzjoni, amministrazzjoni u ġestjoni tal-attività tat-Teżor </w:t>
            </w:r>
          </w:p>
          <w:p w14:paraId="7FE1C26F" w14:textId="09154006" w:rsidR="00534D9A" w:rsidRDefault="003243B2">
            <w:pPr>
              <w:pStyle w:val="P68B1DB1-ListParagraph53"/>
              <w:numPr>
                <w:ilvl w:val="0"/>
                <w:numId w:val="293"/>
              </w:numPr>
              <w:autoSpaceDE w:val="0"/>
              <w:autoSpaceDN w:val="0"/>
              <w:adjustRightInd w:val="0"/>
            </w:pPr>
            <w:r>
              <w:t xml:space="preserve">koordinazzjoni, amministrazzjoni u ġestjoni tar-rifinanzjament tal-entità, inkluża l-ġestjoni tal-kollateral </w:t>
            </w:r>
          </w:p>
          <w:p w14:paraId="7FE1C270" w14:textId="0F45C979" w:rsidR="00534D9A" w:rsidRDefault="003243B2">
            <w:pPr>
              <w:pStyle w:val="P68B1DB1-ListParagraph53"/>
              <w:numPr>
                <w:ilvl w:val="0"/>
                <w:numId w:val="293"/>
              </w:numPr>
              <w:autoSpaceDE w:val="0"/>
              <w:autoSpaceDN w:val="0"/>
              <w:adjustRightInd w:val="0"/>
            </w:pPr>
            <w:r>
              <w:t xml:space="preserve">funzjoni ta’ rapportar, b’mod partikolari fir-rigward ta’ proporzjonijiet regolatorji ta’ likwidità </w:t>
            </w:r>
          </w:p>
          <w:p w14:paraId="7FE1C271" w14:textId="034EEFA4" w:rsidR="00534D9A" w:rsidRDefault="003243B2">
            <w:pPr>
              <w:pStyle w:val="P68B1DB1-ListParagraph53"/>
              <w:numPr>
                <w:ilvl w:val="0"/>
                <w:numId w:val="293"/>
              </w:numPr>
              <w:autoSpaceDE w:val="0"/>
              <w:autoSpaceDN w:val="0"/>
              <w:adjustRightInd w:val="0"/>
            </w:pPr>
            <w:r>
              <w:t xml:space="preserve">koordinazzjoni, amministrazzjoni u ġestjoni ta’ programmi ta’ finanzjament fuq terminu medju u twil, u r-rifinanzjament ta’ entitajiet fi grupp </w:t>
            </w:r>
          </w:p>
          <w:p w14:paraId="7FE1C272" w14:textId="064C2167" w:rsidR="00534D9A" w:rsidRDefault="003243B2">
            <w:pPr>
              <w:pStyle w:val="P68B1DB1-ListParagraph53"/>
              <w:numPr>
                <w:ilvl w:val="0"/>
                <w:numId w:val="293"/>
              </w:numPr>
              <w:autoSpaceDE w:val="0"/>
              <w:autoSpaceDN w:val="0"/>
              <w:adjustRightInd w:val="0"/>
            </w:pPr>
            <w:r>
              <w:t>il-koordinazzjoni, l-amministrazzjoni u l-ġestjoni ta’ rifinanzjament, b’mod partikolari kwistjonijiet fuq terminu qasir</w:t>
            </w:r>
          </w:p>
          <w:p w14:paraId="7FE1C273" w14:textId="31AA1016" w:rsidR="00534D9A" w:rsidRDefault="003243B2">
            <w:pPr>
              <w:pStyle w:val="P68B1DB1-ListParagraph53"/>
              <w:numPr>
                <w:ilvl w:val="0"/>
                <w:numId w:val="293"/>
              </w:numPr>
              <w:autoSpaceDE w:val="0"/>
              <w:autoSpaceDN w:val="0"/>
              <w:adjustRightInd w:val="0"/>
            </w:pPr>
            <w:r>
              <w:t>tip ieħor ta’ servizz relatat mat-teżor</w:t>
            </w:r>
          </w:p>
          <w:p w14:paraId="7FE1C274" w14:textId="77777777" w:rsidR="00534D9A" w:rsidRDefault="00534D9A">
            <w:pPr>
              <w:autoSpaceDE w:val="0"/>
              <w:autoSpaceDN w:val="0"/>
              <w:adjustRightInd w:val="0"/>
              <w:rPr>
                <w:rFonts w:ascii="Times New Roman" w:eastAsia="MS Mincho" w:hAnsi="Times New Roman" w:cs="Times New Roman"/>
                <w:sz w:val="20"/>
                <w:szCs w:val="20"/>
              </w:rPr>
            </w:pPr>
          </w:p>
          <w:p w14:paraId="7FE1C275" w14:textId="6437F825" w:rsidR="00534D9A" w:rsidRDefault="003243B2">
            <w:pPr>
              <w:pStyle w:val="P68B1DB1-Normal52"/>
              <w:autoSpaceDE w:val="0"/>
              <w:autoSpaceDN w:val="0"/>
              <w:adjustRightInd w:val="0"/>
            </w:pPr>
            <w:r>
              <w:t xml:space="preserve">Il-ġestjoni kummerċjali/tal-assi </w:t>
            </w:r>
          </w:p>
          <w:p w14:paraId="7FE1C276" w14:textId="52377E11" w:rsidR="00534D9A" w:rsidRDefault="003243B2">
            <w:pPr>
              <w:pStyle w:val="P68B1DB1-ListParagraph53"/>
              <w:numPr>
                <w:ilvl w:val="0"/>
                <w:numId w:val="294"/>
              </w:numPr>
              <w:autoSpaceDE w:val="0"/>
              <w:autoSpaceDN w:val="0"/>
              <w:adjustRightInd w:val="0"/>
            </w:pPr>
            <w:r>
              <w:t xml:space="preserve">ipproċessar tal-operazzjonijiet: qbid tal-iskambji kummerċjali, tfassil, twettiq, manutenzjoni tal-prodotti kummerċjali </w:t>
            </w:r>
          </w:p>
          <w:p w14:paraId="7FE1C277" w14:textId="35EC336F" w:rsidR="00534D9A" w:rsidRDefault="003243B2">
            <w:pPr>
              <w:pStyle w:val="P68B1DB1-ListParagraph53"/>
              <w:numPr>
                <w:ilvl w:val="0"/>
                <w:numId w:val="294"/>
              </w:numPr>
              <w:autoSpaceDE w:val="0"/>
              <w:autoSpaceDN w:val="0"/>
              <w:adjustRightInd w:val="0"/>
            </w:pPr>
            <w:r>
              <w:t xml:space="preserve">il-konferma, is-saldu, il-pagament </w:t>
            </w:r>
          </w:p>
          <w:p w14:paraId="7FE1C278" w14:textId="417DFA52" w:rsidR="00534D9A" w:rsidRDefault="003243B2">
            <w:pPr>
              <w:pStyle w:val="P68B1DB1-ListParagraph53"/>
              <w:numPr>
                <w:ilvl w:val="0"/>
                <w:numId w:val="294"/>
              </w:numPr>
              <w:autoSpaceDE w:val="0"/>
              <w:autoSpaceDN w:val="0"/>
              <w:adjustRightInd w:val="0"/>
            </w:pPr>
            <w:r>
              <w:t xml:space="preserve">il-ġestjoni tal-pożizzjoni u tal-kontropartijiet, fir-rigward tar-rapportar tad-data u r-relazzjonijiet mal-kontropartijiet </w:t>
            </w:r>
          </w:p>
          <w:p w14:paraId="7FE1C279" w14:textId="18F90331" w:rsidR="00534D9A" w:rsidRDefault="003243B2">
            <w:pPr>
              <w:pStyle w:val="P68B1DB1-ListParagraph53"/>
              <w:numPr>
                <w:ilvl w:val="0"/>
                <w:numId w:val="294"/>
              </w:numPr>
              <w:autoSpaceDE w:val="0"/>
              <w:autoSpaceDN w:val="0"/>
              <w:adjustRightInd w:val="0"/>
            </w:pPr>
            <w:r>
              <w:t>ġ</w:t>
            </w:r>
            <w:r>
              <w:t xml:space="preserve">estjoni tal-pożizzjoni (riskju u rikonċiljazzjoni) </w:t>
            </w:r>
          </w:p>
          <w:p w14:paraId="7FE1C27A" w14:textId="23FC3BC1" w:rsidR="00534D9A" w:rsidRDefault="003243B2">
            <w:pPr>
              <w:pStyle w:val="P68B1DB1-ListParagraph53"/>
              <w:numPr>
                <w:ilvl w:val="0"/>
                <w:numId w:val="294"/>
              </w:numPr>
              <w:autoSpaceDE w:val="0"/>
              <w:autoSpaceDN w:val="0"/>
              <w:adjustRightInd w:val="0"/>
            </w:pPr>
            <w:r>
              <w:t>tip ieħor ta’ servizz ta’ negozjar/immaniġġjar tal-assi</w:t>
            </w:r>
          </w:p>
          <w:p w14:paraId="7FE1C27B" w14:textId="77777777" w:rsidR="00534D9A" w:rsidRDefault="00534D9A">
            <w:pPr>
              <w:autoSpaceDE w:val="0"/>
              <w:autoSpaceDN w:val="0"/>
              <w:adjustRightInd w:val="0"/>
              <w:ind w:left="708"/>
              <w:rPr>
                <w:rFonts w:ascii="Times New Roman" w:eastAsia="MS Mincho" w:hAnsi="Times New Roman" w:cs="Times New Roman"/>
                <w:sz w:val="20"/>
                <w:szCs w:val="20"/>
              </w:rPr>
            </w:pPr>
          </w:p>
          <w:p w14:paraId="7FE1C27C" w14:textId="1E8D237F" w:rsidR="00534D9A" w:rsidRDefault="003243B2">
            <w:pPr>
              <w:pStyle w:val="P68B1DB1-Normal52"/>
              <w:autoSpaceDE w:val="0"/>
              <w:autoSpaceDN w:val="0"/>
              <w:adjustRightInd w:val="0"/>
            </w:pPr>
            <w:r>
              <w:t>Ġ</w:t>
            </w:r>
            <w:r>
              <w:t xml:space="preserve">estjoni u valwazzjoni tar-riskju </w:t>
            </w:r>
          </w:p>
          <w:p w14:paraId="7FE1C27D" w14:textId="27978472" w:rsidR="00534D9A" w:rsidRDefault="003243B2">
            <w:pPr>
              <w:pStyle w:val="P68B1DB1-ListParagraph53"/>
              <w:numPr>
                <w:ilvl w:val="0"/>
                <w:numId w:val="295"/>
              </w:numPr>
              <w:autoSpaceDE w:val="0"/>
              <w:autoSpaceDN w:val="0"/>
              <w:adjustRightInd w:val="0"/>
            </w:pPr>
            <w:r>
              <w:t>linja ċentrali jew tan-negozju jew ġestjoni tar-riskju relatata mat-tip ta’ riskju</w:t>
            </w:r>
          </w:p>
          <w:p w14:paraId="7FE1C27E" w14:textId="7AC0E3ED" w:rsidR="00534D9A" w:rsidRDefault="003243B2">
            <w:pPr>
              <w:pStyle w:val="P68B1DB1-ListParagraph53"/>
              <w:numPr>
                <w:ilvl w:val="0"/>
                <w:numId w:val="295"/>
              </w:numPr>
              <w:autoSpaceDE w:val="0"/>
              <w:autoSpaceDN w:val="0"/>
              <w:adjustRightInd w:val="0"/>
            </w:pPr>
            <w:r>
              <w:t xml:space="preserve">l-iġġenerar tar-rapport dwar ir-riskju </w:t>
            </w:r>
          </w:p>
          <w:p w14:paraId="7FE1C27F" w14:textId="54F4E51F" w:rsidR="00534D9A" w:rsidRDefault="003243B2">
            <w:pPr>
              <w:pStyle w:val="P68B1DB1-ListParagraph53"/>
              <w:numPr>
                <w:ilvl w:val="0"/>
                <w:numId w:val="295"/>
              </w:numPr>
              <w:autoSpaceDE w:val="0"/>
              <w:autoSpaceDN w:val="0"/>
              <w:adjustRightInd w:val="0"/>
            </w:pPr>
            <w:r>
              <w:t>tip ieħor ta’ servizz ta’ ġestjoni tar-riskju u ta’ valwazzjoni</w:t>
            </w:r>
          </w:p>
          <w:p w14:paraId="7FE1C280" w14:textId="77777777" w:rsidR="00534D9A" w:rsidRDefault="00534D9A">
            <w:pPr>
              <w:autoSpaceDE w:val="0"/>
              <w:autoSpaceDN w:val="0"/>
              <w:adjustRightInd w:val="0"/>
              <w:rPr>
                <w:rFonts w:ascii="Times New Roman" w:eastAsia="MS Mincho" w:hAnsi="Times New Roman" w:cs="Times New Roman"/>
                <w:sz w:val="20"/>
                <w:szCs w:val="20"/>
              </w:rPr>
            </w:pPr>
          </w:p>
          <w:p w14:paraId="7FE1C281" w14:textId="5206B100" w:rsidR="00534D9A" w:rsidRDefault="003243B2">
            <w:pPr>
              <w:pStyle w:val="P68B1DB1-Normal52"/>
              <w:autoSpaceDE w:val="0"/>
              <w:autoSpaceDN w:val="0"/>
              <w:adjustRightInd w:val="0"/>
            </w:pPr>
            <w:r>
              <w:t xml:space="preserve">Kontabilità </w:t>
            </w:r>
          </w:p>
          <w:p w14:paraId="7FE1C282" w14:textId="65C12590" w:rsidR="00534D9A" w:rsidRDefault="003243B2">
            <w:pPr>
              <w:pStyle w:val="P68B1DB1-ListParagraph53"/>
              <w:numPr>
                <w:ilvl w:val="0"/>
                <w:numId w:val="296"/>
              </w:numPr>
              <w:autoSpaceDE w:val="0"/>
              <w:autoSpaceDN w:val="0"/>
              <w:adjustRightInd w:val="0"/>
            </w:pPr>
            <w:r>
              <w:t xml:space="preserve">rapportar statutorju u regolatorju </w:t>
            </w:r>
          </w:p>
          <w:p w14:paraId="7FE1C283" w14:textId="3DCAF9FA" w:rsidR="00534D9A" w:rsidRDefault="003243B2">
            <w:pPr>
              <w:pStyle w:val="P68B1DB1-ListParagraph53"/>
              <w:numPr>
                <w:ilvl w:val="0"/>
                <w:numId w:val="296"/>
              </w:numPr>
              <w:autoSpaceDE w:val="0"/>
              <w:autoSpaceDN w:val="0"/>
              <w:adjustRightInd w:val="0"/>
            </w:pPr>
            <w:r>
              <w:t xml:space="preserve">valwazzjoni, b’mod partikolari ta’ pożizzjonijiet fis-suq </w:t>
            </w:r>
          </w:p>
          <w:p w14:paraId="7FE1C284" w14:textId="2EE4BE8B" w:rsidR="00534D9A" w:rsidRDefault="003243B2">
            <w:pPr>
              <w:pStyle w:val="P68B1DB1-ListParagraph53"/>
              <w:numPr>
                <w:ilvl w:val="0"/>
                <w:numId w:val="296"/>
              </w:numPr>
              <w:autoSpaceDE w:val="0"/>
              <w:autoSpaceDN w:val="0"/>
              <w:adjustRightInd w:val="0"/>
            </w:pPr>
            <w:r>
              <w:t xml:space="preserve">rapportar dwar il-ġestjoni </w:t>
            </w:r>
          </w:p>
          <w:p w14:paraId="7FE1C285" w14:textId="186EA25B" w:rsidR="00534D9A" w:rsidRDefault="003243B2">
            <w:pPr>
              <w:pStyle w:val="P68B1DB1-ListParagraph53"/>
              <w:numPr>
                <w:ilvl w:val="0"/>
                <w:numId w:val="296"/>
              </w:numPr>
              <w:autoSpaceDE w:val="0"/>
              <w:autoSpaceDN w:val="0"/>
              <w:adjustRightInd w:val="0"/>
            </w:pPr>
            <w:r>
              <w:lastRenderedPageBreak/>
              <w:t>tip ieħor ta’ servizz tal-kontabilità</w:t>
            </w:r>
          </w:p>
          <w:p w14:paraId="7FE1C286" w14:textId="77777777" w:rsidR="00534D9A" w:rsidRDefault="00534D9A">
            <w:pPr>
              <w:autoSpaceDE w:val="0"/>
              <w:autoSpaceDN w:val="0"/>
              <w:adjustRightInd w:val="0"/>
              <w:ind w:left="708"/>
              <w:rPr>
                <w:rFonts w:ascii="Times New Roman" w:eastAsia="MS Mincho" w:hAnsi="Times New Roman" w:cs="Times New Roman"/>
                <w:sz w:val="20"/>
                <w:szCs w:val="20"/>
              </w:rPr>
            </w:pPr>
          </w:p>
          <w:p w14:paraId="7FE1C287" w14:textId="675737F3" w:rsidR="00534D9A" w:rsidRDefault="003243B2">
            <w:pPr>
              <w:pStyle w:val="P68B1DB1-Normal54"/>
              <w:autoSpaceDE w:val="0"/>
              <w:autoSpaceDN w:val="0"/>
              <w:adjustRightInd w:val="0"/>
              <w:rPr>
                <w:sz w:val="24"/>
              </w:rPr>
            </w:pPr>
            <w:r>
              <w:rPr>
                <w:sz w:val="20"/>
              </w:rPr>
              <w:t>L-immaniġġar tal-flus</w:t>
            </w:r>
            <w:r>
              <w:rPr>
                <w:sz w:val="24"/>
              </w:rPr>
              <w:t xml:space="preserve"> </w:t>
            </w:r>
          </w:p>
          <w:p w14:paraId="7FE1C288" w14:textId="77777777" w:rsidR="00534D9A" w:rsidRDefault="00534D9A">
            <w:pPr>
              <w:autoSpaceDE w:val="0"/>
              <w:autoSpaceDN w:val="0"/>
              <w:adjustRightInd w:val="0"/>
              <w:rPr>
                <w:rFonts w:ascii="Times New Roman" w:eastAsia="MS Mincho" w:hAnsi="Times New Roman" w:cs="Times New Roman"/>
                <w:sz w:val="24"/>
                <w:szCs w:val="20"/>
              </w:rPr>
            </w:pPr>
          </w:p>
          <w:p w14:paraId="7FE1C289" w14:textId="180A5CA4" w:rsidR="00534D9A" w:rsidRDefault="003243B2">
            <w:pPr>
              <w:pStyle w:val="P68B1DB1-Normal52"/>
              <w:autoSpaceDE w:val="0"/>
              <w:autoSpaceDN w:val="0"/>
              <w:adjustRightInd w:val="0"/>
            </w:pPr>
            <w:r>
              <w:t>Tip ta’ Servizz Oħra</w:t>
            </w:r>
          </w:p>
          <w:p w14:paraId="7FE1C28B" w14:textId="56625F93" w:rsidR="00534D9A" w:rsidRDefault="00534D9A">
            <w:pPr>
              <w:spacing w:line="276" w:lineRule="auto"/>
              <w:jc w:val="both"/>
              <w:rPr>
                <w:rFonts w:ascii="Times New Roman" w:eastAsia="Calibri" w:hAnsi="Times New Roman" w:cs="Times New Roman"/>
                <w:b/>
                <w:i/>
                <w:sz w:val="20"/>
                <w:szCs w:val="20"/>
              </w:rPr>
            </w:pPr>
          </w:p>
        </w:tc>
      </w:tr>
      <w:tr w:rsidR="00534D9A" w14:paraId="7FE1C292" w14:textId="77777777">
        <w:trPr>
          <w:trHeight w:val="463"/>
        </w:trPr>
        <w:tc>
          <w:tcPr>
            <w:tcW w:w="1129" w:type="dxa"/>
            <w:shd w:val="clear" w:color="auto" w:fill="FFFFFF" w:themeFill="background1"/>
          </w:tcPr>
          <w:p w14:paraId="7FE1C28D" w14:textId="77777777" w:rsidR="00534D9A" w:rsidRDefault="003243B2">
            <w:pPr>
              <w:pStyle w:val="P68B1DB1-Normal50"/>
              <w:spacing w:before="120" w:after="120" w:line="276" w:lineRule="auto"/>
            </w:pPr>
            <w:r>
              <w:lastRenderedPageBreak/>
              <w:t>0020</w:t>
            </w:r>
          </w:p>
        </w:tc>
        <w:tc>
          <w:tcPr>
            <w:tcW w:w="7938" w:type="dxa"/>
            <w:shd w:val="clear" w:color="auto" w:fill="FFFFFF" w:themeFill="background1"/>
          </w:tcPr>
          <w:p w14:paraId="7FE1C28E" w14:textId="77777777" w:rsidR="00534D9A" w:rsidRDefault="003243B2">
            <w:pPr>
              <w:pStyle w:val="P68B1DB1-Normal49"/>
              <w:spacing w:line="276" w:lineRule="auto"/>
              <w:jc w:val="both"/>
              <w:rPr>
                <w:bCs/>
              </w:rPr>
            </w:pPr>
            <w:r>
              <w:t>Titolu uniku tas-servizz skont it-tassonomija tal-bank</w:t>
            </w:r>
          </w:p>
          <w:p w14:paraId="1C0060B3" w14:textId="77777777" w:rsidR="00534D9A" w:rsidRDefault="003243B2">
            <w:pPr>
              <w:rPr>
                <w:rFonts w:ascii="Times New Roman" w:eastAsiaTheme="minorHAnsi" w:hAnsi="Times New Roman" w:cs="Times New Roman"/>
                <w:sz w:val="24"/>
              </w:rPr>
            </w:pPr>
            <w:r>
              <w:rPr>
                <w:rFonts w:ascii="Times New Roman" w:eastAsia="Calibri" w:hAnsi="Times New Roman" w:cs="Times New Roman"/>
                <w:sz w:val="20"/>
              </w:rPr>
              <w:t>Isem/deskrizzjoni qasira tas-servizz skont it-tassonomija f’saffi tal-bank stess (Livell 3), li tikkategorizza s-servizzi u s-subsettijiet ta’ dawn is-servizzi f’livelli ġerarkiċi. Pereżempju, tassonomija tas-servizzi li tikkategorizza s-servizzi fi tliet livelli ġerarkiċi, fejn fl-ogħla livell hemm il-grupp ta’ servizzi (L1: Servizzi finanzjarji) li fihom is-servizzi huma rappreżentati fit-tieni livell (L2: it-Teżor, l-analiżi finanzjarja, it-taxxa, ir-relazzjonijiet mal-investituri, eċċ.) u s-sottoservizz</w:t>
            </w:r>
            <w:r>
              <w:rPr>
                <w:rFonts w:ascii="Times New Roman" w:eastAsia="Calibri" w:hAnsi="Times New Roman" w:cs="Times New Roman"/>
                <w:sz w:val="20"/>
              </w:rPr>
              <w:t>i fil-livell tlieta (L3 — fit-teżor: il-ġestjoni tal-likwidità, il-ġestjoni tal-assi u tal-obbligazzjonijiet, il-ġestjoni tal-kollateral, eċċ.). Il-Bank huwa mistenni jirrapporta s-servizzi f’livell aktar granulari mir-rapportar previst għal-Livell 2 (c0010), sabiex kull servizz partikolari jiġi definit b’mod preċiż u mmirat.</w:t>
            </w:r>
            <w:r>
              <w:rPr>
                <w:rFonts w:ascii="Times New Roman" w:eastAsiaTheme="minorHAnsi" w:hAnsi="Times New Roman" w:cs="Times New Roman"/>
                <w:sz w:val="24"/>
              </w:rPr>
              <w:t xml:space="preserve"> </w:t>
            </w:r>
          </w:p>
          <w:p w14:paraId="7FE1C290" w14:textId="77777777" w:rsidR="00534D9A" w:rsidRDefault="00534D9A">
            <w:pPr>
              <w:spacing w:line="276" w:lineRule="auto"/>
              <w:jc w:val="both"/>
              <w:rPr>
                <w:rFonts w:ascii="Times New Roman" w:eastAsia="Calibri" w:hAnsi="Times New Roman" w:cs="Times New Roman"/>
                <w:sz w:val="20"/>
              </w:rPr>
            </w:pPr>
          </w:p>
          <w:p w14:paraId="7FE1C291" w14:textId="77777777" w:rsidR="00534D9A" w:rsidRDefault="00534D9A">
            <w:pPr>
              <w:spacing w:line="276" w:lineRule="auto"/>
              <w:jc w:val="both"/>
              <w:rPr>
                <w:rFonts w:ascii="Times New Roman" w:eastAsia="Calibri" w:hAnsi="Times New Roman" w:cs="Times New Roman"/>
                <w:i/>
                <w:sz w:val="20"/>
              </w:rPr>
            </w:pPr>
          </w:p>
        </w:tc>
      </w:tr>
      <w:tr w:rsidR="00534D9A" w14:paraId="7FE1C298" w14:textId="77777777">
        <w:trPr>
          <w:trHeight w:val="463"/>
        </w:trPr>
        <w:tc>
          <w:tcPr>
            <w:tcW w:w="1129" w:type="dxa"/>
            <w:shd w:val="clear" w:color="auto" w:fill="FFFFFF" w:themeFill="background1"/>
          </w:tcPr>
          <w:p w14:paraId="7FE1C293" w14:textId="77777777" w:rsidR="00534D9A" w:rsidRDefault="003243B2">
            <w:pPr>
              <w:pStyle w:val="P68B1DB1-Normal50"/>
              <w:spacing w:before="120" w:after="120" w:line="276" w:lineRule="auto"/>
            </w:pPr>
            <w:r>
              <w:t>0030–0040</w:t>
            </w:r>
          </w:p>
          <w:p w14:paraId="7FE1C294" w14:textId="77777777" w:rsidR="00534D9A" w:rsidRDefault="00534D9A">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5" w14:textId="77777777" w:rsidR="00534D9A" w:rsidRDefault="003243B2">
            <w:pPr>
              <w:pStyle w:val="P68B1DB1-Normal49"/>
              <w:spacing w:line="276" w:lineRule="auto"/>
              <w:jc w:val="both"/>
              <w:rPr>
                <w:bCs/>
              </w:rPr>
            </w:pPr>
            <w:r>
              <w:t>Id-destinatarju tas-servizzi</w:t>
            </w:r>
          </w:p>
          <w:p w14:paraId="7FE1C296" w14:textId="6BB16960" w:rsidR="00534D9A" w:rsidRDefault="003243B2">
            <w:pPr>
              <w:pStyle w:val="P68B1DB1-Normal45"/>
              <w:spacing w:line="276" w:lineRule="auto"/>
              <w:jc w:val="both"/>
            </w:pPr>
            <w:r>
              <w:t>L-Entità tal-grupp li tirċievi s-servizz rapportat fil-kolonna 0010 minn entità oħra tal-grupp jew mill-fornitur estern rapportat fil-kolonni 0050–0110.</w:t>
            </w:r>
          </w:p>
          <w:p w14:paraId="7FE1C297" w14:textId="77777777" w:rsidR="00534D9A" w:rsidRDefault="00534D9A">
            <w:pPr>
              <w:spacing w:line="276" w:lineRule="auto"/>
              <w:jc w:val="both"/>
              <w:rPr>
                <w:rFonts w:ascii="Times New Roman" w:eastAsia="Calibri" w:hAnsi="Times New Roman" w:cs="Times New Roman"/>
                <w:sz w:val="20"/>
              </w:rPr>
            </w:pPr>
          </w:p>
        </w:tc>
      </w:tr>
      <w:tr w:rsidR="00534D9A" w14:paraId="7FE1C29F" w14:textId="77777777">
        <w:trPr>
          <w:trHeight w:val="463"/>
        </w:trPr>
        <w:tc>
          <w:tcPr>
            <w:tcW w:w="1129" w:type="dxa"/>
            <w:shd w:val="clear" w:color="auto" w:fill="FFFFFF" w:themeFill="background1"/>
          </w:tcPr>
          <w:p w14:paraId="7FE1C299" w14:textId="77777777" w:rsidR="00534D9A" w:rsidRDefault="003243B2">
            <w:pPr>
              <w:pStyle w:val="P68B1DB1-Normal50"/>
              <w:spacing w:before="120" w:after="120" w:line="276" w:lineRule="auto"/>
            </w:pPr>
            <w:r>
              <w:t>0030</w:t>
            </w:r>
          </w:p>
          <w:p w14:paraId="7FE1C29A" w14:textId="77777777" w:rsidR="00534D9A" w:rsidRDefault="00534D9A">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9B" w14:textId="10247858" w:rsidR="00534D9A" w:rsidRDefault="003243B2">
            <w:pPr>
              <w:pStyle w:val="P68B1DB1-Normal49"/>
              <w:spacing w:before="120" w:after="120" w:line="276" w:lineRule="auto"/>
              <w:rPr>
                <w:bCs/>
              </w:rPr>
            </w:pPr>
            <w:r>
              <w:t>Isem</w:t>
            </w:r>
          </w:p>
          <w:p w14:paraId="7FE1C29C" w14:textId="5429A4DF" w:rsidR="00534D9A" w:rsidRDefault="003243B2">
            <w:pPr>
              <w:pStyle w:val="P68B1DB1-Normal45"/>
              <w:spacing w:line="276" w:lineRule="auto"/>
              <w:jc w:val="both"/>
            </w:pPr>
            <w:r>
              <w:t>Irid ikun differenti mill-isem elenkat fil-kolonna 0050, sakemm is-servizz ma jkunx intra-entità. F’dan il-każ, l-isem tal-entità tar-riċevitur tas-servizz u l-isem tal-entità tal-fornitur tas-servizz huma mistennija li jaqblu.</w:t>
            </w:r>
          </w:p>
          <w:p w14:paraId="7FE1C29D" w14:textId="77777777" w:rsidR="00534D9A" w:rsidRDefault="00534D9A">
            <w:pPr>
              <w:spacing w:line="276" w:lineRule="auto"/>
              <w:jc w:val="both"/>
              <w:rPr>
                <w:rFonts w:ascii="Times New Roman" w:eastAsia="Calibri" w:hAnsi="Times New Roman" w:cs="Times New Roman"/>
                <w:sz w:val="20"/>
              </w:rPr>
            </w:pPr>
          </w:p>
          <w:p w14:paraId="7FE1C29E" w14:textId="77777777" w:rsidR="00534D9A" w:rsidRDefault="00534D9A">
            <w:pPr>
              <w:spacing w:line="276" w:lineRule="auto"/>
              <w:jc w:val="both"/>
              <w:rPr>
                <w:rFonts w:ascii="Times New Roman" w:eastAsia="Calibri" w:hAnsi="Times New Roman" w:cs="Times New Roman"/>
                <w:b/>
                <w:sz w:val="20"/>
              </w:rPr>
            </w:pPr>
          </w:p>
        </w:tc>
      </w:tr>
      <w:tr w:rsidR="00534D9A" w14:paraId="7FE1C2A6" w14:textId="77777777">
        <w:trPr>
          <w:trHeight w:val="463"/>
        </w:trPr>
        <w:tc>
          <w:tcPr>
            <w:tcW w:w="1129" w:type="dxa"/>
            <w:shd w:val="clear" w:color="auto" w:fill="FFFFFF" w:themeFill="background1"/>
          </w:tcPr>
          <w:p w14:paraId="7FE1C2A0" w14:textId="77777777" w:rsidR="00534D9A" w:rsidRDefault="003243B2">
            <w:pPr>
              <w:pStyle w:val="P68B1DB1-Normal50"/>
              <w:spacing w:before="120" w:after="120" w:line="276" w:lineRule="auto"/>
            </w:pPr>
            <w:r>
              <w:t>0040</w:t>
            </w:r>
          </w:p>
          <w:p w14:paraId="7FE1C2A1" w14:textId="77777777" w:rsidR="00534D9A" w:rsidRDefault="00534D9A">
            <w:pPr>
              <w:spacing w:before="120" w:after="120" w:line="276" w:lineRule="auto"/>
              <w:rPr>
                <w:rFonts w:ascii="Times New Roman" w:eastAsia="Calibri" w:hAnsi="Times New Roman" w:cs="Times New Roman"/>
                <w:strike/>
                <w:sz w:val="20"/>
                <w:szCs w:val="20"/>
              </w:rPr>
            </w:pPr>
          </w:p>
        </w:tc>
        <w:tc>
          <w:tcPr>
            <w:tcW w:w="7938" w:type="dxa"/>
            <w:shd w:val="clear" w:color="auto" w:fill="FFFFFF" w:themeFill="background1"/>
          </w:tcPr>
          <w:p w14:paraId="7FE1C2A2" w14:textId="77777777" w:rsidR="00534D9A" w:rsidRDefault="003243B2">
            <w:pPr>
              <w:pStyle w:val="P68B1DB1-Normal49"/>
              <w:spacing w:before="120" w:after="120" w:line="276" w:lineRule="auto"/>
              <w:rPr>
                <w:bCs/>
              </w:rPr>
            </w:pPr>
            <w:r>
              <w:t>Numru</w:t>
            </w:r>
          </w:p>
          <w:p w14:paraId="7FE1C2A3" w14:textId="77777777" w:rsidR="00534D9A" w:rsidRDefault="003243B2">
            <w:pPr>
              <w:pStyle w:val="P68B1DB1-Normal45"/>
              <w:spacing w:line="276" w:lineRule="auto"/>
              <w:jc w:val="both"/>
            </w:pPr>
            <w:r>
              <w:t>Identifikatur uniku tal-entità ġuridika fil-kolonna 0030 kif irrapportat fil-mudell Z 01.01 (ORG).</w:t>
            </w:r>
          </w:p>
          <w:p w14:paraId="7FE1C2A4" w14:textId="77777777" w:rsidR="00534D9A" w:rsidRDefault="003243B2">
            <w:pPr>
              <w:pStyle w:val="P68B1DB1-Normal45"/>
              <w:spacing w:line="276" w:lineRule="auto"/>
              <w:jc w:val="both"/>
            </w:pPr>
            <w:r>
              <w:t>Irid ikun differenti mill-identifikatur irrapportat fil-kolonna 0060, sakemm is-servizz ma jkunx intra-entità. F’dan il-każ, il-kodiċi tar-riċevitur tas-servizz u l-kodiċi tal-fornitur tas-servizz huma mistennija li jaqblu.</w:t>
            </w:r>
          </w:p>
          <w:p w14:paraId="7FE1C2A5" w14:textId="77777777" w:rsidR="00534D9A" w:rsidRDefault="00534D9A">
            <w:pPr>
              <w:spacing w:line="276" w:lineRule="auto"/>
              <w:jc w:val="both"/>
              <w:rPr>
                <w:rFonts w:ascii="Times New Roman" w:eastAsia="Calibri" w:hAnsi="Times New Roman" w:cs="Times New Roman"/>
                <w:b/>
                <w:i/>
                <w:sz w:val="20"/>
              </w:rPr>
            </w:pPr>
          </w:p>
        </w:tc>
      </w:tr>
      <w:tr w:rsidR="00534D9A" w14:paraId="7FE1C2AC" w14:textId="77777777">
        <w:trPr>
          <w:trHeight w:val="463"/>
        </w:trPr>
        <w:tc>
          <w:tcPr>
            <w:tcW w:w="1129" w:type="dxa"/>
            <w:shd w:val="clear" w:color="auto" w:fill="FFFFFF" w:themeFill="background1"/>
          </w:tcPr>
          <w:p w14:paraId="7FE1C2A7" w14:textId="77777777" w:rsidR="00534D9A" w:rsidRDefault="003243B2">
            <w:pPr>
              <w:pStyle w:val="P68B1DB1-Normal50"/>
              <w:spacing w:before="120" w:after="120" w:line="276" w:lineRule="auto"/>
            </w:pPr>
            <w:r>
              <w:t>0050–0110</w:t>
            </w:r>
          </w:p>
          <w:p w14:paraId="7FE1C2A8" w14:textId="77777777" w:rsidR="00534D9A" w:rsidRDefault="00534D9A">
            <w:pPr>
              <w:spacing w:before="120" w:after="120" w:line="276" w:lineRule="auto"/>
              <w:rPr>
                <w:rFonts w:ascii="Times New Roman" w:eastAsia="Calibri" w:hAnsi="Times New Roman" w:cs="Times New Roman"/>
                <w:sz w:val="20"/>
                <w:szCs w:val="20"/>
              </w:rPr>
            </w:pPr>
          </w:p>
        </w:tc>
        <w:tc>
          <w:tcPr>
            <w:tcW w:w="7938" w:type="dxa"/>
            <w:shd w:val="clear" w:color="auto" w:fill="FFFFFF" w:themeFill="background1"/>
          </w:tcPr>
          <w:p w14:paraId="7FE1C2A9" w14:textId="77777777" w:rsidR="00534D9A" w:rsidRDefault="003243B2">
            <w:pPr>
              <w:pStyle w:val="P68B1DB1-Normal55"/>
              <w:spacing w:line="276" w:lineRule="auto"/>
              <w:jc w:val="both"/>
              <w:rPr>
                <w:bCs/>
              </w:rPr>
            </w:pPr>
            <w:r>
              <w:rPr>
                <w:szCs w:val="20"/>
              </w:rPr>
              <w:t>Fornitur ta’ servizzi</w:t>
            </w:r>
            <w:r>
              <w:t xml:space="preserve"> </w:t>
            </w:r>
          </w:p>
          <w:p w14:paraId="7FE1C2AA" w14:textId="77777777" w:rsidR="00534D9A" w:rsidRDefault="003243B2">
            <w:pPr>
              <w:pStyle w:val="P68B1DB1-Normal45"/>
              <w:spacing w:line="276" w:lineRule="auto"/>
              <w:jc w:val="both"/>
            </w:pPr>
            <w:r>
              <w:t>L-entità ġuridika (għal servizzi intragrupp jew intragrupp) jew il-fornitur estern (għal servizzi esterni) li jipprovdi s-servizz irrapportat fil-kolonna 0020 lill-entità fi grupp irrapportata fil-kolonna 0030.</w:t>
            </w:r>
          </w:p>
          <w:p w14:paraId="7FE1C2AB" w14:textId="77777777" w:rsidR="00534D9A" w:rsidRDefault="00534D9A">
            <w:pPr>
              <w:spacing w:line="276" w:lineRule="auto"/>
              <w:jc w:val="both"/>
              <w:rPr>
                <w:rFonts w:ascii="Times New Roman" w:eastAsia="Calibri" w:hAnsi="Times New Roman" w:cs="Times New Roman"/>
                <w:sz w:val="20"/>
              </w:rPr>
            </w:pPr>
          </w:p>
        </w:tc>
      </w:tr>
      <w:tr w:rsidR="00534D9A" w14:paraId="244B34A5" w14:textId="77777777">
        <w:trPr>
          <w:trHeight w:val="463"/>
        </w:trPr>
        <w:tc>
          <w:tcPr>
            <w:tcW w:w="1129" w:type="dxa"/>
            <w:shd w:val="clear" w:color="auto" w:fill="FFFFFF" w:themeFill="background1"/>
          </w:tcPr>
          <w:p w14:paraId="26770022" w14:textId="77E4D0B7" w:rsidR="00534D9A" w:rsidRDefault="003243B2">
            <w:pPr>
              <w:pStyle w:val="P68B1DB1-Normal50"/>
              <w:spacing w:before="120" w:after="120" w:line="276" w:lineRule="auto"/>
            </w:pPr>
            <w:r>
              <w:t>0050–0070</w:t>
            </w:r>
          </w:p>
        </w:tc>
        <w:tc>
          <w:tcPr>
            <w:tcW w:w="7938" w:type="dxa"/>
            <w:shd w:val="clear" w:color="auto" w:fill="FFFFFF" w:themeFill="background1"/>
          </w:tcPr>
          <w:p w14:paraId="3E4CD319" w14:textId="6DCA5709" w:rsidR="00534D9A" w:rsidRDefault="003243B2">
            <w:pPr>
              <w:pStyle w:val="P68B1DB1-Normal49"/>
              <w:spacing w:line="276" w:lineRule="auto"/>
              <w:jc w:val="both"/>
              <w:rPr>
                <w:bCs/>
              </w:rPr>
            </w:pPr>
            <w:r>
              <w:t>Entità</w:t>
            </w:r>
          </w:p>
        </w:tc>
      </w:tr>
      <w:tr w:rsidR="00534D9A" w14:paraId="7FE1C2B2" w14:textId="77777777">
        <w:trPr>
          <w:trHeight w:val="463"/>
        </w:trPr>
        <w:tc>
          <w:tcPr>
            <w:tcW w:w="1129" w:type="dxa"/>
            <w:shd w:val="clear" w:color="auto" w:fill="FFFFFF" w:themeFill="background1"/>
          </w:tcPr>
          <w:p w14:paraId="7FE1C2AD" w14:textId="77777777" w:rsidR="00534D9A" w:rsidRDefault="003243B2">
            <w:pPr>
              <w:pStyle w:val="P68B1DB1-Normal50"/>
              <w:spacing w:before="120" w:after="120" w:line="276" w:lineRule="auto"/>
            </w:pPr>
            <w:r>
              <w:t>0050</w:t>
            </w:r>
          </w:p>
          <w:p w14:paraId="7FE1C2AE" w14:textId="77777777" w:rsidR="00534D9A" w:rsidRDefault="00534D9A">
            <w:pPr>
              <w:spacing w:before="120" w:after="120" w:line="276" w:lineRule="auto"/>
              <w:rPr>
                <w:rFonts w:ascii="Times New Roman" w:eastAsia="Calibri" w:hAnsi="Times New Roman" w:cs="Times New Roman"/>
                <w:b/>
                <w:strike/>
                <w:sz w:val="20"/>
                <w:szCs w:val="20"/>
              </w:rPr>
            </w:pPr>
          </w:p>
        </w:tc>
        <w:tc>
          <w:tcPr>
            <w:tcW w:w="7938" w:type="dxa"/>
            <w:shd w:val="clear" w:color="auto" w:fill="FFFFFF" w:themeFill="background1"/>
          </w:tcPr>
          <w:p w14:paraId="7FE1C2AF" w14:textId="6229942B" w:rsidR="00534D9A" w:rsidRDefault="003243B2">
            <w:pPr>
              <w:pStyle w:val="P68B1DB1-Normal49"/>
              <w:spacing w:before="120" w:after="120" w:line="276" w:lineRule="auto"/>
              <w:rPr>
                <w:bCs/>
              </w:rPr>
            </w:pPr>
            <w:r>
              <w:t>Isem</w:t>
            </w:r>
          </w:p>
          <w:p w14:paraId="7FE1C2B0" w14:textId="77777777" w:rsidR="00534D9A" w:rsidRDefault="003243B2">
            <w:pPr>
              <w:pStyle w:val="P68B1DB1-Normal45"/>
              <w:spacing w:line="276" w:lineRule="auto"/>
              <w:jc w:val="both"/>
            </w:pPr>
            <w:r>
              <w:t>Irid ikun differenti mill-isem elenkat fil-kolonna 0030, sakemm is-servizz ma jkunx intra-entità. F’dan il-każ l-isem tal-entità tar-riċevitur tas-servizz u l-isem tal-entità tal-fornitur tas-servizz huma mistennija li jaqblu.</w:t>
            </w:r>
          </w:p>
          <w:p w14:paraId="7FE1C2B1" w14:textId="77777777" w:rsidR="00534D9A" w:rsidRDefault="00534D9A">
            <w:pPr>
              <w:spacing w:line="276" w:lineRule="auto"/>
              <w:jc w:val="both"/>
              <w:rPr>
                <w:rFonts w:ascii="Times New Roman" w:eastAsia="Calibri" w:hAnsi="Times New Roman" w:cs="Times New Roman"/>
                <w:b/>
                <w:sz w:val="20"/>
              </w:rPr>
            </w:pPr>
          </w:p>
        </w:tc>
      </w:tr>
      <w:tr w:rsidR="00534D9A" w14:paraId="7FE1C2BE" w14:textId="77777777">
        <w:trPr>
          <w:trHeight w:val="463"/>
        </w:trPr>
        <w:tc>
          <w:tcPr>
            <w:tcW w:w="1129" w:type="dxa"/>
            <w:shd w:val="clear" w:color="auto" w:fill="FFFFFF" w:themeFill="background1"/>
          </w:tcPr>
          <w:p w14:paraId="7FE1C2B3" w14:textId="77777777" w:rsidR="00534D9A" w:rsidRDefault="003243B2">
            <w:pPr>
              <w:pStyle w:val="P68B1DB1-Normal45"/>
              <w:spacing w:line="276" w:lineRule="auto"/>
              <w:jc w:val="both"/>
            </w:pPr>
            <w:r>
              <w:lastRenderedPageBreak/>
              <w:t>0060</w:t>
            </w:r>
          </w:p>
          <w:p w14:paraId="7FE1C2B4" w14:textId="77777777" w:rsidR="00534D9A" w:rsidRDefault="00534D9A">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B5" w14:textId="77777777" w:rsidR="00534D9A" w:rsidRDefault="003243B2">
            <w:pPr>
              <w:pStyle w:val="P68B1DB1-Normal55"/>
              <w:spacing w:line="276" w:lineRule="auto"/>
              <w:jc w:val="both"/>
              <w:rPr>
                <w:bCs/>
              </w:rPr>
            </w:pPr>
            <w:r>
              <w:t>Numru</w:t>
            </w:r>
          </w:p>
          <w:p w14:paraId="7FE1C2B6" w14:textId="77777777" w:rsidR="00534D9A" w:rsidRDefault="003243B2">
            <w:pPr>
              <w:pStyle w:val="P68B1DB1-Normal45"/>
              <w:spacing w:line="276" w:lineRule="auto"/>
              <w:jc w:val="both"/>
              <w:rPr>
                <w:strike/>
              </w:rPr>
            </w:pPr>
            <w:r>
              <w:t>L-identifikatur uniku tal-entità ġuridika fil-kolonna 0050. Irid ikun differenti mill-identifikatur elenkat fil-kolonna 0040, sakemm is-servizz ma jkunx intra-entità. F’dan il-każ, il-kodiċi tar-riċevitur tas-servizz u l-kodiċi tal-fornitur tas-servizz huma mistennija li jaqblu.</w:t>
            </w:r>
          </w:p>
          <w:p w14:paraId="7FE1C2B7" w14:textId="77777777" w:rsidR="00534D9A" w:rsidRDefault="003243B2">
            <w:pPr>
              <w:pStyle w:val="P68B1DB1-Normal45"/>
              <w:spacing w:line="276" w:lineRule="auto"/>
              <w:jc w:val="both"/>
            </w:pPr>
            <w:r>
              <w:t>Meta l-fornitur tas-servizz ikun entità fi grupp, il-kodiċi għandu jkun l-istess bħal dak rapportat fil-Mudell Z 01.01 (ORG).</w:t>
            </w:r>
          </w:p>
          <w:p w14:paraId="7FE1C2B8" w14:textId="77777777" w:rsidR="00534D9A" w:rsidRDefault="003243B2">
            <w:pPr>
              <w:pStyle w:val="P68B1DB1-Normal45"/>
              <w:spacing w:line="276" w:lineRule="auto"/>
              <w:jc w:val="both"/>
            </w:pPr>
            <w:r>
              <w:t>Meta l-fornitur tas-servizz ma jkunx entità fi grupp, il-kodiċi ta’ dik l-entità għandu jkun:</w:t>
            </w:r>
          </w:p>
          <w:p w14:paraId="7FE1C2B9" w14:textId="77777777" w:rsidR="00534D9A" w:rsidRDefault="003243B2">
            <w:pPr>
              <w:pStyle w:val="P68B1DB1-Normal45"/>
              <w:spacing w:line="276" w:lineRule="auto"/>
              <w:jc w:val="both"/>
            </w:pPr>
            <w:r>
              <w:t>— għall-entitajiet b’Identifikatur ta’ Entità Ġuridika (LEI), il-kodiċi alfanumeriku tal-LEI b’ 20 ċifri;</w:t>
            </w:r>
          </w:p>
          <w:p w14:paraId="7FE1C2BA" w14:textId="77777777" w:rsidR="00534D9A" w:rsidRDefault="003243B2">
            <w:pPr>
              <w:pStyle w:val="P68B1DB1-Normal45"/>
              <w:spacing w:line="276" w:lineRule="auto"/>
              <w:jc w:val="both"/>
            </w:pPr>
            <w:r>
              <w:t>— għal entitajiet mingħajr LEI, in-numru tar-reġistrazzjoni korporattiva skont il-liġi nazzjonali</w:t>
            </w:r>
            <w:r>
              <w:rPr>
                <w:strike/>
              </w:rPr>
              <w:t>.</w:t>
            </w:r>
          </w:p>
          <w:p w14:paraId="7FE1C2BB" w14:textId="77777777" w:rsidR="00534D9A" w:rsidRDefault="00534D9A">
            <w:pPr>
              <w:spacing w:line="276" w:lineRule="auto"/>
              <w:jc w:val="both"/>
              <w:rPr>
                <w:rFonts w:ascii="Times New Roman" w:eastAsia="Calibri" w:hAnsi="Times New Roman" w:cs="Times New Roman"/>
                <w:sz w:val="20"/>
              </w:rPr>
            </w:pPr>
          </w:p>
          <w:p w14:paraId="7FE1C2BC" w14:textId="77777777" w:rsidR="00534D9A" w:rsidRDefault="003243B2">
            <w:pPr>
              <w:pStyle w:val="P68B1DB1-Normal45"/>
              <w:spacing w:line="276" w:lineRule="auto"/>
              <w:jc w:val="both"/>
            </w:pPr>
            <w:r>
              <w:t>Għaż-żewġ każijiet, il-kodiċi għandu jkun uniku u użat b’mod konsistenti fil-mudelli kollha.</w:t>
            </w:r>
          </w:p>
          <w:p w14:paraId="7FE1C2BD" w14:textId="77777777" w:rsidR="00534D9A" w:rsidRDefault="003243B2">
            <w:pPr>
              <w:pStyle w:val="P68B1DB1-Normal56"/>
              <w:spacing w:line="276" w:lineRule="auto"/>
              <w:jc w:val="both"/>
            </w:pPr>
            <w:r>
              <w:t xml:space="preserve"> </w:t>
            </w:r>
          </w:p>
        </w:tc>
      </w:tr>
      <w:tr w:rsidR="00534D9A" w14:paraId="7FE1C2C7" w14:textId="77777777">
        <w:trPr>
          <w:trHeight w:val="463"/>
        </w:trPr>
        <w:tc>
          <w:tcPr>
            <w:tcW w:w="1129" w:type="dxa"/>
            <w:shd w:val="clear" w:color="auto" w:fill="FFFFFF" w:themeFill="background1"/>
          </w:tcPr>
          <w:p w14:paraId="7FE1C2BF" w14:textId="77777777" w:rsidR="00534D9A" w:rsidRDefault="003243B2">
            <w:pPr>
              <w:pStyle w:val="P68B1DB1-Normal45"/>
              <w:spacing w:line="276" w:lineRule="auto"/>
              <w:jc w:val="both"/>
            </w:pPr>
            <w:r>
              <w:t>0070</w:t>
            </w:r>
          </w:p>
        </w:tc>
        <w:tc>
          <w:tcPr>
            <w:tcW w:w="7938" w:type="dxa"/>
            <w:shd w:val="clear" w:color="auto" w:fill="FFFFFF" w:themeFill="background1"/>
          </w:tcPr>
          <w:p w14:paraId="7FE1C2C0" w14:textId="77777777" w:rsidR="00534D9A" w:rsidRDefault="003243B2">
            <w:pPr>
              <w:pStyle w:val="P68B1DB1-Normal55"/>
              <w:spacing w:line="276" w:lineRule="auto"/>
              <w:jc w:val="both"/>
              <w:rPr>
                <w:bCs/>
              </w:rPr>
            </w:pPr>
            <w:r>
              <w:t xml:space="preserve">Tip ta’ kodiċi </w:t>
            </w:r>
          </w:p>
          <w:p w14:paraId="7FE1C2C3" w14:textId="5EDF8AF2" w:rsidR="00534D9A" w:rsidRDefault="003243B2">
            <w:pPr>
              <w:pStyle w:val="P68B1DB1-Normal57"/>
              <w:spacing w:line="276" w:lineRule="auto"/>
              <w:contextualSpacing/>
              <w:jc w:val="both"/>
              <w:rPr>
                <w:bCs/>
              </w:rPr>
            </w:pPr>
            <w:r>
              <w:t>Irrapporta wieħed minn dawn il-valuri li ġejjin:</w:t>
            </w:r>
          </w:p>
          <w:p w14:paraId="7FE1C2C4" w14:textId="77777777" w:rsidR="00534D9A" w:rsidRDefault="003243B2">
            <w:pPr>
              <w:pStyle w:val="P68B1DB1-ListParagraph58"/>
              <w:numPr>
                <w:ilvl w:val="0"/>
                <w:numId w:val="64"/>
              </w:numPr>
              <w:spacing w:line="276" w:lineRule="auto"/>
              <w:contextualSpacing/>
              <w:jc w:val="both"/>
            </w:pPr>
            <w:r>
              <w:t>LEI</w:t>
            </w:r>
          </w:p>
          <w:p w14:paraId="7FE1C2C5" w14:textId="77777777" w:rsidR="00534D9A" w:rsidRDefault="003243B2">
            <w:pPr>
              <w:pStyle w:val="P68B1DB1-ListParagraph58"/>
              <w:numPr>
                <w:ilvl w:val="0"/>
                <w:numId w:val="64"/>
              </w:numPr>
              <w:spacing w:line="276" w:lineRule="auto"/>
              <w:contextualSpacing/>
              <w:jc w:val="both"/>
            </w:pPr>
            <w:r>
              <w:t>Numru ta’ reġistrazzjoni korporattiv</w:t>
            </w:r>
          </w:p>
          <w:p w14:paraId="7FE1C2C6" w14:textId="77777777" w:rsidR="00534D9A" w:rsidRDefault="00534D9A">
            <w:pPr>
              <w:spacing w:line="276" w:lineRule="auto"/>
              <w:jc w:val="both"/>
              <w:rPr>
                <w:rFonts w:ascii="Times New Roman" w:eastAsia="Calibri" w:hAnsi="Times New Roman" w:cs="Times New Roman"/>
                <w:sz w:val="20"/>
              </w:rPr>
            </w:pPr>
          </w:p>
        </w:tc>
      </w:tr>
      <w:tr w:rsidR="00534D9A" w14:paraId="5AC7028E" w14:textId="77777777">
        <w:trPr>
          <w:trHeight w:val="463"/>
        </w:trPr>
        <w:tc>
          <w:tcPr>
            <w:tcW w:w="1129" w:type="dxa"/>
            <w:shd w:val="clear" w:color="auto" w:fill="FFFFFF" w:themeFill="background1"/>
          </w:tcPr>
          <w:p w14:paraId="3ECEFB75" w14:textId="74BF0EC5" w:rsidR="00534D9A" w:rsidRDefault="003243B2">
            <w:pPr>
              <w:pStyle w:val="P68B1DB1-Normal45"/>
              <w:spacing w:line="276" w:lineRule="auto"/>
              <w:jc w:val="both"/>
            </w:pPr>
            <w:r>
              <w:t>0080–0100</w:t>
            </w:r>
          </w:p>
        </w:tc>
        <w:tc>
          <w:tcPr>
            <w:tcW w:w="7938" w:type="dxa"/>
            <w:shd w:val="clear" w:color="auto" w:fill="FFFFFF" w:themeFill="background1"/>
          </w:tcPr>
          <w:p w14:paraId="259185CE" w14:textId="65A5A83F" w:rsidR="00534D9A" w:rsidRDefault="003243B2">
            <w:pPr>
              <w:pStyle w:val="P68B1DB1-Normal55"/>
              <w:spacing w:line="276" w:lineRule="auto"/>
              <w:jc w:val="both"/>
              <w:rPr>
                <w:bCs/>
              </w:rPr>
            </w:pPr>
            <w:r>
              <w:t>Impriża omm</w:t>
            </w:r>
          </w:p>
        </w:tc>
      </w:tr>
      <w:tr w:rsidR="00534D9A" w14:paraId="7FE1C2CC" w14:textId="77777777">
        <w:trPr>
          <w:trHeight w:val="463"/>
        </w:trPr>
        <w:tc>
          <w:tcPr>
            <w:tcW w:w="1129" w:type="dxa"/>
          </w:tcPr>
          <w:p w14:paraId="7FE1C2C8" w14:textId="77777777" w:rsidR="00534D9A" w:rsidRDefault="003243B2">
            <w:pPr>
              <w:pStyle w:val="P68B1DB1-Normal45"/>
              <w:spacing w:line="276" w:lineRule="auto"/>
              <w:jc w:val="both"/>
            </w:pPr>
            <w:r>
              <w:t>0080</w:t>
            </w:r>
          </w:p>
        </w:tc>
        <w:tc>
          <w:tcPr>
            <w:tcW w:w="7938" w:type="dxa"/>
            <w:shd w:val="clear" w:color="auto" w:fill="FFFFFF" w:themeFill="background1"/>
          </w:tcPr>
          <w:p w14:paraId="0DC1DDCB" w14:textId="24E6B1FE" w:rsidR="00534D9A" w:rsidRDefault="003243B2">
            <w:pPr>
              <w:pStyle w:val="P68B1DB1-Normal55"/>
              <w:spacing w:line="276" w:lineRule="auto"/>
              <w:jc w:val="both"/>
            </w:pPr>
            <w:r>
              <w:t>Isem</w:t>
            </w:r>
          </w:p>
          <w:p w14:paraId="7FE1C2CA" w14:textId="07E2401A" w:rsidR="00534D9A" w:rsidRDefault="003243B2">
            <w:pPr>
              <w:pStyle w:val="P68B1DB1-Normal45"/>
              <w:spacing w:line="276" w:lineRule="auto"/>
              <w:jc w:val="both"/>
            </w:pPr>
            <w:r>
              <w:t>Isem il-kumpanija omm (aħħarija) tal-fornitur tas-servizz irrapportat fil-kolonna 0050, meta din ma tkunx entità fi grupp. Fil-każijiet l-oħra, N/A.</w:t>
            </w:r>
          </w:p>
          <w:p w14:paraId="7FE1C2CB" w14:textId="77777777" w:rsidR="00534D9A" w:rsidRDefault="00534D9A">
            <w:pPr>
              <w:spacing w:line="276" w:lineRule="auto"/>
              <w:jc w:val="both"/>
              <w:rPr>
                <w:rFonts w:ascii="Times New Roman" w:hAnsi="Times New Roman" w:cs="Times New Roman"/>
              </w:rPr>
            </w:pPr>
          </w:p>
        </w:tc>
      </w:tr>
      <w:tr w:rsidR="00534D9A" w14:paraId="7FE1C2D3" w14:textId="77777777">
        <w:trPr>
          <w:trHeight w:val="463"/>
        </w:trPr>
        <w:tc>
          <w:tcPr>
            <w:tcW w:w="1129" w:type="dxa"/>
          </w:tcPr>
          <w:p w14:paraId="7FE1C2CD" w14:textId="77777777" w:rsidR="00534D9A" w:rsidRDefault="003243B2">
            <w:pPr>
              <w:pStyle w:val="P68B1DB1-Normal45"/>
              <w:spacing w:line="276" w:lineRule="auto"/>
              <w:jc w:val="both"/>
            </w:pPr>
            <w:r>
              <w:t>0090</w:t>
            </w:r>
          </w:p>
        </w:tc>
        <w:tc>
          <w:tcPr>
            <w:tcW w:w="7938" w:type="dxa"/>
            <w:shd w:val="clear" w:color="auto" w:fill="FFFFFF" w:themeFill="background1"/>
          </w:tcPr>
          <w:p w14:paraId="7FE1C2CE" w14:textId="414718EB" w:rsidR="00534D9A" w:rsidRDefault="003243B2">
            <w:pPr>
              <w:pStyle w:val="P68B1DB1-Normal55"/>
              <w:spacing w:line="276" w:lineRule="auto"/>
              <w:jc w:val="both"/>
              <w:rPr>
                <w:bCs/>
              </w:rPr>
            </w:pPr>
            <w:r>
              <w:t>Numru</w:t>
            </w:r>
          </w:p>
          <w:p w14:paraId="7FE1C2CF" w14:textId="77777777" w:rsidR="00534D9A" w:rsidRDefault="003243B2">
            <w:pPr>
              <w:pStyle w:val="P68B1DB1-Normal45"/>
              <w:spacing w:line="276" w:lineRule="auto"/>
              <w:jc w:val="both"/>
            </w:pPr>
            <w:r>
              <w:t>Il-kodiċi tal-kumpanija omm irrapportat fil-kolonna 0080 għandu jkun:</w:t>
            </w:r>
          </w:p>
          <w:p w14:paraId="7FE1C2D0" w14:textId="77777777" w:rsidR="00534D9A" w:rsidRDefault="003243B2">
            <w:pPr>
              <w:pStyle w:val="P68B1DB1-Normal45"/>
              <w:spacing w:line="276" w:lineRule="auto"/>
              <w:jc w:val="both"/>
            </w:pPr>
            <w:r>
              <w:t>— għall-entitajiet b’Identifikatur ta’ Entità Ġuridika (LEI), il-kodiċi alfanumeriku tal-LEI b’ 20 ċifri;</w:t>
            </w:r>
          </w:p>
          <w:p w14:paraId="7FE1C2D1" w14:textId="77777777" w:rsidR="00534D9A" w:rsidRDefault="003243B2">
            <w:pPr>
              <w:pStyle w:val="P68B1DB1-Normal45"/>
              <w:spacing w:line="276" w:lineRule="auto"/>
              <w:jc w:val="both"/>
            </w:pPr>
            <w:r>
              <w:t xml:space="preserve">— għal entitajiet mingħajr LEI, in-numru tar-reġistrazzjoni korporattiva skont il-liġi nazzjonali. </w:t>
            </w:r>
          </w:p>
          <w:p w14:paraId="7FE1C2D2" w14:textId="77777777" w:rsidR="00534D9A" w:rsidRDefault="00534D9A">
            <w:pPr>
              <w:spacing w:line="276" w:lineRule="auto"/>
              <w:jc w:val="both"/>
              <w:rPr>
                <w:rFonts w:ascii="Times New Roman" w:eastAsia="Calibri" w:hAnsi="Times New Roman" w:cs="Times New Roman"/>
                <w:sz w:val="20"/>
              </w:rPr>
            </w:pPr>
          </w:p>
        </w:tc>
      </w:tr>
      <w:tr w:rsidR="00534D9A" w14:paraId="7FE1C2DC" w14:textId="77777777">
        <w:trPr>
          <w:trHeight w:val="463"/>
        </w:trPr>
        <w:tc>
          <w:tcPr>
            <w:tcW w:w="1129" w:type="dxa"/>
          </w:tcPr>
          <w:p w14:paraId="7FE1C2D4" w14:textId="77777777" w:rsidR="00534D9A" w:rsidRDefault="003243B2">
            <w:pPr>
              <w:pStyle w:val="P68B1DB1-Normal45"/>
              <w:spacing w:line="276" w:lineRule="auto"/>
              <w:jc w:val="both"/>
            </w:pPr>
            <w:r>
              <w:t>0100</w:t>
            </w:r>
          </w:p>
        </w:tc>
        <w:tc>
          <w:tcPr>
            <w:tcW w:w="7938" w:type="dxa"/>
            <w:shd w:val="clear" w:color="auto" w:fill="FFFFFF" w:themeFill="background1"/>
          </w:tcPr>
          <w:p w14:paraId="7FE1C2D5" w14:textId="77777777" w:rsidR="00534D9A" w:rsidRDefault="003243B2">
            <w:pPr>
              <w:pStyle w:val="P68B1DB1-Normal55"/>
              <w:spacing w:line="276" w:lineRule="auto"/>
              <w:jc w:val="both"/>
              <w:rPr>
                <w:bCs/>
              </w:rPr>
            </w:pPr>
            <w:r>
              <w:t xml:space="preserve">Tip ta’ kodiċi </w:t>
            </w:r>
          </w:p>
          <w:p w14:paraId="7FE1C2D6" w14:textId="77777777" w:rsidR="00534D9A" w:rsidRDefault="003243B2">
            <w:pPr>
              <w:pStyle w:val="P68B1DB1-Normal57"/>
              <w:spacing w:line="276" w:lineRule="auto"/>
              <w:contextualSpacing/>
              <w:jc w:val="both"/>
              <w:rPr>
                <w:bCs/>
              </w:rPr>
            </w:pPr>
            <w:r>
              <w:t>Irrapporta wieħed minn dawn il-valuri li ġejjin:</w:t>
            </w:r>
          </w:p>
          <w:p w14:paraId="7FE1C2D7" w14:textId="77777777" w:rsidR="00534D9A" w:rsidRDefault="003243B2">
            <w:pPr>
              <w:pStyle w:val="P68B1DB1-ListParagraph58"/>
              <w:numPr>
                <w:ilvl w:val="0"/>
                <w:numId w:val="64"/>
              </w:numPr>
              <w:spacing w:line="276" w:lineRule="auto"/>
              <w:contextualSpacing/>
              <w:jc w:val="both"/>
            </w:pPr>
            <w:r>
              <w:t>LEI</w:t>
            </w:r>
          </w:p>
          <w:p w14:paraId="7FE1C2D8" w14:textId="77777777" w:rsidR="00534D9A" w:rsidRDefault="003243B2">
            <w:pPr>
              <w:pStyle w:val="P68B1DB1-ListParagraph58"/>
              <w:numPr>
                <w:ilvl w:val="0"/>
                <w:numId w:val="64"/>
              </w:numPr>
              <w:spacing w:line="276" w:lineRule="auto"/>
              <w:contextualSpacing/>
              <w:jc w:val="both"/>
            </w:pPr>
            <w:r>
              <w:t>Numru ta’ reġistrazzjoni korporattiv</w:t>
            </w:r>
          </w:p>
          <w:p w14:paraId="7FE1C2DB" w14:textId="010B0D6D" w:rsidR="00534D9A" w:rsidRDefault="00534D9A">
            <w:pPr>
              <w:spacing w:line="276" w:lineRule="auto"/>
              <w:jc w:val="both"/>
              <w:rPr>
                <w:rFonts w:ascii="Times New Roman" w:eastAsia="Calibri" w:hAnsi="Times New Roman" w:cs="Times New Roman"/>
                <w:sz w:val="20"/>
              </w:rPr>
            </w:pPr>
          </w:p>
        </w:tc>
      </w:tr>
      <w:tr w:rsidR="00534D9A" w14:paraId="7FE1C2E4" w14:textId="77777777">
        <w:trPr>
          <w:trHeight w:val="463"/>
        </w:trPr>
        <w:tc>
          <w:tcPr>
            <w:tcW w:w="1129" w:type="dxa"/>
            <w:shd w:val="clear" w:color="auto" w:fill="FFFFFF" w:themeFill="background1"/>
          </w:tcPr>
          <w:p w14:paraId="7FE1C2DD" w14:textId="77777777" w:rsidR="00534D9A" w:rsidRDefault="003243B2">
            <w:pPr>
              <w:pStyle w:val="P68B1DB1-Normal45"/>
              <w:spacing w:line="276" w:lineRule="auto"/>
              <w:jc w:val="both"/>
            </w:pPr>
            <w:r>
              <w:t>0110</w:t>
            </w:r>
          </w:p>
        </w:tc>
        <w:tc>
          <w:tcPr>
            <w:tcW w:w="7938" w:type="dxa"/>
            <w:shd w:val="clear" w:color="auto" w:fill="FFFFFF" w:themeFill="background1"/>
          </w:tcPr>
          <w:p w14:paraId="7FE1C2DE" w14:textId="77777777" w:rsidR="00534D9A" w:rsidRDefault="003243B2">
            <w:pPr>
              <w:pStyle w:val="P68B1DB1-Normal45"/>
              <w:spacing w:line="276" w:lineRule="auto"/>
              <w:jc w:val="both"/>
            </w:pPr>
            <w:r>
              <w:rPr>
                <w:b/>
              </w:rPr>
              <w:t>It-twassil tas-servizz</w:t>
            </w:r>
            <w:r>
              <w:t xml:space="preserve"> </w:t>
            </w:r>
          </w:p>
          <w:p w14:paraId="7FE1C2DF" w14:textId="77777777" w:rsidR="00534D9A" w:rsidRDefault="003243B2">
            <w:pPr>
              <w:pStyle w:val="P68B1DB1-Normal45"/>
              <w:spacing w:line="276" w:lineRule="auto"/>
              <w:jc w:val="both"/>
            </w:pPr>
            <w:r>
              <w:t>“Intra-entità” jekk is-servizz jiġi pprovdut minn unità ta’ negozju waħda lil unità ta’ negozju oħra tal-istess entità ġuridika.</w:t>
            </w:r>
          </w:p>
          <w:p w14:paraId="7FE1C2E0" w14:textId="200EB8B6" w:rsidR="00534D9A" w:rsidRDefault="003243B2">
            <w:pPr>
              <w:spacing w:line="276" w:lineRule="auto"/>
              <w:jc w:val="both"/>
              <w:rPr>
                <w:rFonts w:ascii="Times New Roman" w:eastAsia="Calibri" w:hAnsi="Times New Roman" w:cs="Times New Roman"/>
                <w:sz w:val="20"/>
              </w:rPr>
            </w:pPr>
            <w:r>
              <w:rPr>
                <w:rFonts w:ascii="Times New Roman" w:eastAsia="Calibri" w:hAnsi="Times New Roman" w:cs="Times New Roman"/>
                <w:sz w:val="20"/>
              </w:rPr>
              <w:t>“Intragrupp — entità regolata”</w:t>
            </w:r>
            <w:r>
              <w:rPr>
                <w:rFonts w:ascii="Times New Roman" w:hAnsi="Times New Roman" w:cs="Times New Roman"/>
              </w:rPr>
              <w:t xml:space="preserve"> jekk </w:t>
            </w:r>
            <w:r>
              <w:rPr>
                <w:rFonts w:ascii="Times New Roman" w:eastAsia="Calibri" w:hAnsi="Times New Roman" w:cs="Times New Roman"/>
                <w:sz w:val="20"/>
              </w:rPr>
              <w:t>is-servizz huwa</w:t>
            </w:r>
            <w:r>
              <w:rPr>
                <w:rFonts w:ascii="Times New Roman" w:hAnsi="Times New Roman" w:cs="Times New Roman"/>
              </w:rPr>
              <w:t xml:space="preserve"> </w:t>
            </w:r>
            <w:r>
              <w:rPr>
                <w:rFonts w:ascii="Times New Roman" w:eastAsia="Calibri" w:hAnsi="Times New Roman" w:cs="Times New Roman"/>
                <w:sz w:val="20"/>
              </w:rPr>
              <w:t>pprovdut minn entità tal-grupp li hija soġġetta għal regolamentazzjoni prudenzjali fir-rigward ta’ kapital/likwidità fuq bażi individwali, inkluż fejn ir-rekwiżiti prudenzjali huma rinunzjati.</w:t>
            </w:r>
          </w:p>
          <w:p w14:paraId="7FE1C2E1" w14:textId="6FD0E03D" w:rsidR="00534D9A" w:rsidRDefault="003243B2">
            <w:pPr>
              <w:pStyle w:val="P68B1DB1-Normal45"/>
              <w:spacing w:line="276" w:lineRule="auto"/>
              <w:jc w:val="both"/>
            </w:pPr>
            <w:r>
              <w:t>“Entità intragrupp — mhux regolata” jekk is-servizz jiġi pprovdut minn entità tal-grupp li tkun entità operattiva mhux soġġetta għal regolamentazzjoni prudenzjali rigward il-kapital/likwidità fuq bażi individwali, inkluż fejn ir-rekwiżiti prudenzjali jiġu rrinunzjati.</w:t>
            </w:r>
          </w:p>
          <w:p w14:paraId="7FE1C2E2" w14:textId="7B6AA381" w:rsidR="00534D9A" w:rsidRDefault="003243B2">
            <w:pPr>
              <w:pStyle w:val="P68B1DB1-Normal45"/>
              <w:spacing w:line="276" w:lineRule="auto"/>
              <w:jc w:val="both"/>
            </w:pPr>
            <w:r>
              <w:t>“Entità esterna” jekk is-servizz jiġi pprovdut minn fornitur estern li jkun barra mill-grupp.</w:t>
            </w:r>
          </w:p>
          <w:p w14:paraId="7FE1C2E3" w14:textId="77777777" w:rsidR="00534D9A" w:rsidRDefault="00534D9A">
            <w:pPr>
              <w:spacing w:line="276" w:lineRule="auto"/>
              <w:jc w:val="both"/>
              <w:rPr>
                <w:rFonts w:ascii="Times New Roman" w:eastAsia="Calibri" w:hAnsi="Times New Roman" w:cs="Times New Roman"/>
                <w:i/>
                <w:sz w:val="20"/>
              </w:rPr>
            </w:pPr>
          </w:p>
        </w:tc>
      </w:tr>
      <w:tr w:rsidR="00534D9A" w14:paraId="7FE1C2EB" w14:textId="77777777">
        <w:trPr>
          <w:trHeight w:val="463"/>
        </w:trPr>
        <w:tc>
          <w:tcPr>
            <w:tcW w:w="1129" w:type="dxa"/>
            <w:shd w:val="clear" w:color="auto" w:fill="FFFFFF" w:themeFill="background1"/>
          </w:tcPr>
          <w:p w14:paraId="7FE1C2E5" w14:textId="77777777" w:rsidR="00534D9A" w:rsidRDefault="003243B2">
            <w:pPr>
              <w:pStyle w:val="P68B1DB1-Normal50"/>
              <w:spacing w:line="276" w:lineRule="auto"/>
              <w:jc w:val="both"/>
            </w:pPr>
            <w:r>
              <w:t>0120</w:t>
            </w:r>
          </w:p>
          <w:p w14:paraId="7FE1C2E6" w14:textId="77777777" w:rsidR="00534D9A" w:rsidRDefault="00534D9A">
            <w:pPr>
              <w:spacing w:line="276" w:lineRule="auto"/>
              <w:jc w:val="both"/>
              <w:rPr>
                <w:rFonts w:ascii="Times New Roman" w:eastAsia="Calibri" w:hAnsi="Times New Roman" w:cs="Times New Roman"/>
                <w:strike/>
                <w:sz w:val="20"/>
              </w:rPr>
            </w:pPr>
          </w:p>
        </w:tc>
        <w:tc>
          <w:tcPr>
            <w:tcW w:w="7938" w:type="dxa"/>
            <w:shd w:val="clear" w:color="auto" w:fill="FFFFFF" w:themeFill="background1"/>
          </w:tcPr>
          <w:p w14:paraId="7FE1C2E7" w14:textId="77777777" w:rsidR="00534D9A" w:rsidRDefault="003243B2">
            <w:pPr>
              <w:pStyle w:val="P68B1DB1-Normal49"/>
              <w:spacing w:line="276" w:lineRule="auto"/>
              <w:jc w:val="both"/>
              <w:rPr>
                <w:bCs/>
                <w:strike/>
              </w:rPr>
            </w:pPr>
            <w:r>
              <w:t>Kritikalità</w:t>
            </w:r>
            <w:r>
              <w:rPr>
                <w:strike/>
              </w:rPr>
              <w:t xml:space="preserve"> </w:t>
            </w:r>
          </w:p>
          <w:p w14:paraId="7FE1C2E8" w14:textId="77777777" w:rsidR="00534D9A" w:rsidRDefault="003243B2">
            <w:pPr>
              <w:pStyle w:val="P68B1DB1-ListParagraph58"/>
              <w:numPr>
                <w:ilvl w:val="0"/>
                <w:numId w:val="239"/>
              </w:numPr>
              <w:spacing w:line="276" w:lineRule="auto"/>
              <w:contextualSpacing/>
              <w:jc w:val="both"/>
            </w:pPr>
            <w:r>
              <w:lastRenderedPageBreak/>
              <w:t>Kritiku: jekk is-servizz ikun meħtieġ għat-twettiq ta’ funzjoni kritika waħda jew aktar, li d-diskontinwità tagħhom timpedixxi jew tipprevjeni serjament it-twettiq ta’ dawk il-funzjonijiet kritiċi.</w:t>
            </w:r>
          </w:p>
          <w:p w14:paraId="7FE1C2E9" w14:textId="77777777" w:rsidR="00534D9A" w:rsidRDefault="003243B2">
            <w:pPr>
              <w:pStyle w:val="P68B1DB1-ListParagraph9"/>
              <w:numPr>
                <w:ilvl w:val="0"/>
                <w:numId w:val="239"/>
              </w:numPr>
              <w:spacing w:line="276" w:lineRule="auto"/>
              <w:contextualSpacing/>
              <w:jc w:val="both"/>
              <w:rPr>
                <w:sz w:val="20"/>
              </w:rPr>
            </w:pPr>
            <w:r>
              <w:rPr>
                <w:sz w:val="20"/>
              </w:rPr>
              <w:t>Essenzjali: jekk is-servizz</w:t>
            </w:r>
            <w:r>
              <w:t xml:space="preserve"> </w:t>
            </w:r>
            <w:r>
              <w:rPr>
                <w:sz w:val="20"/>
              </w:rPr>
              <w:t>ikun assoċjat ma’ linji tan-negozju ewlenin, li l-kontinwità tagħhom tkun meħtieġa għall-eżekuzzjoni effettiva tal-istrateġija ta’ riżoluzzjoni u kwalunkwe ristrutturar konsegwenti.</w:t>
            </w:r>
          </w:p>
          <w:p w14:paraId="7FE1C2EA" w14:textId="3B37659B" w:rsidR="00534D9A" w:rsidRDefault="003243B2">
            <w:pPr>
              <w:pStyle w:val="P68B1DB1-ListParagraph58"/>
              <w:numPr>
                <w:ilvl w:val="0"/>
                <w:numId w:val="239"/>
              </w:numPr>
              <w:spacing w:line="276" w:lineRule="auto"/>
              <w:contextualSpacing/>
              <w:jc w:val="both"/>
            </w:pPr>
            <w:r>
              <w:t>Kritiċi u essenzjali</w:t>
            </w:r>
          </w:p>
        </w:tc>
      </w:tr>
      <w:tr w:rsidR="00534D9A" w14:paraId="7FE1C2F0" w14:textId="77777777">
        <w:trPr>
          <w:trHeight w:val="463"/>
        </w:trPr>
        <w:tc>
          <w:tcPr>
            <w:tcW w:w="1129" w:type="dxa"/>
            <w:shd w:val="clear" w:color="auto" w:fill="FFFFFF" w:themeFill="background1"/>
          </w:tcPr>
          <w:p w14:paraId="7FE1C2EC" w14:textId="77777777" w:rsidR="00534D9A" w:rsidRDefault="003243B2">
            <w:pPr>
              <w:pStyle w:val="P68B1DB1-Normal45"/>
              <w:spacing w:line="276" w:lineRule="auto"/>
              <w:jc w:val="both"/>
            </w:pPr>
            <w:r>
              <w:lastRenderedPageBreak/>
              <w:t>0130</w:t>
            </w:r>
          </w:p>
        </w:tc>
        <w:tc>
          <w:tcPr>
            <w:tcW w:w="7938" w:type="dxa"/>
            <w:shd w:val="clear" w:color="auto" w:fill="FFFFFF" w:themeFill="background1"/>
          </w:tcPr>
          <w:p w14:paraId="7FE1C2ED" w14:textId="77777777" w:rsidR="00534D9A" w:rsidRDefault="003243B2">
            <w:pPr>
              <w:pStyle w:val="P68B1DB1-Normal49"/>
              <w:spacing w:line="276" w:lineRule="auto"/>
              <w:jc w:val="both"/>
              <w:rPr>
                <w:bCs/>
              </w:rPr>
            </w:pPr>
            <w:r>
              <w:t>ID tal-kuntratt</w:t>
            </w:r>
          </w:p>
          <w:p w14:paraId="7FE1C2EE" w14:textId="77777777" w:rsidR="00534D9A" w:rsidRDefault="003243B2">
            <w:pPr>
              <w:pStyle w:val="P68B1DB1-Normal45"/>
              <w:spacing w:line="276" w:lineRule="auto"/>
              <w:jc w:val="both"/>
            </w:pPr>
            <w:r>
              <w:t>Identifikatur uniku tal-kuntratt tal-kuntratt li jirfed is-servizz skont it-tassonomija tas-servizz tal-grupp.</w:t>
            </w:r>
          </w:p>
          <w:p w14:paraId="7FE1C2EF" w14:textId="77777777" w:rsidR="00534D9A" w:rsidRDefault="00534D9A">
            <w:pPr>
              <w:spacing w:line="276" w:lineRule="auto"/>
              <w:jc w:val="both"/>
              <w:rPr>
                <w:rFonts w:ascii="Times New Roman" w:eastAsia="Calibri" w:hAnsi="Times New Roman" w:cs="Times New Roman"/>
                <w:sz w:val="20"/>
              </w:rPr>
            </w:pPr>
          </w:p>
        </w:tc>
      </w:tr>
      <w:tr w:rsidR="00534D9A" w14:paraId="7FE1C2F6" w14:textId="77777777">
        <w:trPr>
          <w:trHeight w:val="628"/>
        </w:trPr>
        <w:tc>
          <w:tcPr>
            <w:tcW w:w="1129" w:type="dxa"/>
          </w:tcPr>
          <w:p w14:paraId="7FE1C2F1" w14:textId="77777777" w:rsidR="00534D9A" w:rsidRDefault="003243B2">
            <w:pPr>
              <w:pStyle w:val="P68B1DB1-Normal45"/>
              <w:spacing w:line="276" w:lineRule="auto"/>
              <w:jc w:val="both"/>
            </w:pPr>
            <w:r>
              <w:t>0140</w:t>
            </w:r>
          </w:p>
          <w:p w14:paraId="7FE1C2F2" w14:textId="77777777" w:rsidR="00534D9A" w:rsidRDefault="00534D9A">
            <w:pPr>
              <w:spacing w:line="276" w:lineRule="auto"/>
              <w:jc w:val="both"/>
              <w:rPr>
                <w:rFonts w:ascii="Times New Roman" w:eastAsia="Calibri" w:hAnsi="Times New Roman" w:cs="Times New Roman"/>
                <w:strike/>
                <w:sz w:val="20"/>
              </w:rPr>
            </w:pPr>
          </w:p>
        </w:tc>
        <w:tc>
          <w:tcPr>
            <w:tcW w:w="7938" w:type="dxa"/>
          </w:tcPr>
          <w:p w14:paraId="7FE1C2F3" w14:textId="77777777" w:rsidR="00534D9A" w:rsidRDefault="003243B2">
            <w:pPr>
              <w:pStyle w:val="P68B1DB1-Normal55"/>
              <w:spacing w:line="276" w:lineRule="auto"/>
              <w:jc w:val="both"/>
            </w:pPr>
            <w:r>
              <w:rPr>
                <w:szCs w:val="20"/>
              </w:rPr>
              <w:t>Liġi li tirregola</w:t>
            </w:r>
            <w:r>
              <w:t xml:space="preserve"> </w:t>
            </w:r>
          </w:p>
          <w:p w14:paraId="7FE1C2F4" w14:textId="77777777" w:rsidR="00534D9A" w:rsidRDefault="003243B2">
            <w:pPr>
              <w:pStyle w:val="P68B1DB1-Normal45"/>
              <w:spacing w:line="276" w:lineRule="auto"/>
              <w:jc w:val="both"/>
            </w:pPr>
            <w:r>
              <w:t>Il-kodiċi ISO tal-kodiċi tal-pajjiż li l-kuntratt ikun irregolat mil-liġi tiegħu.</w:t>
            </w:r>
          </w:p>
          <w:p w14:paraId="7FE1C2F5" w14:textId="77777777" w:rsidR="00534D9A" w:rsidRDefault="00534D9A">
            <w:pPr>
              <w:spacing w:line="276" w:lineRule="auto"/>
              <w:jc w:val="both"/>
              <w:rPr>
                <w:rFonts w:ascii="Times New Roman" w:eastAsia="Calibri" w:hAnsi="Times New Roman" w:cs="Times New Roman"/>
                <w:sz w:val="20"/>
              </w:rPr>
            </w:pPr>
          </w:p>
        </w:tc>
      </w:tr>
      <w:tr w:rsidR="00534D9A" w14:paraId="7FE1C2FC" w14:textId="77777777">
        <w:trPr>
          <w:trHeight w:val="628"/>
        </w:trPr>
        <w:tc>
          <w:tcPr>
            <w:tcW w:w="1129" w:type="dxa"/>
          </w:tcPr>
          <w:p w14:paraId="7FE1C2F7" w14:textId="77777777" w:rsidR="00534D9A" w:rsidRDefault="003243B2">
            <w:pPr>
              <w:pStyle w:val="P68B1DB1-Normal45"/>
              <w:spacing w:line="276" w:lineRule="auto"/>
              <w:jc w:val="both"/>
            </w:pPr>
            <w:r>
              <w:t>0150–0170</w:t>
            </w:r>
          </w:p>
          <w:p w14:paraId="7FE1C2F8" w14:textId="77777777" w:rsidR="00534D9A" w:rsidRDefault="00534D9A">
            <w:pPr>
              <w:spacing w:line="276" w:lineRule="auto"/>
              <w:jc w:val="both"/>
              <w:rPr>
                <w:rFonts w:ascii="Times New Roman" w:eastAsia="Calibri" w:hAnsi="Times New Roman" w:cs="Times New Roman"/>
                <w:strike/>
                <w:sz w:val="20"/>
              </w:rPr>
            </w:pPr>
          </w:p>
        </w:tc>
        <w:tc>
          <w:tcPr>
            <w:tcW w:w="7938" w:type="dxa"/>
          </w:tcPr>
          <w:p w14:paraId="7FE1C2F9" w14:textId="77777777" w:rsidR="00534D9A" w:rsidRDefault="003243B2">
            <w:pPr>
              <w:pStyle w:val="P68B1DB1-Normal49"/>
              <w:spacing w:before="120" w:after="120" w:line="276" w:lineRule="auto"/>
              <w:rPr>
                <w:bCs/>
                <w:iCs/>
              </w:rPr>
            </w:pPr>
            <w:r>
              <w:t xml:space="preserve">Reżiljenza tar-riżoluzzjoni </w:t>
            </w:r>
          </w:p>
          <w:p w14:paraId="7FE1C2FA" w14:textId="77777777" w:rsidR="00534D9A" w:rsidRDefault="003243B2">
            <w:pPr>
              <w:pStyle w:val="P68B1DB1-NormalWeb59"/>
              <w:spacing w:before="0" w:beforeAutospacing="0" w:after="0" w:afterAutospacing="0"/>
              <w:rPr>
                <w:iCs/>
                <w:szCs w:val="20"/>
              </w:rPr>
            </w:pPr>
            <w:r>
              <w:rPr>
                <w:szCs w:val="20"/>
              </w:rPr>
              <w:t xml:space="preserve">Il-valutazzjoni dwar jekk il-kuntratt li jappoġġa s-servizz irrapportat fil-kolonna 0020 jistax jitkompla u jiġi ttrasferit matul l-implimentazzjoni tal-istrateġija ta’ riżoluzzjoni, inkluż il-pjan ta’ riorganizzazzjoni tan-negozju, </w:t>
            </w:r>
            <w:r>
              <w:t>f’konformità mal-EBA/GL/2022/01 u l-liġijiet nazzjonali rilevanti.</w:t>
            </w:r>
          </w:p>
          <w:p w14:paraId="7FE1C2FB" w14:textId="77777777" w:rsidR="00534D9A" w:rsidRDefault="00534D9A">
            <w:pPr>
              <w:spacing w:line="276" w:lineRule="auto"/>
              <w:jc w:val="both"/>
              <w:rPr>
                <w:rFonts w:ascii="Times New Roman" w:eastAsia="Calibri" w:hAnsi="Times New Roman" w:cs="Times New Roman"/>
                <w:iCs/>
                <w:sz w:val="20"/>
                <w:szCs w:val="20"/>
              </w:rPr>
            </w:pPr>
          </w:p>
        </w:tc>
      </w:tr>
      <w:tr w:rsidR="00534D9A" w14:paraId="7FE1C30C" w14:textId="77777777">
        <w:trPr>
          <w:trHeight w:val="2120"/>
        </w:trPr>
        <w:tc>
          <w:tcPr>
            <w:tcW w:w="1129" w:type="dxa"/>
          </w:tcPr>
          <w:p w14:paraId="7FE1C2FD" w14:textId="77777777" w:rsidR="00534D9A" w:rsidRDefault="003243B2">
            <w:pPr>
              <w:pStyle w:val="P68B1DB1-Normal45"/>
              <w:spacing w:line="276" w:lineRule="auto"/>
              <w:jc w:val="both"/>
            </w:pPr>
            <w:r>
              <w:t>0150</w:t>
            </w:r>
          </w:p>
        </w:tc>
        <w:tc>
          <w:tcPr>
            <w:tcW w:w="7938" w:type="dxa"/>
          </w:tcPr>
          <w:p w14:paraId="7FE1C2FE" w14:textId="77777777" w:rsidR="00534D9A" w:rsidRDefault="003243B2">
            <w:pPr>
              <w:pStyle w:val="P68B1DB1-Normal55"/>
              <w:spacing w:line="276" w:lineRule="auto"/>
              <w:jc w:val="both"/>
              <w:rPr>
                <w:bCs/>
              </w:rPr>
            </w:pPr>
            <w:r>
              <w:rPr>
                <w:szCs w:val="20"/>
              </w:rPr>
              <w:t>Karatteristiċi tar-Reżiljenza tar-riżoluzzjoni</w:t>
            </w:r>
            <w:r>
              <w:t xml:space="preserve"> </w:t>
            </w:r>
          </w:p>
          <w:p w14:paraId="7FE1C2FF" w14:textId="77777777" w:rsidR="00534D9A" w:rsidRDefault="003243B2">
            <w:pPr>
              <w:pStyle w:val="P68B1DB1-Normal50"/>
              <w:spacing w:line="276" w:lineRule="auto"/>
              <w:jc w:val="both"/>
              <w:rPr>
                <w:iCs/>
              </w:rPr>
            </w:pPr>
            <w:r>
              <w:t>Il-karatteristiċi reżiljenti għar-riżoluzzjoni huma proprjetajiet li kuntratt ta’ servizz rilevanti huwa mistenni li jkollu sabiex jitqies reżiljenti għar-riżoluzzjoni. Dawn jinkludu dawn li ġejjin, sakemm l-obbligi sostantivi skont il-kuntratt jibqgħu jiġu eżegwiti:</w:t>
            </w:r>
          </w:p>
          <w:p w14:paraId="7FE1C300" w14:textId="77777777" w:rsidR="00534D9A" w:rsidRDefault="003243B2">
            <w:pPr>
              <w:pStyle w:val="P68B1DB1-ListParagraph60"/>
              <w:numPr>
                <w:ilvl w:val="0"/>
                <w:numId w:val="240"/>
              </w:numPr>
              <w:spacing w:line="276" w:lineRule="auto"/>
              <w:ind w:left="500"/>
              <w:contextualSpacing/>
              <w:jc w:val="both"/>
              <w:rPr>
                <w:iCs/>
              </w:rPr>
            </w:pPr>
            <w:r>
              <w:t xml:space="preserve">l-ebda terminazzjoni, sospensjoni jew modifika għal raġunijiet ta’ riżoluzzjoni (inkluża r-riorganizzazzjoni tan-negozju skont l-Artikolu 51 tad-Direttiva 2014/59/UE); </w:t>
            </w:r>
          </w:p>
          <w:p w14:paraId="7FE1C301" w14:textId="77777777" w:rsidR="00534D9A" w:rsidRDefault="003243B2">
            <w:pPr>
              <w:pStyle w:val="P68B1DB1-ListParagraph60"/>
              <w:numPr>
                <w:ilvl w:val="0"/>
                <w:numId w:val="240"/>
              </w:numPr>
              <w:spacing w:line="276" w:lineRule="auto"/>
              <w:ind w:left="500"/>
              <w:contextualSpacing/>
              <w:jc w:val="both"/>
              <w:rPr>
                <w:iCs/>
              </w:rPr>
            </w:pPr>
            <w:r>
              <w:t xml:space="preserve">it-trasferibbiltà tal-forniment ta’ servizz lil riċevitur ġdid jew mir-riċevitur tas-servizz jew mill-awtorità ta’ riżoluzzjoni minħabba riżoluzzjoni (inkluża r-riorganizzazzjoni skont l-Artikolu 51 tad-Direttiva 2014/59/UE); </w:t>
            </w:r>
          </w:p>
          <w:p w14:paraId="7FE1C302" w14:textId="77777777" w:rsidR="00534D9A" w:rsidRDefault="003243B2">
            <w:pPr>
              <w:pStyle w:val="P68B1DB1-ListParagraph60"/>
              <w:numPr>
                <w:ilvl w:val="0"/>
                <w:numId w:val="240"/>
              </w:numPr>
              <w:spacing w:line="276" w:lineRule="auto"/>
              <w:ind w:left="500"/>
              <w:contextualSpacing/>
              <w:jc w:val="both"/>
              <w:rPr>
                <w:iCs/>
              </w:rPr>
            </w:pPr>
            <w:r>
              <w:t>l-appoġġ fit-trasferiment jew fit-terminazzjoni li jseħħ matul ir-riżoluzzjoni (inkluża r-riorganizzazzjoni skont l-Artikolu 51 tad-Direttiva 2014/59/UE) għal perjodu raġonevoli (bħal 24-il xahar) mill-fornitur tas-servizz attwali u taħt l-istess termini u kundizzjonijiet; kif ukoll</w:t>
            </w:r>
          </w:p>
          <w:p w14:paraId="7FE1C303" w14:textId="77777777" w:rsidR="00534D9A" w:rsidRDefault="003243B2">
            <w:pPr>
              <w:pStyle w:val="P68B1DB1-ListParagraph60"/>
              <w:numPr>
                <w:ilvl w:val="0"/>
                <w:numId w:val="240"/>
              </w:numPr>
              <w:spacing w:line="276" w:lineRule="auto"/>
              <w:ind w:left="500"/>
              <w:contextualSpacing/>
              <w:jc w:val="both"/>
              <w:rPr>
                <w:iCs/>
              </w:rPr>
            </w:pPr>
            <w:r>
              <w:t>il-forniment kontinwu ta’ servizz lil entità fi grupp divestita matul riżoluzzjoni (inkluża r-riorganizzazzjoni skont l-Artikolu 51 tad-Direttiva 2014/59/UE), għal perjodu ta’ żmien raġonevoli wara ċ-ċessjoni — bħal 24-il xahar.</w:t>
            </w:r>
          </w:p>
          <w:p w14:paraId="7FE1C304" w14:textId="77777777" w:rsidR="00534D9A" w:rsidRDefault="003243B2">
            <w:pPr>
              <w:spacing w:line="276" w:lineRule="auto"/>
              <w:jc w:val="both"/>
              <w:rPr>
                <w:rFonts w:ascii="Times New Roman" w:eastAsia="Calibri" w:hAnsi="Times New Roman" w:cs="Times New Roman"/>
                <w:iCs/>
                <w:sz w:val="20"/>
                <w:szCs w:val="20"/>
              </w:rPr>
            </w:pPr>
            <w:r>
              <w:rPr>
                <w:rFonts w:ascii="Times New Roman" w:eastAsia="Calibri" w:hAnsi="Times New Roman" w:cs="Times New Roman"/>
                <w:sz w:val="20"/>
                <w:szCs w:val="20"/>
              </w:rPr>
              <w:t>Dan japplika għal kuntratti li għalihom il-liġi regolatorja u l-ġuriżdizzjoni tal-kuntratt hija dik ta’ Stat Membru tal-UE</w:t>
            </w:r>
            <w:r>
              <w:rPr>
                <w:rStyle w:val="FootnoteReference"/>
                <w:rFonts w:ascii="Times New Roman" w:eastAsia="Calibri" w:hAnsi="Times New Roman" w:cs="Times New Roman"/>
                <w:sz w:val="20"/>
                <w:szCs w:val="20"/>
              </w:rPr>
              <w:footnoteReference w:id="26"/>
            </w:r>
            <w:r>
              <w:rPr>
                <w:rFonts w:ascii="Times New Roman" w:eastAsia="Calibri" w:hAnsi="Times New Roman" w:cs="Times New Roman"/>
                <w:sz w:val="20"/>
                <w:szCs w:val="20"/>
              </w:rPr>
              <w:t xml:space="preserve"> (“kuntratti tal-UE”), u kuntratti li għalihom tapplika l-liġi ta’ pajjiż terz.</w:t>
            </w:r>
          </w:p>
          <w:p w14:paraId="7FE1C305" w14:textId="77777777" w:rsidR="00534D9A" w:rsidRDefault="00534D9A">
            <w:pPr>
              <w:spacing w:line="276" w:lineRule="auto"/>
              <w:jc w:val="both"/>
              <w:rPr>
                <w:rFonts w:ascii="Times New Roman" w:eastAsia="Calibri" w:hAnsi="Times New Roman" w:cs="Times New Roman"/>
                <w:sz w:val="20"/>
              </w:rPr>
            </w:pPr>
          </w:p>
          <w:p w14:paraId="7FE1C306" w14:textId="77777777" w:rsidR="00534D9A" w:rsidRDefault="003243B2">
            <w:pPr>
              <w:pStyle w:val="P68B1DB1-Normal45"/>
              <w:spacing w:line="276" w:lineRule="auto"/>
              <w:jc w:val="both"/>
            </w:pPr>
            <w:r>
              <w:t>Irrapporta wieħed minn dawn il-valuri li ġejjin:</w:t>
            </w:r>
          </w:p>
          <w:p w14:paraId="7FE1C307" w14:textId="77777777" w:rsidR="00534D9A" w:rsidRDefault="003243B2">
            <w:pPr>
              <w:pStyle w:val="P68B1DB1-Normal50"/>
              <w:spacing w:line="276" w:lineRule="auto"/>
              <w:jc w:val="both"/>
            </w:pPr>
            <w:r>
              <w:t>“Iva” — jekk il-valutazzjoni tal-kuntratt tkun waħda ta’ kuntratt b’</w:t>
            </w:r>
            <w:r>
              <w:rPr>
                <w:strike/>
              </w:rPr>
              <w:t xml:space="preserve">validità għal </w:t>
            </w:r>
            <w:r>
              <w:t>riżoluzzjoni</w:t>
            </w:r>
          </w:p>
          <w:p w14:paraId="7FE1C308" w14:textId="77777777" w:rsidR="00534D9A" w:rsidRDefault="003243B2">
            <w:pPr>
              <w:pStyle w:val="P68B1DB1-Normal50"/>
              <w:spacing w:line="276" w:lineRule="auto"/>
              <w:jc w:val="both"/>
            </w:pPr>
            <w:r>
              <w:t>“Le” — jekk il-valutazzjoni tal-kuntratt ma tkunx waħda ta’ kuntratt b’</w:t>
            </w:r>
            <w:r>
              <w:rPr>
                <w:strike/>
              </w:rPr>
              <w:t xml:space="preserve"> validità għal </w:t>
            </w:r>
            <w:r>
              <w:t>riżoluzzjoni</w:t>
            </w:r>
          </w:p>
          <w:p w14:paraId="7FE1C309" w14:textId="77777777" w:rsidR="00534D9A" w:rsidRDefault="003243B2">
            <w:pPr>
              <w:pStyle w:val="P68B1DB1-Normal50"/>
              <w:spacing w:line="276" w:lineRule="auto"/>
              <w:jc w:val="both"/>
            </w:pPr>
            <w:r>
              <w:t>“Mhux valutat” — jekk ma tkun saret l-ebda valutazzjoni</w:t>
            </w:r>
          </w:p>
          <w:p w14:paraId="7FE1C30A" w14:textId="5741BAA8" w:rsidR="00534D9A" w:rsidRDefault="003243B2">
            <w:pPr>
              <w:pStyle w:val="P68B1DB1-Normal50"/>
              <w:spacing w:line="276" w:lineRule="auto"/>
              <w:jc w:val="both"/>
            </w:pPr>
            <w:r>
              <w:t>“Mhux APPLIKABBLI” — għal servizzi fi ħdan l-entità</w:t>
            </w:r>
          </w:p>
          <w:p w14:paraId="7FE1C30B" w14:textId="77777777" w:rsidR="00534D9A" w:rsidRDefault="00534D9A">
            <w:pPr>
              <w:spacing w:line="276" w:lineRule="auto"/>
              <w:jc w:val="both"/>
              <w:rPr>
                <w:rFonts w:ascii="Times New Roman" w:eastAsia="Calibri" w:hAnsi="Times New Roman" w:cs="Times New Roman"/>
                <w:sz w:val="20"/>
              </w:rPr>
            </w:pPr>
          </w:p>
        </w:tc>
      </w:tr>
      <w:tr w:rsidR="00534D9A" w14:paraId="7FE1C316" w14:textId="77777777">
        <w:trPr>
          <w:trHeight w:val="2120"/>
        </w:trPr>
        <w:tc>
          <w:tcPr>
            <w:tcW w:w="1129" w:type="dxa"/>
          </w:tcPr>
          <w:p w14:paraId="7FE1C30D" w14:textId="77777777" w:rsidR="00534D9A" w:rsidRDefault="003243B2">
            <w:pPr>
              <w:pStyle w:val="P68B1DB1-Normal45"/>
              <w:spacing w:line="276" w:lineRule="auto"/>
              <w:jc w:val="both"/>
            </w:pPr>
            <w:r>
              <w:lastRenderedPageBreak/>
              <w:t>0160</w:t>
            </w:r>
          </w:p>
        </w:tc>
        <w:tc>
          <w:tcPr>
            <w:tcW w:w="7938" w:type="dxa"/>
          </w:tcPr>
          <w:p w14:paraId="7FE1C30E" w14:textId="77777777" w:rsidR="00534D9A" w:rsidRDefault="003243B2">
            <w:pPr>
              <w:pStyle w:val="P68B1DB1-Normal55"/>
              <w:spacing w:line="276" w:lineRule="auto"/>
              <w:jc w:val="both"/>
              <w:rPr>
                <w:bCs/>
                <w:iCs/>
              </w:rPr>
            </w:pPr>
            <w:r>
              <w:t>Pjan ta’ Riorganizzazzjoni tan-Negozju (BRP)</w:t>
            </w:r>
          </w:p>
          <w:p w14:paraId="7FE1C30F" w14:textId="77777777" w:rsidR="00534D9A" w:rsidRDefault="003243B2">
            <w:pPr>
              <w:pStyle w:val="P68B1DB1-Normal45"/>
              <w:spacing w:line="276" w:lineRule="auto"/>
              <w:jc w:val="both"/>
              <w:rPr>
                <w:iCs/>
              </w:rPr>
            </w:pPr>
            <w:r>
              <w:t xml:space="preserve">Jekk l-istrateġija ta’ riżoluzzjoni (preferuta jew varjant) tirrikjedi pjan ta’ riorganizzazzjoni tan-negozju (BRP), il-kuntratti tal-UE huma mistennija li jinkludu klawżoli espliċiti biex jiżguraw ir-reżiljenza tar-riżoluzzjoni tagħhom fl-implimentazzjoni tal-BRP. </w:t>
            </w:r>
          </w:p>
          <w:p w14:paraId="7FE1C310" w14:textId="77777777" w:rsidR="00534D9A" w:rsidRDefault="00534D9A">
            <w:pPr>
              <w:spacing w:line="276" w:lineRule="auto"/>
              <w:jc w:val="both"/>
              <w:rPr>
                <w:rFonts w:ascii="Times New Roman" w:eastAsia="Calibri" w:hAnsi="Times New Roman" w:cs="Times New Roman"/>
                <w:iCs/>
                <w:sz w:val="20"/>
              </w:rPr>
            </w:pPr>
          </w:p>
          <w:p w14:paraId="7FE1C311" w14:textId="77777777" w:rsidR="00534D9A" w:rsidRDefault="003243B2">
            <w:pPr>
              <w:pStyle w:val="P68B1DB1-Normal45"/>
              <w:spacing w:line="276" w:lineRule="auto"/>
              <w:jc w:val="both"/>
              <w:rPr>
                <w:iCs/>
              </w:rPr>
            </w:pPr>
            <w:r>
              <w:t>Irrapporta wieħed minn dawn il-valuri li ġejjin:</w:t>
            </w:r>
          </w:p>
          <w:p w14:paraId="7FE1C312" w14:textId="77777777"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Iva” — jekk il-kuntratt jinkludi klawżoli espliċiti biex tiġi żgurata r-reżiljenza tar-riżoluzzjoni tagħhom fl-implimentazzjoni tal-BRP</w:t>
            </w:r>
          </w:p>
          <w:p w14:paraId="7FE1C313" w14:textId="77777777"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Le” — jekk il-kuntratt ma jinkludix klawżoli espliċiti biex tiġi żgurata r-reżiljenza tar-riżoluzzjoni tagħhom fl-implimentazzjoni tal-BRP</w:t>
            </w:r>
          </w:p>
          <w:p w14:paraId="7FE1C314" w14:textId="77777777"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Mhux valutat” — jekk ma tkun saret l-ebda valutazzjoni</w:t>
            </w:r>
          </w:p>
          <w:p w14:paraId="7FE1C315" w14:textId="0FA2A696"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 xml:space="preserve">Not APPLICABLE” — għal servizzi intra-entitajiet jew għal servizzi intragrupp u esterni, jekk l-istrateġija ta’ riżoluzzjoni (preferuta u varjant) ma tkunx teħtieġ pjan ta’ riorganizzazzjoni tan-negozju </w:t>
            </w:r>
          </w:p>
        </w:tc>
      </w:tr>
      <w:tr w:rsidR="00534D9A" w14:paraId="7FE1C320" w14:textId="77777777">
        <w:trPr>
          <w:trHeight w:val="416"/>
        </w:trPr>
        <w:tc>
          <w:tcPr>
            <w:tcW w:w="1129" w:type="dxa"/>
          </w:tcPr>
          <w:p w14:paraId="7FE1C317" w14:textId="77777777" w:rsidR="00534D9A" w:rsidRDefault="003243B2">
            <w:pPr>
              <w:pStyle w:val="P68B1DB1-Normal45"/>
              <w:spacing w:line="276" w:lineRule="auto"/>
              <w:jc w:val="both"/>
            </w:pPr>
            <w:r>
              <w:t>0170</w:t>
            </w:r>
          </w:p>
        </w:tc>
        <w:tc>
          <w:tcPr>
            <w:tcW w:w="7938" w:type="dxa"/>
          </w:tcPr>
          <w:p w14:paraId="7FE1C318" w14:textId="77777777" w:rsidR="00534D9A" w:rsidRDefault="003243B2">
            <w:pPr>
              <w:pStyle w:val="P68B1DB1-Normal55"/>
              <w:spacing w:line="276" w:lineRule="auto"/>
              <w:jc w:val="both"/>
              <w:rPr>
                <w:bCs/>
              </w:rPr>
            </w:pPr>
            <w:r>
              <w:t xml:space="preserve">Azzjonijiet alternattivi ta’ mitigazzjoni </w:t>
            </w:r>
          </w:p>
          <w:p w14:paraId="7FE1C319" w14:textId="77777777" w:rsidR="00534D9A" w:rsidRDefault="003243B2">
            <w:pPr>
              <w:pStyle w:val="P68B1DB1-Normal45"/>
              <w:spacing w:line="276" w:lineRule="auto"/>
              <w:jc w:val="both"/>
            </w:pPr>
            <w:r>
              <w:t xml:space="preserve">Fejn ir-reżiljenza tar-riżoluzzjoni hija mistennija li tinkiseb, iżda l-banek ma setgħux jagħmlu dan, il-banek huma mistennija jesploraw azzjonijiet alternattivi ta’ mitigazzjoni. </w:t>
            </w:r>
          </w:p>
          <w:p w14:paraId="7FE1C31A" w14:textId="77777777" w:rsidR="00534D9A" w:rsidRDefault="00534D9A">
            <w:pPr>
              <w:spacing w:line="276" w:lineRule="auto"/>
              <w:jc w:val="both"/>
              <w:rPr>
                <w:rFonts w:ascii="Times New Roman" w:eastAsia="Calibri" w:hAnsi="Times New Roman" w:cs="Times New Roman"/>
                <w:sz w:val="20"/>
              </w:rPr>
            </w:pPr>
          </w:p>
          <w:p w14:paraId="7FE1C31B" w14:textId="77777777" w:rsidR="00534D9A" w:rsidRDefault="003243B2">
            <w:pPr>
              <w:pStyle w:val="P68B1DB1-Normal45"/>
              <w:spacing w:line="276" w:lineRule="auto"/>
              <w:jc w:val="both"/>
              <w:rPr>
                <w:iCs/>
              </w:rPr>
            </w:pPr>
            <w:r>
              <w:t>Irrapporta wieħed minn dawn il-valuri li ġejjin:</w:t>
            </w:r>
          </w:p>
          <w:p w14:paraId="7FE1C31C" w14:textId="77777777"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Iva” — jekk il-bank implimenta azzjonijiet ta’ mitigazzjoni alternattivi</w:t>
            </w:r>
          </w:p>
          <w:p w14:paraId="7FE1C31D" w14:textId="77777777"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w:t>
            </w:r>
            <w:r>
              <w:rPr>
                <w:rFonts w:ascii="Times New Roman" w:eastAsia="Calibri" w:hAnsi="Times New Roman" w:cs="Times New Roman"/>
                <w:sz w:val="20"/>
              </w:rPr>
              <w:t>Le” — jekk il-bank ma jkunx implimenta azzjonijiet ta’ mitigazzjoni alternattivi</w:t>
            </w:r>
          </w:p>
          <w:p w14:paraId="7FE1C31E" w14:textId="7B22C50F" w:rsidR="00534D9A" w:rsidRDefault="003243B2">
            <w:pPr>
              <w:spacing w:line="276" w:lineRule="auto"/>
              <w:jc w:val="both"/>
              <w:rPr>
                <w:rFonts w:ascii="Times New Roman" w:eastAsia="Calibri" w:hAnsi="Times New Roman" w:cs="Times New Roman"/>
                <w:iCs/>
                <w:sz w:val="20"/>
              </w:rPr>
            </w:pPr>
            <w:r>
              <w:rPr>
                <w:rFonts w:ascii="Times New Roman" w:hAnsi="Times New Roman" w:cs="Times New Roman"/>
              </w:rPr>
              <w:t xml:space="preserve"> “</w:t>
            </w:r>
            <w:r>
              <w:rPr>
                <w:rFonts w:ascii="Times New Roman" w:eastAsia="Calibri" w:hAnsi="Times New Roman" w:cs="Times New Roman"/>
                <w:sz w:val="20"/>
              </w:rPr>
              <w:t>Mhux APPLIKABBLI” — f’każijiet fejn xi waħda mill-kolonni 0150, 0160 tkun immarkata bħala “Iva” jew “MHUX APPLIKABBLI”</w:t>
            </w:r>
          </w:p>
          <w:p w14:paraId="7FE1C31F" w14:textId="77777777" w:rsidR="00534D9A" w:rsidRDefault="00534D9A">
            <w:pPr>
              <w:spacing w:line="276" w:lineRule="auto"/>
              <w:jc w:val="both"/>
              <w:rPr>
                <w:rFonts w:ascii="Times New Roman" w:eastAsia="Calibri" w:hAnsi="Times New Roman" w:cs="Times New Roman"/>
                <w:sz w:val="20"/>
              </w:rPr>
            </w:pPr>
          </w:p>
        </w:tc>
      </w:tr>
      <w:tr w:rsidR="00534D9A" w14:paraId="7FE1C327" w14:textId="77777777">
        <w:trPr>
          <w:trHeight w:val="1257"/>
        </w:trPr>
        <w:tc>
          <w:tcPr>
            <w:tcW w:w="1129" w:type="dxa"/>
          </w:tcPr>
          <w:p w14:paraId="7FE1C321" w14:textId="77777777" w:rsidR="00534D9A" w:rsidRDefault="003243B2">
            <w:pPr>
              <w:pStyle w:val="P68B1DB1-Normal45"/>
              <w:spacing w:line="276" w:lineRule="auto"/>
              <w:jc w:val="both"/>
            </w:pPr>
            <w:r>
              <w:t>0180</w:t>
            </w:r>
          </w:p>
        </w:tc>
        <w:tc>
          <w:tcPr>
            <w:tcW w:w="7938" w:type="dxa"/>
          </w:tcPr>
          <w:p w14:paraId="7FE1C322" w14:textId="77777777" w:rsidR="00534D9A" w:rsidRDefault="003243B2">
            <w:pPr>
              <w:pStyle w:val="P68B1DB1-Normal55"/>
              <w:spacing w:line="276" w:lineRule="auto"/>
              <w:jc w:val="both"/>
              <w:rPr>
                <w:iCs/>
              </w:rPr>
            </w:pPr>
            <w:r>
              <w:rPr>
                <w:szCs w:val="20"/>
              </w:rPr>
              <w:t>Fornitur terz kritiku ta’ servizzi tal-ICT taħt DORA</w:t>
            </w:r>
            <w:r>
              <w:t xml:space="preserve"> </w:t>
            </w:r>
          </w:p>
          <w:p w14:paraId="7FE1C323" w14:textId="77777777" w:rsidR="00534D9A" w:rsidRDefault="003243B2">
            <w:pPr>
              <w:pStyle w:val="P68B1DB1-Normal45"/>
              <w:spacing w:line="276" w:lineRule="auto"/>
              <w:jc w:val="both"/>
              <w:rPr>
                <w:iCs/>
              </w:rPr>
            </w:pPr>
            <w:r>
              <w:t>Irrapporta wieħed minn dawn il-valuri li ġejjin:</w:t>
            </w:r>
          </w:p>
          <w:p w14:paraId="7FE1C324" w14:textId="77777777" w:rsidR="00534D9A" w:rsidRDefault="003243B2">
            <w:pPr>
              <w:pStyle w:val="P68B1DB1-Normal50"/>
              <w:spacing w:line="276" w:lineRule="auto"/>
              <w:jc w:val="both"/>
            </w:pPr>
            <w:r>
              <w:t>“Iva” — jekk dan ikun fornitur terz kritiku ta’ servizzi tal-ICT skont l-Artikolu 3(23) tar-Regolament 2022/2554 (DORA)</w:t>
            </w:r>
          </w:p>
          <w:p w14:paraId="7FE1C325" w14:textId="77777777" w:rsidR="00534D9A" w:rsidRDefault="003243B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Le” — jekk dan ma jkunx fornitur terz kritiku ta’ servizzi tal-ICT skont l-Artikolu 3(23) tar-Regolament 2022/2554 (DORA)</w:t>
            </w:r>
          </w:p>
          <w:p w14:paraId="7FE1C326" w14:textId="77777777" w:rsidR="00534D9A" w:rsidRDefault="00534D9A">
            <w:pPr>
              <w:spacing w:line="276" w:lineRule="auto"/>
              <w:jc w:val="both"/>
              <w:rPr>
                <w:rFonts w:ascii="Times New Roman" w:eastAsia="Calibri" w:hAnsi="Times New Roman" w:cs="Times New Roman"/>
                <w:sz w:val="20"/>
              </w:rPr>
            </w:pPr>
          </w:p>
        </w:tc>
      </w:tr>
      <w:tr w:rsidR="00534D9A" w14:paraId="7FE1C32E" w14:textId="77777777">
        <w:trPr>
          <w:trHeight w:val="1257"/>
        </w:trPr>
        <w:tc>
          <w:tcPr>
            <w:tcW w:w="1129" w:type="dxa"/>
          </w:tcPr>
          <w:p w14:paraId="7FE1C328" w14:textId="77777777" w:rsidR="00534D9A" w:rsidRDefault="003243B2">
            <w:pPr>
              <w:pStyle w:val="P68B1DB1-Normal45"/>
              <w:spacing w:line="276" w:lineRule="auto"/>
              <w:jc w:val="both"/>
            </w:pPr>
            <w:r>
              <w:t>0190</w:t>
            </w:r>
          </w:p>
        </w:tc>
        <w:tc>
          <w:tcPr>
            <w:tcW w:w="7938" w:type="dxa"/>
          </w:tcPr>
          <w:p w14:paraId="7FE1C329" w14:textId="77777777" w:rsidR="00534D9A" w:rsidRDefault="003243B2">
            <w:pPr>
              <w:pStyle w:val="P68B1DB1-Normal55"/>
              <w:spacing w:line="276" w:lineRule="auto"/>
              <w:jc w:val="both"/>
              <w:rPr>
                <w:iCs/>
              </w:rPr>
            </w:pPr>
            <w:r>
              <w:rPr>
                <w:szCs w:val="20"/>
              </w:rPr>
              <w:t>Servizz tal-ICT taħt DORA</w:t>
            </w:r>
            <w:r>
              <w:t xml:space="preserve"> </w:t>
            </w:r>
          </w:p>
          <w:p w14:paraId="7FE1C32A" w14:textId="77777777" w:rsidR="00534D9A" w:rsidRDefault="003243B2">
            <w:pPr>
              <w:pStyle w:val="P68B1DB1-Normal45"/>
              <w:spacing w:line="276" w:lineRule="auto"/>
              <w:jc w:val="both"/>
              <w:rPr>
                <w:iCs/>
              </w:rPr>
            </w:pPr>
            <w:r>
              <w:t>Irrapporta wieħed minn dawn il-valuri li ġejjin:</w:t>
            </w:r>
          </w:p>
          <w:p w14:paraId="7FE1C32B" w14:textId="3A99D278" w:rsidR="00534D9A" w:rsidRDefault="003243B2">
            <w:pPr>
              <w:spacing w:line="276"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“Iva” — jekk dan ikun servizz tal-ICT skont l-Artikolu 3(21) tar-Regolament 2022/2554 (DORA</w:t>
            </w:r>
            <w:r>
              <w:rPr>
                <w:rStyle w:val="FootnoteReference"/>
                <w:rFonts w:eastAsia="Calibri" w:cs="Times New Roman"/>
              </w:rPr>
              <w:footnoteReference w:id="27"/>
            </w:r>
            <w:r>
              <w:rPr>
                <w:rFonts w:ascii="Times New Roman" w:eastAsia="Calibri" w:hAnsi="Times New Roman" w:cs="Times New Roman"/>
                <w:sz w:val="20"/>
                <w:szCs w:val="20"/>
              </w:rPr>
              <w:t>)</w:t>
            </w:r>
          </w:p>
          <w:p w14:paraId="7FE1C32C" w14:textId="77777777" w:rsidR="00534D9A" w:rsidRDefault="003243B2">
            <w:pPr>
              <w:spacing w:line="276" w:lineRule="auto"/>
              <w:jc w:val="both"/>
              <w:rPr>
                <w:rFonts w:ascii="Times New Roman" w:eastAsia="Calibri" w:hAnsi="Times New Roman" w:cs="Times New Roman"/>
                <w:sz w:val="20"/>
                <w:szCs w:val="20"/>
              </w:rPr>
            </w:pPr>
            <w:r>
              <w:rPr>
                <w:rFonts w:ascii="Times New Roman" w:hAnsi="Times New Roman" w:cs="Times New Roman"/>
              </w:rPr>
              <w:t>“</w:t>
            </w:r>
            <w:r>
              <w:rPr>
                <w:rFonts w:ascii="Times New Roman" w:eastAsia="Calibri" w:hAnsi="Times New Roman" w:cs="Times New Roman"/>
                <w:sz w:val="20"/>
                <w:szCs w:val="20"/>
              </w:rPr>
              <w:t>Le” — jekk dan ma jkunx servizz tal-ICT skont l-Artikolu 3(21) tar-Regolament 2022/2554 (DORA)</w:t>
            </w:r>
          </w:p>
          <w:p w14:paraId="7FE1C32D" w14:textId="77777777" w:rsidR="00534D9A" w:rsidRDefault="00534D9A">
            <w:pPr>
              <w:spacing w:line="276" w:lineRule="auto"/>
              <w:jc w:val="both"/>
              <w:rPr>
                <w:rFonts w:ascii="Times New Roman" w:eastAsia="Calibri" w:hAnsi="Times New Roman" w:cs="Times New Roman"/>
                <w:iCs/>
                <w:sz w:val="20"/>
              </w:rPr>
            </w:pPr>
          </w:p>
        </w:tc>
      </w:tr>
    </w:tbl>
    <w:p w14:paraId="7FE1C32F" w14:textId="77777777" w:rsidR="00534D9A" w:rsidRDefault="00534D9A">
      <w:pPr>
        <w:spacing w:line="276" w:lineRule="auto"/>
        <w:jc w:val="both"/>
        <w:rPr>
          <w:rFonts w:ascii="Times New Roman" w:eastAsia="Calibri" w:hAnsi="Times New Roman" w:cs="Times New Roman"/>
          <w:color w:val="0070C0"/>
          <w:sz w:val="20"/>
        </w:rPr>
      </w:pPr>
    </w:p>
    <w:p w14:paraId="7FE1C478" w14:textId="77777777" w:rsidR="00534D9A" w:rsidRDefault="00534D9A">
      <w:pPr>
        <w:rPr>
          <w:rFonts w:ascii="Times New Roman" w:eastAsia="Times New Roman" w:hAnsi="Times New Roman" w:cs="Times New Roman"/>
          <w:sz w:val="20"/>
          <w:szCs w:val="20"/>
          <w:u w:val="single"/>
        </w:rPr>
      </w:pPr>
    </w:p>
    <w:p w14:paraId="7FE1C479" w14:textId="77777777" w:rsidR="00534D9A" w:rsidRDefault="00534D9A">
      <w:pPr>
        <w:rPr>
          <w:rFonts w:ascii="Times New Roman" w:eastAsia="Times New Roman" w:hAnsi="Times New Roman" w:cs="Times New Roman"/>
          <w:sz w:val="20"/>
          <w:szCs w:val="20"/>
          <w:u w:val="single"/>
        </w:rPr>
      </w:pPr>
    </w:p>
    <w:p w14:paraId="7FE1C47A" w14:textId="77777777" w:rsidR="00534D9A" w:rsidRDefault="003243B2">
      <w:pPr>
        <w:pStyle w:val="P68B1DB1-Instructionsberschrift25"/>
        <w:numPr>
          <w:ilvl w:val="1"/>
          <w:numId w:val="49"/>
        </w:numPr>
        <w:ind w:left="357" w:hanging="357"/>
        <w:rPr>
          <w:szCs w:val="20"/>
        </w:rPr>
      </w:pPr>
      <w:bookmarkStart w:id="128" w:name="_Toc208245014"/>
      <w:r>
        <w:t>Z 08.02 — Servizzi rilevanti — immappjar għall-assi operazzjonali (SERV 2)</w:t>
      </w:r>
      <w:bookmarkEnd w:id="128"/>
    </w:p>
    <w:p w14:paraId="7FE1C47B" w14:textId="77777777" w:rsidR="00534D9A" w:rsidRDefault="003243B2">
      <w:pPr>
        <w:pStyle w:val="P68B1DB1-Normal50"/>
        <w:spacing w:line="276" w:lineRule="auto"/>
        <w:jc w:val="both"/>
      </w:pPr>
      <w:r>
        <w:t>Istruzzjonijiet ġenerali</w:t>
      </w:r>
    </w:p>
    <w:p w14:paraId="7FE1C47C" w14:textId="77777777" w:rsidR="00534D9A" w:rsidRDefault="003243B2">
      <w:pPr>
        <w:pStyle w:val="P68B1DB1-Instructionsberschrift346"/>
        <w:numPr>
          <w:ilvl w:val="4"/>
          <w:numId w:val="259"/>
        </w:numPr>
        <w:contextualSpacing/>
        <w:jc w:val="both"/>
        <w:rPr>
          <w:color w:val="auto"/>
        </w:rPr>
      </w:pPr>
      <w:bookmarkStart w:id="129" w:name="_Hlk161330001"/>
      <w:r>
        <w:rPr>
          <w:color w:val="auto"/>
          <w:szCs w:val="24"/>
        </w:rPr>
        <w:t>L-informazzjoni li trid tiġi inkluża f’dan il-mudell għandha tiġi rrapportata darba għall-grupp kollu, telenka s-servizzi relati riċevuti minn kwalunkwe entità fil-grupp, u torbothom mal-assets operativi relati</w:t>
      </w:r>
      <w:r>
        <w:t>.</w:t>
      </w:r>
    </w:p>
    <w:p w14:paraId="7FE1C47D" w14:textId="790BE864" w:rsidR="00534D9A" w:rsidRDefault="003243B2">
      <w:pPr>
        <w:pStyle w:val="P68B1DB1-Instructionsberschrift348"/>
        <w:numPr>
          <w:ilvl w:val="4"/>
          <w:numId w:val="49"/>
        </w:numPr>
        <w:contextualSpacing/>
        <w:jc w:val="both"/>
        <w:rPr>
          <w:color w:val="auto"/>
        </w:rPr>
      </w:pPr>
      <w:r>
        <w:t>Il-valuri rrapportati fil-kolonni 0010, 0020, 0030 u 0080 ta’ dan il-mudell jiffurmaw kjavi primarja, li jridu jkunu uniċi għal kull ringiela tal-mudell.</w:t>
      </w:r>
    </w:p>
    <w:bookmarkEnd w:id="129"/>
    <w:p w14:paraId="7FE1C482" w14:textId="77777777" w:rsidR="00534D9A" w:rsidRDefault="00534D9A">
      <w:pPr>
        <w:rPr>
          <w:rFonts w:ascii="Times New Roman" w:eastAsia="Times New Roman" w:hAnsi="Times New Roman" w:cs="Times New Roman"/>
          <w:sz w:val="20"/>
          <w:szCs w:val="20"/>
          <w:u w:val="single"/>
        </w:rPr>
      </w:pPr>
    </w:p>
    <w:tbl>
      <w:tblPr>
        <w:tblStyle w:val="TableGrid11"/>
        <w:tblW w:w="9209" w:type="dxa"/>
        <w:tblLook w:val="04A0" w:firstRow="1" w:lastRow="0" w:firstColumn="1" w:lastColumn="0" w:noHBand="0" w:noVBand="1"/>
      </w:tblPr>
      <w:tblGrid>
        <w:gridCol w:w="1418"/>
        <w:gridCol w:w="7791"/>
      </w:tblGrid>
      <w:tr w:rsidR="00534D9A" w14:paraId="7FE1C54A" w14:textId="77777777">
        <w:trPr>
          <w:trHeight w:val="495"/>
          <w:tblHeader/>
        </w:trPr>
        <w:tc>
          <w:tcPr>
            <w:tcW w:w="1418" w:type="dxa"/>
            <w:shd w:val="clear" w:color="auto" w:fill="E7E6E6"/>
          </w:tcPr>
          <w:p w14:paraId="7FE1C548" w14:textId="77777777" w:rsidR="00534D9A" w:rsidRDefault="003243B2">
            <w:pPr>
              <w:pStyle w:val="P68B1DB1-Normal61"/>
              <w:spacing w:before="120" w:after="120" w:line="276" w:lineRule="auto"/>
            </w:pPr>
            <w:r>
              <w:t>Kolonni</w:t>
            </w:r>
          </w:p>
        </w:tc>
        <w:tc>
          <w:tcPr>
            <w:tcW w:w="7791" w:type="dxa"/>
            <w:shd w:val="clear" w:color="auto" w:fill="E7E6E6"/>
          </w:tcPr>
          <w:p w14:paraId="7FE1C549" w14:textId="77777777" w:rsidR="00534D9A" w:rsidRDefault="003243B2">
            <w:pPr>
              <w:pStyle w:val="P68B1DB1-Normal61"/>
              <w:spacing w:before="120" w:after="120" w:line="276" w:lineRule="auto"/>
            </w:pPr>
            <w:r>
              <w:t>Struzzjonijiet</w:t>
            </w:r>
          </w:p>
        </w:tc>
      </w:tr>
      <w:tr w:rsidR="00534D9A" w14:paraId="7FE1C550" w14:textId="77777777">
        <w:trPr>
          <w:trHeight w:val="450"/>
        </w:trPr>
        <w:tc>
          <w:tcPr>
            <w:tcW w:w="1418" w:type="dxa"/>
            <w:shd w:val="clear" w:color="auto" w:fill="FFFFFF" w:themeFill="background1"/>
          </w:tcPr>
          <w:p w14:paraId="7FE1C54B" w14:textId="77777777" w:rsidR="00534D9A" w:rsidRDefault="003243B2">
            <w:pPr>
              <w:pStyle w:val="P68B1DB1-Normal62"/>
              <w:spacing w:before="120" w:after="120" w:line="276" w:lineRule="auto"/>
            </w:pPr>
            <w:r>
              <w:t>0005</w:t>
            </w:r>
          </w:p>
        </w:tc>
        <w:tc>
          <w:tcPr>
            <w:tcW w:w="7791" w:type="dxa"/>
            <w:shd w:val="clear" w:color="auto" w:fill="FFFFFF" w:themeFill="background1"/>
          </w:tcPr>
          <w:p w14:paraId="7FE1C54C" w14:textId="77777777" w:rsidR="00534D9A" w:rsidRDefault="003243B2">
            <w:pPr>
              <w:pStyle w:val="P68B1DB1-Normal61"/>
              <w:spacing w:before="120" w:after="120" w:line="276" w:lineRule="auto"/>
            </w:pPr>
            <w:r>
              <w:t xml:space="preserve">Identifikatur tas-Servizz </w:t>
            </w:r>
          </w:p>
          <w:p w14:paraId="7FE1C54D" w14:textId="77777777" w:rsidR="00534D9A" w:rsidRDefault="003243B2">
            <w:pPr>
              <w:pStyle w:val="P68B1DB1-Normal62"/>
              <w:spacing w:before="120" w:after="120" w:line="276" w:lineRule="auto"/>
            </w:pPr>
            <w:r>
              <w:t>Uża l-identifikatur tas-Servizz kif irrapportat f’Z 08.01 (SERV 1).</w:t>
            </w:r>
          </w:p>
          <w:p w14:paraId="7FE1C54E" w14:textId="77777777" w:rsidR="00534D9A" w:rsidRDefault="003243B2">
            <w:pPr>
              <w:pStyle w:val="P68B1DB1-Normal62"/>
              <w:spacing w:before="120" w:after="120" w:line="276" w:lineRule="auto"/>
            </w:pPr>
            <w:r>
              <w:t>L-identifikatur tas-servizz jirreferi għas-servizz irrapportat taħt c0020.</w:t>
            </w:r>
          </w:p>
          <w:p w14:paraId="7FE1C54F" w14:textId="77777777" w:rsidR="00534D9A" w:rsidRDefault="00534D9A">
            <w:pPr>
              <w:spacing w:before="120" w:after="120" w:line="276" w:lineRule="auto"/>
              <w:rPr>
                <w:rFonts w:ascii="Times New Roman" w:hAnsi="Times New Roman"/>
                <w:i/>
                <w:sz w:val="20"/>
                <w:szCs w:val="20"/>
              </w:rPr>
            </w:pPr>
          </w:p>
        </w:tc>
      </w:tr>
      <w:tr w:rsidR="00534D9A" w14:paraId="7FE1C594" w14:textId="77777777">
        <w:trPr>
          <w:trHeight w:val="450"/>
        </w:trPr>
        <w:tc>
          <w:tcPr>
            <w:tcW w:w="1418" w:type="dxa"/>
            <w:shd w:val="clear" w:color="auto" w:fill="FFFFFF" w:themeFill="background1"/>
          </w:tcPr>
          <w:p w14:paraId="7FE1C551" w14:textId="77777777" w:rsidR="00534D9A" w:rsidRDefault="003243B2">
            <w:pPr>
              <w:pStyle w:val="P68B1DB1-Normal62"/>
              <w:spacing w:before="120" w:after="120" w:line="276" w:lineRule="auto"/>
            </w:pPr>
            <w:r>
              <w:t>0010</w:t>
            </w:r>
          </w:p>
        </w:tc>
        <w:tc>
          <w:tcPr>
            <w:tcW w:w="7791" w:type="dxa"/>
            <w:shd w:val="clear" w:color="auto" w:fill="FFFFFF" w:themeFill="background1"/>
          </w:tcPr>
          <w:p w14:paraId="7FE1C552" w14:textId="77777777" w:rsidR="00534D9A" w:rsidRDefault="003243B2">
            <w:pPr>
              <w:pStyle w:val="P68B1DB1-Normal61"/>
              <w:autoSpaceDE w:val="0"/>
              <w:autoSpaceDN w:val="0"/>
              <w:adjustRightInd w:val="0"/>
              <w:rPr>
                <w:rFonts w:eastAsia="MS Mincho"/>
              </w:rPr>
            </w:pPr>
            <w:r>
              <w:t xml:space="preserve">It-tip ta’ servizz </w:t>
            </w:r>
          </w:p>
          <w:p w14:paraId="7FE1C57A" w14:textId="35040E48" w:rsidR="00534D9A" w:rsidRDefault="003243B2">
            <w:pPr>
              <w:pStyle w:val="P68B1DB1-Normal63"/>
              <w:autoSpaceDE w:val="0"/>
              <w:autoSpaceDN w:val="0"/>
              <w:adjustRightInd w:val="0"/>
            </w:pPr>
            <w:r>
              <w:t>It-tip ta’ servizz għandu jkun wieħed mit-tipi ta’ servizz elenkati taħt Z 08.01 0010 hawn fuq.</w:t>
            </w:r>
          </w:p>
          <w:p w14:paraId="7FE1C593" w14:textId="77777777" w:rsidR="00534D9A" w:rsidRDefault="00534D9A">
            <w:pPr>
              <w:autoSpaceDE w:val="0"/>
              <w:autoSpaceDN w:val="0"/>
              <w:adjustRightInd w:val="0"/>
              <w:rPr>
                <w:rFonts w:ascii="Times New Roman" w:hAnsi="Times New Roman"/>
                <w:sz w:val="20"/>
                <w:szCs w:val="20"/>
              </w:rPr>
            </w:pPr>
          </w:p>
        </w:tc>
      </w:tr>
      <w:tr w:rsidR="00534D9A" w14:paraId="7FE1C599" w14:textId="77777777">
        <w:trPr>
          <w:trHeight w:val="450"/>
        </w:trPr>
        <w:tc>
          <w:tcPr>
            <w:tcW w:w="1418" w:type="dxa"/>
            <w:shd w:val="clear" w:color="auto" w:fill="FFFFFF" w:themeFill="background1"/>
          </w:tcPr>
          <w:p w14:paraId="7FE1C595" w14:textId="77777777" w:rsidR="00534D9A" w:rsidRDefault="003243B2">
            <w:pPr>
              <w:pStyle w:val="P68B1DB1-Normal62"/>
              <w:spacing w:before="120" w:after="120" w:line="276" w:lineRule="auto"/>
            </w:pPr>
            <w:r>
              <w:t>0020</w:t>
            </w:r>
          </w:p>
        </w:tc>
        <w:tc>
          <w:tcPr>
            <w:tcW w:w="7791" w:type="dxa"/>
            <w:shd w:val="clear" w:color="auto" w:fill="FFFFFF" w:themeFill="background1"/>
          </w:tcPr>
          <w:p w14:paraId="7FE1C596" w14:textId="77777777" w:rsidR="00534D9A" w:rsidRDefault="003243B2">
            <w:pPr>
              <w:pStyle w:val="P68B1DB1-Normal61"/>
              <w:spacing w:line="276" w:lineRule="auto"/>
              <w:jc w:val="both"/>
              <w:rPr>
                <w:bCs/>
              </w:rPr>
            </w:pPr>
            <w:r>
              <w:t xml:space="preserve">Titolu uniku tas-servizz skont it-tassonomija tal-bank </w:t>
            </w:r>
          </w:p>
          <w:p w14:paraId="7FE1C597" w14:textId="31873D66" w:rsidR="00534D9A" w:rsidRDefault="003243B2">
            <w:pPr>
              <w:pStyle w:val="P68B1DB1-Normal64"/>
              <w:rPr>
                <w:rFonts w:eastAsiaTheme="minorHAnsi"/>
                <w:sz w:val="24"/>
              </w:rPr>
            </w:pPr>
            <w:r>
              <w:t>Isem/deskrizzjoni qasira tas-servizz skont it-tassonomija f’saffi tal-bank stess (Livell 3)) kif irrapportat f’Z 08.01 (SERV 1) kolonna 0020. Il-Bank huwa mistenni jirrapporta s-servizzi f’livell aktar granulari mir-rapportar previst għal-Livell 2 (c0010), sabiex kull servizz partikolari jiġi definit b’mod preċiż u mmirat.</w:t>
            </w:r>
          </w:p>
          <w:p w14:paraId="7FE1C598" w14:textId="77777777" w:rsidR="00534D9A" w:rsidRDefault="00534D9A">
            <w:pPr>
              <w:spacing w:before="120" w:after="120" w:line="276" w:lineRule="auto"/>
              <w:rPr>
                <w:rFonts w:ascii="Times New Roman" w:hAnsi="Times New Roman"/>
                <w:sz w:val="20"/>
                <w:szCs w:val="20"/>
              </w:rPr>
            </w:pPr>
          </w:p>
        </w:tc>
      </w:tr>
      <w:tr w:rsidR="00534D9A" w14:paraId="7FE1C59E" w14:textId="77777777">
        <w:trPr>
          <w:trHeight w:val="450"/>
        </w:trPr>
        <w:tc>
          <w:tcPr>
            <w:tcW w:w="1418" w:type="dxa"/>
            <w:shd w:val="clear" w:color="auto" w:fill="FFFFFF" w:themeFill="background1"/>
          </w:tcPr>
          <w:p w14:paraId="7FE1C59A" w14:textId="77777777" w:rsidR="00534D9A" w:rsidRDefault="003243B2">
            <w:pPr>
              <w:pStyle w:val="P68B1DB1-Normal62"/>
              <w:spacing w:before="120" w:after="120" w:line="276" w:lineRule="auto"/>
            </w:pPr>
            <w:r>
              <w:t>0030</w:t>
            </w:r>
          </w:p>
        </w:tc>
        <w:tc>
          <w:tcPr>
            <w:tcW w:w="7791" w:type="dxa"/>
            <w:shd w:val="clear" w:color="auto" w:fill="FFFFFF" w:themeFill="background1"/>
          </w:tcPr>
          <w:p w14:paraId="7FE1C59B" w14:textId="77777777" w:rsidR="00534D9A" w:rsidRDefault="003243B2">
            <w:pPr>
              <w:pStyle w:val="P68B1DB1-Normal61"/>
              <w:spacing w:before="120" w:after="120" w:line="276" w:lineRule="auto"/>
              <w:rPr>
                <w:bCs/>
              </w:rPr>
            </w:pPr>
            <w:r>
              <w:t>Identifikatur tal-assi</w:t>
            </w:r>
          </w:p>
          <w:p w14:paraId="7FE1C59C" w14:textId="77777777" w:rsidR="00534D9A" w:rsidRDefault="003243B2">
            <w:pPr>
              <w:pStyle w:val="P68B1DB1-Normal64"/>
              <w:spacing w:line="276" w:lineRule="auto"/>
              <w:jc w:val="both"/>
            </w:pPr>
            <w:r>
              <w:t>L-identifikatur tal-assi jirreferi għall-assi rrapportat taħt c0050.</w:t>
            </w:r>
          </w:p>
          <w:p w14:paraId="7FE1C59D" w14:textId="77777777" w:rsidR="00534D9A" w:rsidRDefault="00534D9A">
            <w:pPr>
              <w:spacing w:before="120" w:after="120" w:line="276" w:lineRule="auto"/>
              <w:rPr>
                <w:rFonts w:ascii="Times New Roman" w:hAnsi="Times New Roman"/>
                <w:sz w:val="20"/>
                <w:szCs w:val="20"/>
              </w:rPr>
            </w:pPr>
          </w:p>
        </w:tc>
      </w:tr>
      <w:tr w:rsidR="00534D9A" w14:paraId="7FE1C5AD" w14:textId="77777777">
        <w:trPr>
          <w:trHeight w:val="450"/>
        </w:trPr>
        <w:tc>
          <w:tcPr>
            <w:tcW w:w="1418" w:type="dxa"/>
            <w:shd w:val="clear" w:color="auto" w:fill="FFFFFF" w:themeFill="background1"/>
          </w:tcPr>
          <w:p w14:paraId="7FE1C59F" w14:textId="77777777" w:rsidR="00534D9A" w:rsidRDefault="003243B2">
            <w:pPr>
              <w:pStyle w:val="P68B1DB1-Normal62"/>
              <w:spacing w:before="120" w:after="120" w:line="276" w:lineRule="auto"/>
            </w:pPr>
            <w:r>
              <w:t>0040</w:t>
            </w:r>
          </w:p>
        </w:tc>
        <w:tc>
          <w:tcPr>
            <w:tcW w:w="7791" w:type="dxa"/>
            <w:shd w:val="clear" w:color="auto" w:fill="FFFFFF" w:themeFill="background1"/>
          </w:tcPr>
          <w:p w14:paraId="7FE1C5A0" w14:textId="77777777" w:rsidR="00534D9A" w:rsidRDefault="003243B2">
            <w:pPr>
              <w:pStyle w:val="P68B1DB1-Normal64"/>
              <w:spacing w:line="276" w:lineRule="auto"/>
              <w:jc w:val="both"/>
            </w:pPr>
            <w:r>
              <w:rPr>
                <w:b/>
                <w:szCs w:val="20"/>
              </w:rPr>
              <w:t>Tip ta’ assi</w:t>
            </w:r>
            <w:r>
              <w:t xml:space="preserve"> </w:t>
            </w:r>
          </w:p>
          <w:p w14:paraId="7FE1C5A1" w14:textId="77777777" w:rsidR="00534D9A" w:rsidRDefault="003243B2">
            <w:pPr>
              <w:pStyle w:val="P68B1DB1-Normal64"/>
              <w:spacing w:line="276" w:lineRule="auto"/>
              <w:jc w:val="both"/>
            </w:pPr>
            <w:r>
              <w:t xml:space="preserve">— Hardware tal-IT u tal-komunikazzjoni </w:t>
            </w:r>
          </w:p>
          <w:p w14:paraId="7FE1C5A2" w14:textId="77777777" w:rsidR="00534D9A" w:rsidRDefault="00534D9A">
            <w:pPr>
              <w:spacing w:line="276" w:lineRule="auto"/>
              <w:rPr>
                <w:rFonts w:ascii="Times New Roman" w:hAnsi="Times New Roman"/>
                <w:sz w:val="20"/>
              </w:rPr>
            </w:pPr>
          </w:p>
          <w:p w14:paraId="7FE1C5A3" w14:textId="77777777" w:rsidR="00534D9A" w:rsidRDefault="003243B2">
            <w:pPr>
              <w:pStyle w:val="P68B1DB1-Normal64"/>
              <w:spacing w:line="276" w:lineRule="auto"/>
            </w:pPr>
            <w:r>
              <w:t>— Infrastruttura oħra tal-IT (bħal stazzjonijiet tax-xogħol, telekomunikazzjoni, servers, ċentri tad-data u assi relatati)</w:t>
            </w:r>
          </w:p>
          <w:p w14:paraId="7FE1C5A4" w14:textId="77777777" w:rsidR="00534D9A" w:rsidRDefault="00534D9A">
            <w:pPr>
              <w:spacing w:line="276" w:lineRule="auto"/>
              <w:rPr>
                <w:rFonts w:ascii="Times New Roman" w:hAnsi="Times New Roman"/>
                <w:sz w:val="20"/>
              </w:rPr>
            </w:pPr>
          </w:p>
          <w:p w14:paraId="7FE1C5A5" w14:textId="77777777" w:rsidR="00534D9A" w:rsidRDefault="003243B2">
            <w:pPr>
              <w:pStyle w:val="P68B1DB1-Normal64"/>
              <w:spacing w:line="276" w:lineRule="auto"/>
            </w:pPr>
            <w:r>
              <w:t xml:space="preserve">— Bini u ħżin </w:t>
            </w:r>
          </w:p>
          <w:p w14:paraId="7FE1C5A6" w14:textId="77777777" w:rsidR="00534D9A" w:rsidRDefault="00534D9A">
            <w:pPr>
              <w:spacing w:line="276" w:lineRule="auto"/>
              <w:rPr>
                <w:rFonts w:ascii="Times New Roman" w:hAnsi="Times New Roman"/>
                <w:sz w:val="20"/>
              </w:rPr>
            </w:pPr>
          </w:p>
          <w:p w14:paraId="7FE1C5A7" w14:textId="77777777" w:rsidR="00534D9A" w:rsidRDefault="003243B2">
            <w:pPr>
              <w:pStyle w:val="P68B1DB1-Normal64"/>
              <w:spacing w:line="276" w:lineRule="auto"/>
            </w:pPr>
            <w:r>
              <w:t>— Proprjetà intellettwali (bħal privattivi, trademarks, eċċ.)</w:t>
            </w:r>
          </w:p>
          <w:p w14:paraId="7FE1C5A8" w14:textId="77777777" w:rsidR="00534D9A" w:rsidRDefault="00534D9A">
            <w:pPr>
              <w:spacing w:line="276" w:lineRule="auto"/>
              <w:rPr>
                <w:rFonts w:ascii="Times New Roman" w:hAnsi="Times New Roman"/>
                <w:sz w:val="20"/>
              </w:rPr>
            </w:pPr>
          </w:p>
          <w:p w14:paraId="7FE1C5A9" w14:textId="77777777" w:rsidR="00534D9A" w:rsidRDefault="003243B2">
            <w:pPr>
              <w:pStyle w:val="P68B1DB1-Normal64"/>
              <w:spacing w:line="276" w:lineRule="auto"/>
            </w:pPr>
            <w:r>
              <w:t xml:space="preserve"> — Apparati self-service fil-fergħat u fl-ATMs</w:t>
            </w:r>
          </w:p>
          <w:p w14:paraId="7FE1C5AA" w14:textId="77777777" w:rsidR="00534D9A" w:rsidRDefault="00534D9A">
            <w:pPr>
              <w:spacing w:line="276" w:lineRule="auto"/>
              <w:rPr>
                <w:rFonts w:ascii="Times New Roman" w:hAnsi="Times New Roman"/>
                <w:sz w:val="20"/>
              </w:rPr>
            </w:pPr>
          </w:p>
          <w:p w14:paraId="7FE1C5AB" w14:textId="07413E54" w:rsidR="00534D9A" w:rsidRDefault="003243B2">
            <w:pPr>
              <w:pStyle w:val="P68B1DB1-Normal62"/>
              <w:spacing w:line="276" w:lineRule="auto"/>
              <w:jc w:val="both"/>
              <w:rPr>
                <w:b/>
              </w:rPr>
            </w:pPr>
            <w:r>
              <w:t>— Tip ieħor ta’ assi</w:t>
            </w:r>
          </w:p>
          <w:p w14:paraId="7FE1C5AC" w14:textId="77777777" w:rsidR="00534D9A" w:rsidRDefault="00534D9A">
            <w:pPr>
              <w:spacing w:line="276" w:lineRule="auto"/>
              <w:jc w:val="both"/>
              <w:rPr>
                <w:rFonts w:ascii="Times New Roman" w:hAnsi="Times New Roman"/>
                <w:sz w:val="20"/>
              </w:rPr>
            </w:pPr>
          </w:p>
        </w:tc>
      </w:tr>
      <w:tr w:rsidR="00534D9A" w14:paraId="7FE1C5B2" w14:textId="77777777">
        <w:trPr>
          <w:trHeight w:val="450"/>
        </w:trPr>
        <w:tc>
          <w:tcPr>
            <w:tcW w:w="1418" w:type="dxa"/>
            <w:shd w:val="clear" w:color="auto" w:fill="FFFFFF" w:themeFill="background1"/>
          </w:tcPr>
          <w:p w14:paraId="7FE1C5AE" w14:textId="77777777" w:rsidR="00534D9A" w:rsidRDefault="003243B2">
            <w:pPr>
              <w:pStyle w:val="P68B1DB1-Normal62"/>
              <w:spacing w:before="120" w:after="120" w:line="276" w:lineRule="auto"/>
            </w:pPr>
            <w:r>
              <w:lastRenderedPageBreak/>
              <w:t>0050</w:t>
            </w:r>
          </w:p>
        </w:tc>
        <w:tc>
          <w:tcPr>
            <w:tcW w:w="7791" w:type="dxa"/>
            <w:shd w:val="clear" w:color="auto" w:fill="FFFFFF" w:themeFill="background1"/>
          </w:tcPr>
          <w:p w14:paraId="7FE1C5AF" w14:textId="77777777" w:rsidR="00534D9A" w:rsidRDefault="003243B2">
            <w:pPr>
              <w:pStyle w:val="P68B1DB1-Normal61"/>
              <w:spacing w:line="276" w:lineRule="auto"/>
              <w:jc w:val="both"/>
            </w:pPr>
            <w:r>
              <w:t xml:space="preserve">Isem l-assi </w:t>
            </w:r>
          </w:p>
          <w:p w14:paraId="7FE1C5B0" w14:textId="77777777" w:rsidR="00534D9A" w:rsidRDefault="003243B2">
            <w:pPr>
              <w:pStyle w:val="P68B1DB1-Normal64"/>
              <w:spacing w:line="276" w:lineRule="auto"/>
              <w:jc w:val="both"/>
            </w:pPr>
            <w:r>
              <w:t>L-isem kummerċjali jew intern tas-sistema.</w:t>
            </w:r>
          </w:p>
          <w:p w14:paraId="7FE1C5B1" w14:textId="77777777" w:rsidR="00534D9A" w:rsidRDefault="00534D9A">
            <w:pPr>
              <w:spacing w:line="276" w:lineRule="auto"/>
              <w:jc w:val="both"/>
              <w:rPr>
                <w:rFonts w:ascii="Times New Roman" w:hAnsi="Times New Roman"/>
                <w:sz w:val="20"/>
              </w:rPr>
            </w:pPr>
          </w:p>
        </w:tc>
      </w:tr>
      <w:tr w:rsidR="00534D9A" w14:paraId="7FE1C5BA" w14:textId="77777777">
        <w:trPr>
          <w:trHeight w:val="450"/>
        </w:trPr>
        <w:tc>
          <w:tcPr>
            <w:tcW w:w="1418" w:type="dxa"/>
            <w:shd w:val="clear" w:color="auto" w:fill="FFFFFF" w:themeFill="background1"/>
          </w:tcPr>
          <w:p w14:paraId="7FE1C5B3" w14:textId="77777777" w:rsidR="00534D9A" w:rsidRDefault="003243B2">
            <w:pPr>
              <w:pStyle w:val="P68B1DB1-Normal62"/>
              <w:spacing w:before="120" w:after="120" w:line="276" w:lineRule="auto"/>
            </w:pPr>
            <w:r>
              <w:t>0060</w:t>
            </w:r>
          </w:p>
        </w:tc>
        <w:tc>
          <w:tcPr>
            <w:tcW w:w="7791" w:type="dxa"/>
            <w:shd w:val="clear" w:color="auto" w:fill="FFFFFF" w:themeFill="background1"/>
          </w:tcPr>
          <w:p w14:paraId="7FE1C5B4" w14:textId="77777777" w:rsidR="00534D9A" w:rsidRDefault="003243B2">
            <w:pPr>
              <w:pStyle w:val="P68B1DB1-Normal65"/>
              <w:spacing w:line="276" w:lineRule="auto"/>
              <w:jc w:val="both"/>
              <w:rPr>
                <w:iCs/>
              </w:rPr>
            </w:pPr>
            <w:r>
              <w:rPr>
                <w:szCs w:val="20"/>
              </w:rPr>
              <w:t>Kritikalità</w:t>
            </w:r>
            <w:r>
              <w:t xml:space="preserve"> </w:t>
            </w:r>
          </w:p>
          <w:p w14:paraId="7FE1C5B5" w14:textId="77777777" w:rsidR="00534D9A" w:rsidRDefault="003243B2">
            <w:pPr>
              <w:pStyle w:val="P68B1DB1-Normal64"/>
              <w:spacing w:line="276" w:lineRule="auto"/>
              <w:jc w:val="both"/>
              <w:rPr>
                <w:iCs/>
              </w:rPr>
            </w:pPr>
            <w:r>
              <w:t>Irrapporta wieħed minn dawn il-valuri li ġejjin:</w:t>
            </w:r>
          </w:p>
          <w:p w14:paraId="7FE1C5B6" w14:textId="77777777" w:rsidR="00534D9A" w:rsidRDefault="003243B2">
            <w:pPr>
              <w:pStyle w:val="P68B1DB1-ListParagraph58"/>
              <w:numPr>
                <w:ilvl w:val="0"/>
                <w:numId w:val="236"/>
              </w:numPr>
              <w:spacing w:line="276" w:lineRule="auto"/>
              <w:contextualSpacing/>
              <w:jc w:val="both"/>
              <w:rPr>
                <w:iCs/>
              </w:rPr>
            </w:pPr>
            <w:r>
              <w:t>Kritiku: jekk is-servizz ikun meħtieġ għat-twettiq ta’ funzjoni kritika waħda jew aktar, li d-diskontinwità tagħhom timpedixxi jew tipprevjeni serjament it-twettiq ta’ dawk il-funzjonijiet kritiċi.</w:t>
            </w:r>
          </w:p>
          <w:p w14:paraId="7FE1C5B7" w14:textId="77777777" w:rsidR="00534D9A" w:rsidRDefault="003243B2">
            <w:pPr>
              <w:pStyle w:val="P68B1DB1-ListParagraph58"/>
              <w:numPr>
                <w:ilvl w:val="0"/>
                <w:numId w:val="236"/>
              </w:numPr>
              <w:spacing w:line="276" w:lineRule="auto"/>
              <w:contextualSpacing/>
              <w:jc w:val="both"/>
              <w:rPr>
                <w:iCs/>
              </w:rPr>
            </w:pPr>
            <w:r>
              <w:t>Essenzjali: jekk is-servizz ikun assoċjat ma’ linji tan-negozju ewlenin, li l-kontinwità tagħhom tkun meħtieġa għall-eżekuzzjoni effettiva tal-istrateġija ta’ riżoluzzjoni u kwalunkwe ristrutturar konsegwenti.</w:t>
            </w:r>
          </w:p>
          <w:p w14:paraId="7FE1C5B8" w14:textId="475A76CC" w:rsidR="00534D9A" w:rsidRDefault="003243B2">
            <w:pPr>
              <w:pStyle w:val="P68B1DB1-ListParagraph58"/>
              <w:numPr>
                <w:ilvl w:val="0"/>
                <w:numId w:val="236"/>
              </w:numPr>
              <w:spacing w:line="276" w:lineRule="auto"/>
              <w:contextualSpacing/>
              <w:jc w:val="both"/>
              <w:rPr>
                <w:iCs/>
              </w:rPr>
            </w:pPr>
            <w:r>
              <w:t>Kritiċi u essenzjali</w:t>
            </w:r>
          </w:p>
          <w:p w14:paraId="7FE1C5B9" w14:textId="77777777" w:rsidR="00534D9A" w:rsidRDefault="00534D9A">
            <w:pPr>
              <w:spacing w:line="276" w:lineRule="auto"/>
              <w:jc w:val="both"/>
              <w:rPr>
                <w:rFonts w:ascii="Times New Roman" w:hAnsi="Times New Roman"/>
                <w:sz w:val="20"/>
              </w:rPr>
            </w:pPr>
          </w:p>
        </w:tc>
      </w:tr>
      <w:tr w:rsidR="00534D9A" w14:paraId="7FE1C5C3" w14:textId="77777777">
        <w:trPr>
          <w:trHeight w:val="450"/>
        </w:trPr>
        <w:tc>
          <w:tcPr>
            <w:tcW w:w="1418" w:type="dxa"/>
            <w:shd w:val="clear" w:color="auto" w:fill="FFFFFF" w:themeFill="background1"/>
          </w:tcPr>
          <w:p w14:paraId="7FE1C5BB" w14:textId="77777777" w:rsidR="00534D9A" w:rsidRDefault="003243B2">
            <w:pPr>
              <w:pStyle w:val="P68B1DB1-Normal62"/>
              <w:spacing w:before="120" w:after="120" w:line="276" w:lineRule="auto"/>
            </w:pPr>
            <w:r>
              <w:t>0070</w:t>
            </w:r>
          </w:p>
        </w:tc>
        <w:tc>
          <w:tcPr>
            <w:tcW w:w="7791" w:type="dxa"/>
            <w:shd w:val="clear" w:color="auto" w:fill="FFFFFF" w:themeFill="background1"/>
          </w:tcPr>
          <w:p w14:paraId="7FE1C5BC" w14:textId="77777777" w:rsidR="00534D9A" w:rsidRDefault="003243B2">
            <w:pPr>
              <w:pStyle w:val="P68B1DB1-Normal64"/>
              <w:spacing w:line="276" w:lineRule="auto"/>
              <w:jc w:val="both"/>
              <w:rPr>
                <w:iCs/>
              </w:rPr>
            </w:pPr>
            <w:r>
              <w:rPr>
                <w:b/>
                <w:szCs w:val="20"/>
              </w:rPr>
              <w:t>Tip legali/ta’ kuntratt</w:t>
            </w:r>
            <w:r>
              <w:t xml:space="preserve"> </w:t>
            </w:r>
          </w:p>
          <w:p w14:paraId="7FE1C5BD" w14:textId="77777777" w:rsidR="00534D9A" w:rsidRDefault="003243B2">
            <w:pPr>
              <w:pStyle w:val="P68B1DB1-Normal64"/>
              <w:spacing w:line="276" w:lineRule="auto"/>
              <w:jc w:val="both"/>
              <w:rPr>
                <w:iCs/>
              </w:rPr>
            </w:pPr>
            <w:r>
              <w:t>Irrapporta wieħed minn dawn il-valuri li ġejjin:</w:t>
            </w:r>
          </w:p>
          <w:p w14:paraId="7FE1C5BE" w14:textId="77777777" w:rsidR="00534D9A" w:rsidRDefault="003243B2">
            <w:pPr>
              <w:pStyle w:val="P68B1DB1-Normal66"/>
              <w:numPr>
                <w:ilvl w:val="0"/>
                <w:numId w:val="236"/>
              </w:numPr>
              <w:contextualSpacing/>
              <w:jc w:val="both"/>
            </w:pPr>
            <w:r>
              <w:t>Sjieda</w:t>
            </w:r>
          </w:p>
          <w:p w14:paraId="7FE1C5BF" w14:textId="77777777" w:rsidR="00534D9A" w:rsidRDefault="003243B2">
            <w:pPr>
              <w:pStyle w:val="P68B1DB1-Normal66"/>
              <w:numPr>
                <w:ilvl w:val="0"/>
                <w:numId w:val="236"/>
              </w:numPr>
              <w:contextualSpacing/>
              <w:jc w:val="both"/>
            </w:pPr>
            <w:r>
              <w:t>Mikrija</w:t>
            </w:r>
          </w:p>
          <w:p w14:paraId="7FE1C5C0" w14:textId="77777777" w:rsidR="00534D9A" w:rsidRDefault="003243B2">
            <w:pPr>
              <w:pStyle w:val="P68B1DB1-Normal66"/>
              <w:numPr>
                <w:ilvl w:val="0"/>
                <w:numId w:val="236"/>
              </w:numPr>
              <w:contextualSpacing/>
              <w:jc w:val="both"/>
            </w:pPr>
            <w:r>
              <w:t>Liċenzjati</w:t>
            </w:r>
          </w:p>
          <w:p w14:paraId="7FE1C5C1" w14:textId="3AFF0D43" w:rsidR="00534D9A" w:rsidRDefault="003243B2">
            <w:pPr>
              <w:pStyle w:val="P68B1DB1-Normal66"/>
              <w:numPr>
                <w:ilvl w:val="0"/>
                <w:numId w:val="236"/>
              </w:numPr>
              <w:contextualSpacing/>
              <w:jc w:val="both"/>
            </w:pPr>
            <w:r>
              <w:t>Tip ieħor legali/ta’ kuntratt</w:t>
            </w:r>
          </w:p>
          <w:p w14:paraId="7FE1C5C2" w14:textId="77777777" w:rsidR="00534D9A" w:rsidRDefault="00534D9A">
            <w:pPr>
              <w:spacing w:line="276" w:lineRule="auto"/>
              <w:jc w:val="both"/>
              <w:rPr>
                <w:rFonts w:ascii="Times New Roman" w:hAnsi="Times New Roman"/>
                <w:sz w:val="20"/>
              </w:rPr>
            </w:pPr>
          </w:p>
        </w:tc>
      </w:tr>
      <w:tr w:rsidR="00534D9A" w14:paraId="7FE1C5C9" w14:textId="77777777">
        <w:trPr>
          <w:trHeight w:val="450"/>
        </w:trPr>
        <w:tc>
          <w:tcPr>
            <w:tcW w:w="1418" w:type="dxa"/>
            <w:shd w:val="clear" w:color="auto" w:fill="FFFFFF" w:themeFill="background1"/>
          </w:tcPr>
          <w:p w14:paraId="7FE1C5C4" w14:textId="77777777" w:rsidR="00534D9A" w:rsidRDefault="003243B2">
            <w:pPr>
              <w:pStyle w:val="P68B1DB1-Normal62"/>
              <w:spacing w:before="120" w:after="120" w:line="276" w:lineRule="auto"/>
            </w:pPr>
            <w:r>
              <w:t>0080</w:t>
            </w:r>
          </w:p>
        </w:tc>
        <w:tc>
          <w:tcPr>
            <w:tcW w:w="7791" w:type="dxa"/>
            <w:shd w:val="clear" w:color="auto" w:fill="FFFFFF" w:themeFill="background1"/>
          </w:tcPr>
          <w:p w14:paraId="7FE1C5C5" w14:textId="77777777" w:rsidR="00534D9A" w:rsidRDefault="003243B2">
            <w:pPr>
              <w:pStyle w:val="P68B1DB1-Normal61"/>
              <w:spacing w:before="120" w:after="120" w:line="276" w:lineRule="auto"/>
              <w:rPr>
                <w:bCs/>
              </w:rPr>
            </w:pPr>
            <w:r>
              <w:t>ID tal-kuntratt</w:t>
            </w:r>
          </w:p>
          <w:p w14:paraId="7FE1C5C6" w14:textId="77777777" w:rsidR="00534D9A" w:rsidRDefault="003243B2">
            <w:pPr>
              <w:pStyle w:val="P68B1DB1-Normal64"/>
              <w:spacing w:line="276" w:lineRule="auto"/>
              <w:jc w:val="both"/>
              <w:rPr>
                <w:i/>
              </w:rPr>
            </w:pPr>
            <w:r>
              <w:t>Identifikatur uniku tal-kuntratt tal-kuntratt li jirfed l-assi skont it-tassonomija tas-servizz tal-grupp.</w:t>
            </w:r>
          </w:p>
          <w:p w14:paraId="7FE1C5C7" w14:textId="77777777" w:rsidR="00534D9A" w:rsidRDefault="00534D9A">
            <w:pPr>
              <w:spacing w:line="276" w:lineRule="auto"/>
              <w:jc w:val="both"/>
              <w:rPr>
                <w:rFonts w:ascii="Times New Roman" w:hAnsi="Times New Roman"/>
                <w:i/>
                <w:sz w:val="20"/>
              </w:rPr>
            </w:pPr>
          </w:p>
          <w:p w14:paraId="7FE1C5C8" w14:textId="77777777" w:rsidR="00534D9A" w:rsidRDefault="00534D9A">
            <w:pPr>
              <w:spacing w:line="276" w:lineRule="auto"/>
              <w:jc w:val="both"/>
              <w:rPr>
                <w:rFonts w:ascii="Times New Roman" w:hAnsi="Times New Roman"/>
                <w:iCs/>
                <w:sz w:val="20"/>
              </w:rPr>
            </w:pPr>
          </w:p>
        </w:tc>
      </w:tr>
      <w:tr w:rsidR="00534D9A" w14:paraId="7FE1C5CE" w14:textId="77777777">
        <w:trPr>
          <w:trHeight w:val="450"/>
        </w:trPr>
        <w:tc>
          <w:tcPr>
            <w:tcW w:w="1418" w:type="dxa"/>
            <w:shd w:val="clear" w:color="auto" w:fill="FFFFFF" w:themeFill="background1"/>
          </w:tcPr>
          <w:p w14:paraId="7FE1C5CA" w14:textId="77777777" w:rsidR="00534D9A" w:rsidRDefault="003243B2">
            <w:pPr>
              <w:pStyle w:val="P68B1DB1-Normal62"/>
              <w:spacing w:before="120" w:after="120" w:line="276" w:lineRule="auto"/>
            </w:pPr>
            <w:r>
              <w:t>0090</w:t>
            </w:r>
          </w:p>
        </w:tc>
        <w:tc>
          <w:tcPr>
            <w:tcW w:w="7791" w:type="dxa"/>
            <w:shd w:val="clear" w:color="auto" w:fill="FFFFFF" w:themeFill="background1"/>
          </w:tcPr>
          <w:p w14:paraId="7FE1C5CB" w14:textId="77777777" w:rsidR="00534D9A" w:rsidRDefault="003243B2">
            <w:pPr>
              <w:pStyle w:val="P68B1DB1-Normal65"/>
              <w:spacing w:line="276" w:lineRule="auto"/>
              <w:jc w:val="both"/>
            </w:pPr>
            <w:r>
              <w:rPr>
                <w:szCs w:val="20"/>
              </w:rPr>
              <w:t>Liġi li tirregola</w:t>
            </w:r>
            <w:r>
              <w:t xml:space="preserve"> </w:t>
            </w:r>
          </w:p>
          <w:p w14:paraId="7FE1C5CC" w14:textId="77777777" w:rsidR="00534D9A" w:rsidRDefault="003243B2">
            <w:pPr>
              <w:pStyle w:val="P68B1DB1-Normal64"/>
              <w:spacing w:line="276" w:lineRule="auto"/>
              <w:jc w:val="both"/>
            </w:pPr>
            <w:r>
              <w:t>Il-kodiċi ISO tal-kodiċi tal-pajjiż li l-kuntratt ikun irregolat mil-liġi tiegħu.</w:t>
            </w:r>
          </w:p>
          <w:p w14:paraId="7FE1C5CD" w14:textId="77777777" w:rsidR="00534D9A" w:rsidRDefault="00534D9A">
            <w:pPr>
              <w:spacing w:line="276" w:lineRule="auto"/>
              <w:jc w:val="both"/>
              <w:rPr>
                <w:rFonts w:ascii="Times New Roman" w:hAnsi="Times New Roman"/>
                <w:iCs/>
                <w:sz w:val="20"/>
              </w:rPr>
            </w:pPr>
          </w:p>
        </w:tc>
      </w:tr>
      <w:tr w:rsidR="00534D9A" w14:paraId="7FE1C5D4" w14:textId="77777777">
        <w:trPr>
          <w:trHeight w:val="463"/>
        </w:trPr>
        <w:tc>
          <w:tcPr>
            <w:tcW w:w="1418" w:type="dxa"/>
            <w:shd w:val="clear" w:color="auto" w:fill="FFFFFF" w:themeFill="background1"/>
          </w:tcPr>
          <w:p w14:paraId="7FE1C5CF" w14:textId="77777777" w:rsidR="00534D9A" w:rsidRDefault="003243B2">
            <w:pPr>
              <w:pStyle w:val="P68B1DB1-Normal64"/>
              <w:spacing w:line="276" w:lineRule="auto"/>
              <w:jc w:val="both"/>
            </w:pPr>
            <w:r>
              <w:t>0100–0120</w:t>
            </w:r>
          </w:p>
          <w:p w14:paraId="7FE1C5D0" w14:textId="77777777" w:rsidR="00534D9A" w:rsidRDefault="00534D9A">
            <w:pPr>
              <w:spacing w:before="120" w:after="120" w:line="276" w:lineRule="auto"/>
              <w:rPr>
                <w:rFonts w:ascii="Times New Roman" w:hAnsi="Times New Roman"/>
                <w:sz w:val="20"/>
                <w:szCs w:val="20"/>
              </w:rPr>
            </w:pPr>
          </w:p>
        </w:tc>
        <w:tc>
          <w:tcPr>
            <w:tcW w:w="7791" w:type="dxa"/>
            <w:shd w:val="clear" w:color="auto" w:fill="FFFFFF" w:themeFill="background1"/>
          </w:tcPr>
          <w:p w14:paraId="7FE1C5D1" w14:textId="77777777" w:rsidR="00534D9A" w:rsidRDefault="003243B2">
            <w:pPr>
              <w:pStyle w:val="P68B1DB1-Normal61"/>
              <w:spacing w:before="120" w:after="120" w:line="276" w:lineRule="auto"/>
              <w:rPr>
                <w:bCs/>
                <w:iCs/>
              </w:rPr>
            </w:pPr>
            <w:r>
              <w:t xml:space="preserve">Reżiljenza tar-riżoluzzjoni </w:t>
            </w:r>
          </w:p>
          <w:p w14:paraId="7FE1C5D2" w14:textId="77777777" w:rsidR="00534D9A" w:rsidRDefault="003243B2">
            <w:pPr>
              <w:pStyle w:val="P68B1DB1-NormalWeb59"/>
              <w:spacing w:before="0" w:beforeAutospacing="0" w:after="0" w:afterAutospacing="0"/>
              <w:rPr>
                <w:iCs/>
                <w:szCs w:val="20"/>
              </w:rPr>
            </w:pPr>
            <w:r>
              <w:rPr>
                <w:szCs w:val="20"/>
              </w:rPr>
              <w:t xml:space="preserve">Il-valutazzjoni dwar jekk il-kuntratt li jappoġġa l-assi rrapportat fil-kolonna 0030 jistax jitkompla u jiġi ttrasferit matul l-implimentazzjoni tal-istrateġija ta’ riżoluzzjoni, inkluż il-pjan ta’ riorganizzazzjoni tan-negozju, </w:t>
            </w:r>
            <w:r>
              <w:t>f’konformità mal-Linji Gwida EBA/GL/2022/01 u l-liġijiet nazzjonali rilevanti.</w:t>
            </w:r>
          </w:p>
          <w:p w14:paraId="7FE1C5D3" w14:textId="77777777" w:rsidR="00534D9A" w:rsidRDefault="00534D9A">
            <w:pPr>
              <w:pStyle w:val="NormalWeb"/>
              <w:spacing w:before="0" w:beforeAutospacing="0" w:after="0" w:afterAutospacing="0"/>
              <w:rPr>
                <w:sz w:val="20"/>
              </w:rPr>
            </w:pPr>
          </w:p>
        </w:tc>
      </w:tr>
      <w:tr w:rsidR="00534D9A" w14:paraId="7FE1C5E4" w14:textId="77777777">
        <w:trPr>
          <w:trHeight w:val="463"/>
        </w:trPr>
        <w:tc>
          <w:tcPr>
            <w:tcW w:w="1418" w:type="dxa"/>
            <w:shd w:val="clear" w:color="auto" w:fill="FFFFFF" w:themeFill="background1"/>
          </w:tcPr>
          <w:p w14:paraId="7FE1C5D5" w14:textId="77777777" w:rsidR="00534D9A" w:rsidRDefault="003243B2">
            <w:pPr>
              <w:pStyle w:val="P68B1DB1-Normal64"/>
              <w:spacing w:before="120" w:after="120" w:line="276" w:lineRule="auto"/>
              <w:rPr>
                <w:szCs w:val="20"/>
              </w:rPr>
            </w:pPr>
            <w:r>
              <w:t>0100</w:t>
            </w:r>
          </w:p>
        </w:tc>
        <w:tc>
          <w:tcPr>
            <w:tcW w:w="7791" w:type="dxa"/>
            <w:shd w:val="clear" w:color="auto" w:fill="FFFFFF" w:themeFill="background1"/>
          </w:tcPr>
          <w:p w14:paraId="7FE1C5D6" w14:textId="77777777" w:rsidR="00534D9A" w:rsidRDefault="003243B2">
            <w:pPr>
              <w:pStyle w:val="P68B1DB1-Normal65"/>
              <w:spacing w:line="276" w:lineRule="auto"/>
              <w:jc w:val="both"/>
              <w:rPr>
                <w:bCs/>
              </w:rPr>
            </w:pPr>
            <w:r>
              <w:rPr>
                <w:szCs w:val="20"/>
              </w:rPr>
              <w:t>Karatteristiċi tar-Reżiljenza tar-riżoluzzjoni</w:t>
            </w:r>
            <w:r>
              <w:t xml:space="preserve"> </w:t>
            </w:r>
          </w:p>
          <w:p w14:paraId="7FE1C5D7" w14:textId="77777777" w:rsidR="00534D9A" w:rsidRDefault="003243B2">
            <w:pPr>
              <w:pStyle w:val="P68B1DB1-Normal62"/>
              <w:spacing w:line="276" w:lineRule="auto"/>
              <w:jc w:val="both"/>
              <w:rPr>
                <w:iCs/>
              </w:rPr>
            </w:pPr>
            <w:r>
              <w:lastRenderedPageBreak/>
              <w:t>Il-karatteristiċi reżiljenti għar-riżoluzzjoni huma proprjetajiet li kuntratt rilevanti huwa mistenni li jkollu sabiex jitqies bħala reżiljenti għar-riżoluzzjoni. Dawn jinkludu dawn li ġejjin, sakemm l-obbligi sostantivi skont il-kuntratt jibqgħu jiġu eżegwiti:</w:t>
            </w:r>
          </w:p>
          <w:p w14:paraId="7FE1C5D8" w14:textId="77777777" w:rsidR="00534D9A" w:rsidRDefault="003243B2">
            <w:pPr>
              <w:pStyle w:val="P68B1DB1-ListParagraph60"/>
              <w:numPr>
                <w:ilvl w:val="0"/>
                <w:numId w:val="263"/>
              </w:numPr>
              <w:spacing w:line="276" w:lineRule="auto"/>
              <w:contextualSpacing/>
              <w:jc w:val="both"/>
              <w:rPr>
                <w:iCs/>
              </w:rPr>
            </w:pPr>
            <w:r>
              <w:t xml:space="preserve">l-ebda terminazzjoni, sospensjoni jew modifika għal raġunijiet ta’ riżoluzzjoni (inkluża r-riorganizzazzjoni tan-negozju skont l-Artikolu 51 tad-Direttiva 2014/59/UE); </w:t>
            </w:r>
          </w:p>
          <w:p w14:paraId="7FE1C5D9" w14:textId="77777777" w:rsidR="00534D9A" w:rsidRDefault="003243B2">
            <w:pPr>
              <w:pStyle w:val="P68B1DB1-ListParagraph60"/>
              <w:numPr>
                <w:ilvl w:val="0"/>
                <w:numId w:val="263"/>
              </w:numPr>
              <w:spacing w:line="276" w:lineRule="auto"/>
              <w:contextualSpacing/>
              <w:jc w:val="both"/>
              <w:rPr>
                <w:iCs/>
              </w:rPr>
            </w:pPr>
            <w:r>
              <w:t xml:space="preserve">it-trasferibbiltà tal-forniment ta’ servizz lil riċevitur ġdid jew mir-riċevitur tas-servizz jew mill-awtorità ta’ riżoluzzjoni minħabba riżoluzzjoni (inkluża r-riorganizzazzjoni skont l-Artikolu 51 tad-Direttiva 2014/59/UE); </w:t>
            </w:r>
          </w:p>
          <w:p w14:paraId="7FE1C5DA" w14:textId="77777777" w:rsidR="00534D9A" w:rsidRDefault="003243B2">
            <w:pPr>
              <w:pStyle w:val="P68B1DB1-ListParagraph60"/>
              <w:numPr>
                <w:ilvl w:val="0"/>
                <w:numId w:val="263"/>
              </w:numPr>
              <w:spacing w:line="276" w:lineRule="auto"/>
              <w:contextualSpacing/>
              <w:jc w:val="both"/>
              <w:rPr>
                <w:iCs/>
              </w:rPr>
            </w:pPr>
            <w:r>
              <w:t>l-appoġġ fit-trasferiment jew fit-terminazzjoni li jseħħ matul ir-riżoluzzjoni (inkluża r-riorganizzazzjoni skont l-Artikolu 51 tad-Direttiva 2014/59/UE) għal perjodu raġonevoli (bħal 24-il xahar) mill-fornitur tas-servizz attwali u taħt l-istess termini u kundizzjonijiet; kif ukoll</w:t>
            </w:r>
          </w:p>
          <w:p w14:paraId="7FE1C5DB" w14:textId="77777777" w:rsidR="00534D9A" w:rsidRDefault="003243B2">
            <w:pPr>
              <w:pStyle w:val="P68B1DB1-ListParagraph60"/>
              <w:numPr>
                <w:ilvl w:val="0"/>
                <w:numId w:val="263"/>
              </w:numPr>
              <w:spacing w:line="276" w:lineRule="auto"/>
              <w:contextualSpacing/>
              <w:jc w:val="both"/>
              <w:rPr>
                <w:iCs/>
              </w:rPr>
            </w:pPr>
            <w:r>
              <w:t>il-forniment kontinwu ta’ servizz lil entità fi grupp divestita matul riżoluzzjoni (inkluża r-riorganizzazzjoni skont l-Artikolu 51 tad-Direttiva 2014/59/UE), għal perjodu ta’ żmien raġonevoli wara ċ-ċessjoni — bħal 24-il xahar.</w:t>
            </w:r>
          </w:p>
          <w:p w14:paraId="7FE1C5DC" w14:textId="77777777" w:rsidR="00534D9A" w:rsidRDefault="003243B2">
            <w:pPr>
              <w:spacing w:line="276" w:lineRule="auto"/>
              <w:jc w:val="both"/>
              <w:rPr>
                <w:rFonts w:ascii="Times New Roman" w:hAnsi="Times New Roman"/>
                <w:iCs/>
                <w:sz w:val="20"/>
                <w:szCs w:val="20"/>
              </w:rPr>
            </w:pPr>
            <w:r>
              <w:rPr>
                <w:rFonts w:ascii="Times New Roman" w:hAnsi="Times New Roman"/>
                <w:sz w:val="20"/>
                <w:szCs w:val="20"/>
              </w:rPr>
              <w:t>Dan japplika għal kuntratti li għalihom il-liġi regolatorja u l-ġuriżdizzjoni tal-kuntratt hija dik ta’ Stat Membru tal-UE</w:t>
            </w:r>
            <w:r>
              <w:rPr>
                <w:rStyle w:val="FootnoteReference"/>
                <w:rFonts w:ascii="Times New Roman" w:hAnsi="Times New Roman"/>
                <w:sz w:val="20"/>
                <w:szCs w:val="20"/>
              </w:rPr>
              <w:footnoteReference w:id="28"/>
            </w:r>
            <w:r>
              <w:rPr>
                <w:rFonts w:ascii="Times New Roman" w:hAnsi="Times New Roman"/>
                <w:sz w:val="20"/>
                <w:szCs w:val="20"/>
              </w:rPr>
              <w:t xml:space="preserve"> (“kuntratti tal-UE”), u kuntratti li għalihom tapplika l-liġi ta’ pajjiż terz.</w:t>
            </w:r>
          </w:p>
          <w:p w14:paraId="7FE1C5DD" w14:textId="77777777" w:rsidR="00534D9A" w:rsidRDefault="00534D9A">
            <w:pPr>
              <w:spacing w:line="276" w:lineRule="auto"/>
              <w:jc w:val="both"/>
              <w:rPr>
                <w:rFonts w:ascii="Times New Roman" w:hAnsi="Times New Roman"/>
                <w:sz w:val="20"/>
              </w:rPr>
            </w:pPr>
          </w:p>
          <w:p w14:paraId="7FE1C5DE" w14:textId="77777777" w:rsidR="00534D9A" w:rsidRDefault="003243B2">
            <w:pPr>
              <w:pStyle w:val="P68B1DB1-Normal64"/>
              <w:spacing w:line="276" w:lineRule="auto"/>
              <w:jc w:val="both"/>
            </w:pPr>
            <w:r>
              <w:t>Irrapporta wieħed minn dawn il-valuri li ġejjin:</w:t>
            </w:r>
          </w:p>
          <w:p w14:paraId="7FE1C5DF" w14:textId="77777777" w:rsidR="00534D9A" w:rsidRDefault="003243B2">
            <w:pPr>
              <w:pStyle w:val="P68B1DB1-Normal62"/>
              <w:spacing w:line="276" w:lineRule="auto"/>
              <w:jc w:val="both"/>
            </w:pPr>
            <w:r>
              <w:t>“Iva” — jekk il-valutazzjoni tal-kuntratt tkun waħda ta’ kuntratt b’validità għal riżoluzzjoni</w:t>
            </w:r>
          </w:p>
          <w:p w14:paraId="7FE1C5E0" w14:textId="77777777" w:rsidR="00534D9A" w:rsidRDefault="003243B2">
            <w:pPr>
              <w:pStyle w:val="P68B1DB1-Normal62"/>
              <w:spacing w:line="276" w:lineRule="auto"/>
              <w:jc w:val="both"/>
            </w:pPr>
            <w:r>
              <w:t>“Le” — jekk il-valutazzjoni tal-kuntratt ma tkunx waħda ta’ kuntratt b’validità għal riżoluzzjoni</w:t>
            </w:r>
          </w:p>
          <w:p w14:paraId="7FE1C5E1" w14:textId="77777777" w:rsidR="00534D9A" w:rsidRDefault="003243B2">
            <w:pPr>
              <w:pStyle w:val="P68B1DB1-Normal62"/>
              <w:spacing w:line="276" w:lineRule="auto"/>
              <w:jc w:val="both"/>
            </w:pPr>
            <w:r>
              <w:t>“Mhux valutat” — jekk ma tkun saret l-ebda valutazzjoni</w:t>
            </w:r>
          </w:p>
          <w:p w14:paraId="7FE1C5E2" w14:textId="748C3D0F" w:rsidR="00534D9A" w:rsidRDefault="003243B2">
            <w:pPr>
              <w:pStyle w:val="P68B1DB1-Normal62"/>
              <w:spacing w:line="276" w:lineRule="auto"/>
              <w:jc w:val="both"/>
            </w:pPr>
            <w:r>
              <w:t>“Mhux APPLIKABBLI” — għal servizzi fi ħdan l-entità</w:t>
            </w:r>
          </w:p>
          <w:p w14:paraId="7FE1C5E3" w14:textId="77777777" w:rsidR="00534D9A" w:rsidRDefault="00534D9A">
            <w:pPr>
              <w:spacing w:line="276" w:lineRule="auto"/>
              <w:jc w:val="both"/>
              <w:rPr>
                <w:rFonts w:ascii="Times New Roman" w:hAnsi="Times New Roman"/>
                <w:sz w:val="20"/>
              </w:rPr>
            </w:pPr>
          </w:p>
        </w:tc>
      </w:tr>
      <w:tr w:rsidR="00534D9A" w14:paraId="7FE1C5EF" w14:textId="77777777">
        <w:trPr>
          <w:trHeight w:val="463"/>
        </w:trPr>
        <w:tc>
          <w:tcPr>
            <w:tcW w:w="1418" w:type="dxa"/>
            <w:shd w:val="clear" w:color="auto" w:fill="FFFFFF" w:themeFill="background1"/>
          </w:tcPr>
          <w:p w14:paraId="7FE1C5E5" w14:textId="77777777" w:rsidR="00534D9A" w:rsidRDefault="003243B2">
            <w:pPr>
              <w:pStyle w:val="P68B1DB1-Normal64"/>
              <w:spacing w:before="120" w:after="120" w:line="276" w:lineRule="auto"/>
              <w:rPr>
                <w:szCs w:val="20"/>
              </w:rPr>
            </w:pPr>
            <w:r>
              <w:lastRenderedPageBreak/>
              <w:t>0110</w:t>
            </w:r>
          </w:p>
        </w:tc>
        <w:tc>
          <w:tcPr>
            <w:tcW w:w="7791" w:type="dxa"/>
            <w:shd w:val="clear" w:color="auto" w:fill="FFFFFF" w:themeFill="background1"/>
          </w:tcPr>
          <w:p w14:paraId="7FE1C5E6" w14:textId="77777777" w:rsidR="00534D9A" w:rsidRDefault="003243B2">
            <w:pPr>
              <w:pStyle w:val="P68B1DB1-Normal65"/>
              <w:spacing w:line="276" w:lineRule="auto"/>
              <w:jc w:val="both"/>
              <w:rPr>
                <w:bCs/>
                <w:iCs/>
              </w:rPr>
            </w:pPr>
            <w:r>
              <w:t>Pjan ta’ Riorganizzazzjoni tan-Negozju (BRP)</w:t>
            </w:r>
          </w:p>
          <w:p w14:paraId="7FE1C5E7" w14:textId="77777777" w:rsidR="00534D9A" w:rsidRDefault="003243B2">
            <w:pPr>
              <w:pStyle w:val="P68B1DB1-Normal64"/>
              <w:spacing w:line="276" w:lineRule="auto"/>
              <w:jc w:val="both"/>
              <w:rPr>
                <w:iCs/>
              </w:rPr>
            </w:pPr>
            <w:r>
              <w:t>Jekk l-istrateġija ta’ riżoluzzjoni (jew preferuta jew varjant) tirrikjedi pjan ta’ riorganizzazzjoni tan-negozju, il-kuntratti tal-UE huma mistennija li jinkludu klawżoli espliċiti biex jiżguraw ir-reżiljenza tar-riżoluzzjoni tagħhom fl-implimentazzjoni tal-pjanijiet ta’ riorganizzazzjoni tan-negozju (BRP).</w:t>
            </w:r>
          </w:p>
          <w:p w14:paraId="7FE1C5E8" w14:textId="77777777" w:rsidR="00534D9A" w:rsidRDefault="00534D9A">
            <w:pPr>
              <w:spacing w:line="276" w:lineRule="auto"/>
              <w:jc w:val="both"/>
              <w:rPr>
                <w:rFonts w:ascii="Times New Roman" w:hAnsi="Times New Roman"/>
                <w:iCs/>
                <w:sz w:val="20"/>
              </w:rPr>
            </w:pPr>
          </w:p>
          <w:p w14:paraId="7FE1C5E9" w14:textId="77777777" w:rsidR="00534D9A" w:rsidRDefault="003243B2">
            <w:pPr>
              <w:pStyle w:val="P68B1DB1-Normal64"/>
              <w:spacing w:line="276" w:lineRule="auto"/>
              <w:jc w:val="both"/>
              <w:rPr>
                <w:iCs/>
              </w:rPr>
            </w:pPr>
            <w:r>
              <w:t>Irrapporta wieħed minn dawn il-valuri li ġejjin:</w:t>
            </w:r>
          </w:p>
          <w:p w14:paraId="7FE1C5EA" w14:textId="77777777" w:rsidR="00534D9A" w:rsidRDefault="003243B2">
            <w:pPr>
              <w:pStyle w:val="P68B1DB1-Normal67"/>
              <w:spacing w:line="276" w:lineRule="auto"/>
              <w:jc w:val="both"/>
              <w:rPr>
                <w:iCs/>
                <w:sz w:val="20"/>
              </w:rPr>
            </w:pPr>
            <w:r>
              <w:t>“</w:t>
            </w:r>
            <w:r>
              <w:rPr>
                <w:sz w:val="20"/>
              </w:rPr>
              <w:t>Iva” — jekk il-kuntratt jinkludi klawżoli espliċiti biex tiġi żgurata r-reżiljenza tar-riżoluzzjoni tagħhom fl-implimentazzjoni tal-BRP</w:t>
            </w:r>
          </w:p>
          <w:p w14:paraId="7FE1C5EB" w14:textId="77777777" w:rsidR="00534D9A" w:rsidRDefault="003243B2">
            <w:pPr>
              <w:pStyle w:val="P68B1DB1-Normal67"/>
              <w:spacing w:line="276" w:lineRule="auto"/>
              <w:jc w:val="both"/>
              <w:rPr>
                <w:iCs/>
                <w:sz w:val="20"/>
              </w:rPr>
            </w:pPr>
            <w:r>
              <w:t>“</w:t>
            </w:r>
            <w:r>
              <w:rPr>
                <w:sz w:val="20"/>
              </w:rPr>
              <w:t>Le” — jekk il-kuntratt ma jinkludix klawżoli espliċiti biex tiġi żgurata r-reżiljenza tar-riżoluzzjoni tagħhom fl-implimentazzjoni tal-BRP</w:t>
            </w:r>
          </w:p>
          <w:p w14:paraId="7FE1C5EC" w14:textId="77777777" w:rsidR="00534D9A" w:rsidRDefault="003243B2">
            <w:pPr>
              <w:pStyle w:val="P68B1DB1-Normal67"/>
              <w:spacing w:line="276" w:lineRule="auto"/>
              <w:jc w:val="both"/>
              <w:rPr>
                <w:iCs/>
                <w:sz w:val="20"/>
              </w:rPr>
            </w:pPr>
            <w:r>
              <w:t>“</w:t>
            </w:r>
            <w:r>
              <w:rPr>
                <w:sz w:val="20"/>
              </w:rPr>
              <w:t>Mhux valutat” — jekk ma tkun saret l-ebda valutazzjoni</w:t>
            </w:r>
          </w:p>
          <w:p w14:paraId="7FE1C5ED" w14:textId="430F5732" w:rsidR="00534D9A" w:rsidRDefault="003243B2">
            <w:pPr>
              <w:pStyle w:val="P68B1DB1-Normal67"/>
              <w:spacing w:line="276" w:lineRule="auto"/>
              <w:jc w:val="both"/>
              <w:rPr>
                <w:iCs/>
                <w:sz w:val="20"/>
              </w:rPr>
            </w:pPr>
            <w:r>
              <w:t>“</w:t>
            </w:r>
            <w:r>
              <w:rPr>
                <w:sz w:val="20"/>
              </w:rPr>
              <w:t xml:space="preserve">Not APPLICABLE” — għal servizzi intra-entitajiet jew għal servizzi intragrupp u esterni, jekk l-istrateġija ta’ riżoluzzjoni (preferuta u varjant) ma tkunx teħtieġ pjan ta’ riorganizzazzjoni tan-negozju </w:t>
            </w:r>
          </w:p>
          <w:p w14:paraId="7FE1C5EE" w14:textId="77777777" w:rsidR="00534D9A" w:rsidRDefault="00534D9A">
            <w:pPr>
              <w:spacing w:line="276" w:lineRule="auto"/>
              <w:jc w:val="both"/>
              <w:rPr>
                <w:rFonts w:ascii="Times New Roman" w:hAnsi="Times New Roman"/>
                <w:i/>
                <w:sz w:val="20"/>
              </w:rPr>
            </w:pPr>
          </w:p>
        </w:tc>
      </w:tr>
      <w:tr w:rsidR="00534D9A" w14:paraId="7FE1C5F9" w14:textId="77777777">
        <w:trPr>
          <w:trHeight w:val="463"/>
        </w:trPr>
        <w:tc>
          <w:tcPr>
            <w:tcW w:w="1418" w:type="dxa"/>
            <w:shd w:val="clear" w:color="auto" w:fill="FFFFFF" w:themeFill="background1"/>
          </w:tcPr>
          <w:p w14:paraId="7FE1C5F0" w14:textId="77777777" w:rsidR="00534D9A" w:rsidRDefault="003243B2">
            <w:pPr>
              <w:pStyle w:val="P68B1DB1-Normal64"/>
              <w:spacing w:before="120" w:after="120" w:line="276" w:lineRule="auto"/>
              <w:rPr>
                <w:szCs w:val="20"/>
              </w:rPr>
            </w:pPr>
            <w:r>
              <w:t>0120</w:t>
            </w:r>
          </w:p>
        </w:tc>
        <w:tc>
          <w:tcPr>
            <w:tcW w:w="7791" w:type="dxa"/>
            <w:shd w:val="clear" w:color="auto" w:fill="FFFFFF" w:themeFill="background1"/>
          </w:tcPr>
          <w:p w14:paraId="7FE1C5F1" w14:textId="77777777" w:rsidR="00534D9A" w:rsidRDefault="003243B2">
            <w:pPr>
              <w:pStyle w:val="P68B1DB1-Normal64"/>
              <w:spacing w:line="276" w:lineRule="auto"/>
              <w:jc w:val="both"/>
            </w:pPr>
            <w:r>
              <w:rPr>
                <w:b/>
              </w:rPr>
              <w:t>Azzjonijiet alternattivi ta’ mitigazzjoni</w:t>
            </w:r>
            <w:r>
              <w:t xml:space="preserve"> </w:t>
            </w:r>
          </w:p>
          <w:p w14:paraId="7FE1C5F2" w14:textId="77777777" w:rsidR="00534D9A" w:rsidRDefault="003243B2">
            <w:pPr>
              <w:pStyle w:val="P68B1DB1-Normal64"/>
              <w:spacing w:line="276" w:lineRule="auto"/>
              <w:jc w:val="both"/>
            </w:pPr>
            <w:r>
              <w:t xml:space="preserve">Fejn ir-reżiljenza tar-riżoluzzjoni hija mistennija li tinkiseb, iżda l-banek ma setgħux jagħmlu dan, il-banek huma mistennija jesploraw azzjonijiet alternattivi ta’ mitigazzjoni. </w:t>
            </w:r>
          </w:p>
          <w:p w14:paraId="7FE1C5F3" w14:textId="77777777" w:rsidR="00534D9A" w:rsidRDefault="00534D9A">
            <w:pPr>
              <w:spacing w:line="276" w:lineRule="auto"/>
              <w:jc w:val="both"/>
              <w:rPr>
                <w:rFonts w:ascii="Times New Roman" w:hAnsi="Times New Roman"/>
                <w:sz w:val="20"/>
              </w:rPr>
            </w:pPr>
          </w:p>
          <w:p w14:paraId="7FE1C5F4" w14:textId="77777777" w:rsidR="00534D9A" w:rsidRDefault="003243B2">
            <w:pPr>
              <w:pStyle w:val="P68B1DB1-Normal64"/>
              <w:spacing w:line="276" w:lineRule="auto"/>
              <w:jc w:val="both"/>
              <w:rPr>
                <w:iCs/>
              </w:rPr>
            </w:pPr>
            <w:r>
              <w:t>Irrapporta wieħed minn dawn il-valuri li ġejjin:</w:t>
            </w:r>
          </w:p>
          <w:p w14:paraId="7FE1C5F5" w14:textId="77777777" w:rsidR="00534D9A" w:rsidRDefault="003243B2">
            <w:pPr>
              <w:pStyle w:val="P68B1DB1-Normal67"/>
              <w:spacing w:line="276" w:lineRule="auto"/>
              <w:jc w:val="both"/>
              <w:rPr>
                <w:iCs/>
                <w:sz w:val="20"/>
              </w:rPr>
            </w:pPr>
            <w:r>
              <w:t>“</w:t>
            </w:r>
            <w:r>
              <w:rPr>
                <w:sz w:val="20"/>
              </w:rPr>
              <w:t>Iva” — jekk il-bank implimenta azzjonijiet ta’ mitigazzjoni alternattivi</w:t>
            </w:r>
          </w:p>
          <w:p w14:paraId="7FE1C5F6" w14:textId="77777777" w:rsidR="00534D9A" w:rsidRDefault="003243B2">
            <w:pPr>
              <w:pStyle w:val="P68B1DB1-Normal67"/>
              <w:spacing w:line="276" w:lineRule="auto"/>
              <w:jc w:val="both"/>
              <w:rPr>
                <w:iCs/>
                <w:sz w:val="20"/>
              </w:rPr>
            </w:pPr>
            <w:r>
              <w:t>“</w:t>
            </w:r>
            <w:r>
              <w:rPr>
                <w:sz w:val="20"/>
              </w:rPr>
              <w:t>Le” — jekk il-bank ma jkunx implimenta azzjonijiet ta’ mitigazzjoni alternattivi</w:t>
            </w:r>
          </w:p>
          <w:p w14:paraId="7FE1C5F7" w14:textId="20F99367" w:rsidR="00534D9A" w:rsidRDefault="003243B2">
            <w:pPr>
              <w:pStyle w:val="P68B1DB1-Normal67"/>
              <w:spacing w:line="276" w:lineRule="auto"/>
              <w:jc w:val="both"/>
              <w:rPr>
                <w:iCs/>
                <w:sz w:val="20"/>
              </w:rPr>
            </w:pPr>
            <w:r>
              <w:t>“</w:t>
            </w:r>
            <w:r>
              <w:rPr>
                <w:sz w:val="20"/>
              </w:rPr>
              <w:t>Mhux APPLIKABBLI” — f’każijiet fejn xi waħda mill-kolonni 0150, 0160 tkun immarkata bħala “Iva” jew “MHUX APPLIKABBLI”</w:t>
            </w:r>
          </w:p>
          <w:p w14:paraId="7FE1C5F8" w14:textId="77777777" w:rsidR="00534D9A" w:rsidRDefault="00534D9A">
            <w:pPr>
              <w:spacing w:line="276" w:lineRule="auto"/>
              <w:jc w:val="both"/>
              <w:rPr>
                <w:rFonts w:ascii="Times New Roman" w:hAnsi="Times New Roman"/>
                <w:sz w:val="20"/>
              </w:rPr>
            </w:pPr>
          </w:p>
        </w:tc>
      </w:tr>
    </w:tbl>
    <w:p w14:paraId="7FE1C5FA" w14:textId="77777777" w:rsidR="00534D9A" w:rsidRDefault="00534D9A">
      <w:pPr>
        <w:rPr>
          <w:rFonts w:ascii="Times New Roman" w:eastAsia="Times New Roman" w:hAnsi="Times New Roman" w:cs="Times New Roman"/>
          <w:sz w:val="20"/>
          <w:szCs w:val="20"/>
          <w:u w:val="single"/>
        </w:rPr>
      </w:pPr>
    </w:p>
    <w:p w14:paraId="7FE1C5FB" w14:textId="77777777" w:rsidR="00534D9A" w:rsidRDefault="00534D9A">
      <w:pPr>
        <w:rPr>
          <w:rFonts w:ascii="Times New Roman" w:hAnsi="Times New Roman" w:cs="Times New Roman"/>
        </w:rPr>
      </w:pPr>
    </w:p>
    <w:p w14:paraId="7FE1C5FC" w14:textId="77777777" w:rsidR="00534D9A" w:rsidRDefault="003243B2">
      <w:pPr>
        <w:pStyle w:val="P68B1DB1-Instructionsberschrift25"/>
        <w:numPr>
          <w:ilvl w:val="1"/>
          <w:numId w:val="49"/>
        </w:numPr>
        <w:ind w:left="357" w:hanging="357"/>
        <w:rPr>
          <w:rFonts w:eastAsia="Calibri"/>
          <w:szCs w:val="20"/>
        </w:rPr>
      </w:pPr>
      <w:bookmarkStart w:id="130" w:name="_Toc208245015"/>
      <w:r>
        <w:t>Z 08.03 — Servizzi rilevanti — immappjar tar-rwoli (SERV 3)</w:t>
      </w:r>
      <w:bookmarkEnd w:id="130"/>
    </w:p>
    <w:p w14:paraId="7FE1C5FD" w14:textId="77777777" w:rsidR="00534D9A" w:rsidRDefault="003243B2">
      <w:pPr>
        <w:pStyle w:val="P68B1DB1-Normal50"/>
        <w:spacing w:line="276" w:lineRule="auto"/>
        <w:jc w:val="both"/>
      </w:pPr>
      <w:r>
        <w:t>Istruzzjonijiet ġenerali</w:t>
      </w:r>
    </w:p>
    <w:p w14:paraId="7FE1C5FE" w14:textId="77777777" w:rsidR="00534D9A" w:rsidRDefault="003243B2">
      <w:pPr>
        <w:pStyle w:val="P68B1DB1-Instructionsberschrift346"/>
        <w:numPr>
          <w:ilvl w:val="2"/>
          <w:numId w:val="211"/>
        </w:numPr>
        <w:ind w:left="993"/>
        <w:contextualSpacing/>
        <w:jc w:val="both"/>
      </w:pPr>
      <w:r>
        <w:rPr>
          <w:color w:val="auto"/>
          <w:szCs w:val="24"/>
        </w:rPr>
        <w:t>L-informazzjoni li trid tiġi inkluża f’dan il-mudell għandha tiġi rrapportata darba għall-grupp kollu, telenka s-servizzi relati riċevuti minn kwalunkwe entità fil-grupp, u torbothom mal-roli relati</w:t>
      </w:r>
      <w:r>
        <w:t>.</w:t>
      </w:r>
    </w:p>
    <w:p w14:paraId="7FE1C5FF" w14:textId="77777777" w:rsidR="00534D9A" w:rsidRDefault="003243B2">
      <w:pPr>
        <w:pStyle w:val="P68B1DB1-Instructionsberschrift368"/>
        <w:numPr>
          <w:ilvl w:val="2"/>
          <w:numId w:val="211"/>
        </w:numPr>
        <w:ind w:left="993"/>
        <w:contextualSpacing/>
        <w:jc w:val="both"/>
      </w:pPr>
      <w:r>
        <w:t>Il-valuri rrapportati fil-kolonni 0010, 0020 u 0030 ta’ dan il-mudell jiffurmaw kjavi primarja, li jridu jkunu uniċi għal kull ringiela tal-mudell</w:t>
      </w:r>
    </w:p>
    <w:p w14:paraId="7FE1C604" w14:textId="77777777" w:rsidR="00534D9A" w:rsidRDefault="00534D9A">
      <w:pPr>
        <w:spacing w:line="276" w:lineRule="auto"/>
        <w:jc w:val="both"/>
        <w:rPr>
          <w:rFonts w:ascii="Times New Roman" w:eastAsia="Calibri" w:hAnsi="Times New Roman" w:cs="Times New Roman"/>
          <w:color w:val="0070C0"/>
          <w:sz w:val="20"/>
        </w:rPr>
      </w:pPr>
    </w:p>
    <w:tbl>
      <w:tblPr>
        <w:tblStyle w:val="TableGrid1"/>
        <w:tblW w:w="9067" w:type="dxa"/>
        <w:tblLook w:val="04A0" w:firstRow="1" w:lastRow="0" w:firstColumn="1" w:lastColumn="0" w:noHBand="0" w:noVBand="1"/>
      </w:tblPr>
      <w:tblGrid>
        <w:gridCol w:w="1418"/>
        <w:gridCol w:w="7649"/>
      </w:tblGrid>
      <w:tr w:rsidR="00534D9A" w14:paraId="7FE1C607" w14:textId="77777777">
        <w:trPr>
          <w:trHeight w:val="519"/>
          <w:tblHeader/>
        </w:trPr>
        <w:tc>
          <w:tcPr>
            <w:tcW w:w="1418" w:type="dxa"/>
            <w:shd w:val="clear" w:color="auto" w:fill="D9D9D9" w:themeFill="background1" w:themeFillShade="D9"/>
          </w:tcPr>
          <w:p w14:paraId="7FE1C605" w14:textId="77777777" w:rsidR="00534D9A" w:rsidRDefault="003243B2">
            <w:pPr>
              <w:pStyle w:val="P68B1DB1-Normal61"/>
              <w:spacing w:before="120" w:after="120" w:line="276" w:lineRule="auto"/>
            </w:pPr>
            <w:r>
              <w:t>Kolonni</w:t>
            </w:r>
          </w:p>
        </w:tc>
        <w:tc>
          <w:tcPr>
            <w:tcW w:w="7649" w:type="dxa"/>
            <w:shd w:val="clear" w:color="auto" w:fill="D9D9D9" w:themeFill="background1" w:themeFillShade="D9"/>
          </w:tcPr>
          <w:p w14:paraId="7FE1C606" w14:textId="77777777" w:rsidR="00534D9A" w:rsidRDefault="003243B2">
            <w:pPr>
              <w:pStyle w:val="P68B1DB1-Normal61"/>
              <w:spacing w:before="120" w:after="120" w:line="276" w:lineRule="auto"/>
            </w:pPr>
            <w:r>
              <w:t>Struzzjonijiet</w:t>
            </w:r>
          </w:p>
        </w:tc>
      </w:tr>
      <w:tr w:rsidR="00534D9A" w14:paraId="7FE1C60C" w14:textId="77777777">
        <w:trPr>
          <w:trHeight w:val="450"/>
        </w:trPr>
        <w:tc>
          <w:tcPr>
            <w:tcW w:w="1418" w:type="dxa"/>
          </w:tcPr>
          <w:p w14:paraId="7FE1C608" w14:textId="77777777" w:rsidR="00534D9A" w:rsidRDefault="003243B2">
            <w:pPr>
              <w:pStyle w:val="P68B1DB1-Normal62"/>
              <w:spacing w:before="120" w:after="120" w:line="276" w:lineRule="auto"/>
            </w:pPr>
            <w:r>
              <w:t>0005</w:t>
            </w:r>
          </w:p>
        </w:tc>
        <w:tc>
          <w:tcPr>
            <w:tcW w:w="7649" w:type="dxa"/>
          </w:tcPr>
          <w:p w14:paraId="7FE1C609" w14:textId="77777777" w:rsidR="00534D9A" w:rsidRDefault="003243B2">
            <w:pPr>
              <w:pStyle w:val="P68B1DB1-Normal61"/>
              <w:spacing w:before="120" w:after="120" w:line="276" w:lineRule="auto"/>
              <w:rPr>
                <w:bCs/>
              </w:rPr>
            </w:pPr>
            <w:r>
              <w:t xml:space="preserve">Identifikatur tas-Servizz </w:t>
            </w:r>
          </w:p>
          <w:p w14:paraId="7FE1C60A" w14:textId="77777777" w:rsidR="00534D9A" w:rsidRDefault="003243B2">
            <w:pPr>
              <w:pStyle w:val="P68B1DB1-Normal62"/>
              <w:spacing w:before="120" w:after="120" w:line="276" w:lineRule="auto"/>
            </w:pPr>
            <w:r>
              <w:t>Uża l-identifikatur tas-Servizz kif irrapportat f’Z 08.01 (SERV 1).</w:t>
            </w:r>
          </w:p>
          <w:p w14:paraId="7FE1C60B" w14:textId="77777777" w:rsidR="00534D9A" w:rsidRDefault="003243B2">
            <w:pPr>
              <w:pStyle w:val="P68B1DB1-Normal62"/>
              <w:spacing w:before="120" w:after="120" w:line="276" w:lineRule="auto"/>
              <w:rPr>
                <w:iCs/>
              </w:rPr>
            </w:pPr>
            <w:r>
              <w:t>L-identifikatur tas-servizz jirreferi għas-servizz irrapportat taħt c0020.</w:t>
            </w:r>
          </w:p>
        </w:tc>
      </w:tr>
      <w:tr w:rsidR="00534D9A" w14:paraId="7FE1C650" w14:textId="77777777">
        <w:trPr>
          <w:trHeight w:val="450"/>
        </w:trPr>
        <w:tc>
          <w:tcPr>
            <w:tcW w:w="1418" w:type="dxa"/>
          </w:tcPr>
          <w:p w14:paraId="7FE1C60D" w14:textId="77777777" w:rsidR="00534D9A" w:rsidRDefault="003243B2">
            <w:pPr>
              <w:pStyle w:val="P68B1DB1-Normal62"/>
              <w:spacing w:before="120" w:after="120" w:line="276" w:lineRule="auto"/>
            </w:pPr>
            <w:r>
              <w:t>0010</w:t>
            </w:r>
          </w:p>
        </w:tc>
        <w:tc>
          <w:tcPr>
            <w:tcW w:w="7649" w:type="dxa"/>
          </w:tcPr>
          <w:p w14:paraId="7FE1C60E" w14:textId="77777777" w:rsidR="00534D9A" w:rsidRDefault="003243B2">
            <w:pPr>
              <w:pStyle w:val="P68B1DB1-Normal61"/>
              <w:autoSpaceDE w:val="0"/>
              <w:autoSpaceDN w:val="0"/>
              <w:adjustRightInd w:val="0"/>
              <w:rPr>
                <w:rFonts w:eastAsia="MS Mincho"/>
                <w:bCs/>
              </w:rPr>
            </w:pPr>
            <w:r>
              <w:t xml:space="preserve">It-tip ta’ servizz </w:t>
            </w:r>
          </w:p>
          <w:p w14:paraId="7FE1C645" w14:textId="21F3184E" w:rsidR="00534D9A" w:rsidRDefault="003243B2">
            <w:pPr>
              <w:pStyle w:val="P68B1DB1-Normal63"/>
              <w:autoSpaceDE w:val="0"/>
              <w:autoSpaceDN w:val="0"/>
              <w:adjustRightInd w:val="0"/>
            </w:pPr>
            <w:r>
              <w:t xml:space="preserve">It-tip ta’ servizz għandu jkun wieħed mit-tipi ta’ servizz elenkati taħt Z 08.01 0010 hawn fuq. </w:t>
            </w:r>
          </w:p>
          <w:p w14:paraId="7FE1C64F" w14:textId="2C039B1C" w:rsidR="00534D9A" w:rsidRDefault="00534D9A">
            <w:pPr>
              <w:spacing w:before="120" w:after="120" w:line="276" w:lineRule="auto"/>
              <w:rPr>
                <w:rFonts w:ascii="Times New Roman" w:hAnsi="Times New Roman"/>
                <w:sz w:val="20"/>
                <w:szCs w:val="20"/>
              </w:rPr>
            </w:pPr>
          </w:p>
        </w:tc>
      </w:tr>
      <w:tr w:rsidR="00534D9A" w14:paraId="7FE1C655" w14:textId="77777777">
        <w:trPr>
          <w:trHeight w:val="450"/>
        </w:trPr>
        <w:tc>
          <w:tcPr>
            <w:tcW w:w="1418" w:type="dxa"/>
          </w:tcPr>
          <w:p w14:paraId="7FE1C651" w14:textId="77777777" w:rsidR="00534D9A" w:rsidRDefault="003243B2">
            <w:pPr>
              <w:pStyle w:val="P68B1DB1-Normal62"/>
              <w:spacing w:before="120" w:after="120" w:line="276" w:lineRule="auto"/>
            </w:pPr>
            <w:r>
              <w:t>0020</w:t>
            </w:r>
          </w:p>
        </w:tc>
        <w:tc>
          <w:tcPr>
            <w:tcW w:w="7649" w:type="dxa"/>
          </w:tcPr>
          <w:p w14:paraId="7FE1C652" w14:textId="77777777" w:rsidR="00534D9A" w:rsidRDefault="003243B2">
            <w:pPr>
              <w:pStyle w:val="P68B1DB1-Normal65"/>
              <w:spacing w:line="276" w:lineRule="auto"/>
              <w:jc w:val="both"/>
            </w:pPr>
            <w:r>
              <w:rPr>
                <w:szCs w:val="20"/>
              </w:rPr>
              <w:t>Titolu uniku tas-servizz skont it-tassonomija tal-bank</w:t>
            </w:r>
            <w:r>
              <w:t xml:space="preserve"> </w:t>
            </w:r>
          </w:p>
          <w:p w14:paraId="7FE1C653" w14:textId="61186926" w:rsidR="00534D9A" w:rsidRDefault="003243B2">
            <w:pPr>
              <w:pStyle w:val="P68B1DB1-Normal64"/>
              <w:rPr>
                <w:rFonts w:eastAsiaTheme="minorHAnsi"/>
                <w:sz w:val="24"/>
              </w:rPr>
            </w:pPr>
            <w:r>
              <w:t>Isem/deskrizzjoni qasira tas-servizz skont it-tassonomija f’saffi tal-bank stess (Livell 3)) kif irrapportat f’Z 08.01 (SERV 1) kolonna 0020. Il-Bank huwa mistenni jirrapporta s-servizzi f’livell aktar granulari mir-rapportar previst għal-Livell 2 (c0010), sabiex kull servizz partikolari jiġi definit b’mod preċiż u mmirat.</w:t>
            </w:r>
          </w:p>
          <w:p w14:paraId="7FE1C654" w14:textId="77777777" w:rsidR="00534D9A" w:rsidRDefault="00534D9A">
            <w:pPr>
              <w:spacing w:before="120" w:after="120" w:line="276" w:lineRule="auto"/>
              <w:rPr>
                <w:rFonts w:ascii="Times New Roman" w:hAnsi="Times New Roman"/>
                <w:sz w:val="20"/>
                <w:szCs w:val="20"/>
              </w:rPr>
            </w:pPr>
          </w:p>
        </w:tc>
      </w:tr>
      <w:tr w:rsidR="00534D9A" w14:paraId="7FE1C65A" w14:textId="77777777">
        <w:trPr>
          <w:trHeight w:val="450"/>
        </w:trPr>
        <w:tc>
          <w:tcPr>
            <w:tcW w:w="1418" w:type="dxa"/>
          </w:tcPr>
          <w:p w14:paraId="7FE1C656" w14:textId="77777777" w:rsidR="00534D9A" w:rsidRDefault="003243B2">
            <w:pPr>
              <w:pStyle w:val="P68B1DB1-Normal62"/>
              <w:spacing w:before="120" w:after="120" w:line="276" w:lineRule="auto"/>
              <w:rPr>
                <w:b/>
              </w:rPr>
            </w:pPr>
            <w:r>
              <w:t>0030</w:t>
            </w:r>
          </w:p>
        </w:tc>
        <w:tc>
          <w:tcPr>
            <w:tcW w:w="7649" w:type="dxa"/>
          </w:tcPr>
          <w:p w14:paraId="7FE1C657" w14:textId="77777777" w:rsidR="00534D9A" w:rsidRDefault="003243B2">
            <w:pPr>
              <w:pStyle w:val="P68B1DB1-Normal65"/>
              <w:spacing w:before="120" w:after="120" w:line="276" w:lineRule="auto"/>
              <w:rPr>
                <w:bCs/>
              </w:rPr>
            </w:pPr>
            <w:r>
              <w:rPr>
                <w:szCs w:val="20"/>
              </w:rPr>
              <w:t>Id tar-rwol</w:t>
            </w:r>
            <w:r>
              <w:t xml:space="preserve"> </w:t>
            </w:r>
          </w:p>
          <w:p w14:paraId="7FE1C658" w14:textId="77777777" w:rsidR="00534D9A" w:rsidRDefault="003243B2">
            <w:pPr>
              <w:pStyle w:val="P68B1DB1-Normal64"/>
              <w:spacing w:before="120" w:after="120" w:line="276" w:lineRule="auto"/>
            </w:pPr>
            <w:r>
              <w:t>L-identifikatur tar-rwol jirreferi għar-rwol irrapportat taħt c0040.</w:t>
            </w:r>
          </w:p>
          <w:p w14:paraId="7FE1C659" w14:textId="77777777" w:rsidR="00534D9A" w:rsidRDefault="00534D9A">
            <w:pPr>
              <w:spacing w:before="120" w:after="120" w:line="276" w:lineRule="auto"/>
              <w:rPr>
                <w:rFonts w:ascii="Times New Roman" w:hAnsi="Times New Roman"/>
                <w:sz w:val="20"/>
                <w:szCs w:val="20"/>
              </w:rPr>
            </w:pPr>
          </w:p>
        </w:tc>
      </w:tr>
      <w:tr w:rsidR="00534D9A" w14:paraId="7FE1C65F" w14:textId="77777777">
        <w:trPr>
          <w:trHeight w:val="450"/>
        </w:trPr>
        <w:tc>
          <w:tcPr>
            <w:tcW w:w="1418" w:type="dxa"/>
          </w:tcPr>
          <w:p w14:paraId="7FE1C65B" w14:textId="77777777" w:rsidR="00534D9A" w:rsidRDefault="003243B2">
            <w:pPr>
              <w:pStyle w:val="P68B1DB1-Normal62"/>
              <w:spacing w:before="120" w:after="120" w:line="276" w:lineRule="auto"/>
            </w:pPr>
            <w:r>
              <w:t>0040</w:t>
            </w:r>
          </w:p>
        </w:tc>
        <w:tc>
          <w:tcPr>
            <w:tcW w:w="7649" w:type="dxa"/>
          </w:tcPr>
          <w:p w14:paraId="7FE1C65C" w14:textId="77777777" w:rsidR="00534D9A" w:rsidRDefault="003243B2">
            <w:pPr>
              <w:pStyle w:val="P68B1DB1-Normal61"/>
              <w:spacing w:before="120" w:after="120" w:line="276" w:lineRule="auto"/>
              <w:rPr>
                <w:bCs/>
              </w:rPr>
            </w:pPr>
            <w:r>
              <w:t>Isem ir-rwol</w:t>
            </w:r>
          </w:p>
          <w:p w14:paraId="7FE1C65D" w14:textId="77777777" w:rsidR="00534D9A" w:rsidRDefault="003243B2">
            <w:pPr>
              <w:pStyle w:val="P68B1DB1-Normal64"/>
              <w:spacing w:line="276" w:lineRule="auto"/>
              <w:jc w:val="both"/>
            </w:pPr>
            <w:r>
              <w:t>L-isem intern użat għar-rwol speċifiku.</w:t>
            </w:r>
          </w:p>
          <w:p w14:paraId="7FE1C65E" w14:textId="77777777" w:rsidR="00534D9A" w:rsidRDefault="00534D9A">
            <w:pPr>
              <w:spacing w:before="120" w:after="120" w:line="276" w:lineRule="auto"/>
              <w:rPr>
                <w:rFonts w:ascii="Times New Roman" w:hAnsi="Times New Roman"/>
                <w:sz w:val="20"/>
                <w:szCs w:val="20"/>
              </w:rPr>
            </w:pPr>
          </w:p>
        </w:tc>
      </w:tr>
      <w:tr w:rsidR="00534D9A" w14:paraId="7FE1C664" w14:textId="77777777">
        <w:trPr>
          <w:trHeight w:val="450"/>
        </w:trPr>
        <w:tc>
          <w:tcPr>
            <w:tcW w:w="1418" w:type="dxa"/>
          </w:tcPr>
          <w:p w14:paraId="7FE1C660" w14:textId="77777777" w:rsidR="00534D9A" w:rsidRDefault="003243B2">
            <w:pPr>
              <w:pStyle w:val="P68B1DB1-Normal62"/>
              <w:spacing w:before="120" w:after="120" w:line="276" w:lineRule="auto"/>
            </w:pPr>
            <w:r>
              <w:t>0050</w:t>
            </w:r>
          </w:p>
        </w:tc>
        <w:tc>
          <w:tcPr>
            <w:tcW w:w="7649" w:type="dxa"/>
          </w:tcPr>
          <w:p w14:paraId="7FE1C661" w14:textId="77777777" w:rsidR="00534D9A" w:rsidRDefault="003243B2">
            <w:pPr>
              <w:pStyle w:val="P68B1DB1-Normal61"/>
              <w:spacing w:before="120" w:after="120" w:line="276" w:lineRule="auto"/>
              <w:rPr>
                <w:bCs/>
              </w:rPr>
            </w:pPr>
            <w:r>
              <w:t>Dipartiment</w:t>
            </w:r>
          </w:p>
          <w:p w14:paraId="7FE1C662" w14:textId="77777777" w:rsidR="00534D9A" w:rsidRDefault="003243B2">
            <w:pPr>
              <w:pStyle w:val="P68B1DB1-Normal64"/>
              <w:spacing w:line="276" w:lineRule="auto"/>
              <w:jc w:val="both"/>
            </w:pPr>
            <w:r>
              <w:lastRenderedPageBreak/>
              <w:t>L-isem intern użat għad-dipartiment speċifiku fejn jappartjeni l-isem tar-rwol taħt c0040.</w:t>
            </w:r>
          </w:p>
          <w:p w14:paraId="7FE1C663" w14:textId="77777777" w:rsidR="00534D9A" w:rsidRDefault="00534D9A">
            <w:pPr>
              <w:spacing w:line="276" w:lineRule="auto"/>
              <w:jc w:val="both"/>
              <w:rPr>
                <w:rFonts w:ascii="Times New Roman" w:hAnsi="Times New Roman"/>
                <w:iCs/>
                <w:sz w:val="20"/>
              </w:rPr>
            </w:pPr>
          </w:p>
        </w:tc>
      </w:tr>
      <w:tr w:rsidR="00534D9A" w14:paraId="7FE1C66C" w14:textId="77777777">
        <w:trPr>
          <w:trHeight w:val="450"/>
        </w:trPr>
        <w:tc>
          <w:tcPr>
            <w:tcW w:w="1418" w:type="dxa"/>
          </w:tcPr>
          <w:p w14:paraId="7FE1C665" w14:textId="77777777" w:rsidR="00534D9A" w:rsidRDefault="003243B2">
            <w:pPr>
              <w:pStyle w:val="P68B1DB1-Normal62"/>
              <w:spacing w:before="120" w:after="120" w:line="276" w:lineRule="auto"/>
            </w:pPr>
            <w:r>
              <w:lastRenderedPageBreak/>
              <w:t>0060</w:t>
            </w:r>
          </w:p>
        </w:tc>
        <w:tc>
          <w:tcPr>
            <w:tcW w:w="7649" w:type="dxa"/>
          </w:tcPr>
          <w:p w14:paraId="7FE1C666" w14:textId="77777777" w:rsidR="00534D9A" w:rsidRDefault="003243B2">
            <w:pPr>
              <w:pStyle w:val="P68B1DB1-Normal61"/>
              <w:spacing w:before="120" w:after="120" w:line="276" w:lineRule="auto"/>
              <w:rPr>
                <w:bCs/>
              </w:rPr>
            </w:pPr>
            <w:r>
              <w:t>Kritikalità</w:t>
            </w:r>
          </w:p>
          <w:p w14:paraId="7FE1C667" w14:textId="77777777" w:rsidR="00534D9A" w:rsidRDefault="003243B2">
            <w:pPr>
              <w:pStyle w:val="P68B1DB1-Normal64"/>
              <w:spacing w:line="276" w:lineRule="auto"/>
              <w:jc w:val="both"/>
              <w:rPr>
                <w:iCs/>
              </w:rPr>
            </w:pPr>
            <w:r>
              <w:t>Irrapporta wieħed minn dawn il-valuri li ġejjin:</w:t>
            </w:r>
          </w:p>
          <w:p w14:paraId="7FE1C668" w14:textId="77777777" w:rsidR="00534D9A" w:rsidRDefault="003243B2">
            <w:pPr>
              <w:pStyle w:val="P68B1DB1-ListParagraph58"/>
              <w:numPr>
                <w:ilvl w:val="0"/>
                <w:numId w:val="236"/>
              </w:numPr>
              <w:spacing w:line="276" w:lineRule="auto"/>
              <w:contextualSpacing/>
              <w:jc w:val="both"/>
              <w:rPr>
                <w:iCs/>
              </w:rPr>
            </w:pPr>
            <w:r>
              <w:t>Kritiku: jekk is-servizz ikun meħtieġ għat-twettiq ta’ funzjoni kritika waħda jew aktar, li d-diskontinwità tagħhom timpedixxi jew tipprevjeni serjament it-twettiq ta’ dawk il-funzjonijiet kritiċi.</w:t>
            </w:r>
          </w:p>
          <w:p w14:paraId="7FE1C669" w14:textId="77777777" w:rsidR="00534D9A" w:rsidRDefault="003243B2">
            <w:pPr>
              <w:pStyle w:val="P68B1DB1-ListParagraph58"/>
              <w:numPr>
                <w:ilvl w:val="0"/>
                <w:numId w:val="236"/>
              </w:numPr>
              <w:spacing w:line="276" w:lineRule="auto"/>
              <w:contextualSpacing/>
              <w:jc w:val="both"/>
              <w:rPr>
                <w:iCs/>
              </w:rPr>
            </w:pPr>
            <w:r>
              <w:t>Essenzjali: jekk is-servizz ikun assoċjat ma’ linji tan-negozju ewlenin, li l-kontinwità tagħhom tkun meħtieġa għall-eżekuzzjoni effettiva tal-istrateġija ta’ riżoluzzjoni u kwalunkwe ristrutturar konsegwenti.</w:t>
            </w:r>
          </w:p>
          <w:p w14:paraId="7FE1C66A" w14:textId="21623EFD" w:rsidR="00534D9A" w:rsidRDefault="003243B2">
            <w:pPr>
              <w:pStyle w:val="P68B1DB1-ListParagraph58"/>
              <w:numPr>
                <w:ilvl w:val="0"/>
                <w:numId w:val="236"/>
              </w:numPr>
              <w:spacing w:line="276" w:lineRule="auto"/>
              <w:contextualSpacing/>
              <w:jc w:val="both"/>
              <w:rPr>
                <w:iCs/>
              </w:rPr>
            </w:pPr>
            <w:r>
              <w:t>Kritiċi u essenzjali</w:t>
            </w:r>
          </w:p>
          <w:p w14:paraId="7FE1C66B" w14:textId="77777777" w:rsidR="00534D9A" w:rsidRDefault="00534D9A">
            <w:pPr>
              <w:spacing w:before="120" w:after="120" w:line="276" w:lineRule="auto"/>
              <w:rPr>
                <w:rFonts w:ascii="Times New Roman" w:hAnsi="Times New Roman"/>
                <w:sz w:val="20"/>
                <w:szCs w:val="20"/>
              </w:rPr>
            </w:pPr>
          </w:p>
        </w:tc>
      </w:tr>
    </w:tbl>
    <w:p w14:paraId="7FE1C6D5" w14:textId="77777777" w:rsidR="00534D9A" w:rsidRDefault="00534D9A">
      <w:pPr>
        <w:rPr>
          <w:rFonts w:ascii="Times New Roman" w:hAnsi="Times New Roman" w:cs="Times New Roman"/>
        </w:rPr>
      </w:pPr>
    </w:p>
    <w:p w14:paraId="7FE1C6D6" w14:textId="77777777" w:rsidR="00534D9A" w:rsidRDefault="003243B2">
      <w:pPr>
        <w:pStyle w:val="P68B1DB1-Instructionsberschrift25"/>
        <w:numPr>
          <w:ilvl w:val="1"/>
          <w:numId w:val="49"/>
        </w:numPr>
        <w:ind w:left="357" w:hanging="357"/>
        <w:rPr>
          <w:rFonts w:eastAsia="Calibri"/>
          <w:szCs w:val="20"/>
        </w:rPr>
      </w:pPr>
      <w:bookmarkStart w:id="131" w:name="_Toc208245016"/>
      <w:r>
        <w:t>Z 08.04 — Servizzi kritiċi — immappjar għal funzjonijiet kritiċi (SERV 4)</w:t>
      </w:r>
      <w:bookmarkEnd w:id="131"/>
    </w:p>
    <w:p w14:paraId="7FE1C6D7" w14:textId="77777777" w:rsidR="00534D9A" w:rsidRDefault="003243B2">
      <w:pPr>
        <w:pStyle w:val="P68B1DB1-Instructionsberschrift269"/>
        <w:ind w:left="357"/>
      </w:pPr>
      <w:bookmarkStart w:id="132" w:name="_Toc164263859"/>
      <w:bookmarkStart w:id="133" w:name="_Toc208245017"/>
      <w:r>
        <w:t>Istruzzjonijiet ġenerali</w:t>
      </w:r>
      <w:bookmarkEnd w:id="132"/>
      <w:bookmarkEnd w:id="133"/>
    </w:p>
    <w:p w14:paraId="7FE1C6D8" w14:textId="77777777" w:rsidR="00534D9A" w:rsidRDefault="00534D9A">
      <w:pPr>
        <w:spacing w:line="276" w:lineRule="auto"/>
        <w:jc w:val="both"/>
        <w:rPr>
          <w:rFonts w:ascii="Times New Roman" w:eastAsia="Calibri" w:hAnsi="Times New Roman" w:cs="Times New Roman"/>
          <w:sz w:val="20"/>
          <w:szCs w:val="20"/>
        </w:rPr>
      </w:pPr>
    </w:p>
    <w:p w14:paraId="7FE1C6D9" w14:textId="77777777" w:rsidR="00534D9A" w:rsidRDefault="003243B2">
      <w:pPr>
        <w:pStyle w:val="P68B1DB1-ListParagraph53"/>
        <w:numPr>
          <w:ilvl w:val="0"/>
          <w:numId w:val="267"/>
        </w:numPr>
        <w:ind w:left="1418"/>
        <w:contextualSpacing/>
        <w:jc w:val="both"/>
      </w:pPr>
      <w:r>
        <w:t>L-informazzjoni li trid tiġi inkluża f’dan il-mudell għandha tiġi rrapportata darba għall-grupp kollu, telenka s-servizzi kritiċi riċevuti minn kwalunkwe entità fil-grupp, u torbothom mal-funzjonijiet kritiċi provduti mill-grupp.</w:t>
      </w:r>
    </w:p>
    <w:p w14:paraId="7FE1C6DA" w14:textId="77777777" w:rsidR="00534D9A" w:rsidRDefault="003243B2">
      <w:pPr>
        <w:pStyle w:val="P68B1DB1-ListParagraph53"/>
        <w:numPr>
          <w:ilvl w:val="0"/>
          <w:numId w:val="267"/>
        </w:numPr>
        <w:ind w:left="1418"/>
        <w:contextualSpacing/>
        <w:jc w:val="both"/>
      </w:pPr>
      <w:r>
        <w:t>Il-valuri rrapportati fil-kolonni 0010, 0020, 0030 u 0040 ta’ dan il-mudell jiffurmaw kjavi primarja, li jridu jkunu uniċi għal kull ringiela tal-mudell.</w:t>
      </w:r>
    </w:p>
    <w:p w14:paraId="7FE1C6DB" w14:textId="77777777" w:rsidR="00534D9A" w:rsidRDefault="00534D9A">
      <w:pPr>
        <w:rPr>
          <w:rFonts w:ascii="Times New Roman" w:hAnsi="Times New Roman" w:cs="Times New Roman"/>
        </w:rPr>
      </w:pPr>
    </w:p>
    <w:tbl>
      <w:tblPr>
        <w:tblStyle w:val="TableGrid12"/>
        <w:tblW w:w="8926" w:type="dxa"/>
        <w:tblLook w:val="04A0" w:firstRow="1" w:lastRow="0" w:firstColumn="1" w:lastColumn="0" w:noHBand="0" w:noVBand="1"/>
      </w:tblPr>
      <w:tblGrid>
        <w:gridCol w:w="1418"/>
        <w:gridCol w:w="7508"/>
      </w:tblGrid>
      <w:tr w:rsidR="00534D9A" w14:paraId="7FE1C6DE" w14:textId="77777777">
        <w:trPr>
          <w:trHeight w:val="445"/>
          <w:tblHeader/>
        </w:trPr>
        <w:tc>
          <w:tcPr>
            <w:tcW w:w="1418" w:type="dxa"/>
            <w:shd w:val="clear" w:color="auto" w:fill="E7E6E6"/>
          </w:tcPr>
          <w:p w14:paraId="7FE1C6DC" w14:textId="77777777" w:rsidR="00534D9A" w:rsidRDefault="003243B2">
            <w:pPr>
              <w:pStyle w:val="P68B1DB1-Normal61"/>
              <w:spacing w:before="120" w:after="120" w:line="276" w:lineRule="auto"/>
            </w:pPr>
            <w:r>
              <w:t>Kolonni</w:t>
            </w:r>
          </w:p>
        </w:tc>
        <w:tc>
          <w:tcPr>
            <w:tcW w:w="7508" w:type="dxa"/>
            <w:shd w:val="clear" w:color="auto" w:fill="E7E6E6"/>
          </w:tcPr>
          <w:p w14:paraId="7FE1C6DD" w14:textId="77777777" w:rsidR="00534D9A" w:rsidRDefault="003243B2">
            <w:pPr>
              <w:pStyle w:val="P68B1DB1-Normal61"/>
              <w:spacing w:before="120" w:after="120" w:line="276" w:lineRule="auto"/>
            </w:pPr>
            <w:r>
              <w:t>Struzzjonijiet</w:t>
            </w:r>
          </w:p>
        </w:tc>
      </w:tr>
      <w:tr w:rsidR="00534D9A" w14:paraId="7FE1C6E3" w14:textId="77777777">
        <w:trPr>
          <w:trHeight w:val="450"/>
        </w:trPr>
        <w:tc>
          <w:tcPr>
            <w:tcW w:w="1418" w:type="dxa"/>
            <w:shd w:val="clear" w:color="auto" w:fill="FFFFFF"/>
          </w:tcPr>
          <w:p w14:paraId="7FE1C6DF" w14:textId="77777777" w:rsidR="00534D9A" w:rsidRDefault="003243B2">
            <w:pPr>
              <w:pStyle w:val="P68B1DB1-Normal62"/>
              <w:spacing w:before="120" w:after="120" w:line="276" w:lineRule="auto"/>
            </w:pPr>
            <w:r>
              <w:t>0005</w:t>
            </w:r>
          </w:p>
        </w:tc>
        <w:tc>
          <w:tcPr>
            <w:tcW w:w="7508" w:type="dxa"/>
            <w:shd w:val="clear" w:color="auto" w:fill="FFFFFF"/>
          </w:tcPr>
          <w:p w14:paraId="7FE1C6E0" w14:textId="77777777" w:rsidR="00534D9A" w:rsidRDefault="003243B2">
            <w:pPr>
              <w:pStyle w:val="P68B1DB1-Normal61"/>
              <w:spacing w:before="120" w:after="120" w:line="276" w:lineRule="auto"/>
            </w:pPr>
            <w:r>
              <w:t xml:space="preserve">Identifikatur tas-Servizz </w:t>
            </w:r>
          </w:p>
          <w:p w14:paraId="7FE1C6E1" w14:textId="77777777" w:rsidR="00534D9A" w:rsidRDefault="003243B2">
            <w:pPr>
              <w:pStyle w:val="P68B1DB1-Normal62"/>
              <w:spacing w:before="120" w:after="120" w:line="276" w:lineRule="auto"/>
            </w:pPr>
            <w:r>
              <w:t>Uża l-identifikatur tas-Servizz kif irrapportat f’Z 08.01 (SERV 1).</w:t>
            </w:r>
          </w:p>
          <w:p w14:paraId="7FE1C6E2" w14:textId="77777777" w:rsidR="00534D9A" w:rsidRDefault="003243B2">
            <w:pPr>
              <w:pStyle w:val="P68B1DB1-Normal62"/>
              <w:spacing w:before="120" w:after="120" w:line="276" w:lineRule="auto"/>
              <w:rPr>
                <w:i/>
              </w:rPr>
            </w:pPr>
            <w:r>
              <w:t>L-identifikatur tas-servizz jirreferi għas-servizz irrapportat taħt c0020.</w:t>
            </w:r>
          </w:p>
        </w:tc>
      </w:tr>
      <w:tr w:rsidR="00534D9A" w14:paraId="7FE1C727" w14:textId="77777777">
        <w:trPr>
          <w:trHeight w:val="450"/>
        </w:trPr>
        <w:tc>
          <w:tcPr>
            <w:tcW w:w="1418" w:type="dxa"/>
            <w:shd w:val="clear" w:color="auto" w:fill="FFFFFF"/>
          </w:tcPr>
          <w:p w14:paraId="7FE1C6E4" w14:textId="77777777" w:rsidR="00534D9A" w:rsidRDefault="003243B2">
            <w:pPr>
              <w:pStyle w:val="P68B1DB1-Normal62"/>
              <w:spacing w:before="120" w:after="120" w:line="276" w:lineRule="auto"/>
            </w:pPr>
            <w:r>
              <w:t>0010</w:t>
            </w:r>
          </w:p>
        </w:tc>
        <w:tc>
          <w:tcPr>
            <w:tcW w:w="7508" w:type="dxa"/>
            <w:shd w:val="clear" w:color="auto" w:fill="FFFFFF"/>
          </w:tcPr>
          <w:p w14:paraId="7FE1C6E5" w14:textId="77777777" w:rsidR="00534D9A" w:rsidRDefault="003243B2">
            <w:pPr>
              <w:pStyle w:val="P68B1DB1-Normal61"/>
              <w:autoSpaceDE w:val="0"/>
              <w:autoSpaceDN w:val="0"/>
              <w:adjustRightInd w:val="0"/>
              <w:rPr>
                <w:rFonts w:eastAsia="MS Mincho"/>
                <w:bCs/>
              </w:rPr>
            </w:pPr>
            <w:r>
              <w:t xml:space="preserve">It-tip ta’ servizz </w:t>
            </w:r>
          </w:p>
          <w:p w14:paraId="7FE1C6E6" w14:textId="328A5068" w:rsidR="00534D9A" w:rsidRDefault="003243B2">
            <w:pPr>
              <w:pStyle w:val="P68B1DB1-Normal63"/>
              <w:autoSpaceDE w:val="0"/>
              <w:autoSpaceDN w:val="0"/>
              <w:adjustRightInd w:val="0"/>
            </w:pPr>
            <w:r>
              <w:t xml:space="preserve">It-tip ta’ servizz għandu jkun wieħed mit-tipi ta’ servizz elenkati taħt Z 08.01 0010 hawn fuq. </w:t>
            </w:r>
          </w:p>
          <w:p w14:paraId="7FE1C726" w14:textId="7C7FFCB5" w:rsidR="00534D9A" w:rsidRDefault="00534D9A">
            <w:pPr>
              <w:spacing w:before="120" w:after="120" w:line="276" w:lineRule="auto"/>
              <w:rPr>
                <w:rFonts w:ascii="Times New Roman" w:hAnsi="Times New Roman"/>
                <w:sz w:val="20"/>
                <w:szCs w:val="20"/>
              </w:rPr>
            </w:pPr>
          </w:p>
        </w:tc>
      </w:tr>
      <w:tr w:rsidR="00534D9A" w14:paraId="7FE1C72C" w14:textId="77777777">
        <w:trPr>
          <w:trHeight w:val="450"/>
        </w:trPr>
        <w:tc>
          <w:tcPr>
            <w:tcW w:w="1418" w:type="dxa"/>
            <w:shd w:val="clear" w:color="auto" w:fill="FFFFFF"/>
          </w:tcPr>
          <w:p w14:paraId="7FE1C728" w14:textId="77777777" w:rsidR="00534D9A" w:rsidRDefault="003243B2">
            <w:pPr>
              <w:pStyle w:val="P68B1DB1-Normal62"/>
              <w:spacing w:before="120" w:after="120" w:line="276" w:lineRule="auto"/>
            </w:pPr>
            <w:r>
              <w:t>0020</w:t>
            </w:r>
          </w:p>
        </w:tc>
        <w:tc>
          <w:tcPr>
            <w:tcW w:w="7508" w:type="dxa"/>
            <w:shd w:val="clear" w:color="auto" w:fill="FFFFFF"/>
          </w:tcPr>
          <w:p w14:paraId="7FE1C729" w14:textId="77777777" w:rsidR="00534D9A" w:rsidRDefault="003243B2">
            <w:pPr>
              <w:pStyle w:val="P68B1DB1-Normal65"/>
              <w:spacing w:line="276" w:lineRule="auto"/>
              <w:jc w:val="both"/>
            </w:pPr>
            <w:r>
              <w:rPr>
                <w:szCs w:val="20"/>
              </w:rPr>
              <w:t>Titolu uniku tas-servizz skont it-tassonomija tal-bank</w:t>
            </w:r>
            <w:r>
              <w:t xml:space="preserve"> </w:t>
            </w:r>
          </w:p>
          <w:p w14:paraId="7FE1C72A" w14:textId="14809522" w:rsidR="00534D9A" w:rsidRDefault="003243B2">
            <w:pPr>
              <w:pStyle w:val="P68B1DB1-Normal64"/>
            </w:pPr>
            <w:r>
              <w:t>Isem/deskrizzjoni qasira tas-servizz skont it-tassonomija f’saffi tal-bank stess (Livell 3)) kif irrapportat f’Z 08.01 (SERV 1) kolonna 0020. Il-Bank huwa mistenni jirrapporta s-servizzi f’livell aktar granulari mir-rapportar previst għal-Livell 2 (c0010), sabiex kull servizz partikolari jiġi definit b’mod preċiż u mmirat.</w:t>
            </w:r>
          </w:p>
          <w:p w14:paraId="7FE1C72B" w14:textId="77777777" w:rsidR="00534D9A" w:rsidRDefault="00534D9A">
            <w:pPr>
              <w:spacing w:before="120" w:after="120" w:line="276" w:lineRule="auto"/>
              <w:rPr>
                <w:rFonts w:ascii="Times New Roman" w:hAnsi="Times New Roman"/>
                <w:sz w:val="20"/>
                <w:szCs w:val="20"/>
              </w:rPr>
            </w:pPr>
          </w:p>
        </w:tc>
      </w:tr>
      <w:tr w:rsidR="00534D9A" w14:paraId="7FE1C731" w14:textId="77777777">
        <w:trPr>
          <w:trHeight w:val="450"/>
        </w:trPr>
        <w:tc>
          <w:tcPr>
            <w:tcW w:w="1418" w:type="dxa"/>
            <w:shd w:val="clear" w:color="auto" w:fill="FFFFFF"/>
          </w:tcPr>
          <w:p w14:paraId="7FE1C72D" w14:textId="77777777" w:rsidR="00534D9A" w:rsidRDefault="003243B2">
            <w:pPr>
              <w:pStyle w:val="P68B1DB1-Normal62"/>
              <w:spacing w:before="120" w:after="120" w:line="276" w:lineRule="auto"/>
            </w:pPr>
            <w:r>
              <w:t>0030–0040</w:t>
            </w:r>
          </w:p>
        </w:tc>
        <w:tc>
          <w:tcPr>
            <w:tcW w:w="7508" w:type="dxa"/>
            <w:shd w:val="clear" w:color="auto" w:fill="FFFFFF"/>
          </w:tcPr>
          <w:p w14:paraId="7FE1C72E" w14:textId="77777777" w:rsidR="00534D9A" w:rsidRDefault="003243B2">
            <w:pPr>
              <w:pStyle w:val="P68B1DB1-Normal65"/>
              <w:spacing w:line="276" w:lineRule="auto"/>
              <w:jc w:val="both"/>
              <w:rPr>
                <w:bCs/>
              </w:rPr>
            </w:pPr>
            <w:r>
              <w:rPr>
                <w:szCs w:val="20"/>
              </w:rPr>
              <w:t>Funzjoni kritika</w:t>
            </w:r>
            <w:r>
              <w:t xml:space="preserve"> </w:t>
            </w:r>
          </w:p>
          <w:p w14:paraId="7FE1C72F" w14:textId="77777777" w:rsidR="00534D9A" w:rsidRDefault="003243B2">
            <w:pPr>
              <w:pStyle w:val="P68B1DB1-Normal64"/>
              <w:spacing w:line="276" w:lineRule="auto"/>
              <w:jc w:val="both"/>
            </w:pPr>
            <w:r>
              <w:t>Il-funzjoni kritika li, f’każ ta’ waqfien tas-servizz kritiku, it-twettiq tagħha jġarrab xkiel serju jew ikun ipprevenut għalkollox. Hija waħda mill-funzjonijiet valutati bħala kritiċi fil-Mudell Z 07.01 (FUNC 1).</w:t>
            </w:r>
          </w:p>
          <w:p w14:paraId="7FE1C730" w14:textId="77777777" w:rsidR="00534D9A" w:rsidRDefault="00534D9A">
            <w:pPr>
              <w:spacing w:line="276" w:lineRule="auto"/>
              <w:jc w:val="both"/>
              <w:rPr>
                <w:rFonts w:ascii="Times New Roman" w:hAnsi="Times New Roman"/>
                <w:sz w:val="20"/>
              </w:rPr>
            </w:pPr>
          </w:p>
        </w:tc>
      </w:tr>
      <w:tr w:rsidR="00534D9A" w14:paraId="7FE1C736" w14:textId="77777777">
        <w:trPr>
          <w:trHeight w:val="450"/>
        </w:trPr>
        <w:tc>
          <w:tcPr>
            <w:tcW w:w="1418" w:type="dxa"/>
            <w:shd w:val="clear" w:color="auto" w:fill="FFFFFF"/>
          </w:tcPr>
          <w:p w14:paraId="7FE1C732" w14:textId="77777777" w:rsidR="00534D9A" w:rsidRDefault="003243B2">
            <w:pPr>
              <w:pStyle w:val="P68B1DB1-Normal64"/>
              <w:spacing w:before="120" w:after="120" w:line="276" w:lineRule="auto"/>
              <w:rPr>
                <w:szCs w:val="20"/>
              </w:rPr>
            </w:pPr>
            <w:r>
              <w:lastRenderedPageBreak/>
              <w:t>0030</w:t>
            </w:r>
          </w:p>
        </w:tc>
        <w:tc>
          <w:tcPr>
            <w:tcW w:w="7508" w:type="dxa"/>
            <w:shd w:val="clear" w:color="auto" w:fill="FFFFFF"/>
          </w:tcPr>
          <w:p w14:paraId="7FE1C733" w14:textId="77777777" w:rsidR="00534D9A" w:rsidRDefault="003243B2">
            <w:pPr>
              <w:pStyle w:val="P68B1DB1-Normal65"/>
              <w:spacing w:line="276" w:lineRule="auto"/>
              <w:jc w:val="both"/>
              <w:rPr>
                <w:bCs/>
              </w:rPr>
            </w:pPr>
            <w:r>
              <w:t>Pajjiż</w:t>
            </w:r>
          </w:p>
          <w:p w14:paraId="7FE1C734" w14:textId="77777777" w:rsidR="00534D9A" w:rsidRDefault="003243B2">
            <w:pPr>
              <w:pStyle w:val="P68B1DB1-Normal64"/>
              <w:spacing w:line="276" w:lineRule="auto"/>
              <w:jc w:val="both"/>
            </w:pPr>
            <w:r>
              <w:t>L-Istat Membru li l-funzjoni hija kritika għalih, kif irrapportat f’Z 07.01 (FUNC 1)</w:t>
            </w:r>
          </w:p>
          <w:p w14:paraId="7FE1C735" w14:textId="77777777" w:rsidR="00534D9A" w:rsidRDefault="00534D9A">
            <w:pPr>
              <w:spacing w:line="276" w:lineRule="auto"/>
              <w:jc w:val="both"/>
              <w:rPr>
                <w:rFonts w:ascii="Times New Roman" w:hAnsi="Times New Roman"/>
                <w:sz w:val="20"/>
              </w:rPr>
            </w:pPr>
          </w:p>
        </w:tc>
      </w:tr>
      <w:tr w:rsidR="00534D9A" w14:paraId="7FE1C73B" w14:textId="77777777">
        <w:trPr>
          <w:trHeight w:val="450"/>
        </w:trPr>
        <w:tc>
          <w:tcPr>
            <w:tcW w:w="1418" w:type="dxa"/>
            <w:shd w:val="clear" w:color="auto" w:fill="FFFFFF"/>
          </w:tcPr>
          <w:p w14:paraId="7FE1C737" w14:textId="77777777" w:rsidR="00534D9A" w:rsidRDefault="003243B2">
            <w:pPr>
              <w:pStyle w:val="P68B1DB1-Normal64"/>
              <w:spacing w:before="120" w:after="120" w:line="276" w:lineRule="auto"/>
              <w:rPr>
                <w:szCs w:val="20"/>
              </w:rPr>
            </w:pPr>
            <w:r>
              <w:t>0040</w:t>
            </w:r>
          </w:p>
        </w:tc>
        <w:tc>
          <w:tcPr>
            <w:tcW w:w="7508" w:type="dxa"/>
            <w:shd w:val="clear" w:color="auto" w:fill="FFFFFF"/>
          </w:tcPr>
          <w:p w14:paraId="7FE1C738" w14:textId="77777777" w:rsidR="00534D9A" w:rsidRDefault="003243B2">
            <w:pPr>
              <w:pStyle w:val="P68B1DB1-Normal65"/>
              <w:spacing w:line="276" w:lineRule="auto"/>
              <w:jc w:val="both"/>
              <w:rPr>
                <w:bCs/>
              </w:rPr>
            </w:pPr>
            <w:r>
              <w:t>ID</w:t>
            </w:r>
          </w:p>
          <w:p w14:paraId="7FE1C739" w14:textId="77777777" w:rsidR="00534D9A" w:rsidRDefault="003243B2">
            <w:pPr>
              <w:pStyle w:val="P68B1DB1-Normal64"/>
              <w:spacing w:line="276" w:lineRule="auto"/>
              <w:jc w:val="both"/>
            </w:pPr>
            <w:r>
              <w:t>L-ID tal-funzjonijiet kritiċi kif definiti fil-Kapitolu 2.7.1.4 aktar’il fuq u msemmija fil-mudell Z 07.01 (FUNC 1)</w:t>
            </w:r>
          </w:p>
          <w:p w14:paraId="7FE1C73A" w14:textId="77777777" w:rsidR="00534D9A" w:rsidRDefault="00534D9A">
            <w:pPr>
              <w:spacing w:line="276" w:lineRule="auto"/>
              <w:jc w:val="both"/>
              <w:rPr>
                <w:rFonts w:ascii="Times New Roman" w:hAnsi="Times New Roman"/>
                <w:sz w:val="20"/>
              </w:rPr>
            </w:pPr>
          </w:p>
        </w:tc>
      </w:tr>
    </w:tbl>
    <w:p w14:paraId="7FE1C746" w14:textId="77777777" w:rsidR="00534D9A" w:rsidRDefault="00534D9A">
      <w:pPr>
        <w:rPr>
          <w:rFonts w:ascii="Times New Roman" w:hAnsi="Times New Roman" w:cs="Times New Roman"/>
        </w:rPr>
      </w:pPr>
    </w:p>
    <w:p w14:paraId="7FE1C747" w14:textId="77777777" w:rsidR="00534D9A" w:rsidRDefault="00534D9A">
      <w:pPr>
        <w:pStyle w:val="Instructionsberschrift2"/>
        <w:rPr>
          <w:rFonts w:ascii="Times New Roman" w:eastAsia="Calibri" w:hAnsi="Times New Roman" w:cs="Times New Roman"/>
          <w:szCs w:val="20"/>
        </w:rPr>
      </w:pPr>
    </w:p>
    <w:p w14:paraId="7FE1C748" w14:textId="77777777" w:rsidR="00534D9A" w:rsidRDefault="003243B2">
      <w:pPr>
        <w:pStyle w:val="P68B1DB1-Instructionsberschrift25"/>
        <w:numPr>
          <w:ilvl w:val="1"/>
          <w:numId w:val="49"/>
        </w:numPr>
        <w:ind w:left="357" w:hanging="357"/>
        <w:rPr>
          <w:rFonts w:eastAsia="Calibri"/>
          <w:szCs w:val="20"/>
        </w:rPr>
      </w:pPr>
      <w:bookmarkStart w:id="134" w:name="_Toc208245018"/>
      <w:r>
        <w:t>Z 08.05 — Servizzi essenzjali — immappjar mal-linji tan-negozju ewlenin (SERV 5)</w:t>
      </w:r>
      <w:bookmarkEnd w:id="134"/>
    </w:p>
    <w:p w14:paraId="7FE1C749" w14:textId="77777777" w:rsidR="00534D9A" w:rsidRDefault="003243B2">
      <w:pPr>
        <w:pStyle w:val="P68B1DB1-Normal70"/>
        <w:spacing w:line="276" w:lineRule="auto"/>
        <w:jc w:val="both"/>
        <w:rPr>
          <w:sz w:val="20"/>
          <w:szCs w:val="20"/>
        </w:rPr>
      </w:pPr>
      <w:r>
        <w:t>Struzzjonijiet li jikkonċernaw pożizzjonijiet speċifiċi</w:t>
      </w:r>
    </w:p>
    <w:p w14:paraId="7FE1C74A" w14:textId="77777777" w:rsidR="00534D9A" w:rsidRDefault="003243B2">
      <w:pPr>
        <w:pStyle w:val="P68B1DB1-Instructionsberschrift368"/>
        <w:numPr>
          <w:ilvl w:val="2"/>
          <w:numId w:val="210"/>
        </w:numPr>
        <w:ind w:left="1418"/>
        <w:contextualSpacing/>
        <w:jc w:val="both"/>
      </w:pPr>
      <w:r>
        <w:t>L-informazzjoni li trid tiġi inkluża f’dan il-mudell għandha tiġi rrapportata darba għall-grupp kollu, telenka s-servizzi essenzjali riċevuti minn kwalunkwe entità fil-grupp, u torbothom mal-funzjonijiet essenzjali provduti mill-grupp.</w:t>
      </w:r>
    </w:p>
    <w:p w14:paraId="7FE1C74B" w14:textId="77777777" w:rsidR="00534D9A" w:rsidRDefault="003243B2">
      <w:pPr>
        <w:pStyle w:val="P68B1DB1-Instructionsberschrift368"/>
        <w:numPr>
          <w:ilvl w:val="2"/>
          <w:numId w:val="210"/>
        </w:numPr>
        <w:ind w:left="1418"/>
        <w:contextualSpacing/>
        <w:jc w:val="both"/>
      </w:pPr>
      <w:r>
        <w:t>Il-valuri rrapportati fil-kolonni 0010, 0020 u 0040 ta’ dan il-mudell jiffurmaw kjavi primarja, li jridu jkunu uniċi għal kull ringiela tal-mudell</w:t>
      </w:r>
    </w:p>
    <w:p w14:paraId="7FE1C74C" w14:textId="77777777" w:rsidR="00534D9A" w:rsidRDefault="00534D9A">
      <w:pPr>
        <w:rPr>
          <w:rFonts w:ascii="Times New Roman" w:hAnsi="Times New Roman" w:cs="Times New Roman"/>
        </w:rPr>
      </w:pPr>
    </w:p>
    <w:tbl>
      <w:tblPr>
        <w:tblStyle w:val="TableGrid13"/>
        <w:tblW w:w="9067" w:type="dxa"/>
        <w:tblLook w:val="04A0" w:firstRow="1" w:lastRow="0" w:firstColumn="1" w:lastColumn="0" w:noHBand="0" w:noVBand="1"/>
      </w:tblPr>
      <w:tblGrid>
        <w:gridCol w:w="1418"/>
        <w:gridCol w:w="7649"/>
      </w:tblGrid>
      <w:tr w:rsidR="00534D9A" w14:paraId="7FE1C74F" w14:textId="77777777">
        <w:trPr>
          <w:trHeight w:val="644"/>
          <w:tblHeader/>
        </w:trPr>
        <w:tc>
          <w:tcPr>
            <w:tcW w:w="1418" w:type="dxa"/>
            <w:shd w:val="clear" w:color="auto" w:fill="E7E6E6"/>
          </w:tcPr>
          <w:p w14:paraId="7FE1C74D" w14:textId="77777777" w:rsidR="00534D9A" w:rsidRDefault="003243B2">
            <w:pPr>
              <w:pStyle w:val="P68B1DB1-Normal61"/>
              <w:spacing w:before="120" w:after="120" w:line="276" w:lineRule="auto"/>
            </w:pPr>
            <w:r>
              <w:t>Kolonni</w:t>
            </w:r>
          </w:p>
        </w:tc>
        <w:tc>
          <w:tcPr>
            <w:tcW w:w="7649" w:type="dxa"/>
            <w:shd w:val="clear" w:color="auto" w:fill="E7E6E6"/>
          </w:tcPr>
          <w:p w14:paraId="7FE1C74E" w14:textId="77777777" w:rsidR="00534D9A" w:rsidRDefault="003243B2">
            <w:pPr>
              <w:pStyle w:val="P68B1DB1-Normal61"/>
              <w:spacing w:before="120" w:after="120" w:line="276" w:lineRule="auto"/>
            </w:pPr>
            <w:r>
              <w:t>Struzzjonijiet</w:t>
            </w:r>
          </w:p>
        </w:tc>
      </w:tr>
      <w:tr w:rsidR="00534D9A" w14:paraId="7FE1C754" w14:textId="77777777">
        <w:trPr>
          <w:trHeight w:val="450"/>
        </w:trPr>
        <w:tc>
          <w:tcPr>
            <w:tcW w:w="1418" w:type="dxa"/>
            <w:shd w:val="clear" w:color="auto" w:fill="FFFFFF"/>
          </w:tcPr>
          <w:p w14:paraId="7FE1C750" w14:textId="77777777" w:rsidR="00534D9A" w:rsidRDefault="003243B2">
            <w:pPr>
              <w:pStyle w:val="P68B1DB1-Normal62"/>
              <w:spacing w:before="120" w:after="120" w:line="276" w:lineRule="auto"/>
            </w:pPr>
            <w:r>
              <w:t>0005</w:t>
            </w:r>
          </w:p>
        </w:tc>
        <w:tc>
          <w:tcPr>
            <w:tcW w:w="7649" w:type="dxa"/>
            <w:shd w:val="clear" w:color="auto" w:fill="FFFFFF"/>
          </w:tcPr>
          <w:p w14:paraId="7FE1C751" w14:textId="77777777" w:rsidR="00534D9A" w:rsidRDefault="003243B2">
            <w:pPr>
              <w:pStyle w:val="P68B1DB1-Normal61"/>
              <w:spacing w:before="120" w:after="120" w:line="276" w:lineRule="auto"/>
            </w:pPr>
            <w:r>
              <w:t xml:space="preserve">Identifikatur tas-Servizz </w:t>
            </w:r>
          </w:p>
          <w:p w14:paraId="7FE1C752" w14:textId="77777777" w:rsidR="00534D9A" w:rsidRDefault="003243B2">
            <w:pPr>
              <w:pStyle w:val="P68B1DB1-Normal62"/>
              <w:spacing w:before="120" w:after="120" w:line="276" w:lineRule="auto"/>
            </w:pPr>
            <w:r>
              <w:t>Uża l-identifikatur tas-Servizz kif irrapportat f’Z 08.01 (SERV 1).</w:t>
            </w:r>
          </w:p>
          <w:p w14:paraId="7FE1C753" w14:textId="77777777" w:rsidR="00534D9A" w:rsidRDefault="003243B2">
            <w:pPr>
              <w:pStyle w:val="P68B1DB1-Normal62"/>
              <w:spacing w:before="120" w:after="120" w:line="276" w:lineRule="auto"/>
              <w:rPr>
                <w:i/>
              </w:rPr>
            </w:pPr>
            <w:r>
              <w:t>L-identifikatur tas-servizz jirreferi għas-servizz irrapportat taħt c0020.</w:t>
            </w:r>
          </w:p>
        </w:tc>
      </w:tr>
      <w:tr w:rsidR="00534D9A" w14:paraId="7FE1C798" w14:textId="77777777">
        <w:trPr>
          <w:trHeight w:val="450"/>
        </w:trPr>
        <w:tc>
          <w:tcPr>
            <w:tcW w:w="1418" w:type="dxa"/>
            <w:shd w:val="clear" w:color="auto" w:fill="FFFFFF"/>
          </w:tcPr>
          <w:p w14:paraId="7FE1C755" w14:textId="77777777" w:rsidR="00534D9A" w:rsidRDefault="003243B2">
            <w:pPr>
              <w:pStyle w:val="P68B1DB1-Normal62"/>
              <w:spacing w:before="120" w:after="120" w:line="276" w:lineRule="auto"/>
            </w:pPr>
            <w:r>
              <w:t>0010</w:t>
            </w:r>
          </w:p>
        </w:tc>
        <w:tc>
          <w:tcPr>
            <w:tcW w:w="7649" w:type="dxa"/>
            <w:shd w:val="clear" w:color="auto" w:fill="FFFFFF"/>
          </w:tcPr>
          <w:p w14:paraId="7FE1C756" w14:textId="77777777" w:rsidR="00534D9A" w:rsidRDefault="003243B2">
            <w:pPr>
              <w:pStyle w:val="P68B1DB1-Normal61"/>
              <w:autoSpaceDE w:val="0"/>
              <w:autoSpaceDN w:val="0"/>
              <w:adjustRightInd w:val="0"/>
              <w:rPr>
                <w:rFonts w:eastAsia="MS Mincho"/>
                <w:bCs/>
              </w:rPr>
            </w:pPr>
            <w:r>
              <w:t xml:space="preserve">It-tip ta’ servizz </w:t>
            </w:r>
          </w:p>
          <w:p w14:paraId="7FE1C757" w14:textId="15BF69BF" w:rsidR="00534D9A" w:rsidRDefault="003243B2">
            <w:pPr>
              <w:pStyle w:val="P68B1DB1-Normal63"/>
              <w:autoSpaceDE w:val="0"/>
              <w:autoSpaceDN w:val="0"/>
              <w:adjustRightInd w:val="0"/>
            </w:pPr>
            <w:r>
              <w:t xml:space="preserve">It-tip ta’ servizz għandu jkun wieħed mit-tipi ta’ servizz elenkati taħt Z 08.01 0010 hawn fuq. </w:t>
            </w:r>
          </w:p>
          <w:p w14:paraId="7FE1C797" w14:textId="77777777" w:rsidR="00534D9A" w:rsidRDefault="00534D9A">
            <w:pPr>
              <w:autoSpaceDE w:val="0"/>
              <w:autoSpaceDN w:val="0"/>
              <w:adjustRightInd w:val="0"/>
              <w:rPr>
                <w:rFonts w:ascii="Times New Roman" w:hAnsi="Times New Roman"/>
                <w:sz w:val="20"/>
                <w:szCs w:val="20"/>
              </w:rPr>
            </w:pPr>
          </w:p>
        </w:tc>
      </w:tr>
      <w:tr w:rsidR="00534D9A" w14:paraId="7FE1C79D" w14:textId="77777777">
        <w:trPr>
          <w:trHeight w:val="450"/>
        </w:trPr>
        <w:tc>
          <w:tcPr>
            <w:tcW w:w="1418" w:type="dxa"/>
            <w:shd w:val="clear" w:color="auto" w:fill="FFFFFF"/>
          </w:tcPr>
          <w:p w14:paraId="7FE1C799" w14:textId="77777777" w:rsidR="00534D9A" w:rsidRDefault="003243B2">
            <w:pPr>
              <w:pStyle w:val="P68B1DB1-Normal62"/>
              <w:spacing w:before="120" w:after="120" w:line="276" w:lineRule="auto"/>
            </w:pPr>
            <w:r>
              <w:t>0020</w:t>
            </w:r>
          </w:p>
        </w:tc>
        <w:tc>
          <w:tcPr>
            <w:tcW w:w="7649" w:type="dxa"/>
            <w:shd w:val="clear" w:color="auto" w:fill="FFFFFF"/>
          </w:tcPr>
          <w:p w14:paraId="7FE1C79A" w14:textId="77777777" w:rsidR="00534D9A" w:rsidRDefault="003243B2">
            <w:pPr>
              <w:pStyle w:val="P68B1DB1-Normal65"/>
              <w:spacing w:line="276" w:lineRule="auto"/>
              <w:jc w:val="both"/>
            </w:pPr>
            <w:r>
              <w:rPr>
                <w:szCs w:val="20"/>
              </w:rPr>
              <w:t>Titolu uniku tas-servizz skont it-tassonomija tal-bank</w:t>
            </w:r>
            <w:r>
              <w:t xml:space="preserve"> </w:t>
            </w:r>
          </w:p>
          <w:p w14:paraId="7FE1C79B" w14:textId="18F1A227" w:rsidR="00534D9A" w:rsidRDefault="003243B2">
            <w:pPr>
              <w:pStyle w:val="P68B1DB1-Normal64"/>
            </w:pPr>
            <w:r>
              <w:t>Isem/deskrizzjoni qasira tas-servizz skont it-tassonomija f’saffi tal-bank stess (Livell 3)) kif irrapportat f’Z 08.01 (SERV 1) kolonna 0020. Il-Bank huwa mistenni jirrapporta s-servizzi f’livell aktar granulari mir-rapportar previst għal-Livell 2 (c0010), sabiex kull servizz partikolari jiġi definit b’mod preċiż u mmirat.</w:t>
            </w:r>
          </w:p>
          <w:p w14:paraId="7FE1C79C" w14:textId="77777777" w:rsidR="00534D9A" w:rsidRDefault="00534D9A">
            <w:pPr>
              <w:spacing w:before="120" w:after="120" w:line="276" w:lineRule="auto"/>
              <w:rPr>
                <w:rFonts w:ascii="Times New Roman" w:hAnsi="Times New Roman"/>
                <w:sz w:val="20"/>
                <w:szCs w:val="20"/>
              </w:rPr>
            </w:pPr>
          </w:p>
        </w:tc>
      </w:tr>
      <w:tr w:rsidR="00534D9A" w14:paraId="7FE1C7A2" w14:textId="77777777">
        <w:trPr>
          <w:trHeight w:val="450"/>
        </w:trPr>
        <w:tc>
          <w:tcPr>
            <w:tcW w:w="1418" w:type="dxa"/>
            <w:shd w:val="clear" w:color="auto" w:fill="FFFFFF"/>
          </w:tcPr>
          <w:p w14:paraId="7FE1C79E" w14:textId="77777777" w:rsidR="00534D9A" w:rsidRDefault="003243B2">
            <w:pPr>
              <w:pStyle w:val="P68B1DB1-Normal64"/>
              <w:spacing w:before="120" w:after="120" w:line="276" w:lineRule="auto"/>
              <w:rPr>
                <w:szCs w:val="20"/>
              </w:rPr>
            </w:pPr>
            <w:r>
              <w:t>0030–0040</w:t>
            </w:r>
          </w:p>
        </w:tc>
        <w:tc>
          <w:tcPr>
            <w:tcW w:w="7649" w:type="dxa"/>
            <w:shd w:val="clear" w:color="auto" w:fill="FFFFFF"/>
          </w:tcPr>
          <w:p w14:paraId="7FE1C79F" w14:textId="77777777" w:rsidR="00534D9A" w:rsidRDefault="003243B2">
            <w:pPr>
              <w:pStyle w:val="P68B1DB1-Normal65"/>
              <w:spacing w:line="276" w:lineRule="auto"/>
              <w:jc w:val="both"/>
            </w:pPr>
            <w:r>
              <w:rPr>
                <w:szCs w:val="20"/>
              </w:rPr>
              <w:t>Linja ta’ negozju ewlenija</w:t>
            </w:r>
            <w:r>
              <w:t xml:space="preserve"> </w:t>
            </w:r>
          </w:p>
          <w:p w14:paraId="7FE1C7A0" w14:textId="69CF44DD" w:rsidR="00534D9A" w:rsidRDefault="003243B2">
            <w:pPr>
              <w:pStyle w:val="P68B1DB1-Normal67"/>
              <w:spacing w:line="276" w:lineRule="auto"/>
              <w:jc w:val="both"/>
              <w:rPr>
                <w:sz w:val="20"/>
              </w:rPr>
            </w:pPr>
            <w:r>
              <w:rPr>
                <w:sz w:val="20"/>
              </w:rPr>
              <w:t>“Linji ta’ negozju ewlenin” skont l-Artikolu 2(1)(36) u l-Artikolu 2(2) tad-Direttiva 2016/778.</w:t>
            </w:r>
            <w:r>
              <w:t xml:space="preserve"> </w:t>
            </w:r>
          </w:p>
          <w:p w14:paraId="7FE1C7A1" w14:textId="77777777" w:rsidR="00534D9A" w:rsidRDefault="00534D9A">
            <w:pPr>
              <w:spacing w:line="276" w:lineRule="auto"/>
              <w:jc w:val="both"/>
              <w:rPr>
                <w:rFonts w:ascii="Times New Roman" w:hAnsi="Times New Roman"/>
                <w:sz w:val="20"/>
              </w:rPr>
            </w:pPr>
          </w:p>
        </w:tc>
      </w:tr>
      <w:tr w:rsidR="00534D9A" w14:paraId="7FE1C7A7" w14:textId="77777777">
        <w:trPr>
          <w:trHeight w:val="450"/>
        </w:trPr>
        <w:tc>
          <w:tcPr>
            <w:tcW w:w="1418" w:type="dxa"/>
            <w:shd w:val="clear" w:color="auto" w:fill="FFFFFF"/>
          </w:tcPr>
          <w:p w14:paraId="7FE1C7A3" w14:textId="77777777" w:rsidR="00534D9A" w:rsidRDefault="003243B2">
            <w:pPr>
              <w:pStyle w:val="P68B1DB1-Normal64"/>
              <w:spacing w:before="120" w:after="120" w:line="276" w:lineRule="auto"/>
              <w:rPr>
                <w:szCs w:val="20"/>
              </w:rPr>
            </w:pPr>
            <w:r>
              <w:t>0030</w:t>
            </w:r>
          </w:p>
        </w:tc>
        <w:tc>
          <w:tcPr>
            <w:tcW w:w="7649" w:type="dxa"/>
            <w:shd w:val="clear" w:color="auto" w:fill="FFFFFF"/>
          </w:tcPr>
          <w:p w14:paraId="7FE1C7A4" w14:textId="77777777" w:rsidR="00534D9A" w:rsidRDefault="003243B2">
            <w:pPr>
              <w:pStyle w:val="P68B1DB1-Normal65"/>
              <w:spacing w:line="276" w:lineRule="auto"/>
              <w:jc w:val="both"/>
              <w:rPr>
                <w:bCs/>
              </w:rPr>
            </w:pPr>
            <w:r>
              <w:t>Isem</w:t>
            </w:r>
          </w:p>
          <w:p w14:paraId="7FE1C7A5" w14:textId="77777777" w:rsidR="00534D9A" w:rsidRDefault="003243B2">
            <w:pPr>
              <w:pStyle w:val="P68B1DB1-Normal64"/>
              <w:jc w:val="both"/>
            </w:pPr>
            <w:r>
              <w:t>Hija waħda mil-linji tan-negozju ewlenin irrapportati fil-mudell Z 07.03 0010.</w:t>
            </w:r>
          </w:p>
          <w:p w14:paraId="7FE1C7A6" w14:textId="77777777" w:rsidR="00534D9A" w:rsidRDefault="00534D9A">
            <w:pPr>
              <w:spacing w:line="276" w:lineRule="auto"/>
              <w:jc w:val="both"/>
              <w:rPr>
                <w:rFonts w:ascii="Times New Roman" w:hAnsi="Times New Roman"/>
                <w:sz w:val="20"/>
              </w:rPr>
            </w:pPr>
          </w:p>
        </w:tc>
      </w:tr>
      <w:tr w:rsidR="00534D9A" w14:paraId="7FE1C7AD" w14:textId="77777777">
        <w:trPr>
          <w:trHeight w:val="450"/>
        </w:trPr>
        <w:tc>
          <w:tcPr>
            <w:tcW w:w="1418" w:type="dxa"/>
            <w:shd w:val="clear" w:color="auto" w:fill="FFFFFF"/>
          </w:tcPr>
          <w:p w14:paraId="7FE1C7A8" w14:textId="77777777" w:rsidR="00534D9A" w:rsidRDefault="003243B2">
            <w:pPr>
              <w:pStyle w:val="P68B1DB1-Normal64"/>
              <w:spacing w:before="120" w:after="120" w:line="276" w:lineRule="auto"/>
              <w:rPr>
                <w:szCs w:val="20"/>
              </w:rPr>
            </w:pPr>
            <w:r>
              <w:t>0040</w:t>
            </w:r>
          </w:p>
        </w:tc>
        <w:tc>
          <w:tcPr>
            <w:tcW w:w="7649" w:type="dxa"/>
            <w:shd w:val="clear" w:color="auto" w:fill="FFFFFF"/>
          </w:tcPr>
          <w:p w14:paraId="7FE1C7A9" w14:textId="77777777" w:rsidR="00534D9A" w:rsidRDefault="003243B2">
            <w:pPr>
              <w:pStyle w:val="P68B1DB1-Normal65"/>
              <w:spacing w:line="276" w:lineRule="auto"/>
              <w:jc w:val="both"/>
              <w:rPr>
                <w:bCs/>
              </w:rPr>
            </w:pPr>
            <w:r>
              <w:t>ID</w:t>
            </w:r>
          </w:p>
          <w:p w14:paraId="7FE1C7AA" w14:textId="77777777" w:rsidR="00534D9A" w:rsidRDefault="003243B2">
            <w:pPr>
              <w:pStyle w:val="P68B1DB1-Normal64"/>
              <w:spacing w:line="276" w:lineRule="auto"/>
              <w:jc w:val="both"/>
            </w:pPr>
            <w:r>
              <w:t xml:space="preserve">Id tal-linji tan-negozju ewlenin li l-kontinwità tagħhom hija meħtieġa għall-implimentazzjoni effettiva tal-eżekuzzjoni tal-istrateġija ta’ riżoluzzjoni u kwalunkwe ristrutturar konsegwenti. Hija waħda mill-ID rapportata fil-formola Z 07.03 0020 </w:t>
            </w:r>
          </w:p>
          <w:p w14:paraId="7FE1C7AB" w14:textId="77777777" w:rsidR="00534D9A" w:rsidRDefault="00534D9A">
            <w:pPr>
              <w:spacing w:line="276" w:lineRule="auto"/>
              <w:jc w:val="both"/>
              <w:rPr>
                <w:rFonts w:ascii="Times New Roman" w:hAnsi="Times New Roman"/>
                <w:sz w:val="20"/>
              </w:rPr>
            </w:pPr>
          </w:p>
          <w:p w14:paraId="7FE1C7AC" w14:textId="77777777" w:rsidR="00534D9A" w:rsidRDefault="00534D9A">
            <w:pPr>
              <w:spacing w:line="276" w:lineRule="auto"/>
              <w:jc w:val="both"/>
              <w:rPr>
                <w:rFonts w:ascii="Times New Roman" w:hAnsi="Times New Roman"/>
                <w:sz w:val="20"/>
              </w:rPr>
            </w:pPr>
          </w:p>
        </w:tc>
      </w:tr>
    </w:tbl>
    <w:p w14:paraId="7FE1C7B8" w14:textId="77777777" w:rsidR="00534D9A" w:rsidRDefault="00534D9A">
      <w:pPr>
        <w:rPr>
          <w:rFonts w:ascii="Times New Roman" w:hAnsi="Times New Roman" w:cs="Times New Roman"/>
        </w:rPr>
      </w:pPr>
    </w:p>
    <w:p w14:paraId="7FE1C7B9" w14:textId="77777777" w:rsidR="00534D9A" w:rsidRDefault="00534D9A">
      <w:pPr>
        <w:pStyle w:val="Instructionsberschrift2"/>
        <w:rPr>
          <w:rFonts w:ascii="Times New Roman" w:eastAsia="Calibri" w:hAnsi="Times New Roman" w:cs="Times New Roman"/>
          <w:szCs w:val="20"/>
        </w:rPr>
      </w:pPr>
    </w:p>
    <w:p w14:paraId="7FE1C7BA" w14:textId="77777777" w:rsidR="00534D9A" w:rsidRDefault="003243B2">
      <w:pPr>
        <w:pStyle w:val="P68B1DB1-Instructionsberschrift271"/>
        <w:numPr>
          <w:ilvl w:val="1"/>
          <w:numId w:val="49"/>
        </w:numPr>
        <w:ind w:left="357" w:hanging="357"/>
      </w:pPr>
      <w:bookmarkStart w:id="135" w:name="_Toc208245019"/>
      <w:r>
        <w:t>Servizzi tal-FMI</w:t>
      </w:r>
      <w:bookmarkEnd w:id="135"/>
    </w:p>
    <w:p w14:paraId="7FE1C7BC" w14:textId="227D5127" w:rsidR="00534D9A" w:rsidRDefault="003243B2">
      <w:pPr>
        <w:pStyle w:val="P68B1DB1-Numberedtitlelevel372"/>
      </w:pPr>
      <w:r>
        <w:t>Kummenti ġenerali</w:t>
      </w:r>
    </w:p>
    <w:p w14:paraId="7FE1C7BD" w14:textId="77777777" w:rsidR="00534D9A" w:rsidRDefault="003243B2">
      <w:pPr>
        <w:pStyle w:val="P68B1DB1-InstructionsText26"/>
        <w:numPr>
          <w:ilvl w:val="2"/>
          <w:numId w:val="209"/>
        </w:numPr>
        <w:spacing w:before="0"/>
        <w:ind w:left="1276"/>
      </w:pPr>
      <w:r>
        <w:t>Irrapporta l-aċċess dirett u indirett kollu għall-FMIs u s-sistemi msemmija fil-kolonna 0040 hawn taħt. Dan il-mudell għandu jiġi rrapportat darba għall-istituzzjoni kollha jew għall-grupp kollu.</w:t>
      </w:r>
    </w:p>
    <w:p w14:paraId="7FE1C7BE" w14:textId="77777777" w:rsidR="00534D9A" w:rsidRDefault="003243B2">
      <w:pPr>
        <w:pStyle w:val="P68B1DB1-InstructionsText26"/>
        <w:numPr>
          <w:ilvl w:val="2"/>
          <w:numId w:val="209"/>
        </w:numPr>
        <w:spacing w:before="0"/>
        <w:ind w:left="1276"/>
      </w:pPr>
      <w:r>
        <w:t>Formola waħda li għandha tiġi rrapportata għall-istituzzjoni jew il-grupp. Kull entità ġuridika rilevanti li taċċessa FMI, direttament jew indirettament, għandha tiġi rrapportata b’mod distint bħala Utent. Jirrapportaw kemm ir-relazzjoni intragrupp kif ukoll dik ta’ parti terza.</w:t>
      </w:r>
    </w:p>
    <w:p w14:paraId="7FE1C7BF" w14:textId="5CCDA51A" w:rsidR="00534D9A" w:rsidRDefault="003243B2">
      <w:pPr>
        <w:pStyle w:val="P68B1DB1-ListParagraph32"/>
        <w:numPr>
          <w:ilvl w:val="2"/>
          <w:numId w:val="209"/>
        </w:numPr>
        <w:ind w:left="1276"/>
      </w:pPr>
      <w:r>
        <w:t>Il-kombinazzjoni ta’ valuri rrapportati fil-kolonni 0030, 0040, 0070, u 0110 ta’ dan il-mudell tifforma kjavi primarja li trid tkun unika għal kull ringiela tal-mudell u hija rrapportata bħala l-ewwel kolonna ta’ kull formola.</w:t>
      </w:r>
    </w:p>
    <w:p w14:paraId="7FE1C7C0" w14:textId="77777777" w:rsidR="00534D9A" w:rsidRDefault="00534D9A">
      <w:pPr>
        <w:pStyle w:val="ListParagraph"/>
        <w:ind w:left="1276"/>
        <w:rPr>
          <w:rFonts w:ascii="Times New Roman" w:eastAsia="Times New Roman" w:hAnsi="Times New Roman"/>
          <w:sz w:val="20"/>
          <w:szCs w:val="20"/>
        </w:rPr>
      </w:pPr>
    </w:p>
    <w:p w14:paraId="7FE1C7C1" w14:textId="77777777" w:rsidR="00534D9A" w:rsidRDefault="003243B2">
      <w:pPr>
        <w:pStyle w:val="P68B1DB1-InstructionsText26"/>
        <w:numPr>
          <w:ilvl w:val="2"/>
          <w:numId w:val="209"/>
        </w:numPr>
        <w:spacing w:before="0"/>
        <w:ind w:left="1276"/>
      </w:pPr>
      <w:r>
        <w:t>Jekk aktar minn entrata waħda jeħtieġ li tiġi rrapportata f’oqsma f’forma libera, issepara kull entrata b’semi-kolon (;).</w:t>
      </w:r>
    </w:p>
    <w:p w14:paraId="7FE1C7C2" w14:textId="77777777" w:rsidR="00534D9A" w:rsidRDefault="00534D9A">
      <w:pPr>
        <w:pStyle w:val="Instructionsberschrift2"/>
        <w:ind w:left="357"/>
        <w:rPr>
          <w:rFonts w:ascii="Times New Roman" w:eastAsia="Calibri" w:hAnsi="Times New Roman" w:cs="Times New Roman"/>
          <w:szCs w:val="20"/>
        </w:rPr>
      </w:pPr>
    </w:p>
    <w:p w14:paraId="7FE1C7C3" w14:textId="77777777" w:rsidR="00534D9A" w:rsidRDefault="003243B2">
      <w:pPr>
        <w:pStyle w:val="P68B1DB1-Instructionsberschrift271"/>
        <w:numPr>
          <w:ilvl w:val="1"/>
          <w:numId w:val="49"/>
        </w:numPr>
        <w:ind w:left="357" w:hanging="357"/>
      </w:pPr>
      <w:bookmarkStart w:id="136" w:name="_Toc208245020"/>
      <w:r>
        <w:t>Z 09.01 — Servizzi FMI — Fornituri u Utenti (FMI 1)</w:t>
      </w:r>
      <w:bookmarkEnd w:id="136"/>
    </w:p>
    <w:p w14:paraId="7FE1C7C5" w14:textId="6BE08ACD" w:rsidR="00534D9A" w:rsidRDefault="00534D9A">
      <w:pPr>
        <w:pStyle w:val="Numberedtitlelevel3"/>
        <w:rPr>
          <w:rFonts w:ascii="Times New Roman" w:hAnsi="Times New Roman" w:cs="Times New Roman"/>
          <w:color w:val="000000" w:themeColor="text1"/>
          <w:szCs w:val="20"/>
        </w:rPr>
      </w:pPr>
    </w:p>
    <w:tbl>
      <w:tblPr>
        <w:tblW w:w="9015" w:type="dxa"/>
        <w:tblInd w:w="135" w:type="dxa"/>
        <w:tblLayout w:type="fixed"/>
        <w:tblLook w:val="04A0" w:firstRow="1" w:lastRow="0" w:firstColumn="1" w:lastColumn="0" w:noHBand="0" w:noVBand="1"/>
      </w:tblPr>
      <w:tblGrid>
        <w:gridCol w:w="1183"/>
        <w:gridCol w:w="7832"/>
      </w:tblGrid>
      <w:tr w:rsidR="00534D9A" w14:paraId="7FE1C7C8" w14:textId="77777777">
        <w:trPr>
          <w:tblHeader/>
        </w:trPr>
        <w:tc>
          <w:tcPr>
            <w:tcW w:w="1183" w:type="dxa"/>
            <w:tcBorders>
              <w:top w:val="single" w:sz="8" w:space="0" w:color="1A171C"/>
              <w:left w:val="nil"/>
              <w:bottom w:val="single" w:sz="4" w:space="0" w:color="auto"/>
              <w:right w:val="single" w:sz="8" w:space="0" w:color="1A171C"/>
            </w:tcBorders>
            <w:shd w:val="clear" w:color="auto" w:fill="D9D9D9" w:themeFill="background1" w:themeFillShade="D9"/>
          </w:tcPr>
          <w:p w14:paraId="7FE1C7C6" w14:textId="77777777" w:rsidR="00534D9A" w:rsidRDefault="003243B2">
            <w:pPr>
              <w:pStyle w:val="P68B1DB1-TableParagraph17"/>
              <w:spacing w:before="108"/>
              <w:ind w:left="85"/>
            </w:pPr>
            <w:r>
              <w:t xml:space="preserve">Kolonni </w:t>
            </w:r>
          </w:p>
        </w:tc>
        <w:tc>
          <w:tcPr>
            <w:tcW w:w="7832" w:type="dxa"/>
            <w:tcBorders>
              <w:top w:val="single" w:sz="8" w:space="0" w:color="1A171C"/>
              <w:left w:val="single" w:sz="8" w:space="0" w:color="1A171C"/>
              <w:bottom w:val="single" w:sz="8" w:space="0" w:color="auto"/>
              <w:right w:val="nil"/>
            </w:tcBorders>
            <w:shd w:val="clear" w:color="auto" w:fill="D9D9D9" w:themeFill="background1" w:themeFillShade="D9"/>
          </w:tcPr>
          <w:p w14:paraId="7FE1C7C7" w14:textId="77777777" w:rsidR="00534D9A" w:rsidRDefault="003243B2">
            <w:pPr>
              <w:pStyle w:val="P68B1DB1-TableParagraph17"/>
              <w:spacing w:before="108"/>
              <w:ind w:left="85"/>
            </w:pPr>
            <w:r>
              <w:t xml:space="preserve">Struzzjonijiet </w:t>
            </w:r>
          </w:p>
        </w:tc>
      </w:tr>
      <w:tr w:rsidR="00534D9A" w14:paraId="7FE1C7CD" w14:textId="77777777">
        <w:tc>
          <w:tcPr>
            <w:tcW w:w="1183" w:type="dxa"/>
            <w:tcBorders>
              <w:top w:val="single" w:sz="4" w:space="0" w:color="auto"/>
              <w:bottom w:val="single" w:sz="4" w:space="0" w:color="auto"/>
              <w:right w:val="single" w:sz="4" w:space="0" w:color="auto"/>
            </w:tcBorders>
            <w:vAlign w:val="center"/>
          </w:tcPr>
          <w:p w14:paraId="7FE1C7C9" w14:textId="77777777" w:rsidR="00534D9A" w:rsidRDefault="003243B2">
            <w:pPr>
              <w:pStyle w:val="P68B1DB1-Normal31"/>
            </w:pPr>
            <w:r>
              <w:t>0010</w:t>
            </w:r>
          </w:p>
        </w:tc>
        <w:tc>
          <w:tcPr>
            <w:tcW w:w="7832" w:type="dxa"/>
            <w:tcBorders>
              <w:top w:val="single" w:sz="8" w:space="0" w:color="auto"/>
              <w:left w:val="single" w:sz="4" w:space="0" w:color="auto"/>
              <w:bottom w:val="single" w:sz="8" w:space="0" w:color="auto"/>
            </w:tcBorders>
            <w:vAlign w:val="bottom"/>
          </w:tcPr>
          <w:p w14:paraId="7FE1C7CA" w14:textId="77777777" w:rsidR="00534D9A" w:rsidRDefault="003243B2">
            <w:pPr>
              <w:pStyle w:val="P68B1DB1-TableParagraph73"/>
              <w:spacing w:before="108"/>
              <w:jc w:val="both"/>
            </w:pPr>
            <w:r>
              <w:t>Id li tirrappreżenta kombinazzjoni ta’ utent, FMI, tip ta’ sistema u intermedjarju</w:t>
            </w:r>
          </w:p>
          <w:p w14:paraId="7FE1C7CB" w14:textId="2039C9E5" w:rsidR="00534D9A" w:rsidRDefault="003243B2">
            <w:pPr>
              <w:pStyle w:val="P68B1DB1-Normal31"/>
            </w:pPr>
            <w:r>
              <w:t xml:space="preserve">Uża identifikatur wieħed għal kull ringiela, li jikkorrispondi għal kombinazzjoni unika ta’ utent, FMI, tip ta’ sistema u intermedjarju. L-istess ID, li tikkorrispondi għall-istess kombinazzjoni, trid tintuża fil-formoli Z 09.01 sa Z 09.04 fejn applikabbli. </w:t>
            </w:r>
          </w:p>
          <w:p w14:paraId="7FE1C7CC" w14:textId="77777777" w:rsidR="00534D9A" w:rsidRDefault="00534D9A">
            <w:pPr>
              <w:rPr>
                <w:rFonts w:ascii="Times New Roman" w:eastAsia="Times New Roman" w:hAnsi="Times New Roman" w:cs="Times New Roman"/>
                <w:sz w:val="20"/>
                <w:szCs w:val="20"/>
              </w:rPr>
            </w:pPr>
          </w:p>
        </w:tc>
      </w:tr>
      <w:tr w:rsidR="00534D9A" w14:paraId="7FE1C7D0" w14:textId="77777777">
        <w:tc>
          <w:tcPr>
            <w:tcW w:w="1183" w:type="dxa"/>
            <w:tcBorders>
              <w:top w:val="single" w:sz="4" w:space="0" w:color="auto"/>
              <w:bottom w:val="single" w:sz="8" w:space="0" w:color="auto"/>
              <w:right w:val="single" w:sz="8" w:space="0" w:color="auto"/>
            </w:tcBorders>
            <w:vAlign w:val="center"/>
          </w:tcPr>
          <w:p w14:paraId="7FE1C7CE" w14:textId="77777777" w:rsidR="00534D9A" w:rsidRDefault="003243B2">
            <w:pPr>
              <w:pStyle w:val="P68B1DB1-Normal74"/>
            </w:pPr>
            <w:r>
              <w:t>0020–0030</w:t>
            </w:r>
          </w:p>
        </w:tc>
        <w:tc>
          <w:tcPr>
            <w:tcW w:w="7832" w:type="dxa"/>
            <w:tcBorders>
              <w:top w:val="single" w:sz="8" w:space="0" w:color="auto"/>
              <w:left w:val="single" w:sz="8" w:space="0" w:color="auto"/>
              <w:bottom w:val="single" w:sz="8" w:space="0" w:color="auto"/>
            </w:tcBorders>
            <w:vAlign w:val="bottom"/>
          </w:tcPr>
          <w:p w14:paraId="7FE1C7CF" w14:textId="77777777" w:rsidR="00534D9A" w:rsidRDefault="003243B2">
            <w:pPr>
              <w:pStyle w:val="P68B1DB1-TableParagraph75"/>
              <w:spacing w:before="108"/>
              <w:ind w:left="85"/>
              <w:jc w:val="both"/>
              <w:rPr>
                <w:color w:val="D13438"/>
                <w:u w:val="single"/>
              </w:rPr>
            </w:pPr>
            <w:r>
              <w:t>Utenti</w:t>
            </w:r>
          </w:p>
        </w:tc>
      </w:tr>
      <w:tr w:rsidR="00534D9A" w14:paraId="7FE1C7D4" w14:textId="77777777">
        <w:tc>
          <w:tcPr>
            <w:tcW w:w="1183" w:type="dxa"/>
            <w:tcBorders>
              <w:top w:val="single" w:sz="4" w:space="0" w:color="auto"/>
              <w:bottom w:val="single" w:sz="8" w:space="0" w:color="auto"/>
              <w:right w:val="single" w:sz="8" w:space="0" w:color="auto"/>
            </w:tcBorders>
            <w:vAlign w:val="center"/>
          </w:tcPr>
          <w:p w14:paraId="7FE1C7D1" w14:textId="77777777" w:rsidR="00534D9A" w:rsidRDefault="003243B2">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7D2" w14:textId="77777777" w:rsidR="00534D9A" w:rsidRDefault="003243B2">
            <w:pPr>
              <w:pStyle w:val="P68B1DB1-TableParagraph73"/>
              <w:spacing w:before="108" w:after="120"/>
              <w:jc w:val="both"/>
            </w:pPr>
            <w:r>
              <w:t>Isem l-entità</w:t>
            </w:r>
          </w:p>
          <w:p w14:paraId="7FE1C7D3" w14:textId="1C1A6E42" w:rsidR="00534D9A" w:rsidRDefault="003243B2">
            <w:pPr>
              <w:pStyle w:val="P68B1DB1-TableParagraph40"/>
              <w:spacing w:before="108"/>
              <w:ind w:left="85"/>
              <w:jc w:val="both"/>
              <w:rPr>
                <w:b/>
                <w:bCs/>
                <w:i/>
                <w:iCs/>
                <w:color w:val="D13438"/>
                <w:u w:val="single"/>
              </w:rPr>
            </w:pPr>
            <w:r>
              <w:t xml:space="preserve">Isem l-Entità Legali li tuża servizzi ta’ pagament, kustodja, saldu, ikklerjar jew repożitorju tat-tranżazzjonijiet, kif irrapportat fil-mudell Z 01.01 — Entitajiet ġuridiċi (ORG 1): isem uffiċjali kif jidher fl-atti korporattivi, inkluż l-indikazzjoni tal-forma ġuridika. </w:t>
            </w:r>
          </w:p>
        </w:tc>
      </w:tr>
      <w:tr w:rsidR="00534D9A" w14:paraId="7FE1C7D9" w14:textId="77777777">
        <w:tc>
          <w:tcPr>
            <w:tcW w:w="1183" w:type="dxa"/>
            <w:tcBorders>
              <w:top w:val="single" w:sz="8" w:space="0" w:color="auto"/>
              <w:bottom w:val="single" w:sz="8" w:space="0" w:color="auto"/>
              <w:right w:val="single" w:sz="8" w:space="0" w:color="auto"/>
            </w:tcBorders>
            <w:vAlign w:val="center"/>
          </w:tcPr>
          <w:p w14:paraId="7FE1C7D5" w14:textId="77777777" w:rsidR="00534D9A" w:rsidRDefault="003243B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7D6" w14:textId="77777777" w:rsidR="00534D9A" w:rsidRDefault="003243B2">
            <w:pPr>
              <w:pStyle w:val="P68B1DB1-TableParagraph73"/>
              <w:spacing w:before="108"/>
              <w:jc w:val="both"/>
            </w:pPr>
            <w:r>
              <w:t>Kodiċi tal-entità</w:t>
            </w:r>
          </w:p>
          <w:p w14:paraId="7FE1C7D7" w14:textId="6DA7FBC1" w:rsidR="00534D9A" w:rsidRDefault="003243B2">
            <w:pPr>
              <w:pStyle w:val="P68B1DB1-TableParagraph40"/>
              <w:spacing w:before="108"/>
              <w:jc w:val="both"/>
            </w:pPr>
            <w:r>
              <w:t xml:space="preserve">Kodiċi LEI alfanumeriku b’ 20 ċifri tal-Entità Legali li tuża servizzi ta’ pagament, kustodja, saldu, ikklerjar jew repożitorju tat-tranżazzjonijiet, kif irrapportat fil-mudell Z 01.01 — Entitajiet ġuridiċi (ORG 1). </w:t>
            </w:r>
          </w:p>
          <w:p w14:paraId="7FE1C7D8" w14:textId="77777777" w:rsidR="00534D9A" w:rsidRDefault="003243B2">
            <w:pPr>
              <w:pStyle w:val="P68B1DB1-Normal31"/>
            </w:pPr>
            <w:r>
              <w:t xml:space="preserve">Fin-nuqqas ta’ LEI, għandu jintuża l-Identifikatur Uniku tal-Istituzzjonijiet Finanzjarji Monetarji tal-BĊE (MFI ID) tal-entità għall-użu fir-RIAD. </w:t>
            </w:r>
          </w:p>
        </w:tc>
      </w:tr>
      <w:tr w:rsidR="00534D9A" w14:paraId="7FE1C7DC" w14:textId="77777777">
        <w:tc>
          <w:tcPr>
            <w:tcW w:w="1183" w:type="dxa"/>
            <w:tcBorders>
              <w:top w:val="single" w:sz="8" w:space="0" w:color="auto"/>
              <w:bottom w:val="single" w:sz="8" w:space="0" w:color="auto"/>
              <w:right w:val="single" w:sz="8" w:space="0" w:color="auto"/>
            </w:tcBorders>
            <w:vAlign w:val="center"/>
          </w:tcPr>
          <w:p w14:paraId="7FE1C7DA" w14:textId="77777777" w:rsidR="00534D9A" w:rsidRDefault="003243B2">
            <w:pPr>
              <w:pStyle w:val="P68B1DB1-Normal74"/>
            </w:pPr>
            <w:r>
              <w:t>0040–0270</w:t>
            </w:r>
          </w:p>
        </w:tc>
        <w:tc>
          <w:tcPr>
            <w:tcW w:w="7832" w:type="dxa"/>
            <w:tcBorders>
              <w:top w:val="single" w:sz="8" w:space="0" w:color="auto"/>
              <w:left w:val="single" w:sz="8" w:space="0" w:color="auto"/>
              <w:bottom w:val="single" w:sz="8" w:space="0" w:color="auto"/>
            </w:tcBorders>
            <w:vAlign w:val="bottom"/>
          </w:tcPr>
          <w:p w14:paraId="7FE1C7DB" w14:textId="77777777" w:rsidR="00534D9A" w:rsidRDefault="003243B2">
            <w:pPr>
              <w:pStyle w:val="P68B1DB1-TableParagraph75"/>
              <w:spacing w:before="108"/>
              <w:ind w:left="85"/>
              <w:jc w:val="both"/>
            </w:pPr>
            <w:r>
              <w:t>Fornitur</w:t>
            </w:r>
          </w:p>
        </w:tc>
      </w:tr>
      <w:tr w:rsidR="00534D9A" w14:paraId="7FE1C7DF" w14:textId="77777777">
        <w:tc>
          <w:tcPr>
            <w:tcW w:w="1183" w:type="dxa"/>
            <w:tcBorders>
              <w:top w:val="single" w:sz="8" w:space="0" w:color="auto"/>
              <w:bottom w:val="single" w:sz="8" w:space="0" w:color="auto"/>
              <w:right w:val="single" w:sz="8" w:space="0" w:color="auto"/>
            </w:tcBorders>
            <w:vAlign w:val="center"/>
          </w:tcPr>
          <w:p w14:paraId="7FE1C7DD" w14:textId="77777777" w:rsidR="00534D9A" w:rsidRDefault="003243B2">
            <w:pPr>
              <w:pStyle w:val="P68B1DB1-Normal74"/>
            </w:pPr>
            <w:r>
              <w:t>0040–0090</w:t>
            </w:r>
          </w:p>
        </w:tc>
        <w:tc>
          <w:tcPr>
            <w:tcW w:w="7832" w:type="dxa"/>
            <w:tcBorders>
              <w:top w:val="single" w:sz="8" w:space="0" w:color="auto"/>
              <w:left w:val="single" w:sz="8" w:space="0" w:color="auto"/>
              <w:bottom w:val="single" w:sz="8" w:space="0" w:color="auto"/>
            </w:tcBorders>
            <w:vAlign w:val="bottom"/>
          </w:tcPr>
          <w:p w14:paraId="7FE1C7DE" w14:textId="77777777" w:rsidR="00534D9A" w:rsidRDefault="003243B2">
            <w:pPr>
              <w:pStyle w:val="P68B1DB1-TableParagraph75"/>
              <w:spacing w:before="108"/>
              <w:ind w:left="85"/>
              <w:jc w:val="both"/>
            </w:pPr>
            <w:r>
              <w:t>FMI</w:t>
            </w:r>
          </w:p>
        </w:tc>
      </w:tr>
      <w:tr w:rsidR="00534D9A" w14:paraId="7FE1C7ED" w14:textId="77777777">
        <w:tc>
          <w:tcPr>
            <w:tcW w:w="1183" w:type="dxa"/>
            <w:tcBorders>
              <w:top w:val="single" w:sz="8" w:space="0" w:color="auto"/>
              <w:bottom w:val="single" w:sz="8" w:space="0" w:color="auto"/>
              <w:right w:val="single" w:sz="8" w:space="0" w:color="auto"/>
            </w:tcBorders>
            <w:vAlign w:val="center"/>
          </w:tcPr>
          <w:p w14:paraId="7FE1C7E0" w14:textId="77777777" w:rsidR="00534D9A" w:rsidRDefault="003243B2">
            <w:pPr>
              <w:pStyle w:val="P68B1DB1-Normal31"/>
            </w:pPr>
            <w:r>
              <w:t>0040</w:t>
            </w:r>
          </w:p>
        </w:tc>
        <w:tc>
          <w:tcPr>
            <w:tcW w:w="7832" w:type="dxa"/>
            <w:tcBorders>
              <w:top w:val="single" w:sz="8" w:space="0" w:color="auto"/>
              <w:left w:val="single" w:sz="8" w:space="0" w:color="auto"/>
              <w:bottom w:val="single" w:sz="8" w:space="0" w:color="auto"/>
            </w:tcBorders>
            <w:vAlign w:val="bottom"/>
          </w:tcPr>
          <w:p w14:paraId="7FE1C7E1" w14:textId="77777777" w:rsidR="00534D9A" w:rsidRDefault="003243B2">
            <w:pPr>
              <w:pStyle w:val="P68B1DB1-TableParagraph73"/>
              <w:spacing w:before="108"/>
              <w:ind w:left="85"/>
              <w:jc w:val="both"/>
            </w:pPr>
            <w:r>
              <w:t>Tip ta’ sistema</w:t>
            </w:r>
          </w:p>
          <w:p w14:paraId="7FE1C7E2" w14:textId="77777777" w:rsidR="00534D9A" w:rsidRDefault="003243B2">
            <w:pPr>
              <w:pStyle w:val="P68B1DB1-TableParagraph40"/>
              <w:spacing w:before="108"/>
              <w:ind w:left="85"/>
              <w:jc w:val="both"/>
            </w:pPr>
            <w:r>
              <w:t>It-tip ta’ sistema li tipprovdi servizzi lill-utent. Agħżel fost it-tipi li ġejjin:</w:t>
            </w:r>
          </w:p>
          <w:p w14:paraId="7FE1C7E3" w14:textId="64030D90" w:rsidR="00534D9A" w:rsidRDefault="003243B2">
            <w:pPr>
              <w:pStyle w:val="P68B1DB1-TableParagraph40"/>
              <w:spacing w:before="108"/>
              <w:ind w:left="85"/>
              <w:jc w:val="both"/>
            </w:pPr>
            <w:r>
              <w:t xml:space="preserve">Sistemi ta’ ħlas </w:t>
            </w:r>
          </w:p>
          <w:p w14:paraId="7FE1C7E4" w14:textId="642C3011" w:rsidR="00534D9A" w:rsidRDefault="003243B2">
            <w:pPr>
              <w:pStyle w:val="P68B1DB1-TableParagraph40"/>
              <w:spacing w:before="108"/>
              <w:ind w:left="85"/>
              <w:jc w:val="both"/>
            </w:pPr>
            <w:r>
              <w:t>“CSDs u ICSDs”</w:t>
            </w:r>
          </w:p>
          <w:p w14:paraId="7FE1C7E5" w14:textId="513B4E7C" w:rsidR="00534D9A" w:rsidRDefault="003243B2">
            <w:pPr>
              <w:pStyle w:val="P68B1DB1-TableParagraph40"/>
              <w:spacing w:before="108"/>
              <w:ind w:left="85"/>
              <w:jc w:val="both"/>
            </w:pPr>
            <w:r>
              <w:lastRenderedPageBreak/>
              <w:t>“Sistema ta’ Saldu ta’ Sigurtà”</w:t>
            </w:r>
          </w:p>
          <w:p w14:paraId="7FE1C7E6" w14:textId="61451372" w:rsidR="00534D9A" w:rsidRDefault="003243B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“Kontropartijiet ċentrali għall-ikklerjar tat-titoli”</w:t>
            </w:r>
            <w:r>
              <w:rPr>
                <w:rStyle w:val="FootnoteReference"/>
                <w:rFonts w:ascii="Times New Roman" w:eastAsia="Times New Roman" w:hAnsi="Times New Roman" w:cs="Times New Roman"/>
              </w:rPr>
              <w:footnoteReference w:id="29"/>
            </w:r>
          </w:p>
          <w:p w14:paraId="7FE1C7E7" w14:textId="75E09D2C" w:rsidR="00534D9A" w:rsidRDefault="003243B2">
            <w:pPr>
              <w:pStyle w:val="P68B1DB1-TableParagraph40"/>
              <w:spacing w:before="108"/>
              <w:ind w:left="85"/>
              <w:jc w:val="both"/>
            </w:pPr>
            <w:r>
              <w:t>“Kontropartijiet ċentrali għall-ikklerjar tad-derivattivi”</w:t>
            </w:r>
          </w:p>
          <w:p w14:paraId="7FE1C7E8" w14:textId="44FAA23C" w:rsidR="00534D9A" w:rsidRDefault="003243B2">
            <w:pPr>
              <w:pStyle w:val="P68B1DB1-TableParagraph40"/>
              <w:spacing w:before="108"/>
              <w:ind w:left="85"/>
              <w:jc w:val="both"/>
            </w:pPr>
            <w:r>
              <w:t>“Repożitorji tat-tranżazzjonijiet irreġistrati.”</w:t>
            </w:r>
          </w:p>
          <w:p w14:paraId="7FE1C7E9" w14:textId="424A35E7" w:rsidR="00534D9A" w:rsidRDefault="003243B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“Sistemi multilaterali għall-kummerċ”</w:t>
            </w:r>
            <w:r>
              <w:rPr>
                <w:rStyle w:val="FootnoteReference"/>
                <w:rFonts w:ascii="Times New Roman" w:eastAsia="Times New Roman" w:hAnsi="Times New Roman" w:cs="Times New Roman"/>
                <w:sz w:val="20"/>
                <w:szCs w:val="20"/>
              </w:rPr>
              <w:footnoteReference w:id="30"/>
            </w:r>
          </w:p>
          <w:p w14:paraId="7FE1C7EB" w14:textId="51093740" w:rsidR="00534D9A" w:rsidRDefault="003243B2">
            <w:pPr>
              <w:pStyle w:val="P68B1DB1-TableParagraph40"/>
              <w:spacing w:before="108"/>
              <w:ind w:left="85"/>
              <w:jc w:val="both"/>
            </w:pPr>
            <w:r>
              <w:t>“Skemi ta’ kards użati għal pagamenti bl-imnut”</w:t>
            </w:r>
          </w:p>
          <w:p w14:paraId="7FE1C7EC" w14:textId="69997621" w:rsidR="00534D9A" w:rsidRDefault="003243B2">
            <w:pPr>
              <w:pStyle w:val="P68B1DB1-TableParagraph40"/>
              <w:spacing w:before="108"/>
              <w:ind w:left="85"/>
              <w:jc w:val="both"/>
            </w:pPr>
            <w:r>
              <w:t>“Mhux applikabbli” — Għal servizzi oħrajn ta’ pagament, ikklerjar, saldu jew kustodja pprovduti minn entità li ma tappartjeni għall-ebda waħda mill-kategoriji ta’ hawn fuq, eż. banek korrispondenti u/jew banek kustodji li għalihom l-istituzzjoni ma tistax tidentifika l-FMIs finali. Fil-kolonna 0110 irrapporta s-servizz ipprovdut.</w:t>
            </w:r>
          </w:p>
        </w:tc>
      </w:tr>
      <w:tr w:rsidR="00534D9A" w14:paraId="7FE1C7F4" w14:textId="77777777">
        <w:tc>
          <w:tcPr>
            <w:tcW w:w="1183" w:type="dxa"/>
            <w:tcBorders>
              <w:top w:val="single" w:sz="8" w:space="0" w:color="auto"/>
              <w:bottom w:val="single" w:sz="8" w:space="0" w:color="auto"/>
              <w:right w:val="single" w:sz="8" w:space="0" w:color="auto"/>
            </w:tcBorders>
            <w:vAlign w:val="center"/>
          </w:tcPr>
          <w:p w14:paraId="7FE1C7EE" w14:textId="77777777" w:rsidR="00534D9A" w:rsidRDefault="003243B2">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7EF" w14:textId="77777777" w:rsidR="00534D9A" w:rsidRDefault="003243B2">
            <w:pPr>
              <w:pStyle w:val="P68B1DB1-TableParagraph73"/>
              <w:spacing w:before="108"/>
              <w:ind w:left="85"/>
              <w:jc w:val="both"/>
            </w:pPr>
            <w:r>
              <w:t>L-isem tal-FMI</w:t>
            </w:r>
          </w:p>
          <w:p w14:paraId="7FE1C7F0" w14:textId="77777777" w:rsidR="00534D9A" w:rsidRDefault="003243B2">
            <w:pPr>
              <w:pStyle w:val="P68B1DB1-TableParagraph40"/>
              <w:spacing w:before="108"/>
              <w:ind w:left="85"/>
              <w:jc w:val="both"/>
            </w:pPr>
            <w:r>
              <w:t xml:space="preserve">Isem kummerċjali tal-Infrastruttura tas-Swieq Finanzjarji. </w:t>
            </w:r>
          </w:p>
          <w:p w14:paraId="7FE1C7F1" w14:textId="6A71A5BE" w:rsidR="00534D9A" w:rsidRDefault="003243B2">
            <w:pPr>
              <w:pStyle w:val="P68B1DB1-TableParagraph40"/>
              <w:numPr>
                <w:ilvl w:val="0"/>
                <w:numId w:val="246"/>
              </w:numPr>
              <w:spacing w:before="108"/>
              <w:jc w:val="both"/>
            </w:pPr>
            <w:r>
              <w:t>Jekk preżenti fil-kolonna 0050, isem FMI predefinit elenkat fl-Anness I ta’ dawn l-istruzzjonijiet;</w:t>
            </w:r>
          </w:p>
          <w:p w14:paraId="7FE1C7F2" w14:textId="77777777" w:rsidR="00534D9A" w:rsidRDefault="003243B2">
            <w:pPr>
              <w:pStyle w:val="P68B1DB1-TableParagraph40"/>
              <w:numPr>
                <w:ilvl w:val="0"/>
                <w:numId w:val="246"/>
              </w:numPr>
              <w:spacing w:before="108" w:after="120"/>
              <w:ind w:left="442" w:hanging="357"/>
              <w:jc w:val="both"/>
            </w:pPr>
            <w:r>
              <w:t xml:space="preserve">Jekk mhux preżenti fil-kolonna 0050, l-isem fil-kolonna 0060 b’test liberu. </w:t>
            </w:r>
          </w:p>
          <w:p w14:paraId="7FE1C7F3" w14:textId="77777777" w:rsidR="00534D9A" w:rsidRDefault="003243B2">
            <w:pPr>
              <w:pStyle w:val="P68B1DB1-Normal31"/>
            </w:pPr>
            <w:r>
              <w:t xml:space="preserve">Meta tiġi rrapportata “Mhux applikabbli” fil-kolonna 0040, dawn il-kolonni għandhom jitħallew vojta. </w:t>
            </w:r>
          </w:p>
        </w:tc>
      </w:tr>
      <w:tr w:rsidR="00534D9A" w14:paraId="7FE1C7FB" w14:textId="77777777">
        <w:tc>
          <w:tcPr>
            <w:tcW w:w="1183" w:type="dxa"/>
            <w:tcBorders>
              <w:top w:val="single" w:sz="8" w:space="0" w:color="auto"/>
              <w:bottom w:val="single" w:sz="8" w:space="0" w:color="auto"/>
              <w:right w:val="single" w:sz="8" w:space="0" w:color="auto"/>
            </w:tcBorders>
            <w:vAlign w:val="center"/>
          </w:tcPr>
          <w:p w14:paraId="7FE1C7F5" w14:textId="77777777" w:rsidR="00534D9A" w:rsidRDefault="003243B2">
            <w:pPr>
              <w:pStyle w:val="P68B1DB1-Normal31"/>
            </w:pPr>
            <w:r>
              <w:t>0070</w:t>
            </w:r>
          </w:p>
        </w:tc>
        <w:tc>
          <w:tcPr>
            <w:tcW w:w="7832" w:type="dxa"/>
            <w:tcBorders>
              <w:top w:val="single" w:sz="8" w:space="0" w:color="auto"/>
              <w:left w:val="single" w:sz="8" w:space="0" w:color="auto"/>
              <w:bottom w:val="single" w:sz="8" w:space="0" w:color="auto"/>
            </w:tcBorders>
            <w:vAlign w:val="bottom"/>
          </w:tcPr>
          <w:p w14:paraId="7FE1C7F6" w14:textId="77777777" w:rsidR="00534D9A" w:rsidRDefault="003243B2">
            <w:pPr>
              <w:pStyle w:val="P68B1DB1-TableParagraph73"/>
              <w:spacing w:before="108"/>
              <w:ind w:left="85"/>
              <w:jc w:val="both"/>
            </w:pPr>
            <w:r>
              <w:t>Kodiċi FMI</w:t>
            </w:r>
          </w:p>
          <w:p w14:paraId="7FE1C7F7" w14:textId="77777777" w:rsidR="00534D9A" w:rsidRDefault="003243B2">
            <w:pPr>
              <w:pStyle w:val="P68B1DB1-TableParagraph40"/>
              <w:spacing w:before="108"/>
              <w:ind w:left="85"/>
              <w:jc w:val="both"/>
            </w:pPr>
            <w:r>
              <w:t xml:space="preserve">Il-kodiċi alfanumeriku LEI b’ 20 ċifri tal-FMI. </w:t>
            </w:r>
          </w:p>
          <w:p w14:paraId="7FE1C7F8" w14:textId="77777777" w:rsidR="00534D9A" w:rsidRDefault="003243B2">
            <w:pPr>
              <w:pStyle w:val="P68B1DB1-TableParagraph40"/>
              <w:spacing w:before="108"/>
              <w:ind w:left="85"/>
              <w:jc w:val="both"/>
            </w:pPr>
            <w:r>
              <w:t xml:space="preserve">Meta l-FMI ma jkollu l-ebda LEI ma jkunx disponibbli, uża l-kodiċi LEI tal-Operatur. </w:t>
            </w:r>
          </w:p>
          <w:p w14:paraId="7FE1C7F9" w14:textId="77777777" w:rsidR="00534D9A" w:rsidRDefault="003243B2">
            <w:pPr>
              <w:pStyle w:val="P68B1DB1-TableParagraph40"/>
              <w:spacing w:before="108"/>
              <w:ind w:left="85"/>
              <w:jc w:val="both"/>
            </w:pPr>
            <w:r>
              <w:t>Meta tiġi rrapportata “Mhux applikabbli (tip ta’ sistema FMI)” fil-kolonna 0040, jew meta l-FMI ma jkollhiex kodiċi, din il-kolonna għandu jkun fiha “NA”.</w:t>
            </w:r>
          </w:p>
          <w:p w14:paraId="7FE1C7FA" w14:textId="77777777" w:rsidR="00534D9A" w:rsidRDefault="00534D9A">
            <w:pPr>
              <w:rPr>
                <w:rFonts w:ascii="Times New Roman" w:eastAsia="Times New Roman" w:hAnsi="Times New Roman" w:cs="Times New Roman"/>
                <w:color w:val="D13438"/>
                <w:sz w:val="20"/>
                <w:szCs w:val="20"/>
                <w:u w:val="single"/>
              </w:rPr>
            </w:pPr>
          </w:p>
        </w:tc>
      </w:tr>
      <w:tr w:rsidR="00534D9A" w14:paraId="7FE1C800" w14:textId="77777777">
        <w:tc>
          <w:tcPr>
            <w:tcW w:w="1183" w:type="dxa"/>
            <w:tcBorders>
              <w:top w:val="single" w:sz="8" w:space="0" w:color="auto"/>
              <w:bottom w:val="single" w:sz="8" w:space="0" w:color="auto"/>
              <w:right w:val="single" w:sz="8" w:space="0" w:color="auto"/>
            </w:tcBorders>
            <w:vAlign w:val="center"/>
          </w:tcPr>
          <w:p w14:paraId="7FE1C7FC" w14:textId="77777777" w:rsidR="00534D9A" w:rsidRDefault="003243B2">
            <w:pPr>
              <w:pStyle w:val="P68B1DB1-Normal31"/>
            </w:pPr>
            <w:r>
              <w:t>0080</w:t>
            </w:r>
          </w:p>
        </w:tc>
        <w:tc>
          <w:tcPr>
            <w:tcW w:w="7832" w:type="dxa"/>
            <w:tcBorders>
              <w:top w:val="single" w:sz="8" w:space="0" w:color="auto"/>
              <w:left w:val="single" w:sz="8" w:space="0" w:color="auto"/>
              <w:bottom w:val="single" w:sz="8" w:space="0" w:color="auto"/>
            </w:tcBorders>
            <w:vAlign w:val="bottom"/>
          </w:tcPr>
          <w:p w14:paraId="7FE1C7FD" w14:textId="77777777" w:rsidR="00534D9A" w:rsidRDefault="003243B2">
            <w:pPr>
              <w:pStyle w:val="P68B1DB1-Normal76"/>
              <w:spacing w:after="120"/>
            </w:pPr>
            <w:r>
              <w:t>Operatur tal-FMI</w:t>
            </w:r>
          </w:p>
          <w:p w14:paraId="7FE1C7FE" w14:textId="77777777" w:rsidR="00534D9A" w:rsidRDefault="003243B2">
            <w:pPr>
              <w:pStyle w:val="P68B1DB1-Normal31"/>
              <w:rPr>
                <w:b/>
              </w:rPr>
            </w:pPr>
            <w:r>
              <w:t xml:space="preserve">L-isem tal-operatur tal-FMI. </w:t>
            </w:r>
          </w:p>
          <w:p w14:paraId="7FE1C7FF" w14:textId="77777777" w:rsidR="00534D9A" w:rsidRDefault="00534D9A">
            <w:pPr>
              <w:rPr>
                <w:rFonts w:ascii="Times New Roman" w:hAnsi="Times New Roman" w:cs="Times New Roman"/>
                <w:color w:val="D13438"/>
                <w:sz w:val="20"/>
                <w:szCs w:val="20"/>
                <w:highlight w:val="yellow"/>
                <w:u w:val="single"/>
              </w:rPr>
            </w:pPr>
          </w:p>
        </w:tc>
      </w:tr>
      <w:tr w:rsidR="00534D9A" w14:paraId="7FE1C808" w14:textId="77777777">
        <w:tc>
          <w:tcPr>
            <w:tcW w:w="1183" w:type="dxa"/>
            <w:tcBorders>
              <w:top w:val="single" w:sz="8" w:space="0" w:color="auto"/>
              <w:bottom w:val="single" w:sz="8" w:space="0" w:color="auto"/>
              <w:right w:val="single" w:sz="8" w:space="0" w:color="auto"/>
            </w:tcBorders>
            <w:vAlign w:val="center"/>
          </w:tcPr>
          <w:p w14:paraId="7FE1C801" w14:textId="77777777" w:rsidR="00534D9A" w:rsidRDefault="003243B2">
            <w:pPr>
              <w:pStyle w:val="P68B1DB1-Normal31"/>
            </w:pPr>
            <w:r>
              <w:t>0090</w:t>
            </w:r>
          </w:p>
        </w:tc>
        <w:tc>
          <w:tcPr>
            <w:tcW w:w="7832" w:type="dxa"/>
            <w:tcBorders>
              <w:top w:val="single" w:sz="8" w:space="0" w:color="auto"/>
              <w:left w:val="single" w:sz="8" w:space="0" w:color="auto"/>
              <w:bottom w:val="single" w:sz="8" w:space="0" w:color="auto"/>
            </w:tcBorders>
            <w:vAlign w:val="bottom"/>
          </w:tcPr>
          <w:p w14:paraId="7FE1C802" w14:textId="77777777" w:rsidR="00534D9A" w:rsidRDefault="003243B2">
            <w:pPr>
              <w:pStyle w:val="P68B1DB1-Normal76"/>
            </w:pPr>
            <w:r>
              <w:t>Modalità ta’ parteċipazzjoni</w:t>
            </w:r>
          </w:p>
          <w:p w14:paraId="7FE1C803" w14:textId="77777777" w:rsidR="00534D9A" w:rsidRDefault="003243B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Irrapporta wieħed minn dawn il-valuri li ġejjin</w:t>
            </w:r>
            <w:r>
              <w:rPr>
                <w:rStyle w:val="FootnoteReference"/>
                <w:rFonts w:ascii="Times New Roman" w:eastAsia="Times New Roman" w:hAnsi="Times New Roman" w:cs="Times New Roman"/>
              </w:rPr>
              <w:footnoteReference w:id="31"/>
            </w:r>
            <w:r>
              <w:rPr>
                <w:rFonts w:ascii="Times New Roman" w:eastAsia="Times New Roman" w:hAnsi="Times New Roman" w:cs="Times New Roman"/>
                <w:sz w:val="20"/>
                <w:szCs w:val="20"/>
              </w:rPr>
              <w:t>:</w:t>
            </w:r>
          </w:p>
          <w:p w14:paraId="7FE1C804" w14:textId="77777777" w:rsidR="00534D9A" w:rsidRDefault="003243B2">
            <w:pPr>
              <w:pStyle w:val="P68B1DB1-TableParagraph40"/>
              <w:numPr>
                <w:ilvl w:val="0"/>
                <w:numId w:val="181"/>
              </w:numPr>
              <w:spacing w:before="108"/>
              <w:jc w:val="both"/>
            </w:pPr>
            <w:r>
              <w:t xml:space="preserve">“Dirett” fil-każ ta’ parteċipazzjoni diretta fi/sħubija fl-FMI. </w:t>
            </w:r>
          </w:p>
          <w:p w14:paraId="7FE1C805" w14:textId="77777777" w:rsidR="00534D9A" w:rsidRDefault="003243B2">
            <w:pPr>
              <w:pStyle w:val="P68B1DB1-TableParagraph40"/>
              <w:numPr>
                <w:ilvl w:val="0"/>
                <w:numId w:val="181"/>
              </w:numPr>
              <w:spacing w:before="108"/>
              <w:jc w:val="both"/>
            </w:pPr>
            <w:r>
              <w:t xml:space="preserve">“Indiretta” fil-każ ta’ parteċipazzjoni indiretta fi/sħubija fl-FMI. </w:t>
            </w:r>
          </w:p>
          <w:p w14:paraId="7FE1C806" w14:textId="77777777" w:rsidR="00534D9A" w:rsidRDefault="003243B2">
            <w:pPr>
              <w:pStyle w:val="P68B1DB1-TableParagraph40"/>
              <w:numPr>
                <w:ilvl w:val="0"/>
                <w:numId w:val="181"/>
              </w:numPr>
              <w:spacing w:before="108"/>
              <w:jc w:val="both"/>
              <w:rPr>
                <w:b/>
              </w:rPr>
            </w:pPr>
            <w:r>
              <w:t>“Mhux applikabbli (Mod ta’ parteċipazzjoni f’FMI)” meta “Mhux applikabbli (tip ta’ sistema FMI)” tiġi rrapportata fil-kolonna 0040.</w:t>
            </w:r>
          </w:p>
          <w:p w14:paraId="7FE1C807" w14:textId="77777777" w:rsidR="00534D9A" w:rsidRDefault="00534D9A">
            <w:pPr>
              <w:pStyle w:val="TableParagraph"/>
              <w:spacing w:before="108"/>
              <w:ind w:left="85"/>
              <w:jc w:val="both"/>
              <w:rPr>
                <w:rFonts w:ascii="Times New Roman" w:eastAsia="Times New Roman" w:hAnsi="Times New Roman" w:cs="Times New Roman"/>
                <w:b/>
                <w:sz w:val="20"/>
                <w:szCs w:val="20"/>
              </w:rPr>
            </w:pPr>
          </w:p>
        </w:tc>
      </w:tr>
      <w:tr w:rsidR="00534D9A" w14:paraId="7FE1C80B" w14:textId="77777777">
        <w:tc>
          <w:tcPr>
            <w:tcW w:w="1183" w:type="dxa"/>
            <w:tcBorders>
              <w:top w:val="single" w:sz="8" w:space="0" w:color="auto"/>
              <w:bottom w:val="single" w:sz="8" w:space="0" w:color="auto"/>
              <w:right w:val="single" w:sz="8" w:space="0" w:color="auto"/>
            </w:tcBorders>
            <w:vAlign w:val="center"/>
          </w:tcPr>
          <w:p w14:paraId="7FE1C809" w14:textId="77777777" w:rsidR="00534D9A" w:rsidRDefault="003243B2">
            <w:pPr>
              <w:pStyle w:val="P68B1DB1-Normal74"/>
            </w:pPr>
            <w:r>
              <w:lastRenderedPageBreak/>
              <w:t>0100–0110</w:t>
            </w:r>
          </w:p>
        </w:tc>
        <w:tc>
          <w:tcPr>
            <w:tcW w:w="7832" w:type="dxa"/>
            <w:tcBorders>
              <w:top w:val="single" w:sz="8" w:space="0" w:color="auto"/>
              <w:left w:val="single" w:sz="8" w:space="0" w:color="auto"/>
              <w:bottom w:val="single" w:sz="8" w:space="0" w:color="auto"/>
            </w:tcBorders>
            <w:vAlign w:val="bottom"/>
          </w:tcPr>
          <w:p w14:paraId="7FE1C80A" w14:textId="77777777" w:rsidR="00534D9A" w:rsidRDefault="003243B2">
            <w:pPr>
              <w:pStyle w:val="P68B1DB1-TableParagraph75"/>
              <w:spacing w:before="108"/>
              <w:ind w:left="85"/>
              <w:jc w:val="both"/>
            </w:pPr>
            <w:r>
              <w:t>Intermedjarju</w:t>
            </w:r>
          </w:p>
        </w:tc>
      </w:tr>
      <w:tr w:rsidR="00534D9A" w14:paraId="7FE1C811" w14:textId="77777777">
        <w:tc>
          <w:tcPr>
            <w:tcW w:w="1183" w:type="dxa"/>
            <w:tcBorders>
              <w:top w:val="single" w:sz="8" w:space="0" w:color="auto"/>
              <w:bottom w:val="single" w:sz="8" w:space="0" w:color="auto"/>
              <w:right w:val="single" w:sz="8" w:space="0" w:color="auto"/>
            </w:tcBorders>
            <w:vAlign w:val="center"/>
          </w:tcPr>
          <w:p w14:paraId="7FE1C80C" w14:textId="77777777" w:rsidR="00534D9A" w:rsidRDefault="003243B2">
            <w:pPr>
              <w:pStyle w:val="P68B1DB1-Normal31"/>
            </w:pPr>
            <w:r>
              <w:t>0100</w:t>
            </w:r>
          </w:p>
        </w:tc>
        <w:tc>
          <w:tcPr>
            <w:tcW w:w="7832" w:type="dxa"/>
            <w:tcBorders>
              <w:top w:val="single" w:sz="8" w:space="0" w:color="auto"/>
              <w:left w:val="single" w:sz="8" w:space="0" w:color="auto"/>
              <w:bottom w:val="single" w:sz="8" w:space="0" w:color="auto"/>
            </w:tcBorders>
            <w:vAlign w:val="bottom"/>
          </w:tcPr>
          <w:p w14:paraId="7FE1C80D" w14:textId="77777777" w:rsidR="00534D9A" w:rsidRDefault="003243B2">
            <w:pPr>
              <w:pStyle w:val="P68B1DB1-Normal76"/>
            </w:pPr>
            <w:r>
              <w:t>Isem l-intermedjarju</w:t>
            </w:r>
          </w:p>
          <w:p w14:paraId="7FE1C80E" w14:textId="77777777" w:rsidR="00534D9A" w:rsidRDefault="003243B2">
            <w:pPr>
              <w:pStyle w:val="P68B1DB1-TableParagraph40"/>
              <w:spacing w:before="108"/>
              <w:ind w:left="85"/>
              <w:jc w:val="both"/>
            </w:pPr>
            <w:r>
              <w:t xml:space="preserve">L-isem kummerċjali tal-intermedjarju li miegħu l-Utent għandu relazzjoni kuntrattwali, u liema fornituri għandhom aċċess għall-FMI. Għandu jiġi rrapportat meta tiġi rrapportata “Indiretta” jew “Mhux applikabbli (Mod ta’ parteċipazzjoni f’FMI)” fil-kolonna 0100 “Modalità ta’ parteċipazzjoni”. </w:t>
            </w:r>
          </w:p>
          <w:p w14:paraId="7FE1C80F" w14:textId="77777777" w:rsidR="00534D9A" w:rsidRDefault="003243B2">
            <w:pPr>
              <w:pStyle w:val="P68B1DB1-TableParagraph40"/>
              <w:spacing w:before="108"/>
              <w:ind w:left="85"/>
              <w:jc w:val="both"/>
            </w:pPr>
            <w:r>
              <w:t>F’każ li l-intermedjarju jkun qed joffri aċċess indirett għal diversi FMIs, imla linja waħda għal kull FMI li għaliha l-intermedjarju jkun qed joffri aċċess indirett.</w:t>
            </w:r>
          </w:p>
          <w:p w14:paraId="7FE1C810" w14:textId="77777777" w:rsidR="00534D9A" w:rsidRDefault="003243B2">
            <w:pPr>
              <w:pStyle w:val="P68B1DB1-TableParagraph40"/>
              <w:spacing w:before="108"/>
              <w:ind w:left="85"/>
              <w:jc w:val="both"/>
              <w:rPr>
                <w:b/>
              </w:rPr>
            </w:pPr>
            <w:r>
              <w:t>Meta “Direct” tiġi rrapportata fil-kolonna 0090, din il-kolonna għandha titħalla vojta.</w:t>
            </w:r>
          </w:p>
        </w:tc>
      </w:tr>
      <w:tr w:rsidR="00534D9A" w14:paraId="7FE1C819" w14:textId="77777777">
        <w:tc>
          <w:tcPr>
            <w:tcW w:w="1183" w:type="dxa"/>
            <w:tcBorders>
              <w:top w:val="single" w:sz="8" w:space="0" w:color="auto"/>
              <w:bottom w:val="single" w:sz="8" w:space="0" w:color="auto"/>
              <w:right w:val="single" w:sz="8" w:space="0" w:color="auto"/>
            </w:tcBorders>
            <w:vAlign w:val="center"/>
          </w:tcPr>
          <w:p w14:paraId="7FE1C812" w14:textId="77777777" w:rsidR="00534D9A" w:rsidRDefault="003243B2">
            <w:pPr>
              <w:pStyle w:val="P68B1DB1-Normal31"/>
            </w:pPr>
            <w:r>
              <w:t>0110</w:t>
            </w:r>
          </w:p>
        </w:tc>
        <w:tc>
          <w:tcPr>
            <w:tcW w:w="7832" w:type="dxa"/>
            <w:tcBorders>
              <w:top w:val="single" w:sz="8" w:space="0" w:color="auto"/>
              <w:left w:val="single" w:sz="8" w:space="0" w:color="auto"/>
              <w:bottom w:val="single" w:sz="8" w:space="0" w:color="auto"/>
            </w:tcBorders>
            <w:vAlign w:val="bottom"/>
          </w:tcPr>
          <w:p w14:paraId="7FE1C813" w14:textId="77777777" w:rsidR="00534D9A" w:rsidRDefault="003243B2">
            <w:pPr>
              <w:pStyle w:val="P68B1DB1-Normal76"/>
            </w:pPr>
            <w:r>
              <w:t>Kodiċi tal-intermedjarju</w:t>
            </w:r>
          </w:p>
          <w:p w14:paraId="7FE1C814" w14:textId="77777777" w:rsidR="00534D9A" w:rsidRDefault="003243B2">
            <w:pPr>
              <w:pStyle w:val="P68B1DB1-TableParagraph40"/>
              <w:spacing w:before="108"/>
              <w:ind w:left="85"/>
              <w:jc w:val="both"/>
            </w:pPr>
            <w:r>
              <w:t xml:space="preserve">Il-kodiċi LEI alfanumeriku b’ 20 ċifri tal-intermedjarju. </w:t>
            </w:r>
          </w:p>
          <w:p w14:paraId="7FE1C815" w14:textId="77777777" w:rsidR="00534D9A" w:rsidRDefault="003243B2">
            <w:pPr>
              <w:pStyle w:val="P68B1DB1-TableParagraph13"/>
              <w:spacing w:before="108"/>
              <w:ind w:left="85"/>
              <w:jc w:val="both"/>
              <w:rPr>
                <w:rFonts w:eastAsia="Cambria"/>
              </w:rPr>
            </w:pPr>
            <w:r>
              <w:t>It-tip ta’ kodiċi għandu preferibbilment ikun il-kodiċi LEI.</w:t>
            </w:r>
          </w:p>
          <w:p w14:paraId="7FE1C816" w14:textId="77777777" w:rsidR="00534D9A" w:rsidRDefault="003243B2">
            <w:pPr>
              <w:pStyle w:val="P68B1DB1-TableParagraph17"/>
              <w:spacing w:before="108"/>
            </w:pPr>
            <w:r>
              <w:t xml:space="preserve">  Meta l-LEI ma jkunx disponibbli, irrapporta ID tal-MFI, jew jekk mhux disponibbli, irrapporta kodiċi nazzjonali.</w:t>
            </w:r>
          </w:p>
          <w:p w14:paraId="7FE1C817" w14:textId="3F55AEB3" w:rsidR="00534D9A" w:rsidRDefault="003243B2">
            <w:pPr>
              <w:pStyle w:val="P68B1DB1-TableParagraph41"/>
              <w:spacing w:before="108"/>
              <w:ind w:left="85"/>
              <w:jc w:val="both"/>
              <w:rPr>
                <w:rFonts w:ascii="Times New Roman" w:eastAsia="Times New Roman" w:hAnsi="Times New Roman" w:cs="Times New Roman"/>
              </w:rPr>
            </w:pPr>
            <w:r>
              <w:rPr>
                <w:rFonts w:ascii="Times New Roman" w:hAnsi="Times New Roman" w:cs="Times New Roman"/>
                <w:color w:val="000000" w:themeColor="text1"/>
              </w:rPr>
              <w:t>L-identifikazzjoni tal-entitajiet għandha ssir b’mod konsistenti fil-formoli Z 09.01 sa Z 09.05 fejn applikabbli.</w:t>
            </w:r>
            <w:r>
              <w:rPr>
                <w:rFonts w:ascii="Times New Roman" w:eastAsia="Times New Roman" w:hAnsi="Times New Roman" w:cs="Times New Roman"/>
              </w:rPr>
              <w:t xml:space="preserve"> </w:t>
            </w:r>
          </w:p>
          <w:p w14:paraId="7FE1C818" w14:textId="77777777" w:rsidR="00534D9A" w:rsidRDefault="003243B2">
            <w:pPr>
              <w:pStyle w:val="P68B1DB1-TableParagraph40"/>
              <w:spacing w:before="108"/>
              <w:ind w:left="85"/>
              <w:jc w:val="both"/>
              <w:rPr>
                <w:b/>
              </w:rPr>
            </w:pPr>
            <w:r>
              <w:t>Meta “Direct” tiġi rrapportata fil-kolonna 0090, din il-kolonna għandha titħalla vojta.</w:t>
            </w:r>
          </w:p>
        </w:tc>
      </w:tr>
      <w:tr w:rsidR="00534D9A" w14:paraId="7FE1C81C" w14:textId="77777777">
        <w:tc>
          <w:tcPr>
            <w:tcW w:w="1183" w:type="dxa"/>
            <w:tcBorders>
              <w:top w:val="single" w:sz="8" w:space="0" w:color="auto"/>
              <w:bottom w:val="single" w:sz="8" w:space="0" w:color="auto"/>
              <w:right w:val="single" w:sz="8" w:space="0" w:color="auto"/>
            </w:tcBorders>
            <w:vAlign w:val="center"/>
          </w:tcPr>
          <w:p w14:paraId="7FE1C81A" w14:textId="77777777" w:rsidR="00534D9A" w:rsidRDefault="003243B2">
            <w:pPr>
              <w:pStyle w:val="P68B1DB1-Normal74"/>
            </w:pPr>
            <w:r>
              <w:t>0120–0260</w:t>
            </w:r>
          </w:p>
        </w:tc>
        <w:tc>
          <w:tcPr>
            <w:tcW w:w="7832" w:type="dxa"/>
            <w:tcBorders>
              <w:top w:val="single" w:sz="8" w:space="0" w:color="auto"/>
              <w:left w:val="single" w:sz="8" w:space="0" w:color="auto"/>
              <w:bottom w:val="single" w:sz="8" w:space="0" w:color="auto"/>
            </w:tcBorders>
            <w:vAlign w:val="bottom"/>
          </w:tcPr>
          <w:p w14:paraId="7FE1C81B" w14:textId="77777777" w:rsidR="00534D9A" w:rsidRDefault="003243B2">
            <w:pPr>
              <w:pStyle w:val="P68B1DB1-Normal77"/>
              <w:rPr>
                <w:color w:val="D13438"/>
                <w:u w:val="single"/>
              </w:rPr>
            </w:pPr>
            <w:r>
              <w:t>Kuntratti u servizzi</w:t>
            </w:r>
          </w:p>
        </w:tc>
      </w:tr>
      <w:tr w:rsidR="00534D9A" w14:paraId="7FE1C820" w14:textId="77777777">
        <w:tc>
          <w:tcPr>
            <w:tcW w:w="1183" w:type="dxa"/>
            <w:tcBorders>
              <w:top w:val="single" w:sz="8" w:space="0" w:color="auto"/>
              <w:bottom w:val="single" w:sz="8" w:space="0" w:color="auto"/>
              <w:right w:val="single" w:sz="8" w:space="0" w:color="auto"/>
            </w:tcBorders>
            <w:vAlign w:val="center"/>
          </w:tcPr>
          <w:p w14:paraId="7FE1C81D" w14:textId="77777777" w:rsidR="00534D9A" w:rsidRDefault="003243B2">
            <w:pPr>
              <w:pStyle w:val="P68B1DB1-Normal31"/>
            </w:pPr>
            <w:r>
              <w:t>0120</w:t>
            </w:r>
          </w:p>
        </w:tc>
        <w:tc>
          <w:tcPr>
            <w:tcW w:w="7832" w:type="dxa"/>
            <w:tcBorders>
              <w:top w:val="single" w:sz="8" w:space="0" w:color="auto"/>
              <w:left w:val="single" w:sz="8" w:space="0" w:color="auto"/>
              <w:bottom w:val="single" w:sz="8" w:space="0" w:color="auto"/>
            </w:tcBorders>
            <w:vAlign w:val="bottom"/>
          </w:tcPr>
          <w:p w14:paraId="7FE1C81E" w14:textId="77777777" w:rsidR="00534D9A" w:rsidRDefault="003243B2">
            <w:pPr>
              <w:pStyle w:val="P68B1DB1-TableParagraph73"/>
              <w:spacing w:before="108"/>
              <w:ind w:left="85"/>
              <w:jc w:val="both"/>
            </w:pPr>
            <w:r>
              <w:t>ID tal-kuntratt</w:t>
            </w:r>
          </w:p>
          <w:p w14:paraId="7FE1C81F" w14:textId="77777777" w:rsidR="00534D9A" w:rsidRDefault="003243B2">
            <w:pPr>
              <w:pStyle w:val="P68B1DB1-TableParagraph40"/>
              <w:spacing w:before="108"/>
              <w:jc w:val="both"/>
              <w:rPr>
                <w:b/>
              </w:rPr>
            </w:pPr>
            <w:r>
              <w:t>L-identifikatur intern tal-utent tal-kuntratt li jirregola r-relazzjoni mal-FMI/l-intermedjarju li jipprovdi s-servizz.</w:t>
            </w:r>
          </w:p>
        </w:tc>
      </w:tr>
      <w:tr w:rsidR="00534D9A" w14:paraId="7FE1C826" w14:textId="77777777">
        <w:tc>
          <w:tcPr>
            <w:tcW w:w="1183" w:type="dxa"/>
            <w:tcBorders>
              <w:top w:val="single" w:sz="8" w:space="0" w:color="auto"/>
              <w:bottom w:val="single" w:sz="8" w:space="0" w:color="auto"/>
              <w:right w:val="single" w:sz="8" w:space="0" w:color="auto"/>
            </w:tcBorders>
            <w:vAlign w:val="center"/>
          </w:tcPr>
          <w:p w14:paraId="7FE1C821" w14:textId="77777777" w:rsidR="00534D9A" w:rsidRDefault="003243B2">
            <w:pPr>
              <w:pStyle w:val="P68B1DB1-Normal31"/>
            </w:pPr>
            <w:r>
              <w:t>0130</w:t>
            </w:r>
          </w:p>
        </w:tc>
        <w:tc>
          <w:tcPr>
            <w:tcW w:w="7832" w:type="dxa"/>
            <w:tcBorders>
              <w:top w:val="single" w:sz="8" w:space="0" w:color="auto"/>
              <w:left w:val="single" w:sz="8" w:space="0" w:color="auto"/>
              <w:bottom w:val="single" w:sz="8" w:space="0" w:color="auto"/>
            </w:tcBorders>
            <w:vAlign w:val="bottom"/>
          </w:tcPr>
          <w:p w14:paraId="7FE1C822" w14:textId="77777777" w:rsidR="00534D9A" w:rsidRDefault="003243B2">
            <w:pPr>
              <w:pStyle w:val="P68B1DB1-TableParagraph73"/>
              <w:spacing w:before="108"/>
              <w:ind w:left="85"/>
              <w:jc w:val="both"/>
              <w:rPr>
                <w:bCs/>
              </w:rPr>
            </w:pPr>
            <w:r>
              <w:t>Il-liġi regolatorja</w:t>
            </w:r>
          </w:p>
          <w:p w14:paraId="7FE1C823" w14:textId="77777777" w:rsidR="00534D9A" w:rsidRDefault="003243B2">
            <w:pPr>
              <w:pStyle w:val="P68B1DB1-TableParagraph40"/>
              <w:spacing w:before="108"/>
              <w:ind w:left="85"/>
              <w:jc w:val="both"/>
            </w:pPr>
            <w:r>
              <w:t xml:space="preserve">L-identifikazzjoni ISO 3166–1 alpha-2 tal-pajjiż li l-liġi tiegħu tirregola l-relazzjoni kontraktuali mal-FMI. </w:t>
            </w:r>
          </w:p>
          <w:p w14:paraId="7FE1C824" w14:textId="77777777" w:rsidR="00534D9A" w:rsidRDefault="003243B2">
            <w:pPr>
              <w:pStyle w:val="P68B1DB1-TableParagraph40"/>
              <w:numPr>
                <w:ilvl w:val="0"/>
                <w:numId w:val="247"/>
              </w:numPr>
              <w:spacing w:before="108"/>
              <w:jc w:val="both"/>
              <w:rPr>
                <w:b/>
                <w:bCs/>
              </w:rPr>
            </w:pPr>
            <w:r>
              <w:t>Għal aċċessi diretti, il-liġi regolatorja tal-kuntratt bejn l-FMI u l-Utent</w:t>
            </w:r>
          </w:p>
          <w:p w14:paraId="7FE1C825" w14:textId="77777777" w:rsidR="00534D9A" w:rsidRDefault="003243B2">
            <w:pPr>
              <w:pStyle w:val="P68B1DB1-TableParagraph40"/>
              <w:numPr>
                <w:ilvl w:val="0"/>
                <w:numId w:val="247"/>
              </w:numPr>
              <w:spacing w:before="108"/>
              <w:jc w:val="both"/>
            </w:pPr>
            <w:r>
              <w:t>Għal aċċessi indiretti, il-liġi li tirregola l-kuntratt bejn l-intermedjarju u l-Utent.</w:t>
            </w:r>
          </w:p>
        </w:tc>
      </w:tr>
      <w:tr w:rsidR="00534D9A" w14:paraId="7FE1C82E" w14:textId="77777777">
        <w:tc>
          <w:tcPr>
            <w:tcW w:w="1183" w:type="dxa"/>
            <w:tcBorders>
              <w:top w:val="single" w:sz="8" w:space="0" w:color="auto"/>
              <w:bottom w:val="single" w:sz="8" w:space="0" w:color="auto"/>
              <w:right w:val="single" w:sz="8" w:space="0" w:color="auto"/>
            </w:tcBorders>
            <w:vAlign w:val="center"/>
          </w:tcPr>
          <w:p w14:paraId="7FE1C827" w14:textId="77777777" w:rsidR="00534D9A" w:rsidRDefault="003243B2">
            <w:pPr>
              <w:pStyle w:val="P68B1DB1-Normal31"/>
            </w:pPr>
            <w:r>
              <w:t>0140</w:t>
            </w:r>
          </w:p>
        </w:tc>
        <w:tc>
          <w:tcPr>
            <w:tcW w:w="7832" w:type="dxa"/>
            <w:tcBorders>
              <w:top w:val="single" w:sz="8" w:space="0" w:color="auto"/>
              <w:left w:val="single" w:sz="8" w:space="0" w:color="auto"/>
              <w:bottom w:val="single" w:sz="8" w:space="0" w:color="auto"/>
            </w:tcBorders>
            <w:vAlign w:val="bottom"/>
          </w:tcPr>
          <w:p w14:paraId="7FE1C828" w14:textId="77777777" w:rsidR="00534D9A" w:rsidRDefault="003243B2">
            <w:pPr>
              <w:pStyle w:val="P68B1DB1-TableParagraph73"/>
              <w:spacing w:before="108"/>
              <w:ind w:left="85"/>
              <w:jc w:val="both"/>
              <w:rPr>
                <w:bCs/>
              </w:rPr>
            </w:pPr>
            <w:r>
              <w:t xml:space="preserve">Kuntratt reżiljenti għar-riżoluzzjoni </w:t>
            </w:r>
          </w:p>
          <w:p w14:paraId="7FE1C829" w14:textId="77777777" w:rsidR="00534D9A" w:rsidRDefault="003243B2">
            <w:pPr>
              <w:pStyle w:val="P68B1DB1-TableParagraph40"/>
              <w:spacing w:before="108"/>
              <w:ind w:left="85"/>
              <w:jc w:val="both"/>
            </w:pPr>
            <w:r>
              <w:t>Irrapporta wieħed minn dawn il-valuri li ġejjin:</w:t>
            </w:r>
          </w:p>
          <w:p w14:paraId="7FE1C82A" w14:textId="6A33252E" w:rsidR="00534D9A" w:rsidRDefault="003243B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“Iva” — jekk l-entità relatriċi vvalutat il-kuntratt bħala reżiljenti għar-riżoluzzjoni</w:t>
            </w:r>
            <w:r>
              <w:rPr>
                <w:rStyle w:val="FootnoteReference"/>
                <w:rFonts w:ascii="Times New Roman" w:eastAsia="Times New Roman" w:hAnsi="Times New Roman" w:cs="Times New Roman"/>
              </w:rPr>
              <w:footnoteReference w:id="32"/>
            </w:r>
            <w:r>
              <w:rPr>
                <w:rFonts w:ascii="Times New Roman" w:eastAsia="Times New Roman" w:hAnsi="Times New Roman" w:cs="Times New Roman"/>
                <w:sz w:val="20"/>
                <w:szCs w:val="20"/>
              </w:rPr>
              <w:t>.</w:t>
            </w:r>
          </w:p>
          <w:p w14:paraId="7FE1C82B" w14:textId="47263BD7" w:rsidR="00534D9A" w:rsidRDefault="003243B2">
            <w:pPr>
              <w:pStyle w:val="P68B1DB1-TableParagraph40"/>
              <w:spacing w:before="108"/>
              <w:ind w:left="85"/>
              <w:jc w:val="both"/>
            </w:pPr>
            <w:r>
              <w:t>“Le” — jekk l-entità relatriċi tkun ivvalutat il-kuntratt bħala mhux reżiljenti għar-riżoluzzjoni.</w:t>
            </w:r>
          </w:p>
          <w:p w14:paraId="7FE1C82C" w14:textId="77777777" w:rsidR="00534D9A" w:rsidRDefault="003243B2">
            <w:pPr>
              <w:pStyle w:val="P68B1DB1-TableParagraph40"/>
              <w:spacing w:before="108"/>
              <w:ind w:left="85"/>
              <w:jc w:val="both"/>
            </w:pPr>
            <w:r>
              <w:t>“Mhux ivvalutat” — jekk l-informazzjoni ma tkunx disponibbli.</w:t>
            </w:r>
          </w:p>
          <w:p w14:paraId="7FE1C82D" w14:textId="77777777" w:rsidR="00534D9A" w:rsidRDefault="003243B2">
            <w:pPr>
              <w:pStyle w:val="P68B1DB1-TableParagraph40"/>
              <w:spacing w:before="108"/>
              <w:ind w:left="85"/>
              <w:jc w:val="both"/>
              <w:rPr>
                <w:b/>
                <w:bCs/>
                <w:i/>
                <w:iCs/>
                <w:u w:val="single"/>
              </w:rPr>
            </w:pPr>
            <w:r>
              <w:t xml:space="preserve">Irrapporta biss għall-intermedjarji. Irrapporta “Y” għall-kuntratti kollha skont il-liġi taż-ŻEE.  </w:t>
            </w:r>
          </w:p>
        </w:tc>
      </w:tr>
      <w:tr w:rsidR="00534D9A" w14:paraId="7FE1C833" w14:textId="77777777">
        <w:tc>
          <w:tcPr>
            <w:tcW w:w="1183" w:type="dxa"/>
            <w:tcBorders>
              <w:top w:val="single" w:sz="8" w:space="0" w:color="auto"/>
              <w:bottom w:val="single" w:sz="8" w:space="0" w:color="auto"/>
              <w:right w:val="single" w:sz="8" w:space="0" w:color="auto"/>
            </w:tcBorders>
            <w:vAlign w:val="center"/>
          </w:tcPr>
          <w:p w14:paraId="7FE1C82F" w14:textId="77777777" w:rsidR="00534D9A" w:rsidRDefault="003243B2">
            <w:pPr>
              <w:pStyle w:val="P68B1DB1-Normal31"/>
            </w:pPr>
            <w:r>
              <w:t>0150–0200</w:t>
            </w:r>
          </w:p>
        </w:tc>
        <w:tc>
          <w:tcPr>
            <w:tcW w:w="7832" w:type="dxa"/>
            <w:tcBorders>
              <w:top w:val="single" w:sz="8" w:space="0" w:color="auto"/>
              <w:left w:val="single" w:sz="8" w:space="0" w:color="auto"/>
              <w:bottom w:val="single" w:sz="8" w:space="0" w:color="auto"/>
            </w:tcBorders>
            <w:vAlign w:val="bottom"/>
          </w:tcPr>
          <w:p w14:paraId="7FE1C830" w14:textId="77777777" w:rsidR="00534D9A" w:rsidRDefault="003243B2">
            <w:pPr>
              <w:pStyle w:val="P68B1DB1-TableParagraph73"/>
              <w:spacing w:before="108"/>
              <w:ind w:left="85"/>
              <w:jc w:val="both"/>
            </w:pPr>
            <w:r>
              <w:t>Muniti rilevanti għall-entità relatriċi</w:t>
            </w:r>
          </w:p>
          <w:p w14:paraId="7FE1C831" w14:textId="77777777" w:rsidR="00534D9A" w:rsidRDefault="003243B2">
            <w:pPr>
              <w:pStyle w:val="P68B1DB1-TableParagraph40"/>
              <w:spacing w:before="108"/>
              <w:ind w:left="85"/>
              <w:jc w:val="both"/>
            </w:pPr>
            <w:r>
              <w:t>Muniti li fihom it-tranżazzjonijiet tal-entità relatriċi huma aċċettati u saldati fis-sistema. Għandhom jiġu rrapportati biss muniti li jammontaw għal mill-inqas 5 % tal-operazzjonijiet totali tal-istituzzjoni tar-rapportar mal-FMI/intermedjarju.</w:t>
            </w:r>
          </w:p>
          <w:p w14:paraId="7FE1C832" w14:textId="77777777" w:rsidR="00534D9A" w:rsidRDefault="003243B2">
            <w:pPr>
              <w:pStyle w:val="P68B1DB1-TableParagraph40"/>
              <w:spacing w:before="108"/>
              <w:ind w:left="85"/>
              <w:jc w:val="both"/>
              <w:rPr>
                <w:b/>
              </w:rPr>
            </w:pPr>
            <w:r>
              <w:t>150–200 ma jeskludux lil xulxin. Għal “muniti oħrajn” (il-kolonna 0170): Il-kodiċi ISO 4217–3 ittri tal-munita/i.</w:t>
            </w:r>
          </w:p>
        </w:tc>
      </w:tr>
      <w:tr w:rsidR="00534D9A" w14:paraId="7FE1C837" w14:textId="77777777">
        <w:tc>
          <w:tcPr>
            <w:tcW w:w="1183" w:type="dxa"/>
            <w:tcBorders>
              <w:top w:val="single" w:sz="8" w:space="0" w:color="auto"/>
              <w:bottom w:val="single" w:sz="8" w:space="0" w:color="auto"/>
              <w:right w:val="single" w:sz="8" w:space="0" w:color="auto"/>
            </w:tcBorders>
            <w:vAlign w:val="center"/>
          </w:tcPr>
          <w:p w14:paraId="7FE1C834" w14:textId="77777777" w:rsidR="00534D9A" w:rsidRDefault="003243B2">
            <w:pPr>
              <w:pStyle w:val="P68B1DB1-Normal31"/>
            </w:pPr>
            <w:r>
              <w:t>0210</w:t>
            </w:r>
          </w:p>
        </w:tc>
        <w:tc>
          <w:tcPr>
            <w:tcW w:w="7832" w:type="dxa"/>
            <w:tcBorders>
              <w:top w:val="single" w:sz="8" w:space="0" w:color="auto"/>
              <w:left w:val="single" w:sz="8" w:space="0" w:color="auto"/>
              <w:bottom w:val="single" w:sz="8" w:space="0" w:color="auto"/>
            </w:tcBorders>
            <w:vAlign w:val="bottom"/>
          </w:tcPr>
          <w:p w14:paraId="7FE1C835" w14:textId="77777777" w:rsidR="00534D9A" w:rsidRDefault="003243B2">
            <w:pPr>
              <w:pStyle w:val="P68B1DB1-TableParagraph73"/>
              <w:spacing w:before="108"/>
              <w:ind w:left="85"/>
              <w:jc w:val="both"/>
            </w:pPr>
            <w:r>
              <w:t>Servizzi pprovduti lill-FMI/intermedjarju</w:t>
            </w:r>
          </w:p>
          <w:p w14:paraId="7FE1C836" w14:textId="3FA389EC" w:rsidR="00534D9A" w:rsidRDefault="003243B2">
            <w:pPr>
              <w:pStyle w:val="P68B1DB1-TableParagraph40"/>
              <w:spacing w:before="108"/>
              <w:ind w:left="85"/>
              <w:jc w:val="both"/>
            </w:pPr>
            <w:r>
              <w:t xml:space="preserve">Irrapporta biss meta l-utent jipprovdi servizzi lill-FMI/intermedjarju bħal fornitur tal-prezz, fornitur tal-likwidità, saldu fi flus (speċifika l-munita), kustodja, aċċess indirett għal CSDs (barranin), kontroparti tal-investiment, oħrajn. </w:t>
            </w:r>
          </w:p>
        </w:tc>
      </w:tr>
      <w:tr w:rsidR="00534D9A" w14:paraId="7FE1C83B" w14:textId="77777777">
        <w:tc>
          <w:tcPr>
            <w:tcW w:w="1183" w:type="dxa"/>
            <w:tcBorders>
              <w:top w:val="single" w:sz="8" w:space="0" w:color="auto"/>
              <w:bottom w:val="single" w:sz="8" w:space="0" w:color="auto"/>
              <w:right w:val="single" w:sz="8" w:space="0" w:color="auto"/>
            </w:tcBorders>
            <w:vAlign w:val="center"/>
          </w:tcPr>
          <w:p w14:paraId="7FE1C838" w14:textId="77777777" w:rsidR="00534D9A" w:rsidRDefault="003243B2">
            <w:pPr>
              <w:pStyle w:val="P68B1DB1-Normal31"/>
            </w:pPr>
            <w:r>
              <w:lastRenderedPageBreak/>
              <w:t>0220</w:t>
            </w:r>
          </w:p>
        </w:tc>
        <w:tc>
          <w:tcPr>
            <w:tcW w:w="7832" w:type="dxa"/>
            <w:tcBorders>
              <w:top w:val="single" w:sz="8" w:space="0" w:color="auto"/>
              <w:left w:val="single" w:sz="8" w:space="0" w:color="auto"/>
              <w:bottom w:val="single" w:sz="8" w:space="0" w:color="auto"/>
            </w:tcBorders>
            <w:vAlign w:val="bottom"/>
          </w:tcPr>
          <w:p w14:paraId="7FE1C839" w14:textId="77777777" w:rsidR="00534D9A" w:rsidRDefault="003243B2">
            <w:pPr>
              <w:pStyle w:val="P68B1DB1-TableParagraph73"/>
              <w:spacing w:before="108"/>
              <w:ind w:left="85"/>
              <w:jc w:val="both"/>
            </w:pPr>
            <w:r>
              <w:t>Servizz ipprovdut mill-FMI/intermedjarju</w:t>
            </w:r>
          </w:p>
          <w:p w14:paraId="7FE1C83A" w14:textId="77777777" w:rsidR="00534D9A" w:rsidRDefault="003243B2">
            <w:pPr>
              <w:pStyle w:val="P68B1DB1-TableParagraph40"/>
              <w:spacing w:before="108"/>
              <w:ind w:left="85"/>
              <w:jc w:val="both"/>
            </w:pPr>
            <w:r>
              <w:t>Servizzi li l-FMI/l-intermedjarju jipprovdi lill-entità relatriċi. Irrapporta jekk l-0040 hija “NA”.</w:t>
            </w:r>
          </w:p>
        </w:tc>
      </w:tr>
      <w:tr w:rsidR="00534D9A" w14:paraId="7FE1C83E" w14:textId="77777777">
        <w:tc>
          <w:tcPr>
            <w:tcW w:w="1183" w:type="dxa"/>
            <w:tcBorders>
              <w:top w:val="single" w:sz="8" w:space="0" w:color="auto"/>
              <w:bottom w:val="single" w:sz="8" w:space="0" w:color="auto"/>
              <w:right w:val="single" w:sz="8" w:space="0" w:color="auto"/>
            </w:tcBorders>
            <w:vAlign w:val="center"/>
          </w:tcPr>
          <w:p w14:paraId="7FE1C83C" w14:textId="77777777" w:rsidR="00534D9A" w:rsidRDefault="003243B2">
            <w:pPr>
              <w:pStyle w:val="P68B1DB1-Normal74"/>
            </w:pPr>
            <w:r>
              <w:t>0230–0250</w:t>
            </w:r>
          </w:p>
        </w:tc>
        <w:tc>
          <w:tcPr>
            <w:tcW w:w="7832" w:type="dxa"/>
            <w:tcBorders>
              <w:top w:val="single" w:sz="8" w:space="0" w:color="auto"/>
              <w:left w:val="single" w:sz="8" w:space="0" w:color="auto"/>
              <w:bottom w:val="single" w:sz="8" w:space="0" w:color="auto"/>
            </w:tcBorders>
            <w:vAlign w:val="bottom"/>
          </w:tcPr>
          <w:p w14:paraId="7FE1C83D" w14:textId="77777777" w:rsidR="00534D9A" w:rsidRDefault="003243B2">
            <w:pPr>
              <w:pStyle w:val="P68B1DB1-TableParagraph75"/>
              <w:spacing w:before="108"/>
              <w:ind w:left="85"/>
              <w:jc w:val="both"/>
            </w:pPr>
            <w:r>
              <w:t>Fornituri ta’ servizzi</w:t>
            </w:r>
          </w:p>
        </w:tc>
      </w:tr>
      <w:tr w:rsidR="00534D9A" w14:paraId="7FE1C843" w14:textId="77777777">
        <w:tc>
          <w:tcPr>
            <w:tcW w:w="1183" w:type="dxa"/>
            <w:tcBorders>
              <w:top w:val="single" w:sz="8" w:space="0" w:color="auto"/>
              <w:bottom w:val="single" w:sz="8" w:space="0" w:color="auto"/>
              <w:right w:val="single" w:sz="8" w:space="0" w:color="auto"/>
            </w:tcBorders>
            <w:vAlign w:val="center"/>
          </w:tcPr>
          <w:p w14:paraId="7FE1C83F" w14:textId="77777777" w:rsidR="00534D9A" w:rsidRDefault="003243B2">
            <w:pPr>
              <w:pStyle w:val="P68B1DB1-Normal31"/>
            </w:pPr>
            <w:r>
              <w:t>0230–0250</w:t>
            </w:r>
          </w:p>
        </w:tc>
        <w:tc>
          <w:tcPr>
            <w:tcW w:w="7832" w:type="dxa"/>
            <w:tcBorders>
              <w:top w:val="single" w:sz="8" w:space="0" w:color="auto"/>
              <w:left w:val="single" w:sz="8" w:space="0" w:color="auto"/>
              <w:bottom w:val="single" w:sz="8" w:space="0" w:color="auto"/>
            </w:tcBorders>
            <w:vAlign w:val="bottom"/>
          </w:tcPr>
          <w:p w14:paraId="7FE1C840" w14:textId="77777777" w:rsidR="00534D9A" w:rsidRDefault="003243B2">
            <w:pPr>
              <w:pStyle w:val="P68B1DB1-TableParagraph73"/>
              <w:spacing w:before="108"/>
              <w:ind w:left="85"/>
              <w:jc w:val="both"/>
            </w:pPr>
            <w:r>
              <w:t>Fornituri ta’ servizzi ta’ komunikazzjoni</w:t>
            </w:r>
          </w:p>
          <w:p w14:paraId="7FE1C841" w14:textId="7B818514" w:rsidR="00534D9A" w:rsidRDefault="003243B2">
            <w:pPr>
              <w:pStyle w:val="P68B1DB1-TableParagraph40"/>
              <w:spacing w:before="108"/>
              <w:ind w:left="85"/>
              <w:jc w:val="both"/>
            </w:pPr>
            <w:r>
              <w:t xml:space="preserve">Fornituri ta’ servizzi ta’ komunikazzjoni użati mill-istituzzjoni biex taċċessa l-FMI. Il-kolonni 230–250 ma jeskludux lil xulxin. </w:t>
            </w:r>
          </w:p>
          <w:p w14:paraId="32DB4B00" w14:textId="3747D290" w:rsidR="00534D9A" w:rsidRDefault="003243B2">
            <w:pPr>
              <w:pStyle w:val="P68B1DB1-TableParagraph40"/>
              <w:spacing w:before="108"/>
              <w:ind w:left="85"/>
              <w:jc w:val="both"/>
            </w:pPr>
            <w:r>
              <w:t>Għall- “proprjetà tal-FMI” -c0230 u “SWIFT” — c0240, irrapporta:</w:t>
            </w:r>
          </w:p>
          <w:p w14:paraId="1D0FFCBE" w14:textId="373924D7" w:rsidR="00534D9A" w:rsidRDefault="003243B2">
            <w:pPr>
              <w:pStyle w:val="P68B1DB1-TableParagraph40"/>
              <w:numPr>
                <w:ilvl w:val="0"/>
                <w:numId w:val="181"/>
              </w:numPr>
              <w:spacing w:before="108"/>
              <w:jc w:val="both"/>
            </w:pPr>
            <w:r>
              <w:t>Iva</w:t>
            </w:r>
          </w:p>
          <w:p w14:paraId="26472FE9" w14:textId="3ED80557" w:rsidR="00534D9A" w:rsidRDefault="003243B2">
            <w:pPr>
              <w:pStyle w:val="P68B1DB1-TableParagraph40"/>
              <w:numPr>
                <w:ilvl w:val="0"/>
                <w:numId w:val="181"/>
              </w:numPr>
              <w:spacing w:before="108"/>
              <w:jc w:val="both"/>
            </w:pPr>
            <w:r>
              <w:t>Nru</w:t>
            </w:r>
          </w:p>
          <w:p w14:paraId="7FE1C842" w14:textId="0C70DB31" w:rsidR="00534D9A" w:rsidRDefault="003243B2">
            <w:pPr>
              <w:pStyle w:val="P68B1DB1-TableParagraph40"/>
              <w:spacing w:before="108"/>
              <w:ind w:left="85"/>
              <w:jc w:val="both"/>
            </w:pPr>
            <w:r>
              <w:t>Għal “Fornituri oħra ta’ servizzi ta’ komunikazzjoni” — c0250: irrapporta l-isem kummerċjali tal-fornitur.</w:t>
            </w:r>
          </w:p>
        </w:tc>
      </w:tr>
      <w:tr w:rsidR="00534D9A" w14:paraId="7FE1C846" w14:textId="77777777">
        <w:tc>
          <w:tcPr>
            <w:tcW w:w="1183" w:type="dxa"/>
            <w:tcBorders>
              <w:top w:val="single" w:sz="8" w:space="0" w:color="auto"/>
              <w:bottom w:val="single" w:sz="8" w:space="0" w:color="auto"/>
              <w:right w:val="single" w:sz="8" w:space="0" w:color="auto"/>
            </w:tcBorders>
            <w:vAlign w:val="center"/>
          </w:tcPr>
          <w:p w14:paraId="7FE1C844" w14:textId="77777777" w:rsidR="00534D9A" w:rsidRDefault="003243B2">
            <w:pPr>
              <w:pStyle w:val="P68B1DB1-Normal74"/>
            </w:pPr>
            <w:r>
              <w:t>0260–0270</w:t>
            </w:r>
          </w:p>
        </w:tc>
        <w:tc>
          <w:tcPr>
            <w:tcW w:w="7832" w:type="dxa"/>
            <w:tcBorders>
              <w:top w:val="single" w:sz="8" w:space="0" w:color="auto"/>
              <w:left w:val="single" w:sz="8" w:space="0" w:color="auto"/>
              <w:bottom w:val="single" w:sz="8" w:space="0" w:color="auto"/>
            </w:tcBorders>
            <w:vAlign w:val="bottom"/>
          </w:tcPr>
          <w:p w14:paraId="7FE1C845" w14:textId="77777777" w:rsidR="00534D9A" w:rsidRDefault="003243B2">
            <w:pPr>
              <w:pStyle w:val="P68B1DB1-TableParagraph75"/>
              <w:spacing w:before="108"/>
              <w:ind w:left="85"/>
              <w:jc w:val="both"/>
            </w:pPr>
            <w:r>
              <w:t>Fornituri oħra ta’ Servizzi li jippermettu l-aċċess għall-FMI</w:t>
            </w:r>
          </w:p>
        </w:tc>
      </w:tr>
      <w:tr w:rsidR="00534D9A" w14:paraId="7FE1C84A" w14:textId="77777777">
        <w:tc>
          <w:tcPr>
            <w:tcW w:w="1183" w:type="dxa"/>
            <w:tcBorders>
              <w:top w:val="single" w:sz="8" w:space="0" w:color="auto"/>
              <w:bottom w:val="single" w:sz="8" w:space="0" w:color="auto"/>
              <w:right w:val="single" w:sz="8" w:space="0" w:color="auto"/>
            </w:tcBorders>
            <w:vAlign w:val="center"/>
          </w:tcPr>
          <w:p w14:paraId="7FE1C847" w14:textId="77777777" w:rsidR="00534D9A" w:rsidRDefault="003243B2">
            <w:pPr>
              <w:pStyle w:val="P68B1DB1-Normal31"/>
            </w:pPr>
            <w:r>
              <w:t>0260</w:t>
            </w:r>
          </w:p>
        </w:tc>
        <w:tc>
          <w:tcPr>
            <w:tcW w:w="7832" w:type="dxa"/>
            <w:tcBorders>
              <w:top w:val="single" w:sz="8" w:space="0" w:color="auto"/>
              <w:left w:val="single" w:sz="8" w:space="0" w:color="auto"/>
              <w:bottom w:val="single" w:sz="8" w:space="0" w:color="auto"/>
            </w:tcBorders>
            <w:vAlign w:val="bottom"/>
          </w:tcPr>
          <w:p w14:paraId="7FE1C848" w14:textId="77777777" w:rsidR="00534D9A" w:rsidRDefault="003243B2">
            <w:pPr>
              <w:pStyle w:val="P68B1DB1-TableParagraph73"/>
              <w:spacing w:before="108"/>
              <w:ind w:left="85"/>
            </w:pPr>
            <w:r>
              <w:t xml:space="preserve">Isem il-fornituri ta’ servizzi addizzjonali </w:t>
            </w:r>
          </w:p>
          <w:p w14:paraId="7FE1C849" w14:textId="77777777" w:rsidR="00534D9A" w:rsidRDefault="003243B2">
            <w:pPr>
              <w:pStyle w:val="P68B1DB1-TableParagraph40"/>
              <w:spacing w:before="108"/>
              <w:ind w:left="85"/>
              <w:jc w:val="both"/>
              <w:rPr>
                <w:b/>
              </w:rPr>
            </w:pPr>
            <w:r>
              <w:t xml:space="preserve">Fornituri għajr l-intermedjarju li huma strettament meħtieġa għall-utent, jekk applikabbli: bank tas-saldu, korrispondent tal-flus kontanti/aġent nostro, fornitur tal-likwidità.  </w:t>
            </w:r>
            <w:r>
              <w:br/>
              <w:t>L-isem kummerċjali tal-fornituri.</w:t>
            </w:r>
          </w:p>
        </w:tc>
      </w:tr>
      <w:tr w:rsidR="00534D9A" w14:paraId="7FE1C84E" w14:textId="77777777">
        <w:tc>
          <w:tcPr>
            <w:tcW w:w="1183" w:type="dxa"/>
            <w:tcBorders>
              <w:top w:val="single" w:sz="8" w:space="0" w:color="auto"/>
              <w:bottom w:val="single" w:sz="8" w:space="0" w:color="auto"/>
              <w:right w:val="single" w:sz="8" w:space="0" w:color="auto"/>
            </w:tcBorders>
            <w:vAlign w:val="center"/>
          </w:tcPr>
          <w:p w14:paraId="7FE1C84B" w14:textId="77777777" w:rsidR="00534D9A" w:rsidRDefault="003243B2">
            <w:pPr>
              <w:pStyle w:val="P68B1DB1-Normal31"/>
            </w:pPr>
            <w:r>
              <w:t>0270</w:t>
            </w:r>
          </w:p>
        </w:tc>
        <w:tc>
          <w:tcPr>
            <w:tcW w:w="7832" w:type="dxa"/>
            <w:tcBorders>
              <w:top w:val="single" w:sz="8" w:space="0" w:color="auto"/>
              <w:left w:val="single" w:sz="8" w:space="0" w:color="auto"/>
              <w:bottom w:val="single" w:sz="8" w:space="0" w:color="auto"/>
            </w:tcBorders>
            <w:vAlign w:val="bottom"/>
          </w:tcPr>
          <w:p w14:paraId="7FE1C84C" w14:textId="77777777" w:rsidR="00534D9A" w:rsidRDefault="003243B2">
            <w:pPr>
              <w:pStyle w:val="P68B1DB1-TableParagraph73"/>
              <w:spacing w:before="108"/>
              <w:ind w:left="85"/>
              <w:jc w:val="both"/>
            </w:pPr>
            <w:r>
              <w:t xml:space="preserve">Servizzi addizzjonali </w:t>
            </w:r>
          </w:p>
          <w:p w14:paraId="7FE1C84D" w14:textId="77777777" w:rsidR="00534D9A" w:rsidRDefault="003243B2">
            <w:pPr>
              <w:pStyle w:val="P68B1DB1-TableParagraph40"/>
              <w:spacing w:before="108"/>
              <w:ind w:left="85"/>
              <w:jc w:val="both"/>
              <w:rPr>
                <w:b/>
              </w:rPr>
            </w:pPr>
            <w:r>
              <w:t xml:space="preserve">Servizzi mill-fornituri rrapportati fl-0260. </w:t>
            </w:r>
          </w:p>
        </w:tc>
      </w:tr>
      <w:tr w:rsidR="00534D9A" w14:paraId="7FE1C855" w14:textId="77777777">
        <w:tc>
          <w:tcPr>
            <w:tcW w:w="1183" w:type="dxa"/>
            <w:tcBorders>
              <w:top w:val="single" w:sz="8" w:space="0" w:color="auto"/>
              <w:bottom w:val="single" w:sz="8" w:space="0" w:color="auto"/>
              <w:right w:val="single" w:sz="8" w:space="0" w:color="auto"/>
            </w:tcBorders>
            <w:vAlign w:val="center"/>
          </w:tcPr>
          <w:p w14:paraId="7FE1C84F" w14:textId="77777777" w:rsidR="00534D9A" w:rsidRDefault="003243B2">
            <w:pPr>
              <w:pStyle w:val="P68B1DB1-Normal31"/>
            </w:pPr>
            <w:r>
              <w:t>0280</w:t>
            </w:r>
          </w:p>
        </w:tc>
        <w:tc>
          <w:tcPr>
            <w:tcW w:w="7832" w:type="dxa"/>
            <w:tcBorders>
              <w:top w:val="single" w:sz="8" w:space="0" w:color="auto"/>
              <w:left w:val="single" w:sz="8" w:space="0" w:color="auto"/>
              <w:bottom w:val="single" w:sz="8" w:space="0" w:color="auto"/>
            </w:tcBorders>
            <w:vAlign w:val="bottom"/>
          </w:tcPr>
          <w:p w14:paraId="7FE1C850" w14:textId="77777777" w:rsidR="00534D9A" w:rsidRDefault="003243B2">
            <w:pPr>
              <w:pStyle w:val="P68B1DB1-TableParagraph73"/>
              <w:spacing w:before="108"/>
              <w:ind w:left="85"/>
              <w:jc w:val="both"/>
            </w:pPr>
            <w:r>
              <w:t>Punt ta’ kuntatt fl-FMI/intermedjarju</w:t>
            </w:r>
          </w:p>
          <w:p w14:paraId="7FE1C851" w14:textId="77777777" w:rsidR="00534D9A" w:rsidRDefault="003243B2">
            <w:pPr>
              <w:pStyle w:val="P68B1DB1-TableParagraph40"/>
              <w:spacing w:before="108"/>
              <w:ind w:left="85"/>
              <w:jc w:val="both"/>
            </w:pPr>
            <w:r>
              <w:t>Punt ta’ kuntatt fl-FMI f’każ ta’ riżoluzzjoni tal-entità relatriċi. Rapport:</w:t>
            </w:r>
          </w:p>
          <w:p w14:paraId="7FE1C852" w14:textId="77777777" w:rsidR="00534D9A" w:rsidRDefault="003243B2">
            <w:pPr>
              <w:pStyle w:val="P68B1DB1-TableParagraph40"/>
              <w:numPr>
                <w:ilvl w:val="0"/>
                <w:numId w:val="181"/>
              </w:numPr>
              <w:ind w:left="799" w:hanging="357"/>
              <w:jc w:val="both"/>
            </w:pPr>
            <w:r>
              <w:t>Isem</w:t>
            </w:r>
          </w:p>
          <w:p w14:paraId="7FE1C853" w14:textId="77777777" w:rsidR="00534D9A" w:rsidRDefault="003243B2">
            <w:pPr>
              <w:pStyle w:val="P68B1DB1-TableParagraph40"/>
              <w:numPr>
                <w:ilvl w:val="0"/>
                <w:numId w:val="181"/>
              </w:numPr>
              <w:ind w:left="799" w:hanging="357"/>
              <w:jc w:val="both"/>
            </w:pPr>
            <w:r>
              <w:t>Titolu tal-impjieg</w:t>
            </w:r>
          </w:p>
          <w:p w14:paraId="7FE1C854" w14:textId="5FE95CD9" w:rsidR="00534D9A" w:rsidRDefault="003243B2">
            <w:pPr>
              <w:pStyle w:val="P68B1DB1-TableParagraph40"/>
              <w:numPr>
                <w:ilvl w:val="0"/>
                <w:numId w:val="181"/>
              </w:numPr>
              <w:ind w:left="799" w:hanging="357"/>
              <w:jc w:val="both"/>
            </w:pPr>
            <w:r>
              <w:t>Indirizz tal-posta elettronika</w:t>
            </w:r>
          </w:p>
        </w:tc>
      </w:tr>
    </w:tbl>
    <w:p w14:paraId="7FE1C856" w14:textId="77777777" w:rsidR="00534D9A" w:rsidRDefault="003243B2">
      <w:pPr>
        <w:pStyle w:val="P68B1DB1-Normal78"/>
      </w:pPr>
      <w:r>
        <w:br/>
      </w:r>
      <w:r>
        <w:br/>
      </w:r>
    </w:p>
    <w:p w14:paraId="7FE1C857" w14:textId="77777777" w:rsidR="00534D9A" w:rsidRDefault="003243B2">
      <w:pPr>
        <w:spacing w:line="257" w:lineRule="auto"/>
        <w:jc w:val="both"/>
        <w:rPr>
          <w:rFonts w:ascii="Times New Roman" w:eastAsia="Verdana" w:hAnsi="Times New Roman" w:cs="Times New Roman"/>
          <w:sz w:val="20"/>
          <w:szCs w:val="20"/>
        </w:rPr>
      </w:pPr>
      <w:hyperlink r:id="rId12" w:anchor="_ftnref1" w:history="1">
        <w:r>
          <w:rPr>
            <w:rStyle w:val="Hyperlink"/>
            <w:rFonts w:ascii="Times New Roman" w:eastAsia="Verdana" w:hAnsi="Times New Roman" w:cs="Times New Roman"/>
            <w:sz w:val="20"/>
            <w:szCs w:val="20"/>
            <w:vertAlign w:val="superscript"/>
          </w:rPr>
          <w:t>[1]</w:t>
        </w:r>
      </w:hyperlink>
      <w:r>
        <w:rPr>
          <w:rFonts w:ascii="Times New Roman" w:eastAsia="Verdana" w:hAnsi="Times New Roman" w:cs="Times New Roman"/>
          <w:sz w:val="20"/>
          <w:szCs w:val="20"/>
        </w:rPr>
        <w:t xml:space="preserve"> Bħall-Identifikatur Uniku tal-Istituzzjonijiet Finanzjarji Monetarji tal-BĊE (MFI ID) tal-entità għall-użu fir-RIAD.</w:t>
      </w:r>
    </w:p>
    <w:p w14:paraId="7FE1C858" w14:textId="77777777" w:rsidR="00534D9A" w:rsidRDefault="003243B2">
      <w:pPr>
        <w:spacing w:line="257" w:lineRule="auto"/>
        <w:jc w:val="both"/>
        <w:rPr>
          <w:rFonts w:ascii="Times New Roman" w:eastAsia="Verdana" w:hAnsi="Times New Roman" w:cs="Times New Roman"/>
          <w:sz w:val="20"/>
          <w:szCs w:val="20"/>
        </w:rPr>
      </w:pPr>
      <w:hyperlink r:id="rId13" w:anchor="_ftnref2" w:history="1">
        <w:r>
          <w:rPr>
            <w:rStyle w:val="Hyperlink"/>
            <w:rFonts w:ascii="Times New Roman" w:eastAsia="Verdana" w:hAnsi="Times New Roman" w:cs="Times New Roman"/>
            <w:sz w:val="20"/>
            <w:szCs w:val="20"/>
            <w:vertAlign w:val="superscript"/>
          </w:rPr>
          <w:t>—[2]</w:t>
        </w:r>
      </w:hyperlink>
      <w:r>
        <w:rPr>
          <w:rFonts w:ascii="Times New Roman" w:eastAsia="Verdana" w:hAnsi="Times New Roman" w:cs="Times New Roman"/>
          <w:sz w:val="20"/>
          <w:szCs w:val="20"/>
        </w:rPr>
        <w:t xml:space="preserve"> Glossarju tal-BĊE ta’ termini relatati mas-sistemi ta’ pagament, ikklerjar u saldu, Diċembru 2009.</w:t>
      </w:r>
    </w:p>
    <w:p w14:paraId="7FE1C859" w14:textId="77777777" w:rsidR="00534D9A" w:rsidRDefault="003243B2">
      <w:pPr>
        <w:spacing w:line="257" w:lineRule="auto"/>
        <w:jc w:val="both"/>
        <w:rPr>
          <w:rFonts w:ascii="Times New Roman" w:eastAsia="Verdana" w:hAnsi="Times New Roman" w:cs="Times New Roman"/>
          <w:sz w:val="20"/>
          <w:szCs w:val="20"/>
        </w:rPr>
      </w:pPr>
      <w:hyperlink r:id="rId14" w:anchor="_ftnref3" w:history="1">
        <w:r>
          <w:rPr>
            <w:rStyle w:val="Hyperlink"/>
            <w:rFonts w:ascii="Times New Roman" w:eastAsia="Verdana" w:hAnsi="Times New Roman" w:cs="Times New Roman"/>
            <w:sz w:val="20"/>
            <w:szCs w:val="20"/>
            <w:vertAlign w:val="superscript"/>
          </w:rPr>
          <w:t>[3]</w:t>
        </w:r>
      </w:hyperlink>
      <w:r>
        <w:rPr>
          <w:rFonts w:ascii="Times New Roman" w:eastAsia="Verdana" w:hAnsi="Times New Roman" w:cs="Times New Roman"/>
          <w:sz w:val="20"/>
          <w:szCs w:val="20"/>
        </w:rPr>
        <w:t xml:space="preserve"> Ibid.</w:t>
      </w:r>
    </w:p>
    <w:p w14:paraId="7FE1C85A" w14:textId="77777777" w:rsidR="00534D9A" w:rsidRDefault="003243B2">
      <w:pPr>
        <w:spacing w:line="257" w:lineRule="auto"/>
        <w:jc w:val="both"/>
        <w:rPr>
          <w:rFonts w:ascii="Times New Roman" w:hAnsi="Times New Roman" w:cs="Times New Roman"/>
        </w:rPr>
      </w:pPr>
      <w:hyperlink r:id="rId15" w:anchor="_ftnref4" w:history="1">
        <w:r>
          <w:rPr>
            <w:rStyle w:val="Hyperlink"/>
            <w:rFonts w:ascii="Times New Roman" w:eastAsia="Verdana" w:hAnsi="Times New Roman" w:cs="Times New Roman"/>
            <w:sz w:val="20"/>
            <w:szCs w:val="20"/>
            <w:vertAlign w:val="superscript"/>
          </w:rPr>
          <w:t>[4]</w:t>
        </w:r>
      </w:hyperlink>
      <w:r>
        <w:rPr>
          <w:rFonts w:ascii="Times New Roman" w:eastAsia="Verdana" w:hAnsi="Times New Roman" w:cs="Times New Roman"/>
          <w:sz w:val="20"/>
          <w:szCs w:val="20"/>
        </w:rPr>
        <w:t xml:space="preserve"> Bħall-Identifikatur Uniku tal-Istituzzjonijiet Finanzjarji Monetarji tal-BĊE (MFI ID) tal-entità għall-użu fir-RIAD.</w:t>
      </w:r>
    </w:p>
    <w:p w14:paraId="7FE1C8BF" w14:textId="77777777" w:rsidR="00534D9A" w:rsidRDefault="00534D9A">
      <w:pPr>
        <w:rPr>
          <w:rFonts w:ascii="Times New Roman" w:hAnsi="Times New Roman" w:cs="Times New Roman"/>
        </w:rPr>
      </w:pPr>
    </w:p>
    <w:p w14:paraId="7FE1C8C0" w14:textId="77777777" w:rsidR="00534D9A" w:rsidRDefault="00534D9A">
      <w:pPr>
        <w:rPr>
          <w:rFonts w:ascii="Times New Roman" w:hAnsi="Times New Roman"/>
          <w:sz w:val="20"/>
          <w:szCs w:val="20"/>
          <w:u w:val="single"/>
        </w:rPr>
      </w:pPr>
    </w:p>
    <w:p w14:paraId="7FE1C8C1" w14:textId="77777777" w:rsidR="00534D9A" w:rsidRDefault="003243B2">
      <w:pPr>
        <w:pStyle w:val="P68B1DB1-Instructionsberschrift25"/>
        <w:numPr>
          <w:ilvl w:val="1"/>
          <w:numId w:val="49"/>
        </w:numPr>
        <w:ind w:left="357" w:hanging="357"/>
        <w:rPr>
          <w:rFonts w:eastAsia="Calibri"/>
          <w:szCs w:val="20"/>
        </w:rPr>
      </w:pPr>
      <w:bookmarkStart w:id="137" w:name="_Toc208245021"/>
      <w:r>
        <w:t>Z 09.02 — Immappjar ma’ FMIs Kritiċi u Essenzjali (FMI 2)</w:t>
      </w:r>
      <w:bookmarkEnd w:id="137"/>
    </w:p>
    <w:p w14:paraId="7FE1C8C3" w14:textId="77777777" w:rsidR="00534D9A" w:rsidRDefault="003243B2">
      <w:pPr>
        <w:pStyle w:val="P68B1DB1-InstructionsText279"/>
        <w:numPr>
          <w:ilvl w:val="2"/>
          <w:numId w:val="209"/>
        </w:numPr>
        <w:spacing w:before="0"/>
        <w:ind w:left="1276"/>
      </w:pPr>
      <w:r>
        <w:t>Il-fornituri kritiċi u essenzjali tas-servizzi tal-FMI huma s-servizzi tal-FMI aċċessati direttament jew indirettament, li l-waqfien tagħhom jista’ jippreżenta impediment serju għal, jew jipprevjeni t-twettiq ta’ funzjoni kritika waħda jew aktar jew linji tan-negozju ewlenin tal-Utent.</w:t>
      </w:r>
    </w:p>
    <w:p w14:paraId="7FE1C8C4" w14:textId="77777777" w:rsidR="00534D9A" w:rsidRDefault="003243B2">
      <w:pPr>
        <w:pStyle w:val="P68B1DB1-ListParagraph80"/>
        <w:numPr>
          <w:ilvl w:val="2"/>
          <w:numId w:val="209"/>
        </w:numPr>
        <w:ind w:left="1276"/>
      </w:pPr>
      <w:r>
        <w:t>Irrapporta biss f’din l-iskeda dawk l-FMIs fit-tipi kollha ta’ sistemi li l-entità relatriċi tqis kritiċi jew essenzjali. Tinkludix FMI oħra li la hija kritika u lanqas essenzjali.</w:t>
      </w:r>
    </w:p>
    <w:p w14:paraId="7FE1C8C5" w14:textId="77777777" w:rsidR="00534D9A" w:rsidRDefault="00534D9A">
      <w:pPr>
        <w:pStyle w:val="ListParagraph"/>
        <w:ind w:left="1276"/>
        <w:rPr>
          <w:rFonts w:ascii="Times New Roman" w:eastAsiaTheme="majorEastAsia" w:hAnsi="Times New Roman"/>
          <w:sz w:val="20"/>
          <w:szCs w:val="20"/>
        </w:rPr>
      </w:pPr>
    </w:p>
    <w:p w14:paraId="7FE1C8C6" w14:textId="77777777" w:rsidR="00534D9A" w:rsidRDefault="003243B2">
      <w:pPr>
        <w:pStyle w:val="P68B1DB1-InstructionsText279"/>
        <w:numPr>
          <w:ilvl w:val="2"/>
          <w:numId w:val="209"/>
        </w:numPr>
        <w:spacing w:before="0"/>
        <w:ind w:left="1276"/>
      </w:pPr>
      <w:r>
        <w:t xml:space="preserve">Għall-finijiet tad-deżinjazzjoni ta’ FMIs kritiċi u essenzjali, għandha titqies il-possibbiltà ta’ terminazzjoni simultanja tal-parteċipazzjoni.  </w:t>
      </w:r>
    </w:p>
    <w:p w14:paraId="7FE1C8C7" w14:textId="77777777" w:rsidR="00534D9A" w:rsidRDefault="00534D9A">
      <w:pPr>
        <w:pStyle w:val="Instructionsberschrift2"/>
        <w:ind w:left="1434"/>
        <w:rPr>
          <w:rFonts w:ascii="Times New Roman" w:hAnsi="Times New Roman" w:cs="Times New Roman"/>
        </w:rPr>
      </w:pPr>
    </w:p>
    <w:tbl>
      <w:tblPr>
        <w:tblW w:w="9015" w:type="dxa"/>
        <w:tblInd w:w="135" w:type="dxa"/>
        <w:tblLayout w:type="fixed"/>
        <w:tblLook w:val="04A0" w:firstRow="1" w:lastRow="0" w:firstColumn="1" w:lastColumn="0" w:noHBand="0" w:noVBand="1"/>
      </w:tblPr>
      <w:tblGrid>
        <w:gridCol w:w="1183"/>
        <w:gridCol w:w="7832"/>
      </w:tblGrid>
      <w:tr w:rsidR="00534D9A" w14:paraId="7FE1C8CA"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C8" w14:textId="77777777" w:rsidR="00534D9A" w:rsidRDefault="003243B2">
            <w:pPr>
              <w:pStyle w:val="P68B1DB1-TableParagraph17"/>
              <w:spacing w:before="108"/>
              <w:ind w:left="85"/>
            </w:pPr>
            <w:r>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C9" w14:textId="77777777" w:rsidR="00534D9A" w:rsidRDefault="003243B2">
            <w:pPr>
              <w:pStyle w:val="P68B1DB1-TableParagraph17"/>
              <w:spacing w:before="108"/>
              <w:ind w:left="85"/>
            </w:pPr>
            <w:r>
              <w:t xml:space="preserve">Struzzjonijiet </w:t>
            </w:r>
          </w:p>
        </w:tc>
      </w:tr>
      <w:tr w:rsidR="00534D9A" w14:paraId="7FE1C8CE" w14:textId="77777777">
        <w:tc>
          <w:tcPr>
            <w:tcW w:w="1183" w:type="dxa"/>
            <w:tcBorders>
              <w:top w:val="single" w:sz="8" w:space="0" w:color="1A171C"/>
              <w:bottom w:val="single" w:sz="8" w:space="0" w:color="auto"/>
              <w:right w:val="single" w:sz="8" w:space="0" w:color="auto"/>
            </w:tcBorders>
            <w:vAlign w:val="center"/>
          </w:tcPr>
          <w:p w14:paraId="7FE1C8CB" w14:textId="77777777" w:rsidR="00534D9A" w:rsidRDefault="003243B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CC" w14:textId="77777777" w:rsidR="00534D9A" w:rsidRDefault="003243B2">
            <w:pPr>
              <w:pStyle w:val="P68B1DB1-TableParagraph73"/>
              <w:spacing w:before="108"/>
              <w:ind w:left="85"/>
              <w:jc w:val="both"/>
            </w:pPr>
            <w:r>
              <w:t>Id li tirrappreżenta kombinazzjoni ta’ utent, FMI, tip ta’ sistema u intermedjarju</w:t>
            </w:r>
          </w:p>
          <w:p w14:paraId="7FE1C8CD" w14:textId="389563D7" w:rsidR="00534D9A" w:rsidRDefault="003243B2">
            <w:pPr>
              <w:pStyle w:val="P68B1DB1-TableParagraph40"/>
              <w:spacing w:before="108"/>
              <w:ind w:left="85"/>
              <w:jc w:val="both"/>
              <w:rPr>
                <w:b/>
              </w:rPr>
            </w:pPr>
            <w:r>
              <w:t>Uża identifikatur wieħed għal kull ringiela, li jikkorrispondi għal kombinazzjoni unika ta’ utent, FMI, tip ta’ sistema u intermedjarju. L-istess ID, li tikkorrispondi għall-istess kombinazzjoni, trid tintuża fil-formoli Z 09.01 sa Z 09.05 fejn applikabbli.</w:t>
            </w:r>
          </w:p>
        </w:tc>
      </w:tr>
      <w:tr w:rsidR="00534D9A" w14:paraId="7FE1C8D1" w14:textId="77777777">
        <w:tc>
          <w:tcPr>
            <w:tcW w:w="1183" w:type="dxa"/>
            <w:tcBorders>
              <w:top w:val="single" w:sz="8" w:space="0" w:color="auto"/>
              <w:bottom w:val="single" w:sz="8" w:space="0" w:color="auto"/>
              <w:right w:val="single" w:sz="8" w:space="0" w:color="auto"/>
            </w:tcBorders>
            <w:vAlign w:val="center"/>
          </w:tcPr>
          <w:p w14:paraId="7FE1C8CF" w14:textId="77777777" w:rsidR="00534D9A" w:rsidRDefault="003243B2">
            <w:pPr>
              <w:pStyle w:val="P68B1DB1-Normal74"/>
            </w:pPr>
            <w:r>
              <w:t>0020–0040</w:t>
            </w:r>
          </w:p>
        </w:tc>
        <w:tc>
          <w:tcPr>
            <w:tcW w:w="7832" w:type="dxa"/>
            <w:tcBorders>
              <w:top w:val="single" w:sz="8" w:space="0" w:color="auto"/>
              <w:left w:val="single" w:sz="8" w:space="0" w:color="auto"/>
              <w:bottom w:val="single" w:sz="8" w:space="0" w:color="auto"/>
            </w:tcBorders>
            <w:vAlign w:val="bottom"/>
          </w:tcPr>
          <w:p w14:paraId="7FE1C8D0" w14:textId="77777777" w:rsidR="00534D9A" w:rsidRDefault="003243B2">
            <w:pPr>
              <w:pStyle w:val="P68B1DB1-TableParagraph75"/>
              <w:spacing w:before="108"/>
              <w:ind w:left="85"/>
              <w:jc w:val="both"/>
              <w:rPr>
                <w:bCs/>
                <w:iCs/>
              </w:rPr>
            </w:pPr>
            <w:r>
              <w:t>FMIs kritiċi</w:t>
            </w:r>
          </w:p>
        </w:tc>
      </w:tr>
      <w:tr w:rsidR="00534D9A" w14:paraId="7FE1C8D7" w14:textId="77777777">
        <w:tc>
          <w:tcPr>
            <w:tcW w:w="1183" w:type="dxa"/>
            <w:tcBorders>
              <w:top w:val="single" w:sz="8" w:space="0" w:color="auto"/>
              <w:bottom w:val="single" w:sz="8" w:space="0" w:color="auto"/>
              <w:right w:val="single" w:sz="8" w:space="0" w:color="auto"/>
            </w:tcBorders>
            <w:vAlign w:val="center"/>
          </w:tcPr>
          <w:p w14:paraId="7FE1C8D2" w14:textId="77777777" w:rsidR="00534D9A" w:rsidRDefault="003243B2">
            <w:pPr>
              <w:pStyle w:val="P68B1DB1-Normal31"/>
            </w:pPr>
            <w:r>
              <w:t>0020</w:t>
            </w:r>
          </w:p>
        </w:tc>
        <w:tc>
          <w:tcPr>
            <w:tcW w:w="7832" w:type="dxa"/>
            <w:tcBorders>
              <w:top w:val="single" w:sz="8" w:space="0" w:color="auto"/>
              <w:left w:val="single" w:sz="8" w:space="0" w:color="auto"/>
              <w:bottom w:val="single" w:sz="8" w:space="0" w:color="auto"/>
            </w:tcBorders>
            <w:vAlign w:val="bottom"/>
          </w:tcPr>
          <w:p w14:paraId="7FE1C8D3" w14:textId="77777777" w:rsidR="00534D9A" w:rsidRDefault="003243B2">
            <w:pPr>
              <w:pStyle w:val="P68B1DB1-TableParagraph73"/>
              <w:spacing w:before="108"/>
              <w:ind w:left="85"/>
              <w:jc w:val="both"/>
            </w:pPr>
            <w:r>
              <w:t>FMI Kritika: IVA/LE</w:t>
            </w:r>
          </w:p>
          <w:p w14:paraId="7FE1C8D4" w14:textId="4439D1A6" w:rsidR="00534D9A" w:rsidRDefault="003243B2">
            <w:pPr>
              <w:pStyle w:val="P68B1DB1-TableParagraph40"/>
              <w:numPr>
                <w:ilvl w:val="0"/>
                <w:numId w:val="248"/>
              </w:numPr>
              <w:spacing w:before="108"/>
              <w:jc w:val="both"/>
            </w:pPr>
            <w:r>
              <w:t>“Iva” jekk l-FMI huwa kritiku</w:t>
            </w:r>
          </w:p>
          <w:p w14:paraId="7FE1C8D5" w14:textId="792CB29B" w:rsidR="00534D9A" w:rsidRDefault="003243B2">
            <w:pPr>
              <w:pStyle w:val="P68B1DB1-TableParagraph40"/>
              <w:numPr>
                <w:ilvl w:val="0"/>
                <w:numId w:val="248"/>
              </w:numPr>
              <w:spacing w:before="108"/>
              <w:jc w:val="both"/>
              <w:rPr>
                <w:b/>
                <w:bCs/>
              </w:rPr>
            </w:pPr>
            <w:r>
              <w:t>“Le” jekk l-FMI ma jkunx kritiku</w:t>
            </w:r>
            <w:r>
              <w:rPr>
                <w:b/>
              </w:rPr>
              <w:t xml:space="preserve"> </w:t>
            </w:r>
          </w:p>
          <w:p w14:paraId="7FE1C8D6" w14:textId="77777777" w:rsidR="00534D9A" w:rsidRDefault="003243B2">
            <w:pPr>
              <w:pStyle w:val="P68B1DB1-TableParagraph40"/>
              <w:spacing w:before="108"/>
              <w:ind w:left="85"/>
              <w:jc w:val="both"/>
            </w:pPr>
            <w:r>
              <w:t>Il-kolonni 0020 u 0050 ma jeskludux lil xulxin.</w:t>
            </w:r>
          </w:p>
        </w:tc>
      </w:tr>
      <w:tr w:rsidR="00534D9A" w14:paraId="7FE1C8DB" w14:textId="77777777">
        <w:tc>
          <w:tcPr>
            <w:tcW w:w="1183" w:type="dxa"/>
            <w:tcBorders>
              <w:top w:val="single" w:sz="8" w:space="0" w:color="auto"/>
              <w:bottom w:val="single" w:sz="8" w:space="0" w:color="auto"/>
              <w:right w:val="single" w:sz="8" w:space="0" w:color="auto"/>
            </w:tcBorders>
            <w:vAlign w:val="center"/>
          </w:tcPr>
          <w:p w14:paraId="7FE1C8D8" w14:textId="77777777" w:rsidR="00534D9A" w:rsidRDefault="003243B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D9" w14:textId="77777777" w:rsidR="00534D9A" w:rsidRDefault="003243B2">
            <w:pPr>
              <w:pStyle w:val="P68B1DB1-TableParagraph73"/>
              <w:spacing w:before="108"/>
              <w:ind w:left="85"/>
              <w:jc w:val="both"/>
            </w:pPr>
            <w:r>
              <w:t>Pajjiż</w:t>
            </w:r>
          </w:p>
          <w:p w14:paraId="7FE1C8DA" w14:textId="56240ABE" w:rsidR="00534D9A" w:rsidRDefault="003243B2">
            <w:pPr>
              <w:pStyle w:val="P68B1DB1-TableParagraph40"/>
              <w:spacing w:before="108"/>
              <w:ind w:left="85"/>
              <w:jc w:val="both"/>
            </w:pPr>
            <w:r>
              <w:t xml:space="preserve">Pajjiż li fih hija pprovduta l-funzjoni kritika, kif irrapportat f’Z 07.01 </w:t>
            </w:r>
          </w:p>
        </w:tc>
      </w:tr>
      <w:tr w:rsidR="00534D9A" w14:paraId="7FE1C8E0" w14:textId="77777777">
        <w:tc>
          <w:tcPr>
            <w:tcW w:w="1183" w:type="dxa"/>
            <w:tcBorders>
              <w:top w:val="single" w:sz="8" w:space="0" w:color="auto"/>
              <w:bottom w:val="single" w:sz="8" w:space="0" w:color="auto"/>
              <w:right w:val="single" w:sz="8" w:space="0" w:color="auto"/>
            </w:tcBorders>
            <w:vAlign w:val="center"/>
          </w:tcPr>
          <w:p w14:paraId="7FE1C8DC" w14:textId="77777777" w:rsidR="00534D9A" w:rsidRDefault="003243B2">
            <w:pPr>
              <w:pStyle w:val="P68B1DB1-Normal31"/>
              <w:rPr>
                <w:b/>
                <w:i/>
              </w:rPr>
            </w:pPr>
            <w:r>
              <w:t>0040</w:t>
            </w:r>
          </w:p>
        </w:tc>
        <w:tc>
          <w:tcPr>
            <w:tcW w:w="7832" w:type="dxa"/>
            <w:tcBorders>
              <w:top w:val="single" w:sz="8" w:space="0" w:color="auto"/>
              <w:left w:val="single" w:sz="8" w:space="0" w:color="auto"/>
              <w:bottom w:val="single" w:sz="8" w:space="0" w:color="auto"/>
            </w:tcBorders>
            <w:vAlign w:val="bottom"/>
          </w:tcPr>
          <w:p w14:paraId="7FE1C8DD" w14:textId="77777777" w:rsidR="00534D9A" w:rsidRDefault="003243B2">
            <w:pPr>
              <w:pStyle w:val="P68B1DB1-TableParagraph73"/>
              <w:spacing w:before="108"/>
              <w:ind w:left="85"/>
              <w:jc w:val="both"/>
            </w:pPr>
            <w:r>
              <w:t>Id tal-funzjoni kritika</w:t>
            </w:r>
          </w:p>
          <w:p w14:paraId="7FE1C8DE" w14:textId="77777777" w:rsidR="00534D9A" w:rsidRDefault="003243B2">
            <w:pPr>
              <w:pStyle w:val="P68B1DB1-TableParagraph40"/>
              <w:spacing w:before="108"/>
              <w:ind w:left="85"/>
              <w:jc w:val="both"/>
            </w:pPr>
            <w:r>
              <w:t>Funzjoni (jiet) kritika/kritiċi mwettqa mill-entità, li l-prestazzjoni tagħhom tkun imxekkla jew prevenuta mill-interruzzjoni tal-aċċess għall-fornitur tas-servizz tal-FMI.</w:t>
            </w:r>
          </w:p>
          <w:p w14:paraId="79796B83" w14:textId="298E6F56" w:rsidR="00534D9A" w:rsidRDefault="003243B2">
            <w:pPr>
              <w:pStyle w:val="P68B1DB1-TableParagraph40"/>
              <w:spacing w:before="108"/>
              <w:ind w:left="85"/>
              <w:jc w:val="both"/>
              <w:rPr>
                <w:b/>
                <w:bCs/>
              </w:rPr>
            </w:pPr>
            <w:r>
              <w:t>Id tal-funzjonijiet kritiċi kif irrapportati f’Z07.01</w:t>
            </w:r>
            <w:r>
              <w:rPr>
                <w:b/>
              </w:rPr>
              <w:t>:</w:t>
            </w:r>
          </w:p>
          <w:p w14:paraId="58520404" w14:textId="77777777" w:rsidR="00534D9A" w:rsidRDefault="00534D9A">
            <w:pPr>
              <w:pStyle w:val="TableParagraph"/>
              <w:spacing w:before="108"/>
              <w:ind w:left="85"/>
              <w:jc w:val="both"/>
              <w:rPr>
                <w:rFonts w:ascii="Times New Roman" w:eastAsia="Times New Roman" w:hAnsi="Times New Roman" w:cs="Times New Roman"/>
                <w:b/>
                <w:bCs/>
                <w:sz w:val="20"/>
                <w:szCs w:val="20"/>
              </w:rPr>
            </w:pPr>
          </w:p>
          <w:p w14:paraId="0E718D7B" w14:textId="77777777" w:rsidR="00534D9A" w:rsidRDefault="003243B2">
            <w:pPr>
              <w:pStyle w:val="P68B1DB1-Normal19"/>
              <w:rPr>
                <w:rFonts w:eastAsiaTheme="minorHAnsi"/>
              </w:rPr>
            </w:pPr>
            <w:r>
              <w:t>Depożiti</w:t>
            </w:r>
          </w:p>
          <w:p w14:paraId="354D6B7F" w14:textId="77777777" w:rsidR="00534D9A" w:rsidRDefault="003243B2">
            <w:pPr>
              <w:pStyle w:val="P68B1DB1-Normal19"/>
              <w:ind w:left="708"/>
            </w:pPr>
            <w:r>
              <w:t>Depożiti mill-Unitajiet Domestiċi</w:t>
            </w:r>
          </w:p>
          <w:p w14:paraId="71C89914" w14:textId="77777777" w:rsidR="00534D9A" w:rsidRDefault="003243B2">
            <w:pPr>
              <w:pStyle w:val="P68B1DB1-Normal19"/>
              <w:ind w:left="708"/>
            </w:pPr>
            <w:r>
              <w:t xml:space="preserve">Depożiti minn korporazzjonijiet mhux finanzjarji </w:t>
            </w:r>
          </w:p>
          <w:p w14:paraId="7621A95F" w14:textId="69E34691" w:rsidR="00534D9A" w:rsidRDefault="003243B2">
            <w:pPr>
              <w:pStyle w:val="P68B1DB1-Normal19"/>
              <w:ind w:left="1405"/>
            </w:pPr>
            <w:r>
              <w:t>Depożiti minn korporazzjonijiet mhux finanzjarji SMEs</w:t>
            </w:r>
          </w:p>
          <w:p w14:paraId="046B913C" w14:textId="73440AD0" w:rsidR="00534D9A" w:rsidRDefault="003243B2">
            <w:pPr>
              <w:pStyle w:val="P68B1DB1-Normal19"/>
              <w:ind w:left="1405"/>
            </w:pPr>
            <w:r>
              <w:t>Depożiti minn korporazzjonijiet mhux finanzjarji mhux SMEs</w:t>
            </w:r>
          </w:p>
          <w:p w14:paraId="2DAF57AE" w14:textId="77777777" w:rsidR="00534D9A" w:rsidRDefault="003243B2">
            <w:pPr>
              <w:pStyle w:val="P68B1DB1-Normal19"/>
              <w:ind w:left="708"/>
            </w:pPr>
            <w:r>
              <w:t>Depożiti minn Gvernijiet Ġenerali</w:t>
            </w:r>
          </w:p>
          <w:p w14:paraId="3AC3807C" w14:textId="77777777" w:rsidR="00534D9A" w:rsidRDefault="003243B2">
            <w:pPr>
              <w:pStyle w:val="P68B1DB1-Normal19"/>
              <w:ind w:left="708"/>
            </w:pPr>
            <w:r>
              <w:t>Depożiti minn setturi/kontropartijiet oħra (1)</w:t>
            </w:r>
          </w:p>
          <w:p w14:paraId="7924D974" w14:textId="77777777" w:rsidR="00534D9A" w:rsidRDefault="003243B2">
            <w:pPr>
              <w:pStyle w:val="P68B1DB1-Normal19"/>
              <w:ind w:left="708"/>
            </w:pPr>
            <w:r>
              <w:t>Depożiti minn setturi/kontropartijiet oħra (2)</w:t>
            </w:r>
          </w:p>
          <w:p w14:paraId="15B73120" w14:textId="77777777" w:rsidR="00534D9A" w:rsidRDefault="003243B2">
            <w:pPr>
              <w:pStyle w:val="P68B1DB1-Normal19"/>
              <w:ind w:left="708"/>
            </w:pPr>
            <w:r>
              <w:t>Depożiti minn setturi/kontropartijiet oħra (3)</w:t>
            </w:r>
          </w:p>
          <w:p w14:paraId="2FE46760" w14:textId="77777777" w:rsidR="00534D9A" w:rsidRDefault="00534D9A">
            <w:pPr>
              <w:rPr>
                <w:rFonts w:ascii="Times New Roman" w:hAnsi="Times New Roman" w:cs="Times New Roman"/>
                <w:sz w:val="20"/>
                <w:szCs w:val="20"/>
              </w:rPr>
            </w:pPr>
          </w:p>
          <w:p w14:paraId="685EA40A" w14:textId="77777777" w:rsidR="00534D9A" w:rsidRDefault="003243B2">
            <w:pPr>
              <w:pStyle w:val="P68B1DB1-Normal19"/>
            </w:pPr>
            <w:r>
              <w:t>Tislif</w:t>
            </w:r>
          </w:p>
          <w:p w14:paraId="11C80F7E" w14:textId="77777777" w:rsidR="00534D9A" w:rsidRDefault="003243B2">
            <w:pPr>
              <w:pStyle w:val="P68B1DB1-Normal19"/>
              <w:ind w:left="708"/>
            </w:pPr>
            <w:r>
              <w:t>Self lill-Unitajiet Domestiċi</w:t>
            </w:r>
          </w:p>
          <w:p w14:paraId="430711EA" w14:textId="77777777" w:rsidR="00534D9A" w:rsidRDefault="003243B2">
            <w:pPr>
              <w:pStyle w:val="P68B1DB1-Normal19"/>
              <w:ind w:left="1416"/>
            </w:pPr>
            <w:r>
              <w:t>Self lill-Unitajiet Domestiċi għax-xiri ta’ djar</w:t>
            </w:r>
          </w:p>
          <w:p w14:paraId="0147203E" w14:textId="77777777" w:rsidR="00534D9A" w:rsidRDefault="003243B2">
            <w:pPr>
              <w:pStyle w:val="P68B1DB1-Normal19"/>
              <w:ind w:left="1416"/>
            </w:pPr>
            <w:r>
              <w:t>Self lill-Unitajiet Domestiċi għal xiri ta’ djar oħra</w:t>
            </w:r>
          </w:p>
          <w:p w14:paraId="20ACA306" w14:textId="77777777" w:rsidR="00534D9A" w:rsidRDefault="003243B2">
            <w:pPr>
              <w:pStyle w:val="P68B1DB1-Normal19"/>
              <w:ind w:left="708"/>
            </w:pPr>
            <w:r>
              <w:t>Self lil korporazzjonijiet mhux finanzjarji</w:t>
            </w:r>
          </w:p>
          <w:p w14:paraId="19F6CF03" w14:textId="3FBCFA7C" w:rsidR="00534D9A" w:rsidRDefault="003243B2">
            <w:pPr>
              <w:pStyle w:val="P68B1DB1-Normal19"/>
              <w:ind w:left="1416"/>
            </w:pPr>
            <w:r>
              <w:t>Self lil korporazzjonijiet mhux finanzjarji SMEs</w:t>
            </w:r>
          </w:p>
          <w:p w14:paraId="2C705D0D" w14:textId="77777777" w:rsidR="00534D9A" w:rsidRDefault="003243B2">
            <w:pPr>
              <w:pStyle w:val="P68B1DB1-Normal19"/>
              <w:ind w:left="1416"/>
            </w:pPr>
            <w:r>
              <w:t>Self lil korporazzjonijiet mhux finanzjarji mhux SMEs</w:t>
            </w:r>
          </w:p>
          <w:p w14:paraId="6DAE8B55" w14:textId="77777777" w:rsidR="00534D9A" w:rsidRDefault="003243B2">
            <w:pPr>
              <w:pStyle w:val="P68B1DB1-Normal19"/>
              <w:ind w:left="708"/>
            </w:pPr>
            <w:r>
              <w:t>Self lill-Gvernijiet Ġenerali</w:t>
            </w:r>
          </w:p>
          <w:p w14:paraId="5C2428A3" w14:textId="77777777" w:rsidR="00534D9A" w:rsidRDefault="003243B2">
            <w:pPr>
              <w:pStyle w:val="P68B1DB1-Normal19"/>
              <w:ind w:left="708"/>
            </w:pPr>
            <w:r>
              <w:t>Self lil setturi/kontropartijiet oħra (1)</w:t>
            </w:r>
          </w:p>
          <w:p w14:paraId="7237D4E5" w14:textId="77777777" w:rsidR="00534D9A" w:rsidRDefault="003243B2">
            <w:pPr>
              <w:pStyle w:val="P68B1DB1-Normal19"/>
              <w:ind w:left="708"/>
            </w:pPr>
            <w:r>
              <w:t>Self lil setturi/kontropartijiet oħra (2)</w:t>
            </w:r>
          </w:p>
          <w:p w14:paraId="62EF53AB" w14:textId="77777777" w:rsidR="00534D9A" w:rsidRDefault="003243B2">
            <w:pPr>
              <w:pStyle w:val="P68B1DB1-Normal19"/>
              <w:ind w:left="708"/>
            </w:pPr>
            <w:r>
              <w:t>Self lil setturi/kontropartijiet oħra (3)</w:t>
            </w:r>
          </w:p>
          <w:p w14:paraId="1269B857" w14:textId="77777777" w:rsidR="00534D9A" w:rsidRDefault="00534D9A">
            <w:pPr>
              <w:rPr>
                <w:rFonts w:ascii="Times New Roman" w:hAnsi="Times New Roman" w:cs="Times New Roman"/>
                <w:sz w:val="20"/>
                <w:szCs w:val="20"/>
              </w:rPr>
            </w:pPr>
          </w:p>
          <w:p w14:paraId="7CD1A6B0" w14:textId="77777777" w:rsidR="00534D9A" w:rsidRDefault="003243B2">
            <w:pPr>
              <w:pStyle w:val="P68B1DB1-Normal19"/>
            </w:pPr>
            <w:r>
              <w:t xml:space="preserve">Pagament, Flus, Saldu, Ikklerjar, Kustodja </w:t>
            </w:r>
          </w:p>
          <w:p w14:paraId="11F499EA" w14:textId="77777777" w:rsidR="00534D9A" w:rsidRDefault="003243B2">
            <w:pPr>
              <w:pStyle w:val="P68B1DB1-Normal19"/>
              <w:ind w:left="708"/>
            </w:pPr>
            <w:r>
              <w:t>Is-servizzi ta’ pagament lill-MFIs</w:t>
            </w:r>
          </w:p>
          <w:p w14:paraId="6FC14FBE" w14:textId="4F1706DC" w:rsidR="00534D9A" w:rsidRDefault="003243B2">
            <w:pPr>
              <w:pStyle w:val="P68B1DB1-Normal19"/>
              <w:ind w:left="708"/>
            </w:pPr>
            <w:bookmarkStart w:id="138" w:name="_Hlk192600698"/>
            <w:r>
              <w:t>Servizzi ta’ pagament lil non-MFIs</w:t>
            </w:r>
          </w:p>
          <w:p w14:paraId="704B9B25" w14:textId="77777777" w:rsidR="00534D9A" w:rsidRDefault="003243B2">
            <w:pPr>
              <w:pStyle w:val="P68B1DB1-Normal19"/>
              <w:ind w:left="1405"/>
            </w:pPr>
            <w:r>
              <w:t>Servizzi ta’ ħlas lil non-MFIs għall-Unitajiet Domestiċi</w:t>
            </w:r>
          </w:p>
          <w:p w14:paraId="1F8BC691" w14:textId="4FE22A42" w:rsidR="00534D9A" w:rsidRDefault="003243B2">
            <w:pPr>
              <w:pStyle w:val="P68B1DB1-Normal19"/>
              <w:ind w:left="1405"/>
            </w:pPr>
            <w:r>
              <w:t>Servizzi ta’ ħlas lil non-MFIs għal korporazzjonijiet mhux finanzjarji</w:t>
            </w:r>
          </w:p>
          <w:p w14:paraId="39782E47" w14:textId="1287030F" w:rsidR="00534D9A" w:rsidRDefault="003243B2">
            <w:pPr>
              <w:pStyle w:val="P68B1DB1-Normal19"/>
              <w:ind w:left="1972"/>
            </w:pPr>
            <w:r>
              <w:t>Servizzi ta’ pagament lil SMEs mhux MFIs għal korporazzjonijiet mhux finanzjarji</w:t>
            </w:r>
          </w:p>
          <w:p w14:paraId="416F0C20" w14:textId="504D6059" w:rsidR="00534D9A" w:rsidRDefault="003243B2">
            <w:pPr>
              <w:pStyle w:val="P68B1DB1-Normal19"/>
              <w:ind w:left="1972"/>
            </w:pPr>
            <w:r>
              <w:t>Servizzi ta’ pagament lil non-MFIs għal korporazzjonijiet mhux finanzjarji mhux SMEs</w:t>
            </w:r>
            <w:bookmarkEnd w:id="138"/>
          </w:p>
          <w:p w14:paraId="661D0C87" w14:textId="77777777" w:rsidR="00534D9A" w:rsidRDefault="003243B2">
            <w:pPr>
              <w:pStyle w:val="P68B1DB1-Normal19"/>
              <w:ind w:left="708"/>
            </w:pPr>
            <w:r>
              <w:t>Servizzi ta’ kontanti</w:t>
            </w:r>
          </w:p>
          <w:p w14:paraId="03769573" w14:textId="77777777" w:rsidR="00534D9A" w:rsidRDefault="003243B2">
            <w:pPr>
              <w:pStyle w:val="P68B1DB1-Normal19"/>
              <w:ind w:left="708"/>
            </w:pPr>
            <w:r>
              <w:t>Is-servizzi ta’ saldu tat-titoli</w:t>
            </w:r>
          </w:p>
          <w:p w14:paraId="775020A9" w14:textId="77777777" w:rsidR="00534D9A" w:rsidRDefault="003243B2">
            <w:pPr>
              <w:pStyle w:val="P68B1DB1-Normal19"/>
              <w:ind w:left="708"/>
            </w:pPr>
            <w:r>
              <w:lastRenderedPageBreak/>
              <w:t>Servizzi tal-ikklerjar ta’ CCPs</w:t>
            </w:r>
          </w:p>
          <w:p w14:paraId="5801E2F6" w14:textId="77777777" w:rsidR="00534D9A" w:rsidRDefault="003243B2">
            <w:pPr>
              <w:pStyle w:val="P68B1DB1-Normal19"/>
              <w:ind w:left="708"/>
            </w:pPr>
            <w:r>
              <w:t>Servizzi ta’ kustodja</w:t>
            </w:r>
          </w:p>
          <w:p w14:paraId="5B6CE30A" w14:textId="77777777" w:rsidR="00534D9A" w:rsidRDefault="003243B2">
            <w:pPr>
              <w:pStyle w:val="P68B1DB1-Normal19"/>
              <w:ind w:left="708"/>
            </w:pPr>
            <w:r>
              <w:t>Servizzi/attivitajiet/funzjonijiet oħra (1) dwar servizzi ta’ pagamenti, flus kontanti, saldu, ikklerjar u kustodja</w:t>
            </w:r>
          </w:p>
          <w:p w14:paraId="7B4ED125" w14:textId="77777777" w:rsidR="00534D9A" w:rsidRDefault="003243B2">
            <w:pPr>
              <w:pStyle w:val="P68B1DB1-Normal19"/>
              <w:ind w:left="708"/>
            </w:pPr>
            <w:r>
              <w:t>Servizzi/attivitajiet/funzjonijiet oħra (2) dwar servizzi ta’ pagamenti, flus kontanti, saldu, ikklerjar u kustodja</w:t>
            </w:r>
          </w:p>
          <w:p w14:paraId="19BA6278" w14:textId="77777777" w:rsidR="00534D9A" w:rsidRDefault="003243B2">
            <w:pPr>
              <w:pStyle w:val="P68B1DB1-Normal19"/>
              <w:ind w:left="708"/>
            </w:pPr>
            <w:r>
              <w:t>Servizzi/attivitajiet/funzjonijiet oħra (3) dwar servizzi ta’ pagamenti, flus kontanti, saldu, ikklerjar u kustodja</w:t>
            </w:r>
          </w:p>
          <w:p w14:paraId="1E6049F9" w14:textId="77777777" w:rsidR="00534D9A" w:rsidRDefault="00534D9A">
            <w:pPr>
              <w:rPr>
                <w:rFonts w:ascii="Times New Roman" w:hAnsi="Times New Roman" w:cs="Times New Roman"/>
                <w:sz w:val="20"/>
                <w:szCs w:val="20"/>
              </w:rPr>
            </w:pPr>
          </w:p>
          <w:p w14:paraId="6F0287A8" w14:textId="77777777" w:rsidR="00534D9A" w:rsidRDefault="003243B2">
            <w:pPr>
              <w:pStyle w:val="P68B1DB1-Normal19"/>
            </w:pPr>
            <w:r>
              <w:t>Swieq Kapitali</w:t>
            </w:r>
          </w:p>
          <w:p w14:paraId="4F1B2CB2" w14:textId="77777777" w:rsidR="00534D9A" w:rsidRDefault="003243B2">
            <w:pPr>
              <w:pStyle w:val="P68B1DB1-Normal19"/>
              <w:ind w:left="708"/>
            </w:pPr>
            <w:r>
              <w:t xml:space="preserve">Derivattivi miżmuma għan-negozju </w:t>
            </w:r>
          </w:p>
          <w:p w14:paraId="608E7B75" w14:textId="77777777" w:rsidR="00534D9A" w:rsidRDefault="003243B2">
            <w:pPr>
              <w:pStyle w:val="P68B1DB1-Normal19"/>
              <w:ind w:left="1416"/>
            </w:pPr>
            <w:r>
              <w:t>Derivattivi miżmuma għan-negozju f’OTC</w:t>
            </w:r>
          </w:p>
          <w:p w14:paraId="55232CB1" w14:textId="77777777" w:rsidR="00534D9A" w:rsidRDefault="003243B2">
            <w:pPr>
              <w:pStyle w:val="P68B1DB1-Normal19"/>
              <w:ind w:left="1416"/>
            </w:pPr>
            <w:r>
              <w:t>Derivattivi miżmuma għan-negozju f’miżmumi mhux OTC</w:t>
            </w:r>
          </w:p>
          <w:p w14:paraId="41765F70" w14:textId="77777777" w:rsidR="00534D9A" w:rsidRDefault="003243B2">
            <w:pPr>
              <w:pStyle w:val="P68B1DB1-Normal19"/>
              <w:ind w:left="708"/>
            </w:pPr>
            <w:r>
              <w:t>Swieq sekondarji/kummerċ</w:t>
            </w:r>
          </w:p>
          <w:p w14:paraId="75381D0F" w14:textId="77777777" w:rsidR="00534D9A" w:rsidRDefault="003243B2">
            <w:pPr>
              <w:pStyle w:val="P68B1DB1-Normal19"/>
              <w:ind w:left="708"/>
            </w:pPr>
            <w:r>
              <w:t>Swieq Primarji/sottoskrizzjoni</w:t>
            </w:r>
          </w:p>
          <w:p w14:paraId="04BFAC55" w14:textId="77777777" w:rsidR="00534D9A" w:rsidRDefault="003243B2">
            <w:pPr>
              <w:pStyle w:val="P68B1DB1-Normal19"/>
              <w:ind w:left="708"/>
            </w:pPr>
            <w:r>
              <w:t>Servizzi/attivitajiet/funzjonijiet oħra (1) fis-swieq kapitali</w:t>
            </w:r>
          </w:p>
          <w:p w14:paraId="4842F14D" w14:textId="77777777" w:rsidR="00534D9A" w:rsidRDefault="003243B2">
            <w:pPr>
              <w:pStyle w:val="P68B1DB1-Normal19"/>
              <w:ind w:left="708"/>
            </w:pPr>
            <w:r>
              <w:t>Servizzi/attivitajiet/funzjonijiet oħra (2) fis-swieq kapitali</w:t>
            </w:r>
          </w:p>
          <w:p w14:paraId="4B2FE832" w14:textId="77777777" w:rsidR="00534D9A" w:rsidRDefault="003243B2">
            <w:pPr>
              <w:pStyle w:val="P68B1DB1-Normal19"/>
              <w:ind w:left="708"/>
            </w:pPr>
            <w:r>
              <w:t>Servizzi/attivitajiet/funzjonijiet oħra (3) fis-swieq kapitali</w:t>
            </w:r>
          </w:p>
          <w:p w14:paraId="07EB9C1C" w14:textId="77777777" w:rsidR="00534D9A" w:rsidRDefault="00534D9A">
            <w:pPr>
              <w:ind w:left="708"/>
              <w:rPr>
                <w:rFonts w:ascii="Times New Roman" w:hAnsi="Times New Roman" w:cs="Times New Roman"/>
                <w:sz w:val="20"/>
                <w:szCs w:val="20"/>
              </w:rPr>
            </w:pPr>
          </w:p>
          <w:p w14:paraId="74D09EC2" w14:textId="77777777" w:rsidR="00534D9A" w:rsidRDefault="003243B2">
            <w:pPr>
              <w:pStyle w:val="P68B1DB1-Normal19"/>
            </w:pPr>
            <w:r>
              <w:t>Finanzjament tal-Operaturi</w:t>
            </w:r>
          </w:p>
          <w:p w14:paraId="02676859" w14:textId="77777777" w:rsidR="00534D9A" w:rsidRDefault="003243B2">
            <w:pPr>
              <w:pStyle w:val="P68B1DB1-ListParagraph60"/>
            </w:pPr>
            <w:r>
              <w:t>Teħid b’self</w:t>
            </w:r>
          </w:p>
          <w:p w14:paraId="541AD926" w14:textId="77777777" w:rsidR="00534D9A" w:rsidRDefault="003243B2">
            <w:pPr>
              <w:pStyle w:val="P68B1DB1-ListParagraph60"/>
            </w:pPr>
            <w:r>
              <w:t>Id-derivattivi (l-assi)</w:t>
            </w:r>
          </w:p>
          <w:p w14:paraId="25097734" w14:textId="77777777" w:rsidR="00534D9A" w:rsidRDefault="003243B2">
            <w:pPr>
              <w:pStyle w:val="P68B1DB1-ListParagraph60"/>
            </w:pPr>
            <w:r>
              <w:t>Tislif</w:t>
            </w:r>
          </w:p>
          <w:p w14:paraId="772EBBB0" w14:textId="77777777" w:rsidR="00534D9A" w:rsidRDefault="003243B2">
            <w:pPr>
              <w:pStyle w:val="P68B1DB1-ListParagraph60"/>
            </w:pPr>
            <w:r>
              <w:t>Derivattivi (obbligazzjonijiet)</w:t>
            </w:r>
          </w:p>
          <w:p w14:paraId="56E338CF" w14:textId="77777777" w:rsidR="00534D9A" w:rsidRDefault="003243B2">
            <w:pPr>
              <w:pStyle w:val="P68B1DB1-ListParagraph60"/>
            </w:pPr>
            <w:r>
              <w:t>Tipi oħra ta’ prodotti (1) fis-swieq bl-ingrossa</w:t>
            </w:r>
          </w:p>
          <w:p w14:paraId="6607505D" w14:textId="77777777" w:rsidR="00534D9A" w:rsidRDefault="003243B2">
            <w:pPr>
              <w:pStyle w:val="P68B1DB1-ListParagraph60"/>
            </w:pPr>
            <w:r>
              <w:t>Tipi oħra ta’ prodotti (2) fis-swieq bl-ingrossa</w:t>
            </w:r>
          </w:p>
          <w:p w14:paraId="41A2E098" w14:textId="77777777" w:rsidR="00534D9A" w:rsidRDefault="003243B2">
            <w:pPr>
              <w:pStyle w:val="P68B1DB1-ListParagraph60"/>
            </w:pPr>
            <w:r>
              <w:t>Tipi oħra ta’ prodotti (3) fis-swieq bl-ingrossa</w:t>
            </w:r>
          </w:p>
          <w:p w14:paraId="7FE1C8DF" w14:textId="2134965F" w:rsidR="00534D9A" w:rsidRDefault="00534D9A">
            <w:pPr>
              <w:pStyle w:val="TableParagraph"/>
              <w:spacing w:before="108"/>
              <w:ind w:left="85"/>
              <w:jc w:val="both"/>
              <w:rPr>
                <w:rFonts w:ascii="Times New Roman" w:eastAsia="Times New Roman" w:hAnsi="Times New Roman" w:cs="Times New Roman"/>
                <w:b/>
                <w:bCs/>
                <w:i/>
                <w:iCs/>
                <w:sz w:val="20"/>
                <w:szCs w:val="20"/>
              </w:rPr>
            </w:pPr>
          </w:p>
        </w:tc>
      </w:tr>
      <w:tr w:rsidR="00534D9A" w14:paraId="7FE1C8E3" w14:textId="77777777">
        <w:tc>
          <w:tcPr>
            <w:tcW w:w="1183" w:type="dxa"/>
            <w:tcBorders>
              <w:top w:val="single" w:sz="8" w:space="0" w:color="auto"/>
              <w:bottom w:val="single" w:sz="8" w:space="0" w:color="auto"/>
              <w:right w:val="single" w:sz="8" w:space="0" w:color="auto"/>
            </w:tcBorders>
            <w:vAlign w:val="center"/>
          </w:tcPr>
          <w:p w14:paraId="7FE1C8E1" w14:textId="77777777" w:rsidR="00534D9A" w:rsidRDefault="003243B2">
            <w:pPr>
              <w:pStyle w:val="P68B1DB1-Normal31"/>
            </w:pPr>
            <w:r>
              <w:lastRenderedPageBreak/>
              <w:t>0050–0060</w:t>
            </w:r>
          </w:p>
        </w:tc>
        <w:tc>
          <w:tcPr>
            <w:tcW w:w="7832" w:type="dxa"/>
            <w:tcBorders>
              <w:top w:val="single" w:sz="8" w:space="0" w:color="auto"/>
              <w:left w:val="single" w:sz="8" w:space="0" w:color="auto"/>
              <w:bottom w:val="single" w:sz="8" w:space="0" w:color="auto"/>
            </w:tcBorders>
            <w:vAlign w:val="bottom"/>
          </w:tcPr>
          <w:p w14:paraId="7FE1C8E2" w14:textId="77777777" w:rsidR="00534D9A" w:rsidRDefault="003243B2">
            <w:pPr>
              <w:pStyle w:val="P68B1DB1-Heading481"/>
              <w:numPr>
                <w:ilvl w:val="3"/>
                <w:numId w:val="0"/>
              </w:numPr>
              <w:ind w:left="360"/>
            </w:pPr>
            <w:r>
              <w:t>FMIs essenzjali</w:t>
            </w:r>
          </w:p>
        </w:tc>
      </w:tr>
      <w:tr w:rsidR="00534D9A" w14:paraId="7FE1C8E9" w14:textId="77777777">
        <w:tc>
          <w:tcPr>
            <w:tcW w:w="1183" w:type="dxa"/>
            <w:tcBorders>
              <w:top w:val="single" w:sz="8" w:space="0" w:color="auto"/>
              <w:bottom w:val="single" w:sz="8" w:space="0" w:color="auto"/>
              <w:right w:val="single" w:sz="8" w:space="0" w:color="auto"/>
            </w:tcBorders>
            <w:vAlign w:val="center"/>
          </w:tcPr>
          <w:p w14:paraId="7FE1C8E4" w14:textId="77777777" w:rsidR="00534D9A" w:rsidRDefault="003243B2">
            <w:pPr>
              <w:pStyle w:val="P68B1DB1-Normal31"/>
              <w:rPr>
                <w:strike/>
              </w:rPr>
            </w:pPr>
            <w:r>
              <w:t>0050</w:t>
            </w:r>
          </w:p>
        </w:tc>
        <w:tc>
          <w:tcPr>
            <w:tcW w:w="7832" w:type="dxa"/>
            <w:tcBorders>
              <w:top w:val="single" w:sz="8" w:space="0" w:color="auto"/>
              <w:left w:val="single" w:sz="8" w:space="0" w:color="auto"/>
              <w:bottom w:val="single" w:sz="8" w:space="0" w:color="auto"/>
            </w:tcBorders>
            <w:vAlign w:val="bottom"/>
          </w:tcPr>
          <w:p w14:paraId="7FE1C8E5" w14:textId="77777777" w:rsidR="00534D9A" w:rsidRDefault="003243B2">
            <w:pPr>
              <w:pStyle w:val="P68B1DB1-TableParagraph73"/>
              <w:spacing w:before="108"/>
              <w:ind w:left="85"/>
              <w:jc w:val="both"/>
            </w:pPr>
            <w:r>
              <w:t>FMI essenzjali: IVA/LE</w:t>
            </w:r>
          </w:p>
          <w:p w14:paraId="7FE1C8E6" w14:textId="46FA6345" w:rsidR="00534D9A" w:rsidRDefault="003243B2">
            <w:pPr>
              <w:pStyle w:val="P68B1DB1-TableParagraph40"/>
              <w:numPr>
                <w:ilvl w:val="0"/>
                <w:numId w:val="248"/>
              </w:numPr>
              <w:spacing w:before="108"/>
              <w:jc w:val="both"/>
            </w:pPr>
            <w:r>
              <w:t>“Iva” jekk l-FMI huwa essenzjali</w:t>
            </w:r>
          </w:p>
          <w:p w14:paraId="7FE1C8E7" w14:textId="0EBF3638" w:rsidR="00534D9A" w:rsidRDefault="003243B2">
            <w:pPr>
              <w:pStyle w:val="P68B1DB1-TableParagraph40"/>
              <w:numPr>
                <w:ilvl w:val="0"/>
                <w:numId w:val="248"/>
              </w:numPr>
              <w:spacing w:before="108"/>
              <w:jc w:val="both"/>
            </w:pPr>
            <w:r>
              <w:t>“Le” jekk l-FMI ma jkunx essenzjali</w:t>
            </w:r>
          </w:p>
          <w:p w14:paraId="7FE1C8E8" w14:textId="77777777" w:rsidR="00534D9A" w:rsidRDefault="003243B2">
            <w:pPr>
              <w:pStyle w:val="P68B1DB1-Heading482"/>
              <w:numPr>
                <w:ilvl w:val="3"/>
                <w:numId w:val="0"/>
              </w:numPr>
              <w:ind w:left="360"/>
            </w:pPr>
            <w:r>
              <w:t>Il-kolonni 0020 u 0050 ma jeskludux lil xulxin.</w:t>
            </w:r>
          </w:p>
        </w:tc>
      </w:tr>
      <w:tr w:rsidR="00534D9A" w14:paraId="7FE1C8EE" w14:textId="77777777">
        <w:tc>
          <w:tcPr>
            <w:tcW w:w="1183" w:type="dxa"/>
            <w:tcBorders>
              <w:top w:val="single" w:sz="8" w:space="0" w:color="auto"/>
              <w:bottom w:val="single" w:sz="8" w:space="0" w:color="auto"/>
              <w:right w:val="single" w:sz="8" w:space="0" w:color="auto"/>
            </w:tcBorders>
            <w:vAlign w:val="center"/>
          </w:tcPr>
          <w:p w14:paraId="7FE1C8EA" w14:textId="77777777" w:rsidR="00534D9A" w:rsidRDefault="003243B2">
            <w:pPr>
              <w:pStyle w:val="P68B1DB1-Normal31"/>
            </w:pPr>
            <w:r>
              <w:t>0060</w:t>
            </w:r>
          </w:p>
        </w:tc>
        <w:tc>
          <w:tcPr>
            <w:tcW w:w="7832" w:type="dxa"/>
            <w:tcBorders>
              <w:top w:val="single" w:sz="8" w:space="0" w:color="auto"/>
              <w:left w:val="single" w:sz="8" w:space="0" w:color="auto"/>
              <w:bottom w:val="single" w:sz="8" w:space="0" w:color="auto"/>
            </w:tcBorders>
            <w:vAlign w:val="bottom"/>
          </w:tcPr>
          <w:p w14:paraId="7FE1C8EB" w14:textId="77777777" w:rsidR="00534D9A" w:rsidRDefault="003243B2">
            <w:pPr>
              <w:pStyle w:val="P68B1DB1-TableParagraph73"/>
              <w:spacing w:before="108"/>
              <w:ind w:left="85"/>
              <w:jc w:val="both"/>
            </w:pPr>
            <w:r>
              <w:t>Id tal-Linja tan-Negozju Prinċipali</w:t>
            </w:r>
          </w:p>
          <w:p w14:paraId="7FE1C8EC" w14:textId="62673BB2" w:rsidR="00534D9A" w:rsidRDefault="003243B2">
            <w:pPr>
              <w:pStyle w:val="P68B1DB1-TableParagraph40"/>
              <w:spacing w:before="108"/>
              <w:ind w:left="85"/>
              <w:jc w:val="both"/>
              <w:rPr>
                <w:u w:val="single"/>
              </w:rPr>
            </w:pPr>
            <w:r>
              <w:t>Linji tan-negozju ewlenin imwettqa mill-utent, li l-prestazzjoni tagħhom tkun imxekkla jew evitata mit-tfixkil tal-aċċess għall-fornitur tas-servizz tal-FMI.</w:t>
            </w:r>
          </w:p>
          <w:p w14:paraId="7FE1C8ED" w14:textId="77777777" w:rsidR="00534D9A" w:rsidRDefault="003243B2">
            <w:pPr>
              <w:pStyle w:val="P68B1DB1-TableParagraph40"/>
              <w:spacing w:before="108"/>
              <w:ind w:left="85"/>
              <w:jc w:val="both"/>
              <w:rPr>
                <w:b/>
                <w:bCs/>
              </w:rPr>
            </w:pPr>
            <w:r>
              <w:t>L-ID tal-linja operatorja ewlenija kif irrapportat f’Z 07.03 il-kolonna 0010.</w:t>
            </w:r>
          </w:p>
        </w:tc>
      </w:tr>
    </w:tbl>
    <w:p w14:paraId="7FE1C8EF" w14:textId="77777777" w:rsidR="00534D9A" w:rsidRDefault="00534D9A">
      <w:pPr>
        <w:pStyle w:val="Instructionsberschrift2"/>
        <w:ind w:left="357"/>
        <w:rPr>
          <w:rFonts w:ascii="Times New Roman" w:eastAsia="Calibri" w:hAnsi="Times New Roman" w:cs="Times New Roman"/>
          <w:szCs w:val="20"/>
        </w:rPr>
      </w:pPr>
    </w:p>
    <w:p w14:paraId="7FE1C8F0" w14:textId="77777777" w:rsidR="00534D9A" w:rsidRDefault="003243B2">
      <w:pPr>
        <w:pStyle w:val="P68B1DB1-Instructionsberschrift271"/>
        <w:numPr>
          <w:ilvl w:val="1"/>
          <w:numId w:val="49"/>
        </w:numPr>
        <w:ind w:left="357" w:hanging="357"/>
      </w:pPr>
      <w:bookmarkStart w:id="139" w:name="_Toc208245022"/>
      <w:r>
        <w:t>Z 09.03 — Servizzi FMI — Metriċi Ewlenin (FMI 3)</w:t>
      </w:r>
      <w:bookmarkEnd w:id="139"/>
    </w:p>
    <w:p w14:paraId="7FE1C8F1" w14:textId="77777777" w:rsidR="00534D9A" w:rsidRDefault="003243B2">
      <w:pPr>
        <w:pStyle w:val="P68B1DB1-Numberedtitlelevel383"/>
      </w:pPr>
      <w:r>
        <w:t>Struzzjonijiet li jikkonċernaw pożizzjonijiet speċifiċi</w:t>
      </w:r>
    </w:p>
    <w:p w14:paraId="7FE1C8F2" w14:textId="6D7EB755" w:rsidR="00534D9A" w:rsidRDefault="003243B2">
      <w:pPr>
        <w:pStyle w:val="InstructionsText2"/>
        <w:spacing w:before="0"/>
        <w:ind w:left="1418"/>
        <w:rPr>
          <w:rFonts w:ascii="Times New Roman" w:eastAsiaTheme="majorEastAsia" w:hAnsi="Times New Roman" w:cs="Times New Roman"/>
          <w:sz w:val="20"/>
          <w:szCs w:val="20"/>
        </w:rPr>
      </w:pPr>
      <w:r>
        <w:rPr>
          <w:rFonts w:ascii="Times New Roman" w:eastAsiaTheme="majorEastAsia" w:hAnsi="Times New Roman" w:cs="Times New Roman"/>
          <w:sz w:val="20"/>
          <w:szCs w:val="20"/>
        </w:rPr>
        <w:t>Irrapporta biss għal Sistemi ta’ Pagament, Depożitarji Ċentrali tat-Titoli (Internazzjonali), Servizzi ta’ Saldu għal tranżazzjonijiet ta’ Titoli, Derivattivi tal-Kontroparti Ċentrali, Titoli tal-Kontroparti Ċentrali sakemm ma jkunx indikat mod ieħor</w:t>
      </w:r>
      <w:r>
        <w:rPr>
          <w:rStyle w:val="FootnoteReference"/>
          <w:rFonts w:eastAsiaTheme="majorEastAsia" w:cs="Times New Roman"/>
        </w:rPr>
        <w:footnoteReference w:id="33"/>
      </w:r>
      <w:r>
        <w:rPr>
          <w:rFonts w:ascii="Times New Roman" w:eastAsiaTheme="majorEastAsia" w:hAnsi="Times New Roman" w:cs="Times New Roman"/>
          <w:sz w:val="20"/>
          <w:szCs w:val="20"/>
        </w:rPr>
        <w:t>.</w:t>
      </w:r>
    </w:p>
    <w:tbl>
      <w:tblPr>
        <w:tblW w:w="9015" w:type="dxa"/>
        <w:tblInd w:w="135" w:type="dxa"/>
        <w:tblLayout w:type="fixed"/>
        <w:tblLook w:val="04A0" w:firstRow="1" w:lastRow="0" w:firstColumn="1" w:lastColumn="0" w:noHBand="0" w:noVBand="1"/>
      </w:tblPr>
      <w:tblGrid>
        <w:gridCol w:w="1183"/>
        <w:gridCol w:w="7832"/>
      </w:tblGrid>
      <w:tr w:rsidR="00534D9A" w14:paraId="7FE1C8F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C8F3" w14:textId="77777777" w:rsidR="00534D9A" w:rsidRDefault="003243B2">
            <w:pPr>
              <w:pStyle w:val="P68B1DB1-TableParagraph17"/>
              <w:spacing w:before="108"/>
              <w:ind w:left="85"/>
            </w:pPr>
            <w:r>
              <w:lastRenderedPageBreak/>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C8F4" w14:textId="77777777" w:rsidR="00534D9A" w:rsidRDefault="003243B2">
            <w:pPr>
              <w:pStyle w:val="P68B1DB1-TableParagraph17"/>
              <w:spacing w:before="108"/>
              <w:ind w:left="85"/>
            </w:pPr>
            <w:r>
              <w:t xml:space="preserve">Struzzjonijiet </w:t>
            </w:r>
          </w:p>
        </w:tc>
      </w:tr>
      <w:tr w:rsidR="00534D9A" w14:paraId="7FE1C8F9" w14:textId="77777777">
        <w:tc>
          <w:tcPr>
            <w:tcW w:w="1183" w:type="dxa"/>
            <w:tcBorders>
              <w:top w:val="single" w:sz="8" w:space="0" w:color="1A171C"/>
              <w:bottom w:val="single" w:sz="8" w:space="0" w:color="auto"/>
              <w:right w:val="single" w:sz="8" w:space="0" w:color="auto"/>
            </w:tcBorders>
            <w:vAlign w:val="center"/>
          </w:tcPr>
          <w:p w14:paraId="7FE1C8F6" w14:textId="77777777" w:rsidR="00534D9A" w:rsidRDefault="003243B2">
            <w:pPr>
              <w:pStyle w:val="P68B1DB1-Normal31"/>
            </w:pPr>
            <w:r>
              <w:t>0010</w:t>
            </w:r>
          </w:p>
        </w:tc>
        <w:tc>
          <w:tcPr>
            <w:tcW w:w="7832" w:type="dxa"/>
            <w:tcBorders>
              <w:top w:val="single" w:sz="8" w:space="0" w:color="1A171C"/>
              <w:left w:val="single" w:sz="8" w:space="0" w:color="auto"/>
              <w:bottom w:val="single" w:sz="8" w:space="0" w:color="auto"/>
            </w:tcBorders>
            <w:vAlign w:val="bottom"/>
          </w:tcPr>
          <w:p w14:paraId="7FE1C8F7" w14:textId="77777777" w:rsidR="00534D9A" w:rsidRDefault="003243B2">
            <w:pPr>
              <w:pStyle w:val="P68B1DB1-TableParagraph73"/>
              <w:spacing w:before="108"/>
              <w:jc w:val="both"/>
            </w:pPr>
            <w:r>
              <w:t>Id li tirrappreżenta kombinazzjoni ta’ utent, FMI, tip ta’ sistema u intermedjarju</w:t>
            </w:r>
          </w:p>
          <w:p w14:paraId="7FE1C8F8" w14:textId="314C2ABF" w:rsidR="00534D9A" w:rsidRDefault="003243B2">
            <w:pPr>
              <w:pStyle w:val="P68B1DB1-TableParagraph40"/>
              <w:spacing w:before="108"/>
              <w:jc w:val="both"/>
              <w:rPr>
                <w:b/>
                <w:bCs/>
                <w:i/>
                <w:iCs/>
              </w:rPr>
            </w:pPr>
            <w:r>
              <w:t>Uża identifikatur wieħed għal kull ringiela, li jikkorrispondi għal kombinazzjoni unika ta’ utent, FMI, tip ta’ sistema u intermedjarju. L-istess ID, li tikkorrispondi għall-istess kombinazzjoni, trid tintuża fil-formoli Z 09.01 sa Z 09.05 fejn applikabbli.</w:t>
            </w:r>
          </w:p>
        </w:tc>
      </w:tr>
      <w:tr w:rsidR="00534D9A" w14:paraId="7FE1C8FD" w14:textId="77777777">
        <w:tc>
          <w:tcPr>
            <w:tcW w:w="1183" w:type="dxa"/>
            <w:tcBorders>
              <w:top w:val="single" w:sz="8" w:space="0" w:color="auto"/>
              <w:bottom w:val="single" w:sz="8" w:space="0" w:color="auto"/>
              <w:right w:val="single" w:sz="8" w:space="0" w:color="auto"/>
            </w:tcBorders>
            <w:vAlign w:val="center"/>
          </w:tcPr>
          <w:p w14:paraId="7FE1C8FA" w14:textId="77777777" w:rsidR="00534D9A" w:rsidRDefault="003243B2">
            <w:pPr>
              <w:pStyle w:val="P68B1DB1-Normal31"/>
              <w:rPr>
                <w:strike/>
              </w:rPr>
            </w:pPr>
            <w:r>
              <w:t>0020</w:t>
            </w:r>
          </w:p>
        </w:tc>
        <w:tc>
          <w:tcPr>
            <w:tcW w:w="7832" w:type="dxa"/>
            <w:tcBorders>
              <w:top w:val="single" w:sz="8" w:space="0" w:color="auto"/>
              <w:left w:val="single" w:sz="8" w:space="0" w:color="auto"/>
              <w:bottom w:val="single" w:sz="8" w:space="0" w:color="auto"/>
            </w:tcBorders>
            <w:vAlign w:val="bottom"/>
          </w:tcPr>
          <w:p w14:paraId="7FE1C8FB" w14:textId="77777777" w:rsidR="00534D9A" w:rsidRDefault="003243B2">
            <w:pPr>
              <w:pStyle w:val="P68B1DB1-TableParagraph73"/>
              <w:spacing w:before="108"/>
              <w:jc w:val="both"/>
            </w:pPr>
            <w:r>
              <w:t>Nru</w:t>
            </w:r>
          </w:p>
          <w:p w14:paraId="7FE1C8FC" w14:textId="77777777" w:rsidR="00534D9A" w:rsidRDefault="003243B2">
            <w:pPr>
              <w:pStyle w:val="P68B1DB1-TableParagraph40"/>
              <w:spacing w:before="108"/>
              <w:ind w:left="85"/>
              <w:jc w:val="both"/>
              <w:rPr>
                <w:b/>
                <w:bCs/>
                <w:i/>
                <w:iCs/>
                <w:strike/>
              </w:rPr>
            </w:pPr>
            <w:r>
              <w:t xml:space="preserve">Segmenti tas-suq fejn l-Utent huwa attiv. Ringiela waħda għal kull segment. Irrapporta biss għas-CCPs. </w:t>
            </w:r>
          </w:p>
        </w:tc>
      </w:tr>
      <w:tr w:rsidR="00534D9A" w14:paraId="7FE1C902" w14:textId="77777777">
        <w:tc>
          <w:tcPr>
            <w:tcW w:w="1183" w:type="dxa"/>
            <w:tcBorders>
              <w:top w:val="single" w:sz="8" w:space="0" w:color="auto"/>
              <w:bottom w:val="single" w:sz="8" w:space="0" w:color="auto"/>
              <w:right w:val="single" w:sz="8" w:space="0" w:color="auto"/>
            </w:tcBorders>
            <w:vAlign w:val="center"/>
          </w:tcPr>
          <w:p w14:paraId="7FE1C8FE" w14:textId="77777777" w:rsidR="00534D9A" w:rsidRDefault="003243B2">
            <w:pPr>
              <w:pStyle w:val="P68B1DB1-Normal31"/>
            </w:pPr>
            <w:r>
              <w:t>0030</w:t>
            </w:r>
          </w:p>
        </w:tc>
        <w:tc>
          <w:tcPr>
            <w:tcW w:w="7832" w:type="dxa"/>
            <w:tcBorders>
              <w:top w:val="single" w:sz="8" w:space="0" w:color="auto"/>
              <w:left w:val="single" w:sz="8" w:space="0" w:color="auto"/>
              <w:bottom w:val="single" w:sz="8" w:space="0" w:color="auto"/>
            </w:tcBorders>
            <w:vAlign w:val="bottom"/>
          </w:tcPr>
          <w:p w14:paraId="7FE1C8FF" w14:textId="77777777" w:rsidR="00534D9A" w:rsidRDefault="003243B2">
            <w:pPr>
              <w:pStyle w:val="P68B1DB1-TableParagraph73"/>
              <w:spacing w:before="108"/>
              <w:jc w:val="both"/>
            </w:pPr>
            <w:r>
              <w:t>Kontribuzzjoni għall-Fond Inadempjenti</w:t>
            </w:r>
          </w:p>
          <w:p w14:paraId="7FE1C900" w14:textId="77777777" w:rsidR="00534D9A" w:rsidRDefault="003243B2">
            <w:pPr>
              <w:pStyle w:val="P68B1DB1-TableParagraph40"/>
              <w:spacing w:before="108"/>
              <w:jc w:val="both"/>
            </w:pPr>
            <w:r>
              <w:t xml:space="preserve">Kontribuzzjoni għall-fond tal-inadempjenza. Ammont medju matul is-sena. </w:t>
            </w:r>
          </w:p>
          <w:p w14:paraId="7FE1C901" w14:textId="77777777" w:rsidR="00534D9A" w:rsidRDefault="003243B2">
            <w:pPr>
              <w:pStyle w:val="P68B1DB1-TableParagraph40"/>
              <w:spacing w:before="108"/>
              <w:ind w:left="85"/>
              <w:jc w:val="both"/>
              <w:rPr>
                <w:b/>
                <w:bCs/>
                <w:i/>
                <w:iCs/>
              </w:rPr>
            </w:pPr>
            <w:r>
              <w:t>Irrapporta biss għas-CCPs.</w:t>
            </w:r>
          </w:p>
        </w:tc>
      </w:tr>
      <w:tr w:rsidR="00534D9A" w14:paraId="7FE1C906" w14:textId="77777777">
        <w:tc>
          <w:tcPr>
            <w:tcW w:w="1183" w:type="dxa"/>
            <w:tcBorders>
              <w:top w:val="single" w:sz="8" w:space="0" w:color="auto"/>
              <w:bottom w:val="single" w:sz="8" w:space="0" w:color="auto"/>
              <w:right w:val="single" w:sz="8" w:space="0" w:color="auto"/>
            </w:tcBorders>
            <w:vAlign w:val="center"/>
          </w:tcPr>
          <w:p w14:paraId="7FE1C903" w14:textId="77777777" w:rsidR="00534D9A" w:rsidRDefault="003243B2">
            <w:pPr>
              <w:pStyle w:val="P68B1DB1-Normal31"/>
            </w:pPr>
            <w:r>
              <w:t>0040–0050</w:t>
            </w:r>
          </w:p>
        </w:tc>
        <w:tc>
          <w:tcPr>
            <w:tcW w:w="7832" w:type="dxa"/>
            <w:tcBorders>
              <w:top w:val="single" w:sz="8" w:space="0" w:color="auto"/>
              <w:left w:val="single" w:sz="8" w:space="0" w:color="auto"/>
              <w:bottom w:val="single" w:sz="8" w:space="0" w:color="auto"/>
            </w:tcBorders>
            <w:vAlign w:val="bottom"/>
          </w:tcPr>
          <w:p w14:paraId="7FE1C904" w14:textId="63CC55B1" w:rsidR="00534D9A" w:rsidRDefault="003243B2">
            <w:pPr>
              <w:pStyle w:val="P68B1DB1-TableParagraph73"/>
              <w:spacing w:before="108"/>
              <w:jc w:val="both"/>
              <w:rPr>
                <w:bCs/>
              </w:rPr>
            </w:pPr>
            <w:r>
              <w:t>Marġni inizjali fuq il-kontijiet proprjetarji u tal-klijenti</w:t>
            </w:r>
          </w:p>
          <w:p w14:paraId="7FE1C905" w14:textId="1C30A5D8" w:rsidR="00534D9A" w:rsidRDefault="003243B2">
            <w:pPr>
              <w:pStyle w:val="P68B1DB1-TableParagraph40"/>
              <w:spacing w:before="108"/>
              <w:ind w:left="85"/>
              <w:jc w:val="both"/>
              <w:rPr>
                <w:b/>
              </w:rPr>
            </w:pPr>
            <w:r>
              <w:t>Marġni inizjali depożitat, maqsum skont il-kontijiet tad-dar u tal-klijenti. Ammont medju matul is-sena. Irrapporta biss għas-CCPs. Il-kolonna 0050 tinkludi kemm il-valuri tal-kont omnibus kif ukoll dawk individwali.</w:t>
            </w:r>
          </w:p>
        </w:tc>
      </w:tr>
      <w:tr w:rsidR="00534D9A" w14:paraId="7FE1C90D" w14:textId="77777777">
        <w:tc>
          <w:tcPr>
            <w:tcW w:w="1183" w:type="dxa"/>
            <w:tcBorders>
              <w:top w:val="single" w:sz="8" w:space="0" w:color="auto"/>
              <w:bottom w:val="single" w:sz="8" w:space="0" w:color="auto"/>
              <w:right w:val="single" w:sz="8" w:space="0" w:color="auto"/>
            </w:tcBorders>
            <w:vAlign w:val="center"/>
          </w:tcPr>
          <w:p w14:paraId="7FE1C907" w14:textId="1157106F" w:rsidR="00534D9A" w:rsidRDefault="003243B2">
            <w:pPr>
              <w:pStyle w:val="P68B1DB1-Normal31"/>
            </w:pPr>
            <w:r>
              <w:t>0060–0070</w:t>
            </w:r>
          </w:p>
        </w:tc>
        <w:tc>
          <w:tcPr>
            <w:tcW w:w="7832" w:type="dxa"/>
            <w:tcBorders>
              <w:top w:val="single" w:sz="8" w:space="0" w:color="auto"/>
              <w:left w:val="single" w:sz="8" w:space="0" w:color="auto"/>
              <w:bottom w:val="single" w:sz="8" w:space="0" w:color="auto"/>
            </w:tcBorders>
            <w:vAlign w:val="bottom"/>
          </w:tcPr>
          <w:p w14:paraId="7FE1C908" w14:textId="77777777" w:rsidR="00534D9A" w:rsidRDefault="003243B2">
            <w:pPr>
              <w:pStyle w:val="P68B1DB1-TableParagraph73"/>
              <w:spacing w:before="108"/>
              <w:ind w:left="85"/>
              <w:jc w:val="both"/>
            </w:pPr>
            <w:r>
              <w:t>Valur tal-pożizzjonijiet fuq kontijiet proprjetarji u tal-klijenti</w:t>
            </w:r>
          </w:p>
          <w:p w14:paraId="7FE1C909" w14:textId="2662FB34" w:rsidR="00534D9A" w:rsidRDefault="003243B2">
            <w:pPr>
              <w:pStyle w:val="P68B1DB1-TableParagraph40"/>
              <w:spacing w:before="108"/>
              <w:ind w:left="85"/>
              <w:jc w:val="both"/>
            </w:pPr>
            <w:r>
              <w:t>Irrapporta biss għas-CCPs u (I) CSDs. Il-kolonna 0070 tinkludi kemm il-valuri tal-kont omnibus kif ukoll dawk individwali.</w:t>
            </w:r>
          </w:p>
          <w:p w14:paraId="7FE1C90A" w14:textId="77777777" w:rsidR="00534D9A" w:rsidRDefault="003243B2">
            <w:pPr>
              <w:pStyle w:val="TableParagraph"/>
              <w:numPr>
                <w:ilvl w:val="0"/>
                <w:numId w:val="249"/>
              </w:numPr>
              <w:spacing w:before="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CCPs: Il-valur tal-pożizzjonijiet fis-CCPs fit-tipi ta’ kontijiet rispettivi</w:t>
            </w:r>
            <w:r>
              <w:rPr>
                <w:rStyle w:val="FootnoteReference"/>
                <w:rFonts w:ascii="Times New Roman" w:eastAsia="Times New Roman" w:hAnsi="Times New Roman" w:cs="Times New Roman"/>
              </w:rPr>
              <w:footnoteReference w:id="34"/>
            </w:r>
            <w:r>
              <w:rPr>
                <w:rFonts w:ascii="Times New Roman" w:eastAsia="Times New Roman" w:hAnsi="Times New Roman" w:cs="Times New Roman"/>
                <w:sz w:val="20"/>
                <w:szCs w:val="20"/>
              </w:rPr>
              <w:t xml:space="preserve">. </w:t>
            </w:r>
          </w:p>
          <w:p w14:paraId="7FE1C90B" w14:textId="77777777" w:rsidR="00534D9A" w:rsidRDefault="003243B2">
            <w:pPr>
              <w:pStyle w:val="P68B1DB1-TableParagraph40"/>
              <w:numPr>
                <w:ilvl w:val="0"/>
                <w:numId w:val="249"/>
              </w:numPr>
              <w:spacing w:before="108"/>
              <w:jc w:val="both"/>
            </w:pPr>
            <w:r>
              <w:t xml:space="preserve">(I) CSDs: Il-valur tat-titoli miżmuma fit-tipi ta’ kontijiet rispettivi. </w:t>
            </w:r>
          </w:p>
          <w:p w14:paraId="7FE1C90C" w14:textId="77777777" w:rsidR="00534D9A" w:rsidRDefault="003243B2">
            <w:pPr>
              <w:pStyle w:val="P68B1DB1-TableParagraph40"/>
              <w:spacing w:before="108"/>
              <w:ind w:left="85"/>
              <w:jc w:val="both"/>
              <w:rPr>
                <w:b/>
              </w:rPr>
            </w:pPr>
            <w:r>
              <w:t xml:space="preserve">Il-valur medju fi tmiem il-jum tas-saldu matul is-sena preċedenti. </w:t>
            </w:r>
          </w:p>
        </w:tc>
      </w:tr>
      <w:tr w:rsidR="00534D9A" w14:paraId="7FE1C912" w14:textId="77777777">
        <w:tc>
          <w:tcPr>
            <w:tcW w:w="1183" w:type="dxa"/>
            <w:tcBorders>
              <w:top w:val="single" w:sz="8" w:space="0" w:color="auto"/>
              <w:bottom w:val="single" w:sz="8" w:space="0" w:color="auto"/>
              <w:right w:val="single" w:sz="8" w:space="0" w:color="auto"/>
            </w:tcBorders>
            <w:vAlign w:val="center"/>
          </w:tcPr>
          <w:p w14:paraId="7FE1C90E" w14:textId="3E4BBED3" w:rsidR="00534D9A" w:rsidRDefault="003243B2">
            <w:pPr>
              <w:pStyle w:val="P68B1DB1-Normal31"/>
              <w:rPr>
                <w:strike/>
              </w:rPr>
            </w:pPr>
            <w:r>
              <w:t>0080–0090</w:t>
            </w:r>
          </w:p>
        </w:tc>
        <w:tc>
          <w:tcPr>
            <w:tcW w:w="7832" w:type="dxa"/>
            <w:tcBorders>
              <w:top w:val="single" w:sz="8" w:space="0" w:color="auto"/>
              <w:left w:val="single" w:sz="8" w:space="0" w:color="auto"/>
              <w:bottom w:val="single" w:sz="8" w:space="0" w:color="auto"/>
            </w:tcBorders>
            <w:vAlign w:val="bottom"/>
          </w:tcPr>
          <w:p w14:paraId="7FE1C90F" w14:textId="77777777" w:rsidR="00534D9A" w:rsidRDefault="003243B2">
            <w:pPr>
              <w:pStyle w:val="P68B1DB1-TableParagraph73"/>
              <w:spacing w:before="108"/>
              <w:ind w:left="85"/>
              <w:jc w:val="both"/>
            </w:pPr>
            <w:r>
              <w:t xml:space="preserve">Numru ta’ klijenti </w:t>
            </w:r>
          </w:p>
          <w:p w14:paraId="7FE1C910" w14:textId="77777777" w:rsidR="00534D9A" w:rsidRDefault="003243B2">
            <w:pPr>
              <w:pStyle w:val="P68B1DB1-TableParagraph40"/>
              <w:spacing w:before="108"/>
              <w:ind w:left="85"/>
              <w:jc w:val="both"/>
            </w:pPr>
            <w:r>
              <w:t xml:space="preserve">Irrapporta biss għas-CCPs u (I) CSDs. </w:t>
            </w:r>
          </w:p>
          <w:p w14:paraId="7FE1C911" w14:textId="77777777" w:rsidR="00534D9A" w:rsidRDefault="003243B2">
            <w:pPr>
              <w:pStyle w:val="P68B1DB1-Heading482"/>
              <w:numPr>
                <w:ilvl w:val="3"/>
                <w:numId w:val="0"/>
              </w:numPr>
              <w:ind w:left="360"/>
              <w:rPr>
                <w:strike/>
                <w:color w:val="D13438"/>
              </w:rPr>
            </w:pPr>
            <w:r>
              <w:t>L-għadd totali ta’ klijenti inklużi fit-tipi differenti ta’ kontijiet tal-klijenti.</w:t>
            </w:r>
          </w:p>
        </w:tc>
      </w:tr>
      <w:tr w:rsidR="00534D9A" w14:paraId="7FE1C916" w14:textId="77777777">
        <w:tc>
          <w:tcPr>
            <w:tcW w:w="1183" w:type="dxa"/>
            <w:tcBorders>
              <w:top w:val="single" w:sz="8" w:space="0" w:color="auto"/>
              <w:bottom w:val="single" w:sz="8" w:space="0" w:color="auto"/>
              <w:right w:val="single" w:sz="8" w:space="0" w:color="auto"/>
            </w:tcBorders>
            <w:vAlign w:val="center"/>
          </w:tcPr>
          <w:p w14:paraId="7FE1C913" w14:textId="7AE482AF" w:rsidR="00534D9A" w:rsidRDefault="003243B2">
            <w:pPr>
              <w:pStyle w:val="P68B1DB1-Normal31"/>
              <w:rPr>
                <w:strike/>
              </w:rPr>
            </w:pPr>
            <w:r>
              <w:t>0100–0110</w:t>
            </w:r>
          </w:p>
        </w:tc>
        <w:tc>
          <w:tcPr>
            <w:tcW w:w="7832" w:type="dxa"/>
            <w:tcBorders>
              <w:top w:val="single" w:sz="8" w:space="0" w:color="auto"/>
              <w:left w:val="single" w:sz="8" w:space="0" w:color="auto"/>
              <w:bottom w:val="single" w:sz="8" w:space="0" w:color="auto"/>
            </w:tcBorders>
            <w:vAlign w:val="bottom"/>
          </w:tcPr>
          <w:p w14:paraId="7FE1C914" w14:textId="77777777" w:rsidR="00534D9A" w:rsidRDefault="003243B2">
            <w:pPr>
              <w:pStyle w:val="P68B1DB1-TableParagraph73"/>
              <w:spacing w:before="108"/>
              <w:ind w:left="85"/>
              <w:jc w:val="both"/>
            </w:pPr>
            <w:r>
              <w:t>Numru ta’ tranżazzjonijiet fuq kontijiet proprjetarji u tal-klijenti</w:t>
            </w:r>
          </w:p>
          <w:p w14:paraId="7FE1C915" w14:textId="77777777" w:rsidR="00534D9A" w:rsidRDefault="003243B2">
            <w:pPr>
              <w:pStyle w:val="P68B1DB1-Heading482"/>
              <w:numPr>
                <w:ilvl w:val="3"/>
                <w:numId w:val="0"/>
              </w:numPr>
              <w:ind w:left="360"/>
              <w:rPr>
                <w:strike/>
                <w:color w:val="D13438"/>
                <w:u w:val="single"/>
              </w:rPr>
            </w:pPr>
            <w:r>
              <w:t xml:space="preserve">L-għadd totali ta’ tranżazzjonijiet eżegwiti matul is-sena għat-tipi ta’ kontijiet rispettivi. </w:t>
            </w:r>
          </w:p>
        </w:tc>
      </w:tr>
      <w:tr w:rsidR="00534D9A" w14:paraId="7FE1C921" w14:textId="77777777">
        <w:tc>
          <w:tcPr>
            <w:tcW w:w="1183" w:type="dxa"/>
            <w:tcBorders>
              <w:top w:val="single" w:sz="8" w:space="0" w:color="auto"/>
              <w:bottom w:val="single" w:sz="8" w:space="0" w:color="auto"/>
              <w:right w:val="single" w:sz="8" w:space="0" w:color="auto"/>
            </w:tcBorders>
            <w:vAlign w:val="center"/>
          </w:tcPr>
          <w:p w14:paraId="7FE1C917" w14:textId="2B767234" w:rsidR="00534D9A" w:rsidRDefault="003243B2">
            <w:pPr>
              <w:pStyle w:val="P68B1DB1-Normal31"/>
              <w:rPr>
                <w:strike/>
              </w:rPr>
            </w:pPr>
            <w:r>
              <w:t>0120–0130</w:t>
            </w:r>
          </w:p>
        </w:tc>
        <w:tc>
          <w:tcPr>
            <w:tcW w:w="7832" w:type="dxa"/>
            <w:tcBorders>
              <w:top w:val="single" w:sz="8" w:space="0" w:color="auto"/>
              <w:left w:val="single" w:sz="8" w:space="0" w:color="auto"/>
              <w:bottom w:val="single" w:sz="8" w:space="0" w:color="auto"/>
            </w:tcBorders>
            <w:vAlign w:val="bottom"/>
          </w:tcPr>
          <w:p w14:paraId="7FE1C918" w14:textId="77777777" w:rsidR="00534D9A" w:rsidRDefault="003243B2">
            <w:pPr>
              <w:pStyle w:val="P68B1DB1-TableParagraph73"/>
              <w:spacing w:before="108"/>
              <w:ind w:left="85"/>
              <w:jc w:val="both"/>
            </w:pPr>
            <w:r>
              <w:t>Valur tat-tranżazzjonijiet fuq kontijiet proprjetarji u tal-klijenti</w:t>
            </w:r>
          </w:p>
          <w:p w14:paraId="7FE1C919" w14:textId="7A080DD4" w:rsidR="00534D9A" w:rsidRDefault="003243B2">
            <w:pPr>
              <w:pStyle w:val="P68B1DB1-TableParagraph40"/>
              <w:spacing w:before="108"/>
              <w:ind w:left="85"/>
              <w:jc w:val="both"/>
            </w:pPr>
            <w:r>
              <w:t xml:space="preserve">Il-valur tat-tranżazzjonijiet fis-sena ta’ rapportar mit-tipi ta’ kontijiet rispettivi. Il-kolonna 0130 tinkludi kemm il-valuri omnibus kif ukoll dawk segregati tal-kont tal-klijent. </w:t>
            </w:r>
          </w:p>
          <w:p w14:paraId="7FE1C91A" w14:textId="77777777" w:rsidR="00534D9A" w:rsidRDefault="003243B2">
            <w:pPr>
              <w:pStyle w:val="TableParagraph"/>
              <w:spacing w:before="108"/>
              <w:ind w:left="8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Rapport għal PS, CCP, (I) CSD</w:t>
            </w:r>
            <w:r>
              <w:rPr>
                <w:rStyle w:val="FootnoteReference"/>
                <w:rFonts w:ascii="Times New Roman" w:eastAsia="Times New Roman" w:hAnsi="Times New Roman" w:cs="Times New Roman"/>
              </w:rPr>
              <w:footnoteReference w:id="35"/>
            </w:r>
            <w:r>
              <w:rPr>
                <w:rFonts w:ascii="Times New Roman" w:eastAsia="Times New Roman" w:hAnsi="Times New Roman" w:cs="Times New Roman"/>
                <w:sz w:val="20"/>
                <w:szCs w:val="20"/>
              </w:rPr>
              <w:t>.</w:t>
            </w:r>
          </w:p>
          <w:p w14:paraId="7FE1C91B" w14:textId="77777777" w:rsidR="00534D9A" w:rsidRDefault="003243B2">
            <w:pPr>
              <w:pStyle w:val="P68B1DB1-TableParagraph40"/>
              <w:numPr>
                <w:ilvl w:val="0"/>
                <w:numId w:val="250"/>
              </w:numPr>
              <w:spacing w:before="108"/>
              <w:jc w:val="both"/>
            </w:pPr>
            <w:r>
              <w:t>PS: Valur tat-tranżazzjonijiet mibgħuta.</w:t>
            </w:r>
          </w:p>
          <w:p w14:paraId="7FE1C91C" w14:textId="77777777" w:rsidR="00534D9A" w:rsidRDefault="003243B2">
            <w:pPr>
              <w:pStyle w:val="P68B1DB1-TableParagraph40"/>
              <w:numPr>
                <w:ilvl w:val="0"/>
                <w:numId w:val="250"/>
              </w:numPr>
              <w:spacing w:before="108"/>
              <w:jc w:val="both"/>
            </w:pPr>
            <w:r>
              <w:t>CCPs: Il-valur totali tat-tranżazzjonijiet imwettqa matul is-sena. Għal CCP-Derivatives:</w:t>
            </w:r>
          </w:p>
          <w:p w14:paraId="7FE1C91D" w14:textId="77777777" w:rsidR="00534D9A" w:rsidRDefault="003243B2">
            <w:pPr>
              <w:pStyle w:val="P68B1DB1-TableParagraph40"/>
              <w:numPr>
                <w:ilvl w:val="1"/>
                <w:numId w:val="250"/>
              </w:numPr>
              <w:spacing w:before="108"/>
              <w:jc w:val="both"/>
            </w:pPr>
            <w:r>
              <w:t>Opzjonijiet = prezz tal-eżerċitar;</w:t>
            </w:r>
          </w:p>
          <w:p w14:paraId="7FE1C91E" w14:textId="77777777" w:rsidR="00534D9A" w:rsidRDefault="003243B2">
            <w:pPr>
              <w:pStyle w:val="P68B1DB1-TableParagraph40"/>
              <w:numPr>
                <w:ilvl w:val="1"/>
                <w:numId w:val="250"/>
              </w:numPr>
              <w:spacing w:before="108"/>
              <w:jc w:val="both"/>
            </w:pPr>
            <w:r>
              <w:t>Futuri = il-valur tas-sottostanti fil-ħin tat-tranżazzjoni jew, jekk jeżisti sottostanti nozzjonali, il-prezz tas-suq tal-kuntratti tal-futuri fil-ħin tat-tranżazzjoni.</w:t>
            </w:r>
          </w:p>
          <w:p w14:paraId="7FE1C91F" w14:textId="77777777" w:rsidR="00534D9A" w:rsidRDefault="003243B2">
            <w:pPr>
              <w:pStyle w:val="P68B1DB1-TableParagraph40"/>
              <w:numPr>
                <w:ilvl w:val="1"/>
                <w:numId w:val="250"/>
              </w:numPr>
              <w:spacing w:before="108"/>
              <w:jc w:val="both"/>
            </w:pPr>
            <w:r>
              <w:t>Swaps = il-valur totali tas-suq tat-tranżazzjonijiet pendenti fi tmiem is-sena.</w:t>
            </w:r>
          </w:p>
          <w:p w14:paraId="7FE1C920" w14:textId="22076F29" w:rsidR="00534D9A" w:rsidRDefault="003243B2">
            <w:pPr>
              <w:pStyle w:val="P68B1DB1-TableParagraph40"/>
              <w:numPr>
                <w:ilvl w:val="0"/>
                <w:numId w:val="250"/>
              </w:numPr>
              <w:spacing w:before="108"/>
              <w:jc w:val="both"/>
              <w:rPr>
                <w:strike/>
                <w:color w:val="D13438"/>
                <w:u w:val="single"/>
              </w:rPr>
            </w:pPr>
            <w:r>
              <w:lastRenderedPageBreak/>
              <w:t xml:space="preserve">(I) CSD: Valur totali tal-istruzzjonijiet ta’ konsenja. </w:t>
            </w:r>
          </w:p>
        </w:tc>
      </w:tr>
      <w:tr w:rsidR="00534D9A" w14:paraId="7FE1C926" w14:textId="77777777">
        <w:tc>
          <w:tcPr>
            <w:tcW w:w="1183" w:type="dxa"/>
            <w:tcBorders>
              <w:top w:val="single" w:sz="8" w:space="0" w:color="auto"/>
              <w:bottom w:val="single" w:sz="8" w:space="0" w:color="auto"/>
              <w:right w:val="single" w:sz="8" w:space="0" w:color="auto"/>
            </w:tcBorders>
            <w:vAlign w:val="center"/>
          </w:tcPr>
          <w:p w14:paraId="7FE1C922" w14:textId="1240362A" w:rsidR="00534D9A" w:rsidRDefault="003243B2">
            <w:pPr>
              <w:pStyle w:val="P68B1DB1-Normal31"/>
              <w:rPr>
                <w:strike/>
              </w:rPr>
            </w:pPr>
            <w:r>
              <w:lastRenderedPageBreak/>
              <w:t>0140</w:t>
            </w:r>
          </w:p>
        </w:tc>
        <w:tc>
          <w:tcPr>
            <w:tcW w:w="7832" w:type="dxa"/>
            <w:tcBorders>
              <w:top w:val="single" w:sz="8" w:space="0" w:color="auto"/>
              <w:left w:val="single" w:sz="8" w:space="0" w:color="auto"/>
              <w:bottom w:val="single" w:sz="8" w:space="0" w:color="auto"/>
            </w:tcBorders>
            <w:vAlign w:val="bottom"/>
          </w:tcPr>
          <w:p w14:paraId="7FE1C923" w14:textId="77777777" w:rsidR="00534D9A" w:rsidRDefault="003243B2">
            <w:pPr>
              <w:pStyle w:val="P68B1DB1-TableParagraph73"/>
              <w:spacing w:before="108" w:after="120"/>
              <w:ind w:left="85"/>
              <w:jc w:val="both"/>
            </w:pPr>
            <w:r>
              <w:t>Ammont nozzjonali akkumulat</w:t>
            </w:r>
          </w:p>
          <w:p w14:paraId="7FE1C924" w14:textId="77777777" w:rsidR="00534D9A" w:rsidRDefault="003243B2">
            <w:pPr>
              <w:pStyle w:val="P68B1DB1-TableParagraph40"/>
              <w:spacing w:before="108"/>
              <w:ind w:left="85"/>
              <w:jc w:val="both"/>
            </w:pPr>
            <w:r>
              <w:t xml:space="preserve">Is-somma tal-ammonti nozzjonali tat-tranżazzjonijiet eżegwiti matul is-sena, kemm għall-kontijiet tad-djar kif ukoll għal dawk tal-klijenti. Irrapporta f’biljuni ta’ EUR </w:t>
            </w:r>
          </w:p>
          <w:p w14:paraId="7FE1C925" w14:textId="77777777" w:rsidR="00534D9A" w:rsidRDefault="003243B2">
            <w:pPr>
              <w:pStyle w:val="P68B1DB1-Heading482"/>
              <w:numPr>
                <w:ilvl w:val="3"/>
                <w:numId w:val="0"/>
              </w:numPr>
              <w:ind w:left="360"/>
              <w:rPr>
                <w:strike/>
                <w:color w:val="D13438"/>
                <w:u w:val="single"/>
              </w:rPr>
            </w:pPr>
            <w:r>
              <w:t>Għad-Derivattivi tas-CCP-biss.</w:t>
            </w:r>
          </w:p>
        </w:tc>
      </w:tr>
      <w:tr w:rsidR="00534D9A" w14:paraId="7FE1C92A" w14:textId="77777777">
        <w:tc>
          <w:tcPr>
            <w:tcW w:w="1183" w:type="dxa"/>
            <w:tcBorders>
              <w:top w:val="single" w:sz="8" w:space="0" w:color="auto"/>
              <w:bottom w:val="single" w:sz="8" w:space="0" w:color="auto"/>
              <w:right w:val="single" w:sz="8" w:space="0" w:color="auto"/>
            </w:tcBorders>
            <w:vAlign w:val="center"/>
          </w:tcPr>
          <w:p w14:paraId="7FE1C927" w14:textId="446A9A90" w:rsidR="00534D9A" w:rsidRDefault="003243B2">
            <w:pPr>
              <w:pStyle w:val="P68B1DB1-Normal31"/>
              <w:rPr>
                <w:strike/>
              </w:rPr>
            </w:pPr>
            <w:r>
              <w:t>0150</w:t>
            </w:r>
          </w:p>
        </w:tc>
        <w:tc>
          <w:tcPr>
            <w:tcW w:w="7832" w:type="dxa"/>
            <w:tcBorders>
              <w:top w:val="single" w:sz="8" w:space="0" w:color="auto"/>
              <w:left w:val="single" w:sz="8" w:space="0" w:color="auto"/>
              <w:bottom w:val="single" w:sz="8" w:space="0" w:color="auto"/>
            </w:tcBorders>
            <w:vAlign w:val="bottom"/>
          </w:tcPr>
          <w:p w14:paraId="7FE1C928" w14:textId="77777777" w:rsidR="00534D9A" w:rsidRDefault="003243B2">
            <w:pPr>
              <w:pStyle w:val="P68B1DB1-TableParagraph73"/>
              <w:spacing w:before="108"/>
              <w:ind w:left="85"/>
              <w:jc w:val="both"/>
            </w:pPr>
            <w:r>
              <w:t>Linja ta’ kreditu</w:t>
            </w:r>
          </w:p>
          <w:p w14:paraId="7FE1C929" w14:textId="77777777" w:rsidR="00534D9A" w:rsidRDefault="003243B2">
            <w:pPr>
              <w:pStyle w:val="P68B1DB1-Heading482"/>
              <w:numPr>
                <w:ilvl w:val="3"/>
                <w:numId w:val="0"/>
              </w:numPr>
              <w:ind w:left="360"/>
              <w:rPr>
                <w:strike/>
                <w:color w:val="D13438"/>
                <w:u w:val="single"/>
              </w:rPr>
            </w:pPr>
            <w:r>
              <w:t xml:space="preserve">Linja ta’ kreditu impenjata jew mhux impenjata mogħtija mis-sistema f’każ ta’ aċċess dirett, jew mill-intermedjarju jew fornitur ieħor tal-likwidità f’każ ta’ aċċess indirett. Għal ammonti mhux divulgati, l-użu massimu matul is-sena. </w:t>
            </w:r>
          </w:p>
        </w:tc>
      </w:tr>
      <w:tr w:rsidR="00534D9A" w14:paraId="7FE1C931" w14:textId="77777777">
        <w:tc>
          <w:tcPr>
            <w:tcW w:w="1183" w:type="dxa"/>
            <w:tcBorders>
              <w:top w:val="single" w:sz="8" w:space="0" w:color="auto"/>
              <w:bottom w:val="single" w:sz="8" w:space="0" w:color="auto"/>
              <w:right w:val="single" w:sz="8" w:space="0" w:color="auto"/>
            </w:tcBorders>
            <w:vAlign w:val="center"/>
          </w:tcPr>
          <w:p w14:paraId="7FE1C92B" w14:textId="48B84DB8" w:rsidR="00534D9A" w:rsidRDefault="003243B2">
            <w:pPr>
              <w:pStyle w:val="P68B1DB1-Normal31"/>
              <w:rPr>
                <w:strike/>
              </w:rPr>
            </w:pPr>
            <w:r>
              <w:t>0160</w:t>
            </w:r>
          </w:p>
        </w:tc>
        <w:tc>
          <w:tcPr>
            <w:tcW w:w="7832" w:type="dxa"/>
            <w:tcBorders>
              <w:top w:val="single" w:sz="8" w:space="0" w:color="auto"/>
              <w:left w:val="single" w:sz="8" w:space="0" w:color="auto"/>
              <w:bottom w:val="single" w:sz="8" w:space="0" w:color="auto"/>
            </w:tcBorders>
            <w:vAlign w:val="bottom"/>
          </w:tcPr>
          <w:p w14:paraId="7FE1C92C" w14:textId="77777777" w:rsidR="00534D9A" w:rsidRDefault="003243B2">
            <w:pPr>
              <w:pStyle w:val="P68B1DB1-TableParagraph73"/>
              <w:spacing w:before="108"/>
              <w:ind w:left="85"/>
              <w:jc w:val="both"/>
            </w:pPr>
            <w:r>
              <w:t>L-ogħla livell ta’ rekwiżiti ta’ likwidità jew kollateral</w:t>
            </w:r>
          </w:p>
          <w:p w14:paraId="7FE1C92D" w14:textId="77777777" w:rsidR="00534D9A" w:rsidRDefault="003243B2">
            <w:pPr>
              <w:pStyle w:val="P68B1DB1-TableParagraph40"/>
              <w:spacing w:before="108"/>
              <w:ind w:left="85"/>
              <w:jc w:val="both"/>
            </w:pPr>
            <w:r>
              <w:t>Irrapporta biss għal PS, (I) CSD, CCPs kif applikabbli. L-ogħla valur matul is-sena ta’ qabel.</w:t>
            </w:r>
          </w:p>
          <w:p w14:paraId="7FE1C92E" w14:textId="77777777" w:rsidR="00534D9A" w:rsidRDefault="003243B2">
            <w:pPr>
              <w:pStyle w:val="P68B1DB1-TableParagraph40"/>
              <w:numPr>
                <w:ilvl w:val="0"/>
                <w:numId w:val="251"/>
              </w:numPr>
              <w:spacing w:before="108"/>
              <w:jc w:val="both"/>
            </w:pPr>
            <w:r>
              <w:t xml:space="preserve">Għal (I) CSDs u PS: l-ogħla livell tal-użu tal-linja ta’ kreditu.  </w:t>
            </w:r>
          </w:p>
          <w:p w14:paraId="7FE1C92F" w14:textId="77777777" w:rsidR="00534D9A" w:rsidRDefault="003243B2">
            <w:pPr>
              <w:pStyle w:val="P68B1DB1-TableParagraph40"/>
              <w:numPr>
                <w:ilvl w:val="0"/>
                <w:numId w:val="251"/>
              </w:numPr>
              <w:spacing w:before="108"/>
              <w:jc w:val="both"/>
            </w:pPr>
            <w:r>
              <w:t>Għas-CCPs: l-ogħla livell tar-rekwiżiti tal-marġni.</w:t>
            </w:r>
          </w:p>
          <w:p w14:paraId="7FE1C930" w14:textId="77777777" w:rsidR="00534D9A" w:rsidRDefault="003243B2">
            <w:pPr>
              <w:pStyle w:val="P68B1DB1-TableParagraph40"/>
              <w:numPr>
                <w:ilvl w:val="0"/>
                <w:numId w:val="251"/>
              </w:numPr>
              <w:spacing w:before="108"/>
              <w:jc w:val="both"/>
              <w:rPr>
                <w:strike/>
                <w:color w:val="D13438"/>
                <w:u w:val="single"/>
              </w:rPr>
            </w:pPr>
            <w:r>
              <w:t>Għal aċċessi indiretti: l-ogħla finanzjament meħtieġ mill-intermedjarju.</w:t>
            </w:r>
          </w:p>
        </w:tc>
      </w:tr>
      <w:tr w:rsidR="00534D9A" w14:paraId="7FE1C935" w14:textId="77777777">
        <w:tc>
          <w:tcPr>
            <w:tcW w:w="1183" w:type="dxa"/>
            <w:tcBorders>
              <w:top w:val="single" w:sz="8" w:space="0" w:color="auto"/>
              <w:bottom w:val="single" w:sz="8" w:space="0" w:color="auto"/>
              <w:right w:val="single" w:sz="8" w:space="0" w:color="auto"/>
            </w:tcBorders>
            <w:vAlign w:val="center"/>
          </w:tcPr>
          <w:p w14:paraId="7FE1C932" w14:textId="618A69A7" w:rsidR="00534D9A" w:rsidRDefault="003243B2">
            <w:pPr>
              <w:pStyle w:val="P68B1DB1-Normal31"/>
              <w:rPr>
                <w:strike/>
              </w:rPr>
            </w:pPr>
            <w:r>
              <w:t>0170</w:t>
            </w:r>
          </w:p>
        </w:tc>
        <w:tc>
          <w:tcPr>
            <w:tcW w:w="7832" w:type="dxa"/>
            <w:tcBorders>
              <w:top w:val="single" w:sz="8" w:space="0" w:color="auto"/>
              <w:left w:val="single" w:sz="8" w:space="0" w:color="auto"/>
              <w:bottom w:val="single" w:sz="8" w:space="0" w:color="auto"/>
            </w:tcBorders>
            <w:vAlign w:val="bottom"/>
          </w:tcPr>
          <w:p w14:paraId="7FE1C933" w14:textId="77777777" w:rsidR="00534D9A" w:rsidRDefault="003243B2">
            <w:pPr>
              <w:pStyle w:val="P68B1DB1-TableParagraph73"/>
              <w:spacing w:before="108"/>
              <w:ind w:left="85"/>
              <w:jc w:val="both"/>
            </w:pPr>
            <w:r>
              <w:t>Likwidità addizzjonali stmata jew rekwiżiti kollaterali f’sitwazzjoni ta’ stress</w:t>
            </w:r>
          </w:p>
          <w:p w14:paraId="7FE1C934" w14:textId="16041565" w:rsidR="00534D9A" w:rsidRDefault="003243B2">
            <w:pPr>
              <w:pStyle w:val="P68B1DB1-Heading482"/>
              <w:numPr>
                <w:ilvl w:val="3"/>
                <w:numId w:val="0"/>
              </w:numPr>
              <w:ind w:left="360"/>
              <w:rPr>
                <w:strike/>
                <w:color w:val="D13438"/>
                <w:u w:val="single"/>
              </w:rPr>
            </w:pPr>
            <w:r>
              <w:t xml:space="preserve">Stima ta’ likwidità jew kollateral addizzjonali potenzjali ogħla mir-rekwiżit massimu fil-kolonna 0160, li l-Utent jista’ jiffaċċja f’sitwazzjoni ta’ stress qawwi. </w:t>
            </w:r>
          </w:p>
        </w:tc>
      </w:tr>
    </w:tbl>
    <w:p w14:paraId="7FE1C936" w14:textId="77777777" w:rsidR="00534D9A" w:rsidRDefault="00534D9A">
      <w:pPr>
        <w:pStyle w:val="Instructionsberschrift2"/>
        <w:ind w:left="357"/>
        <w:rPr>
          <w:rFonts w:ascii="Times New Roman" w:eastAsia="Calibri" w:hAnsi="Times New Roman" w:cs="Times New Roman"/>
          <w:szCs w:val="20"/>
        </w:rPr>
      </w:pPr>
    </w:p>
    <w:p w14:paraId="7FE1C937" w14:textId="77777777" w:rsidR="00534D9A" w:rsidRDefault="003243B2">
      <w:pPr>
        <w:pStyle w:val="P68B1DB1-Instructionsberschrift271"/>
        <w:numPr>
          <w:ilvl w:val="1"/>
          <w:numId w:val="49"/>
        </w:numPr>
        <w:ind w:left="357" w:hanging="357"/>
      </w:pPr>
      <w:bookmarkStart w:id="140" w:name="_Toc208245023"/>
      <w:r>
        <w:t>Z 09.04 — Servizzi FMI — CCPs — Fornituri Alternattivi (FMI 4)</w:t>
      </w:r>
      <w:bookmarkEnd w:id="140"/>
    </w:p>
    <w:tbl>
      <w:tblPr>
        <w:tblW w:w="0" w:type="auto"/>
        <w:tblInd w:w="135" w:type="dxa"/>
        <w:tblLook w:val="04A0" w:firstRow="1" w:lastRow="0" w:firstColumn="1" w:lastColumn="0" w:noHBand="0" w:noVBand="1"/>
      </w:tblPr>
      <w:tblGrid>
        <w:gridCol w:w="1178"/>
        <w:gridCol w:w="7713"/>
      </w:tblGrid>
      <w:tr w:rsidR="00534D9A" w14:paraId="7FE1CBEC" w14:textId="77777777">
        <w:tc>
          <w:tcPr>
            <w:tcW w:w="1178" w:type="dxa"/>
            <w:tcBorders>
              <w:top w:val="single" w:sz="8" w:space="0" w:color="1A171C"/>
              <w:left w:val="nil"/>
              <w:bottom w:val="single" w:sz="8" w:space="0" w:color="1A171C"/>
              <w:right w:val="single" w:sz="8" w:space="0" w:color="1A171C"/>
            </w:tcBorders>
            <w:shd w:val="clear" w:color="auto" w:fill="D9D9D9" w:themeFill="background1" w:themeFillShade="D9"/>
          </w:tcPr>
          <w:p w14:paraId="7FE1CBEA" w14:textId="77777777" w:rsidR="00534D9A" w:rsidRDefault="003243B2">
            <w:pPr>
              <w:pStyle w:val="P68B1DB1-TableParagraph17"/>
              <w:spacing w:before="108"/>
              <w:ind w:left="85"/>
            </w:pPr>
            <w:bookmarkStart w:id="141" w:name="_Toc162265152"/>
            <w:bookmarkStart w:id="142" w:name="_Toc162265682"/>
            <w:bookmarkStart w:id="143" w:name="_Toc162265752"/>
            <w:bookmarkStart w:id="144" w:name="_Toc162266097"/>
            <w:bookmarkStart w:id="145" w:name="_Toc163639558"/>
            <w:bookmarkStart w:id="146" w:name="_Toc162265153"/>
            <w:bookmarkStart w:id="147" w:name="_Toc162265683"/>
            <w:bookmarkStart w:id="148" w:name="_Toc162265753"/>
            <w:bookmarkStart w:id="149" w:name="_Toc162266098"/>
            <w:bookmarkStart w:id="150" w:name="_Toc163639559"/>
            <w:bookmarkStart w:id="151" w:name="_Toc160027996"/>
            <w:bookmarkStart w:id="152" w:name="_Toc160028068"/>
            <w:bookmarkStart w:id="153" w:name="_Toc160028140"/>
            <w:bookmarkStart w:id="154" w:name="_Toc161034556"/>
            <w:bookmarkStart w:id="155" w:name="_Toc162265154"/>
            <w:bookmarkStart w:id="156" w:name="_Toc162265684"/>
            <w:bookmarkStart w:id="157" w:name="_Toc162265754"/>
            <w:bookmarkStart w:id="158" w:name="_Toc162266099"/>
            <w:bookmarkStart w:id="159" w:name="_Toc163639560"/>
            <w:bookmarkStart w:id="160" w:name="_Toc189493010"/>
            <w:bookmarkStart w:id="161" w:name="_Toc192249287"/>
            <w:bookmarkStart w:id="162" w:name="_Toc189493015"/>
            <w:bookmarkStart w:id="163" w:name="_Toc192249292"/>
            <w:bookmarkStart w:id="164" w:name="_Toc189493098"/>
            <w:bookmarkStart w:id="165" w:name="_Toc192249375"/>
            <w:bookmarkStart w:id="166" w:name="_Toc189493105"/>
            <w:bookmarkStart w:id="167" w:name="_Toc192249382"/>
            <w:bookmarkStart w:id="168" w:name="_Toc160027999"/>
            <w:bookmarkStart w:id="169" w:name="_Toc160028071"/>
            <w:bookmarkStart w:id="170" w:name="_Toc160028143"/>
            <w:bookmarkStart w:id="171" w:name="_Toc161034559"/>
            <w:bookmarkStart w:id="172" w:name="_Toc162265157"/>
            <w:bookmarkStart w:id="173" w:name="_Toc162265687"/>
            <w:bookmarkStart w:id="174" w:name="_Toc162265757"/>
            <w:bookmarkStart w:id="175" w:name="_Toc162266102"/>
            <w:bookmarkStart w:id="176" w:name="_Toc163639563"/>
            <w:bookmarkStart w:id="177" w:name="_Toc160028000"/>
            <w:bookmarkStart w:id="178" w:name="_Toc160028072"/>
            <w:bookmarkStart w:id="179" w:name="_Toc160028144"/>
            <w:bookmarkStart w:id="180" w:name="_Toc161034560"/>
            <w:bookmarkStart w:id="181" w:name="_Toc162265158"/>
            <w:bookmarkStart w:id="182" w:name="_Toc162265688"/>
            <w:bookmarkStart w:id="183" w:name="_Toc162265758"/>
            <w:bookmarkStart w:id="184" w:name="_Toc162266103"/>
            <w:bookmarkStart w:id="185" w:name="_Toc163639564"/>
            <w:bookmarkStart w:id="186" w:name="_Toc160028001"/>
            <w:bookmarkStart w:id="187" w:name="_Toc160028073"/>
            <w:bookmarkStart w:id="188" w:name="_Toc160028145"/>
            <w:bookmarkStart w:id="189" w:name="_Toc161034561"/>
            <w:bookmarkStart w:id="190" w:name="_Toc162265159"/>
            <w:bookmarkStart w:id="191" w:name="_Toc162265689"/>
            <w:bookmarkStart w:id="192" w:name="_Toc162265759"/>
            <w:bookmarkStart w:id="193" w:name="_Toc162266104"/>
            <w:bookmarkStart w:id="194" w:name="_Toc163639565"/>
            <w:bookmarkStart w:id="195" w:name="_Toc81454197"/>
            <w:bookmarkStart w:id="196" w:name="_Toc81485512"/>
            <w:bookmarkStart w:id="197" w:name="_Toc81485589"/>
            <w:bookmarkStart w:id="198" w:name="_Toc81485710"/>
            <w:bookmarkStart w:id="199" w:name="_Toc81485994"/>
            <w:bookmarkStart w:id="200" w:name="_Toc160028002"/>
            <w:bookmarkStart w:id="201" w:name="_Toc160028074"/>
            <w:bookmarkStart w:id="202" w:name="_Toc160028146"/>
            <w:bookmarkStart w:id="203" w:name="_Toc161034562"/>
            <w:bookmarkStart w:id="204" w:name="_Toc162265160"/>
            <w:bookmarkStart w:id="205" w:name="_Toc162265690"/>
            <w:bookmarkStart w:id="206" w:name="_Toc162265760"/>
            <w:bookmarkStart w:id="207" w:name="_Toc162266105"/>
            <w:bookmarkStart w:id="208" w:name="_Toc163639566"/>
            <w:bookmarkStart w:id="209" w:name="_Toc81454198"/>
            <w:bookmarkStart w:id="210" w:name="_Toc81485513"/>
            <w:bookmarkStart w:id="211" w:name="_Toc81485590"/>
            <w:bookmarkStart w:id="212" w:name="_Toc81485711"/>
            <w:bookmarkStart w:id="213" w:name="_Toc81485995"/>
            <w:bookmarkStart w:id="214" w:name="_Toc160028003"/>
            <w:bookmarkStart w:id="215" w:name="_Toc160028075"/>
            <w:bookmarkStart w:id="216" w:name="_Toc160028147"/>
            <w:bookmarkStart w:id="217" w:name="_Toc161034563"/>
            <w:bookmarkStart w:id="218" w:name="_Toc162265161"/>
            <w:bookmarkStart w:id="219" w:name="_Toc162265691"/>
            <w:bookmarkStart w:id="220" w:name="_Toc162265761"/>
            <w:bookmarkStart w:id="221" w:name="_Toc162266106"/>
            <w:bookmarkStart w:id="222" w:name="_Toc16363956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t xml:space="preserve">Kolonni </w:t>
            </w:r>
          </w:p>
        </w:tc>
        <w:tc>
          <w:tcPr>
            <w:tcW w:w="7713" w:type="dxa"/>
            <w:tcBorders>
              <w:top w:val="single" w:sz="8" w:space="0" w:color="1A171C"/>
              <w:left w:val="single" w:sz="8" w:space="0" w:color="1A171C"/>
              <w:bottom w:val="single" w:sz="8" w:space="0" w:color="1A171C"/>
              <w:right w:val="nil"/>
            </w:tcBorders>
            <w:shd w:val="clear" w:color="auto" w:fill="D9D9D9" w:themeFill="background1" w:themeFillShade="D9"/>
          </w:tcPr>
          <w:p w14:paraId="7FE1CBEB" w14:textId="77777777" w:rsidR="00534D9A" w:rsidRDefault="003243B2">
            <w:pPr>
              <w:pStyle w:val="P68B1DB1-TableParagraph17"/>
              <w:spacing w:before="108"/>
              <w:ind w:left="85"/>
            </w:pPr>
            <w:r>
              <w:t xml:space="preserve">Struzzjonijiet </w:t>
            </w:r>
          </w:p>
        </w:tc>
      </w:tr>
      <w:tr w:rsidR="00534D9A" w14:paraId="7FE1CBF3" w14:textId="77777777">
        <w:tc>
          <w:tcPr>
            <w:tcW w:w="1178" w:type="dxa"/>
            <w:tcBorders>
              <w:top w:val="single" w:sz="8" w:space="0" w:color="1A171C"/>
              <w:bottom w:val="single" w:sz="8" w:space="0" w:color="auto"/>
              <w:right w:val="single" w:sz="8" w:space="0" w:color="auto"/>
            </w:tcBorders>
            <w:vAlign w:val="center"/>
          </w:tcPr>
          <w:p w14:paraId="7FE1CBED" w14:textId="2655C4FA" w:rsidR="00534D9A" w:rsidRDefault="003243B2">
            <w:pPr>
              <w:pStyle w:val="P68B1DB1-Normal31"/>
            </w:pPr>
            <w:r>
              <w:t>0010</w:t>
            </w:r>
          </w:p>
        </w:tc>
        <w:tc>
          <w:tcPr>
            <w:tcW w:w="7713" w:type="dxa"/>
            <w:tcBorders>
              <w:top w:val="single" w:sz="8" w:space="0" w:color="1A171C"/>
              <w:left w:val="single" w:sz="8" w:space="0" w:color="auto"/>
              <w:bottom w:val="single" w:sz="8" w:space="0" w:color="auto"/>
            </w:tcBorders>
            <w:vAlign w:val="bottom"/>
          </w:tcPr>
          <w:p w14:paraId="7FE1CBEE" w14:textId="77777777" w:rsidR="00534D9A" w:rsidRDefault="003243B2">
            <w:pPr>
              <w:pStyle w:val="P68B1DB1-TableParagraph73"/>
              <w:spacing w:before="108"/>
              <w:ind w:left="85"/>
              <w:jc w:val="both"/>
            </w:pPr>
            <w:r>
              <w:t>Id li tirrappreżenta kombinazzjoni ta’ utent, FMI, tip ta’ sistema u intermedjarju</w:t>
            </w:r>
          </w:p>
          <w:p w14:paraId="7FE1CBEF" w14:textId="2166D4DC" w:rsidR="00534D9A" w:rsidRDefault="003243B2">
            <w:pPr>
              <w:pStyle w:val="P68B1DB1-TableParagraph40"/>
              <w:spacing w:before="108"/>
              <w:ind w:left="85"/>
              <w:jc w:val="both"/>
            </w:pPr>
            <w:r>
              <w:t xml:space="preserve">Identifikatur tas-CCP kif ipprovdut f’Z 09.01, kolonna 0010. </w:t>
            </w:r>
          </w:p>
          <w:p w14:paraId="7FE1CBF2" w14:textId="2A5BCF53" w:rsidR="00534D9A" w:rsidRDefault="003243B2">
            <w:pPr>
              <w:pStyle w:val="P68B1DB1-TableParagraph40"/>
              <w:spacing w:before="108"/>
              <w:ind w:left="85"/>
              <w:jc w:val="both"/>
              <w:rPr>
                <w:b/>
                <w:bCs/>
                <w:i/>
                <w:iCs/>
              </w:rPr>
            </w:pPr>
            <w:r>
              <w:t>Irrapporta biss għas-CCPs aċċessati direttament jew indirettament. Irrapporta l-aċċessi kollha lis-CCPs.</w:t>
            </w:r>
          </w:p>
        </w:tc>
      </w:tr>
      <w:tr w:rsidR="00534D9A" w14:paraId="7FE1CBF9" w14:textId="77777777">
        <w:tc>
          <w:tcPr>
            <w:tcW w:w="1178" w:type="dxa"/>
            <w:tcBorders>
              <w:top w:val="single" w:sz="8" w:space="0" w:color="auto"/>
              <w:bottom w:val="single" w:sz="8" w:space="0" w:color="auto"/>
              <w:right w:val="single" w:sz="8" w:space="0" w:color="auto"/>
            </w:tcBorders>
            <w:vAlign w:val="center"/>
          </w:tcPr>
          <w:p w14:paraId="7FE1CBF4" w14:textId="1F2D5BBA" w:rsidR="00534D9A" w:rsidRDefault="003243B2">
            <w:pPr>
              <w:pStyle w:val="P68B1DB1-Normal31"/>
            </w:pPr>
            <w:r>
              <w:t>0020</w:t>
            </w:r>
          </w:p>
        </w:tc>
        <w:tc>
          <w:tcPr>
            <w:tcW w:w="7713" w:type="dxa"/>
            <w:tcBorders>
              <w:top w:val="single" w:sz="8" w:space="0" w:color="auto"/>
              <w:left w:val="single" w:sz="8" w:space="0" w:color="auto"/>
              <w:bottom w:val="single" w:sz="8" w:space="0" w:color="auto"/>
            </w:tcBorders>
            <w:vAlign w:val="bottom"/>
          </w:tcPr>
          <w:p w14:paraId="7FE1CBF5" w14:textId="77777777" w:rsidR="00534D9A" w:rsidRDefault="003243B2">
            <w:pPr>
              <w:pStyle w:val="P68B1DB1-TableParagraph73"/>
              <w:spacing w:before="108"/>
              <w:ind w:left="85"/>
              <w:jc w:val="both"/>
              <w:rPr>
                <w:bCs/>
              </w:rPr>
            </w:pPr>
            <w:r>
              <w:t>Tip ta’ Prodott</w:t>
            </w:r>
          </w:p>
          <w:p w14:paraId="7FE1CBF8" w14:textId="236012E4" w:rsidR="00534D9A" w:rsidRDefault="003243B2">
            <w:pPr>
              <w:pStyle w:val="P68B1DB1-TableParagraph40"/>
              <w:spacing w:before="108"/>
              <w:ind w:left="85"/>
              <w:jc w:val="both"/>
              <w:rPr>
                <w:b/>
                <w:bCs/>
                <w:i/>
                <w:iCs/>
              </w:rPr>
            </w:pPr>
            <w:r>
              <w:t xml:space="preserve">Tip ta’ prodott kopert mill-ftehim tal-ikklerjar. Irrapporta f’livell xieraq ta’ granularità meħtieġa għall-analiżi tas-sostitwibbiltà. </w:t>
            </w:r>
          </w:p>
        </w:tc>
      </w:tr>
      <w:tr w:rsidR="00534D9A" w14:paraId="7FE1CC03" w14:textId="77777777">
        <w:tc>
          <w:tcPr>
            <w:tcW w:w="1178" w:type="dxa"/>
            <w:tcBorders>
              <w:top w:val="single" w:sz="8" w:space="0" w:color="auto"/>
              <w:bottom w:val="single" w:sz="8" w:space="0" w:color="auto"/>
              <w:right w:val="single" w:sz="8" w:space="0" w:color="auto"/>
            </w:tcBorders>
            <w:vAlign w:val="center"/>
          </w:tcPr>
          <w:p w14:paraId="7FE1CBFA" w14:textId="37C17AD0" w:rsidR="00534D9A" w:rsidRDefault="003243B2">
            <w:pPr>
              <w:pStyle w:val="P68B1DB1-Normal31"/>
            </w:pPr>
            <w:r>
              <w:t>0030</w:t>
            </w:r>
          </w:p>
        </w:tc>
        <w:tc>
          <w:tcPr>
            <w:tcW w:w="7713" w:type="dxa"/>
            <w:tcBorders>
              <w:top w:val="single" w:sz="8" w:space="0" w:color="auto"/>
              <w:left w:val="single" w:sz="8" w:space="0" w:color="auto"/>
              <w:bottom w:val="single" w:sz="8" w:space="0" w:color="auto"/>
            </w:tcBorders>
            <w:vAlign w:val="bottom"/>
          </w:tcPr>
          <w:p w14:paraId="7FE1CBFB" w14:textId="77777777" w:rsidR="00534D9A" w:rsidRDefault="003243B2">
            <w:pPr>
              <w:pStyle w:val="P68B1DB1-TableParagraph73"/>
              <w:spacing w:before="108"/>
              <w:ind w:left="85"/>
              <w:jc w:val="both"/>
            </w:pPr>
            <w:r>
              <w:t>Sostitwibbiltà I/L</w:t>
            </w:r>
          </w:p>
          <w:p w14:paraId="7FE1CBFC" w14:textId="24D3331D" w:rsidR="00534D9A" w:rsidRDefault="003243B2">
            <w:pPr>
              <w:pStyle w:val="P68B1DB1-TableParagraph40"/>
              <w:spacing w:before="108"/>
              <w:ind w:left="85"/>
              <w:jc w:val="both"/>
            </w:pPr>
            <w:r>
              <w:t>Il-kapaċità tal-Utent li jissostitwixxi l-fornitur tas-servizzi tal-ikklerjar f’Z 09.01 il-kolonna 0020 b’FMI/intermedjarju alternattiv li miegħu għandu relazzjoni kuntrattwali fid-data tar-rapportar. .</w:t>
            </w:r>
          </w:p>
          <w:p w14:paraId="7FE1CBFE" w14:textId="1F022B26" w:rsidR="00534D9A" w:rsidRDefault="003243B2">
            <w:pPr>
              <w:pStyle w:val="P68B1DB1-TableParagraph40"/>
              <w:numPr>
                <w:ilvl w:val="0"/>
                <w:numId w:val="256"/>
              </w:numPr>
              <w:spacing w:before="108"/>
              <w:jc w:val="both"/>
            </w:pPr>
            <w:r>
              <w:t>“Iva” jekk is-sostituzzjoni hija possibbli</w:t>
            </w:r>
          </w:p>
          <w:p w14:paraId="7FE1CBFF" w14:textId="719E31EA" w:rsidR="00534D9A" w:rsidRDefault="003243B2">
            <w:pPr>
              <w:pStyle w:val="P68B1DB1-TableParagraph40"/>
              <w:numPr>
                <w:ilvl w:val="0"/>
                <w:numId w:val="256"/>
              </w:numPr>
              <w:spacing w:before="108"/>
              <w:jc w:val="both"/>
            </w:pPr>
            <w:r>
              <w:t>“Le” jekk is-sostituzzjoni ma tkunx possibbli</w:t>
            </w:r>
          </w:p>
          <w:p w14:paraId="7FE1CC02" w14:textId="77777777" w:rsidR="00534D9A" w:rsidRDefault="00534D9A">
            <w:pPr>
              <w:pStyle w:val="TableParagraph"/>
              <w:spacing w:before="108"/>
              <w:jc w:val="both"/>
              <w:rPr>
                <w:rFonts w:ascii="Times New Roman" w:eastAsia="Times New Roman" w:hAnsi="Times New Roman" w:cs="Times New Roman"/>
                <w:b/>
                <w:sz w:val="20"/>
                <w:szCs w:val="20"/>
              </w:rPr>
            </w:pPr>
          </w:p>
        </w:tc>
      </w:tr>
      <w:tr w:rsidR="00534D9A" w14:paraId="7FE1CC08" w14:textId="77777777">
        <w:tc>
          <w:tcPr>
            <w:tcW w:w="1178" w:type="dxa"/>
            <w:tcBorders>
              <w:top w:val="single" w:sz="8" w:space="0" w:color="auto"/>
              <w:bottom w:val="single" w:sz="8" w:space="0" w:color="auto"/>
              <w:right w:val="single" w:sz="8" w:space="0" w:color="auto"/>
            </w:tcBorders>
            <w:vAlign w:val="center"/>
          </w:tcPr>
          <w:p w14:paraId="7FE1CC04" w14:textId="77777777" w:rsidR="00534D9A" w:rsidRDefault="003243B2">
            <w:pPr>
              <w:pStyle w:val="P68B1DB1-Normal31"/>
            </w:pPr>
            <w:r>
              <w:t>0040</w:t>
            </w:r>
          </w:p>
        </w:tc>
        <w:tc>
          <w:tcPr>
            <w:tcW w:w="7713" w:type="dxa"/>
            <w:tcBorders>
              <w:top w:val="single" w:sz="8" w:space="0" w:color="auto"/>
              <w:left w:val="single" w:sz="8" w:space="0" w:color="auto"/>
              <w:bottom w:val="single" w:sz="8" w:space="0" w:color="auto"/>
            </w:tcBorders>
            <w:vAlign w:val="bottom"/>
          </w:tcPr>
          <w:p w14:paraId="7FE1CC05" w14:textId="77777777" w:rsidR="00534D9A" w:rsidRDefault="003243B2">
            <w:pPr>
              <w:pStyle w:val="P68B1DB1-TableParagraph73"/>
              <w:spacing w:before="108" w:after="120"/>
              <w:jc w:val="both"/>
              <w:rPr>
                <w:bCs/>
              </w:rPr>
            </w:pPr>
            <w:r>
              <w:t>Fornitur alternattiv</w:t>
            </w:r>
          </w:p>
          <w:p w14:paraId="7FE1CC06" w14:textId="77777777" w:rsidR="00534D9A" w:rsidRDefault="003243B2">
            <w:pPr>
              <w:pStyle w:val="P68B1DB1-Normal31"/>
              <w:spacing w:line="276" w:lineRule="auto"/>
              <w:jc w:val="both"/>
            </w:pPr>
            <w:r>
              <w:t xml:space="preserve">Isem tal-FMI/intermedjarju identifikat bħala sostitut potenzjali. </w:t>
            </w:r>
          </w:p>
          <w:p w14:paraId="7FE1CC07" w14:textId="2011DAFC" w:rsidR="00534D9A" w:rsidRDefault="003243B2">
            <w:pPr>
              <w:pStyle w:val="P68B1DB1-TableParagraph40"/>
              <w:spacing w:before="108"/>
              <w:ind w:left="85"/>
              <w:jc w:val="both"/>
              <w:rPr>
                <w:b/>
                <w:bCs/>
              </w:rPr>
            </w:pPr>
            <w:r>
              <w:t>Irrapporta biss jekk Z 09.04 il-kolonna 0030 tkun Iva.</w:t>
            </w:r>
          </w:p>
        </w:tc>
      </w:tr>
      <w:tr w:rsidR="00534D9A" w14:paraId="7FE1CC0D" w14:textId="77777777">
        <w:tc>
          <w:tcPr>
            <w:tcW w:w="1178" w:type="dxa"/>
            <w:tcBorders>
              <w:top w:val="single" w:sz="8" w:space="0" w:color="auto"/>
              <w:bottom w:val="single" w:sz="8" w:space="0" w:color="auto"/>
              <w:right w:val="single" w:sz="8" w:space="0" w:color="auto"/>
            </w:tcBorders>
            <w:vAlign w:val="center"/>
          </w:tcPr>
          <w:p w14:paraId="7FE1CC09" w14:textId="77777777" w:rsidR="00534D9A" w:rsidRDefault="003243B2">
            <w:pPr>
              <w:pStyle w:val="P68B1DB1-Normal31"/>
            </w:pPr>
            <w:r>
              <w:t>0050</w:t>
            </w:r>
          </w:p>
        </w:tc>
        <w:tc>
          <w:tcPr>
            <w:tcW w:w="7713" w:type="dxa"/>
            <w:tcBorders>
              <w:top w:val="single" w:sz="8" w:space="0" w:color="auto"/>
              <w:left w:val="single" w:sz="8" w:space="0" w:color="auto"/>
              <w:bottom w:val="single" w:sz="8" w:space="0" w:color="auto"/>
            </w:tcBorders>
            <w:vAlign w:val="bottom"/>
          </w:tcPr>
          <w:p w14:paraId="7FE1CC0A" w14:textId="77777777" w:rsidR="00534D9A" w:rsidRDefault="003243B2">
            <w:pPr>
              <w:pStyle w:val="P68B1DB1-TableParagraph73"/>
              <w:spacing w:before="108"/>
              <w:jc w:val="both"/>
              <w:rPr>
                <w:bCs/>
              </w:rPr>
            </w:pPr>
            <w:r>
              <w:t>Fornitur alternattiv tal-ID</w:t>
            </w:r>
          </w:p>
          <w:p w14:paraId="7FE1CC0B" w14:textId="680AAC78" w:rsidR="00534D9A" w:rsidRDefault="003243B2">
            <w:pPr>
              <w:pStyle w:val="P68B1DB1-Normal31"/>
              <w:spacing w:after="120" w:line="276" w:lineRule="auto"/>
              <w:jc w:val="both"/>
              <w:rPr>
                <w:b/>
                <w:bCs/>
              </w:rPr>
            </w:pPr>
            <w:r>
              <w:lastRenderedPageBreak/>
              <w:t>Id unika li tirrappreżenta kombinazzjoni ta’ utent, FMI, tip ta’ sistema u intermedjarju tal-Fornitur Alternattiv li miegħu l-Utent għandu relazzjoni kuntrattwali stabbilita kif irrapportat f’Z 09.01 kolonna 0010.</w:t>
            </w:r>
            <w:r>
              <w:rPr>
                <w:b/>
              </w:rPr>
              <w:t xml:space="preserve"> </w:t>
            </w:r>
          </w:p>
          <w:p w14:paraId="7FE1CC0C" w14:textId="7C8756E6" w:rsidR="00534D9A" w:rsidRDefault="003243B2">
            <w:pPr>
              <w:pStyle w:val="P68B1DB1-TableParagraph40"/>
              <w:spacing w:before="108"/>
              <w:ind w:left="85"/>
              <w:jc w:val="both"/>
              <w:rPr>
                <w:b/>
                <w:bCs/>
              </w:rPr>
            </w:pPr>
            <w:r>
              <w:t>Irrapporta biss jekk Z 09.04 il-kolonna 0030 tkun Iva.</w:t>
            </w:r>
          </w:p>
        </w:tc>
      </w:tr>
    </w:tbl>
    <w:p w14:paraId="7FE1CECA" w14:textId="77777777" w:rsidR="00534D9A" w:rsidRDefault="00534D9A">
      <w:pPr>
        <w:rPr>
          <w:rFonts w:ascii="Times New Roman" w:hAnsi="Times New Roman" w:cs="Times New Roman"/>
          <w:b/>
          <w:color w:val="000000" w:themeColor="text1"/>
          <w:sz w:val="20"/>
          <w:szCs w:val="20"/>
          <w:u w:val="single"/>
        </w:rPr>
      </w:pPr>
      <w:bookmarkStart w:id="223" w:name="_Toc80891744"/>
      <w:bookmarkStart w:id="224" w:name="_Toc81454206"/>
      <w:bookmarkStart w:id="225" w:name="_Toc81485521"/>
      <w:bookmarkStart w:id="226" w:name="_Toc81485598"/>
      <w:bookmarkStart w:id="227" w:name="_Toc81485719"/>
      <w:bookmarkStart w:id="228" w:name="_Toc81486003"/>
      <w:bookmarkStart w:id="229" w:name="_Toc160028011"/>
      <w:bookmarkStart w:id="230" w:name="_Toc160028083"/>
      <w:bookmarkStart w:id="231" w:name="_Toc160028155"/>
      <w:bookmarkStart w:id="232" w:name="_Toc80891746"/>
      <w:bookmarkStart w:id="233" w:name="_Toc81454208"/>
      <w:bookmarkStart w:id="234" w:name="_Toc81485523"/>
      <w:bookmarkStart w:id="235" w:name="_Toc81485600"/>
      <w:bookmarkStart w:id="236" w:name="_Toc81485721"/>
      <w:bookmarkStart w:id="237" w:name="_Toc81486005"/>
      <w:bookmarkStart w:id="238" w:name="_Toc160028013"/>
      <w:bookmarkStart w:id="239" w:name="_Toc160028085"/>
      <w:bookmarkStart w:id="240" w:name="_Toc160028157"/>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7FE1CF06" w14:textId="77777777" w:rsidR="00534D9A" w:rsidRDefault="00534D9A">
      <w:pPr>
        <w:pStyle w:val="Instructionsberschrift2"/>
        <w:ind w:left="357"/>
        <w:rPr>
          <w:rFonts w:ascii="Times New Roman" w:eastAsia="Calibri" w:hAnsi="Times New Roman" w:cs="Times New Roman"/>
          <w:szCs w:val="20"/>
        </w:rPr>
      </w:pPr>
    </w:p>
    <w:p w14:paraId="7FE1CF07" w14:textId="77777777" w:rsidR="00534D9A" w:rsidRDefault="003243B2">
      <w:pPr>
        <w:pStyle w:val="P68B1DB1-Instructionsberschrift284"/>
        <w:numPr>
          <w:ilvl w:val="1"/>
          <w:numId w:val="49"/>
        </w:numPr>
        <w:spacing w:before="0"/>
        <w:ind w:left="357" w:hanging="357"/>
      </w:pPr>
      <w:bookmarkStart w:id="241" w:name="_Toc208245024"/>
      <w:r>
        <w:t>Analiżi tar-Responsabbiltà</w:t>
      </w:r>
      <w:bookmarkEnd w:id="241"/>
    </w:p>
    <w:p w14:paraId="7FE1CF08" w14:textId="53CCE3BD" w:rsidR="00534D9A" w:rsidRDefault="003243B2">
      <w:pPr>
        <w:pStyle w:val="Instructionsberschrift2"/>
        <w:numPr>
          <w:ilvl w:val="1"/>
          <w:numId w:val="49"/>
        </w:numPr>
        <w:spacing w:before="0"/>
        <w:ind w:left="357" w:hanging="357"/>
        <w:rPr>
          <w:rFonts w:ascii="Times New Roman" w:hAnsi="Times New Roman" w:cs="Times New Roman"/>
        </w:rPr>
      </w:pPr>
      <w:bookmarkStart w:id="242" w:name="_Toc208245025"/>
      <w:r>
        <w:rPr>
          <w:rFonts w:ascii="Times New Roman" w:hAnsi="Times New Roman" w:cs="Times New Roman"/>
          <w:color w:val="000000" w:themeColor="text1"/>
        </w:rPr>
        <w:t>Z 11.00 Obbligazzjonijiet intragrupp</w:t>
      </w:r>
      <w:r>
        <w:rPr>
          <w:rFonts w:ascii="Times New Roman" w:eastAsia="Calibri" w:hAnsi="Times New Roman" w:cs="Times New Roman"/>
          <w:szCs w:val="20"/>
        </w:rPr>
        <w:t xml:space="preserve"> (LIAB-G-1)</w:t>
      </w:r>
      <w:bookmarkEnd w:id="242"/>
    </w:p>
    <w:p w14:paraId="7FE1CF0A" w14:textId="69A86E79" w:rsidR="00534D9A" w:rsidRDefault="003243B2">
      <w:pPr>
        <w:pStyle w:val="P68B1DB1-Numberedtitlelevel385"/>
      </w:pPr>
      <w:bookmarkStart w:id="243" w:name="_Toc81454213"/>
      <w:r>
        <w:t>Kummenti ġenerali</w:t>
      </w:r>
    </w:p>
    <w:p w14:paraId="7FE1CF0B" w14:textId="77777777" w:rsidR="00534D9A" w:rsidRDefault="003243B2">
      <w:pPr>
        <w:pStyle w:val="P68B1DB1-InstructionsText26"/>
        <w:numPr>
          <w:ilvl w:val="2"/>
          <w:numId w:val="209"/>
        </w:numPr>
        <w:spacing w:before="0"/>
        <w:ind w:left="1276"/>
        <w:rPr>
          <w:rFonts w:eastAsiaTheme="majorEastAsia"/>
        </w:rPr>
      </w:pPr>
      <w:r>
        <w:t>Din it-tabella teħtieġ informazzjoni dwar l-obbligazzjonijiet intragrupp tkopri l-fondi u l-obbligazzjonijiet proprji kollha.</w:t>
      </w:r>
    </w:p>
    <w:p w14:paraId="7FE1CF0C" w14:textId="4049DE4D" w:rsidR="00534D9A" w:rsidRDefault="003243B2">
      <w:pPr>
        <w:pStyle w:val="P68B1DB1-InstructionsText26"/>
        <w:numPr>
          <w:ilvl w:val="2"/>
          <w:numId w:val="209"/>
        </w:numPr>
        <w:spacing w:before="0"/>
        <w:ind w:left="1276"/>
        <w:rPr>
          <w:rFonts w:eastAsiaTheme="majorEastAsia"/>
        </w:rPr>
      </w:pPr>
      <w:r>
        <w:t>L-entitajiet li għandhom jitqiesu bħala intragrupp huma dawk li — f’konformità mad-definizzjoni tal-kolonna 0100 ta’ Z02.00 — jappartjenu għall-ambitu kontabilistiku tal-konsolidazzjoni tal-entità omm apikali. B’riżultat ta’ dan, dawn l-obbligazzjonijiet ma għandhomx jiġu rrapportati taħt it-tabs dettaljati Z 12.00 sa Z 17.00, ħlief għal Z 15.00 Derivattivi (ara hawn taħt).</w:t>
      </w:r>
    </w:p>
    <w:p w14:paraId="7FE1CF0D" w14:textId="170B6ABA" w:rsidR="00534D9A" w:rsidRDefault="003243B2">
      <w:pPr>
        <w:pStyle w:val="P68B1DB1-InstructionsText26"/>
        <w:numPr>
          <w:ilvl w:val="2"/>
          <w:numId w:val="209"/>
        </w:numPr>
        <w:spacing w:before="0"/>
        <w:ind w:left="1276"/>
        <w:rPr>
          <w:rFonts w:eastAsiaTheme="majorEastAsia"/>
        </w:rPr>
      </w:pPr>
      <w:r>
        <w:t>Id-derivattivi huma speċifiċi fin-natura tagħhom u ma jiġux irrapportati f’Z 11.00 iżda dejjem f’Z 15.00.</w:t>
      </w:r>
    </w:p>
    <w:p w14:paraId="7FE1CF0E" w14:textId="18AE2C5B" w:rsidR="00534D9A" w:rsidRDefault="003243B2">
      <w:pPr>
        <w:pStyle w:val="P68B1DB1-InstructionsText26"/>
        <w:numPr>
          <w:ilvl w:val="2"/>
          <w:numId w:val="209"/>
        </w:numPr>
        <w:spacing w:before="0"/>
        <w:ind w:left="1276"/>
        <w:rPr>
          <w:rFonts w:eastAsiaTheme="majorEastAsia"/>
        </w:rPr>
      </w:pPr>
      <w:r>
        <w:t>L-obbligazzjonijiet kollha maħruġa lil entitajiet fl-ambitu kontabilistiku tal-konsolidazzjoni (inklużi SPVs fl-ambitu tal-konsolidazzjoni) kemm ġewwa kif ukoll barra l-grupp ta’ riżoluzzjoni għandhom jiġu rrapportati fil-mudell Z 11.00. Għall-finijiet ta’ din it-tabella, l-obbligazzjonijiet iridu jiġu rrapportati fuq bażi ta’ tranżazzjoni, jiġifieri kull tranżazzjoni rrapportata bħala entrata individwali tar-ringiela. Madankollu, it-tranżazzjonijiet iridu jiġu rrapportati f’entrati multipli tar-ringieli f’</w:t>
      </w:r>
      <w:r>
        <w:t>każ li jappartjenu għal klassifikazzjonijiet differenti tal-insolvenza.</w:t>
      </w:r>
    </w:p>
    <w:p w14:paraId="7FE1CF0F" w14:textId="77777777" w:rsidR="00534D9A" w:rsidRDefault="003243B2">
      <w:pPr>
        <w:pStyle w:val="P68B1DB1-Numberedtitlelevel372"/>
      </w:pPr>
      <w:r>
        <w:t>Struzzjonijiet li jikkonċernaw pożizzjonijiet speċifiċi</w:t>
      </w:r>
    </w:p>
    <w:tbl>
      <w:tblPr>
        <w:tblW w:w="0" w:type="auto"/>
        <w:tblLook w:val="01E0" w:firstRow="1" w:lastRow="1" w:firstColumn="1" w:lastColumn="1" w:noHBand="0" w:noVBand="0"/>
      </w:tblPr>
      <w:tblGrid>
        <w:gridCol w:w="1244"/>
        <w:gridCol w:w="7717"/>
        <w:gridCol w:w="65"/>
      </w:tblGrid>
      <w:tr w:rsidR="00534D9A" w14:paraId="7FE1CF14" w14:textId="77777777">
        <w:trPr>
          <w:gridAfter w:val="1"/>
          <w:wAfter w:w="65" w:type="dxa"/>
          <w:tblHeader/>
        </w:trPr>
        <w:tc>
          <w:tcPr>
            <w:tcW w:w="1244" w:type="dxa"/>
            <w:tcBorders>
              <w:top w:val="single" w:sz="4" w:space="0" w:color="1A171C"/>
              <w:left w:val="nil"/>
              <w:bottom w:val="single" w:sz="4" w:space="0" w:color="1A171C"/>
              <w:right w:val="single" w:sz="4" w:space="0" w:color="1A171C"/>
            </w:tcBorders>
            <w:shd w:val="clear" w:color="auto" w:fill="E4E5E5"/>
          </w:tcPr>
          <w:p w14:paraId="7FE1CF12" w14:textId="77777777" w:rsidR="00534D9A" w:rsidRDefault="003243B2">
            <w:pPr>
              <w:pStyle w:val="P68B1DB1-TableParagraph17"/>
              <w:spacing w:before="108"/>
              <w:ind w:left="85"/>
            </w:pPr>
            <w:r>
              <w:t xml:space="preserve">Kolonni </w:t>
            </w:r>
          </w:p>
        </w:tc>
        <w:tc>
          <w:tcPr>
            <w:tcW w:w="7717" w:type="dxa"/>
            <w:tcBorders>
              <w:top w:val="single" w:sz="4" w:space="0" w:color="1A171C"/>
              <w:left w:val="single" w:sz="4" w:space="0" w:color="1A171C"/>
              <w:bottom w:val="single" w:sz="4" w:space="0" w:color="1A171C"/>
              <w:right w:val="nil"/>
            </w:tcBorders>
            <w:shd w:val="clear" w:color="auto" w:fill="E4E5E5"/>
          </w:tcPr>
          <w:p w14:paraId="7FE1CF13" w14:textId="77777777" w:rsidR="00534D9A" w:rsidRDefault="003243B2">
            <w:pPr>
              <w:pStyle w:val="P68B1DB1-TableParagraph17"/>
              <w:spacing w:before="108"/>
              <w:ind w:left="85" w:right="1"/>
            </w:pPr>
            <w:r>
              <w:t>Struzzjonijiet</w:t>
            </w:r>
          </w:p>
        </w:tc>
      </w:tr>
      <w:tr w:rsidR="00534D9A" w14:paraId="7FE1CF18" w14:textId="77777777">
        <w:tc>
          <w:tcPr>
            <w:tcW w:w="1244" w:type="dxa"/>
            <w:tcBorders>
              <w:top w:val="single" w:sz="8" w:space="0" w:color="1A171C"/>
              <w:left w:val="nil"/>
              <w:bottom w:val="single" w:sz="8" w:space="0" w:color="1A171C"/>
              <w:right w:val="single" w:sz="8" w:space="0" w:color="1A171C"/>
            </w:tcBorders>
            <w:vAlign w:val="center"/>
          </w:tcPr>
          <w:p w14:paraId="7FE1CF15" w14:textId="77777777" w:rsidR="00534D9A" w:rsidRDefault="003243B2">
            <w:pPr>
              <w:pStyle w:val="P68B1DB1-Normal31"/>
            </w:pPr>
            <w:r>
              <w:t>0010</w:t>
            </w:r>
          </w:p>
        </w:tc>
        <w:tc>
          <w:tcPr>
            <w:tcW w:w="7782" w:type="dxa"/>
            <w:gridSpan w:val="2"/>
            <w:tcBorders>
              <w:top w:val="single" w:sz="8" w:space="0" w:color="1A171C"/>
              <w:left w:val="single" w:sz="8" w:space="0" w:color="1A171C"/>
              <w:bottom w:val="single" w:sz="8" w:space="0" w:color="1A171C"/>
              <w:right w:val="nil"/>
            </w:tcBorders>
            <w:vAlign w:val="bottom"/>
          </w:tcPr>
          <w:p w14:paraId="7FE1CF16" w14:textId="77777777" w:rsidR="00534D9A" w:rsidRDefault="003243B2">
            <w:pPr>
              <w:pStyle w:val="P68B1DB1-TableParagraph40"/>
              <w:spacing w:before="108"/>
              <w:ind w:left="85"/>
              <w:jc w:val="both"/>
              <w:rPr>
                <w:b/>
                <w:bCs/>
              </w:rPr>
            </w:pPr>
            <w:r>
              <w:t xml:space="preserve"> </w:t>
            </w:r>
            <w:r>
              <w:rPr>
                <w:b/>
              </w:rPr>
              <w:t>NRU</w:t>
            </w:r>
          </w:p>
          <w:p w14:paraId="7FE1CF17" w14:textId="77777777" w:rsidR="00534D9A" w:rsidRDefault="003243B2">
            <w:pPr>
              <w:pStyle w:val="P68B1DB1-TableParagraph40"/>
              <w:spacing w:before="108"/>
              <w:ind w:left="85"/>
              <w:jc w:val="both"/>
            </w:pPr>
            <w:r>
              <w:t xml:space="preserve">Numru uniku/ċavetta primarja biex jiġu identifikati l-oġġetti tar-ringiela. </w:t>
            </w:r>
          </w:p>
        </w:tc>
      </w:tr>
      <w:tr w:rsidR="00534D9A" w14:paraId="7FE1CF1C" w14:textId="77777777">
        <w:tc>
          <w:tcPr>
            <w:tcW w:w="1244" w:type="dxa"/>
            <w:tcBorders>
              <w:top w:val="single" w:sz="8" w:space="0" w:color="1A171C"/>
              <w:left w:val="nil"/>
              <w:bottom w:val="single" w:sz="8" w:space="0" w:color="1A171C"/>
              <w:right w:val="single" w:sz="8" w:space="0" w:color="1A171C"/>
            </w:tcBorders>
            <w:vAlign w:val="center"/>
          </w:tcPr>
          <w:p w14:paraId="7FE1CF19" w14:textId="77777777" w:rsidR="00534D9A" w:rsidRDefault="003243B2">
            <w:pPr>
              <w:pStyle w:val="P68B1DB1-Normal31"/>
            </w:pPr>
            <w:r>
              <w:t>0020</w:t>
            </w:r>
          </w:p>
        </w:tc>
        <w:tc>
          <w:tcPr>
            <w:tcW w:w="7782" w:type="dxa"/>
            <w:gridSpan w:val="2"/>
            <w:tcBorders>
              <w:top w:val="single" w:sz="8" w:space="0" w:color="1A171C"/>
              <w:left w:val="single" w:sz="8" w:space="0" w:color="1A171C"/>
              <w:bottom w:val="single" w:sz="8" w:space="0" w:color="1A171C"/>
              <w:right w:val="nil"/>
            </w:tcBorders>
            <w:vAlign w:val="bottom"/>
          </w:tcPr>
          <w:p w14:paraId="7FE1CF1A" w14:textId="77777777" w:rsidR="00534D9A" w:rsidRDefault="003243B2">
            <w:pPr>
              <w:pStyle w:val="P68B1DB1-TableParagraph40"/>
              <w:spacing w:before="108"/>
              <w:ind w:left="85"/>
              <w:jc w:val="both"/>
              <w:rPr>
                <w:b/>
                <w:bCs/>
              </w:rPr>
            </w:pPr>
            <w:r>
              <w:t xml:space="preserve"> </w:t>
            </w:r>
            <w:r>
              <w:rPr>
                <w:b/>
              </w:rPr>
              <w:t>Ringiela</w:t>
            </w:r>
          </w:p>
          <w:p w14:paraId="7FE1CF1B" w14:textId="474C4148" w:rsidR="00534D9A" w:rsidRDefault="003243B2">
            <w:pPr>
              <w:pStyle w:val="P68B1DB1-TableParagraph40"/>
              <w:spacing w:before="108"/>
              <w:ind w:left="85"/>
              <w:jc w:val="both"/>
            </w:pPr>
            <w:r>
              <w:t>Għal kull strument, għandha tiġi pprovduta rikonċiljazzjoni mal-kategoriji ta’ obbligazzjonijiet tal-istruttura tal-obbligazzjonijiet f’Z02.00 minn lista predefinita ta’ valuri.</w:t>
            </w:r>
          </w:p>
        </w:tc>
      </w:tr>
      <w:tr w:rsidR="00534D9A" w14:paraId="7FE1CF20" w14:textId="77777777">
        <w:tc>
          <w:tcPr>
            <w:tcW w:w="1244" w:type="dxa"/>
            <w:tcBorders>
              <w:top w:val="single" w:sz="8" w:space="0" w:color="1A171C"/>
              <w:left w:val="nil"/>
              <w:bottom w:val="single" w:sz="8" w:space="0" w:color="1A171C"/>
              <w:right w:val="single" w:sz="8" w:space="0" w:color="1A171C"/>
            </w:tcBorders>
            <w:vAlign w:val="center"/>
          </w:tcPr>
          <w:p w14:paraId="7FE1CF1D" w14:textId="77777777" w:rsidR="00534D9A" w:rsidRDefault="003243B2">
            <w:pPr>
              <w:pStyle w:val="P68B1DB1-Normal31"/>
            </w:pPr>
            <w:r>
              <w:t>0021</w:t>
            </w:r>
          </w:p>
        </w:tc>
        <w:tc>
          <w:tcPr>
            <w:tcW w:w="7782" w:type="dxa"/>
            <w:gridSpan w:val="2"/>
            <w:tcBorders>
              <w:top w:val="single" w:sz="8" w:space="0" w:color="1A171C"/>
              <w:left w:val="single" w:sz="8" w:space="0" w:color="1A171C"/>
              <w:bottom w:val="single" w:sz="8" w:space="0" w:color="1A171C"/>
              <w:right w:val="nil"/>
            </w:tcBorders>
            <w:vAlign w:val="bottom"/>
          </w:tcPr>
          <w:p w14:paraId="7FE1CF1E" w14:textId="77777777" w:rsidR="00534D9A" w:rsidRDefault="003243B2">
            <w:pPr>
              <w:pStyle w:val="P68B1DB1-TableParagraph73"/>
              <w:spacing w:before="108"/>
              <w:ind w:left="85"/>
              <w:jc w:val="both"/>
              <w:rPr>
                <w:bCs/>
              </w:rPr>
            </w:pPr>
            <w:r>
              <w:t xml:space="preserve">Kolonna </w:t>
            </w:r>
          </w:p>
          <w:p w14:paraId="7FE1CF1F" w14:textId="77777777" w:rsidR="00534D9A" w:rsidRDefault="003243B2">
            <w:pPr>
              <w:pStyle w:val="P68B1DB1-TableParagraph40"/>
              <w:spacing w:before="108"/>
              <w:ind w:left="85"/>
              <w:jc w:val="both"/>
            </w:pPr>
            <w:r>
              <w:t>Għal kull strument, għandha tiġi pprovduta rikonċiljazzjoni mal-klassi tal-kontroparti f’Z02.00 li għaliha hija dovuta l-obbligazzjoni minn lista predefinita ta’ valuri.</w:t>
            </w:r>
          </w:p>
        </w:tc>
      </w:tr>
      <w:tr w:rsidR="00534D9A" w14:paraId="7FE1CF24" w14:textId="77777777">
        <w:tc>
          <w:tcPr>
            <w:tcW w:w="1244" w:type="dxa"/>
            <w:tcBorders>
              <w:top w:val="single" w:sz="8" w:space="0" w:color="1A171C"/>
              <w:left w:val="nil"/>
              <w:bottom w:val="single" w:sz="8" w:space="0" w:color="1A171C"/>
              <w:right w:val="single" w:sz="8" w:space="0" w:color="1A171C"/>
            </w:tcBorders>
            <w:vAlign w:val="center"/>
          </w:tcPr>
          <w:p w14:paraId="7FE1CF21" w14:textId="77777777" w:rsidR="00534D9A" w:rsidRDefault="003243B2">
            <w:pPr>
              <w:pStyle w:val="P68B1DB1-Normal31"/>
            </w:pPr>
            <w:r>
              <w:t>0030</w:t>
            </w:r>
          </w:p>
        </w:tc>
        <w:tc>
          <w:tcPr>
            <w:tcW w:w="7782" w:type="dxa"/>
            <w:gridSpan w:val="2"/>
            <w:tcBorders>
              <w:top w:val="single" w:sz="8" w:space="0" w:color="1A171C"/>
              <w:left w:val="single" w:sz="8" w:space="0" w:color="1A171C"/>
              <w:bottom w:val="single" w:sz="8" w:space="0" w:color="1A171C"/>
              <w:right w:val="nil"/>
            </w:tcBorders>
            <w:vAlign w:val="bottom"/>
          </w:tcPr>
          <w:p w14:paraId="7FE1CF22" w14:textId="53713754" w:rsidR="00534D9A" w:rsidRDefault="003243B2">
            <w:pPr>
              <w:pStyle w:val="P68B1DB1-TableParagraph73"/>
              <w:spacing w:before="108"/>
              <w:ind w:left="85"/>
              <w:jc w:val="both"/>
              <w:rPr>
                <w:bCs/>
              </w:rPr>
            </w:pPr>
            <w:r>
              <w:t>Klassifikazzjoni</w:t>
            </w:r>
          </w:p>
          <w:p w14:paraId="7FE1CF23" w14:textId="396478FE"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CF28" w14:textId="77777777">
        <w:tc>
          <w:tcPr>
            <w:tcW w:w="1244" w:type="dxa"/>
            <w:tcBorders>
              <w:top w:val="single" w:sz="8" w:space="0" w:color="1A171C"/>
              <w:left w:val="nil"/>
              <w:bottom w:val="single" w:sz="8" w:space="0" w:color="1A171C"/>
              <w:right w:val="single" w:sz="8" w:space="0" w:color="1A171C"/>
            </w:tcBorders>
            <w:vAlign w:val="center"/>
          </w:tcPr>
          <w:p w14:paraId="7FE1CF25" w14:textId="77777777" w:rsidR="00534D9A" w:rsidRDefault="003243B2">
            <w:pPr>
              <w:pStyle w:val="P68B1DB1-Normal31"/>
            </w:pPr>
            <w:r>
              <w:t>0040</w:t>
            </w:r>
          </w:p>
        </w:tc>
        <w:tc>
          <w:tcPr>
            <w:tcW w:w="7782" w:type="dxa"/>
            <w:gridSpan w:val="2"/>
            <w:tcBorders>
              <w:top w:val="single" w:sz="8" w:space="0" w:color="1A171C"/>
              <w:left w:val="single" w:sz="8" w:space="0" w:color="1A171C"/>
              <w:bottom w:val="single" w:sz="8" w:space="0" w:color="1A171C"/>
              <w:right w:val="nil"/>
            </w:tcBorders>
            <w:vAlign w:val="bottom"/>
          </w:tcPr>
          <w:p w14:paraId="7FE1CF26" w14:textId="77777777" w:rsidR="00534D9A" w:rsidRDefault="003243B2">
            <w:pPr>
              <w:pStyle w:val="P68B1DB1-TableParagraph73"/>
              <w:spacing w:before="108"/>
              <w:ind w:left="85"/>
              <w:jc w:val="both"/>
              <w:rPr>
                <w:bCs/>
              </w:rPr>
            </w:pPr>
            <w:r>
              <w:t>Identifikatur tal-kuntratt</w:t>
            </w:r>
          </w:p>
          <w:p w14:paraId="7FE1CF27" w14:textId="5E827C31" w:rsidR="00534D9A" w:rsidRDefault="003243B2">
            <w:pPr>
              <w:pStyle w:val="P68B1DB1-TableParagraph40"/>
              <w:spacing w:before="108"/>
              <w:ind w:left="85"/>
              <w:jc w:val="both"/>
            </w:pPr>
            <w:r>
              <w:t>L-ISIN jew, f’każ li l-ISIN ma jkunx disponibbli, għandu jiġi rrapportat identifikatur ieħor tal-kuntratt tal-istrument.</w:t>
            </w:r>
          </w:p>
        </w:tc>
      </w:tr>
      <w:tr w:rsidR="00534D9A" w14:paraId="7FE1CF2C" w14:textId="77777777">
        <w:tc>
          <w:tcPr>
            <w:tcW w:w="1244" w:type="dxa"/>
            <w:tcBorders>
              <w:top w:val="single" w:sz="8" w:space="0" w:color="1A171C"/>
              <w:left w:val="nil"/>
              <w:bottom w:val="single" w:sz="8" w:space="0" w:color="1A171C"/>
              <w:right w:val="single" w:sz="8" w:space="0" w:color="1A171C"/>
            </w:tcBorders>
            <w:vAlign w:val="center"/>
          </w:tcPr>
          <w:p w14:paraId="7FE1CF29" w14:textId="77777777" w:rsidR="00534D9A" w:rsidRDefault="003243B2">
            <w:pPr>
              <w:pStyle w:val="P68B1DB1-Normal31"/>
            </w:pPr>
            <w:r>
              <w:t>0045</w:t>
            </w:r>
          </w:p>
        </w:tc>
        <w:tc>
          <w:tcPr>
            <w:tcW w:w="7782" w:type="dxa"/>
            <w:gridSpan w:val="2"/>
            <w:tcBorders>
              <w:top w:val="single" w:sz="8" w:space="0" w:color="1A171C"/>
              <w:left w:val="single" w:sz="8" w:space="0" w:color="1A171C"/>
              <w:bottom w:val="single" w:sz="8" w:space="0" w:color="1A171C"/>
              <w:right w:val="nil"/>
            </w:tcBorders>
            <w:vAlign w:val="bottom"/>
          </w:tcPr>
          <w:p w14:paraId="7FE1CF2A" w14:textId="49B7BD39" w:rsidR="00534D9A" w:rsidRDefault="003243B2">
            <w:pPr>
              <w:pStyle w:val="P68B1DB1-TableParagraph73"/>
              <w:spacing w:before="108"/>
              <w:ind w:left="85"/>
              <w:jc w:val="both"/>
              <w:rPr>
                <w:bCs/>
              </w:rPr>
            </w:pPr>
            <w:r>
              <w:t>Isem il-kontroparti</w:t>
            </w:r>
          </w:p>
          <w:p w14:paraId="7FE1CF2B" w14:textId="28E31BB6" w:rsidR="00534D9A" w:rsidRDefault="003243B2">
            <w:pPr>
              <w:pStyle w:val="P68B1DB1-TableParagraph40"/>
              <w:spacing w:before="108"/>
              <w:ind w:left="85"/>
              <w:jc w:val="both"/>
            </w:pPr>
            <w:r>
              <w:t>L-isem tal-entità tal-kontroparti tal-obbligazzjoni.</w:t>
            </w:r>
          </w:p>
        </w:tc>
      </w:tr>
      <w:tr w:rsidR="00534D9A" w14:paraId="7FE1CF31" w14:textId="77777777">
        <w:tc>
          <w:tcPr>
            <w:tcW w:w="1244" w:type="dxa"/>
            <w:tcBorders>
              <w:top w:val="single" w:sz="8" w:space="0" w:color="1A171C"/>
              <w:left w:val="nil"/>
              <w:bottom w:val="single" w:sz="8" w:space="0" w:color="1A171C"/>
              <w:right w:val="single" w:sz="8" w:space="0" w:color="1A171C"/>
            </w:tcBorders>
            <w:vAlign w:val="center"/>
          </w:tcPr>
          <w:p w14:paraId="7FE1CF2D" w14:textId="77777777" w:rsidR="00534D9A" w:rsidRDefault="003243B2">
            <w:pPr>
              <w:pStyle w:val="P68B1DB1-Normal31"/>
            </w:pPr>
            <w:r>
              <w:lastRenderedPageBreak/>
              <w:t>0050</w:t>
            </w:r>
          </w:p>
        </w:tc>
        <w:tc>
          <w:tcPr>
            <w:tcW w:w="7782" w:type="dxa"/>
            <w:gridSpan w:val="2"/>
            <w:tcBorders>
              <w:top w:val="single" w:sz="8" w:space="0" w:color="1A171C"/>
              <w:left w:val="single" w:sz="8" w:space="0" w:color="1A171C"/>
              <w:bottom w:val="single" w:sz="8" w:space="0" w:color="1A171C"/>
              <w:right w:val="nil"/>
            </w:tcBorders>
            <w:vAlign w:val="bottom"/>
          </w:tcPr>
          <w:p w14:paraId="7FE1CF2E" w14:textId="2BAACD17" w:rsidR="00534D9A" w:rsidRDefault="003243B2">
            <w:pPr>
              <w:pStyle w:val="P68B1DB1-TableParagraph73"/>
              <w:spacing w:before="108"/>
              <w:ind w:left="85"/>
              <w:jc w:val="both"/>
              <w:rPr>
                <w:bCs/>
              </w:rPr>
            </w:pPr>
            <w:r>
              <w:t>Identifikatur tal-kontroparti</w:t>
            </w:r>
          </w:p>
          <w:p w14:paraId="7FE1CF2F" w14:textId="5864B2BC" w:rsidR="00534D9A" w:rsidRDefault="003243B2">
            <w:pPr>
              <w:pStyle w:val="P68B1DB1-TableParagraph40"/>
              <w:spacing w:before="108"/>
              <w:ind w:left="85"/>
              <w:jc w:val="both"/>
            </w:pPr>
            <w:r>
              <w:t>Il-kodiċi LEI uniku tal-kontroparti. Fin-nuqqas ta’ LEI, l-Identifikatur Uniku tal-Istituzzjonijiet Finanzjarji Monetarji tal-BĊE (ID tal-MFI) tal-istituzzjoni ta’ kreditu għall-użu fir-RIAD maħruġ. Fin-nuqqas taż-żewġ identifikaturi bħal dawn, jista’ jintuża l-identifikatur intern.</w:t>
            </w:r>
          </w:p>
          <w:p w14:paraId="7FE1CF30" w14:textId="585107E3" w:rsidR="00534D9A" w:rsidRDefault="00534D9A">
            <w:pPr>
              <w:pStyle w:val="TableParagraph"/>
              <w:spacing w:before="108"/>
              <w:ind w:left="85"/>
              <w:jc w:val="both"/>
              <w:rPr>
                <w:rFonts w:ascii="Times New Roman" w:eastAsia="Times New Roman" w:hAnsi="Times New Roman" w:cs="Times New Roman"/>
                <w:sz w:val="20"/>
                <w:szCs w:val="20"/>
              </w:rPr>
            </w:pPr>
          </w:p>
        </w:tc>
      </w:tr>
      <w:tr w:rsidR="00534D9A" w14:paraId="7FE1CF35" w14:textId="77777777">
        <w:tc>
          <w:tcPr>
            <w:tcW w:w="1244" w:type="dxa"/>
            <w:tcBorders>
              <w:top w:val="single" w:sz="8" w:space="0" w:color="1A171C"/>
              <w:left w:val="nil"/>
              <w:bottom w:val="single" w:sz="8" w:space="0" w:color="1A171C"/>
              <w:right w:val="single" w:sz="8" w:space="0" w:color="1A171C"/>
            </w:tcBorders>
            <w:vAlign w:val="center"/>
          </w:tcPr>
          <w:p w14:paraId="7FE1CF32" w14:textId="37A8736C" w:rsidR="00534D9A" w:rsidRDefault="003243B2">
            <w:pPr>
              <w:pStyle w:val="P68B1DB1-Normal31"/>
            </w:pPr>
            <w:r>
              <w:t>0053</w:t>
            </w:r>
          </w:p>
        </w:tc>
        <w:tc>
          <w:tcPr>
            <w:tcW w:w="7782" w:type="dxa"/>
            <w:gridSpan w:val="2"/>
            <w:tcBorders>
              <w:top w:val="single" w:sz="8" w:space="0" w:color="1A171C"/>
              <w:left w:val="single" w:sz="8" w:space="0" w:color="1A171C"/>
              <w:bottom w:val="single" w:sz="8" w:space="0" w:color="1A171C"/>
              <w:right w:val="nil"/>
            </w:tcBorders>
            <w:vAlign w:val="bottom"/>
          </w:tcPr>
          <w:p w14:paraId="7FE1CF33" w14:textId="77777777" w:rsidR="00534D9A" w:rsidRDefault="003243B2">
            <w:pPr>
              <w:pStyle w:val="P68B1DB1-TableParagraph73"/>
              <w:spacing w:before="108"/>
              <w:ind w:left="85"/>
              <w:jc w:val="both"/>
              <w:rPr>
                <w:bCs/>
              </w:rPr>
            </w:pPr>
            <w:r>
              <w:t>Tip ta’ Identifikatur</w:t>
            </w:r>
          </w:p>
          <w:p w14:paraId="7FE1CF34"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CF39" w14:textId="77777777">
        <w:tc>
          <w:tcPr>
            <w:tcW w:w="1244" w:type="dxa"/>
            <w:tcBorders>
              <w:top w:val="single" w:sz="8" w:space="0" w:color="1A171C"/>
              <w:left w:val="nil"/>
              <w:bottom w:val="single" w:sz="8" w:space="0" w:color="1A171C"/>
              <w:right w:val="single" w:sz="8" w:space="0" w:color="1A171C"/>
            </w:tcBorders>
            <w:vAlign w:val="center"/>
          </w:tcPr>
          <w:p w14:paraId="7FE1CF36" w14:textId="5460B58C" w:rsidR="00534D9A" w:rsidRDefault="003243B2">
            <w:pPr>
              <w:pStyle w:val="P68B1DB1-Normal31"/>
            </w:pPr>
            <w:r>
              <w:t>0055</w:t>
            </w:r>
          </w:p>
        </w:tc>
        <w:tc>
          <w:tcPr>
            <w:tcW w:w="7782" w:type="dxa"/>
            <w:gridSpan w:val="2"/>
            <w:tcBorders>
              <w:top w:val="single" w:sz="8" w:space="0" w:color="1A171C"/>
              <w:left w:val="single" w:sz="8" w:space="0" w:color="1A171C"/>
              <w:bottom w:val="single" w:sz="8" w:space="0" w:color="1A171C"/>
              <w:right w:val="nil"/>
            </w:tcBorders>
            <w:vAlign w:val="bottom"/>
          </w:tcPr>
          <w:p w14:paraId="7FE1CF37" w14:textId="1D21A85C" w:rsidR="00534D9A" w:rsidRDefault="003243B2">
            <w:pPr>
              <w:pStyle w:val="P68B1DB1-TableParagraph73"/>
              <w:spacing w:before="108"/>
              <w:ind w:left="85"/>
              <w:jc w:val="both"/>
              <w:rPr>
                <w:bCs/>
              </w:rPr>
            </w:pPr>
            <w:r>
              <w:t>Relazzjoni mal-kontroparti</w:t>
            </w:r>
          </w:p>
          <w:p w14:paraId="7FE1CF38" w14:textId="1D86F34C" w:rsidR="00534D9A" w:rsidRDefault="003243B2">
            <w:pPr>
              <w:pStyle w:val="P68B1DB1-TableParagraph40"/>
              <w:spacing w:before="108"/>
              <w:ind w:left="85"/>
              <w:jc w:val="both"/>
            </w:pPr>
            <w:r>
              <w:t>Din il-kaxxa tindika r-relazzjoni tal-entità mutwanti mal-entità relatriċi. Lista ta’ valuri hija prevista għal dan il-qasam: il-kontroparti tista’ tkun jew “kumpanija prinċipali diretta jew indiretta”, “Kumpanija sussidjarja diretta jew indiretta” jew inkella “oħt”.</w:t>
            </w:r>
          </w:p>
        </w:tc>
      </w:tr>
      <w:tr w:rsidR="00534D9A" w14:paraId="7FE1CF3D" w14:textId="77777777">
        <w:tc>
          <w:tcPr>
            <w:tcW w:w="1244" w:type="dxa"/>
            <w:tcBorders>
              <w:top w:val="single" w:sz="8" w:space="0" w:color="1A171C"/>
              <w:left w:val="nil"/>
              <w:bottom w:val="single" w:sz="8" w:space="0" w:color="1A171C"/>
              <w:right w:val="single" w:sz="8" w:space="0" w:color="1A171C"/>
            </w:tcBorders>
            <w:vAlign w:val="center"/>
          </w:tcPr>
          <w:p w14:paraId="7FE1CF3A" w14:textId="77777777" w:rsidR="00534D9A" w:rsidRDefault="003243B2">
            <w:pPr>
              <w:pStyle w:val="P68B1DB1-Normal31"/>
            </w:pPr>
            <w:r>
              <w:t>0056</w:t>
            </w:r>
          </w:p>
        </w:tc>
        <w:tc>
          <w:tcPr>
            <w:tcW w:w="7782" w:type="dxa"/>
            <w:gridSpan w:val="2"/>
            <w:tcBorders>
              <w:top w:val="single" w:sz="8" w:space="0" w:color="1A171C"/>
              <w:left w:val="single" w:sz="8" w:space="0" w:color="1A171C"/>
              <w:bottom w:val="single" w:sz="8" w:space="0" w:color="1A171C"/>
              <w:right w:val="nil"/>
            </w:tcBorders>
            <w:vAlign w:val="bottom"/>
          </w:tcPr>
          <w:p w14:paraId="7FE1CF3B" w14:textId="5D306713" w:rsidR="00534D9A" w:rsidRDefault="003243B2">
            <w:pPr>
              <w:pStyle w:val="P68B1DB1-TableParagraph73"/>
              <w:spacing w:before="108"/>
              <w:ind w:left="85"/>
              <w:jc w:val="both"/>
              <w:rPr>
                <w:bCs/>
              </w:rPr>
            </w:pPr>
            <w:r>
              <w:t>Tip ta’ Responsabbiltà</w:t>
            </w:r>
          </w:p>
          <w:p w14:paraId="7FE1CF3C" w14:textId="07B04D08" w:rsidR="00534D9A" w:rsidRDefault="003243B2">
            <w:pPr>
              <w:pStyle w:val="P68B1DB1-TableParagraph40"/>
              <w:spacing w:before="108"/>
              <w:ind w:left="85"/>
              <w:jc w:val="both"/>
            </w:pPr>
            <w:r>
              <w:t>Għal obbligazzjonijiet li huma rrapportati taħt Z02.00-c0020-Ringiela bħala “r0210 — Obbligazzjonijiet lejn entitajiet oħrajn tal-grupp ta’ riżoluzzjoni”, indika t-tip ta’ obbligazzjoni kif kienet tiġi rrapportata f’Z02.00, li kieku l-obbligazzjoni ma ġietx ikkunsidrata bħala eskluża.</w:t>
            </w:r>
          </w:p>
        </w:tc>
      </w:tr>
      <w:tr w:rsidR="00534D9A" w14:paraId="7FE1CF41" w14:textId="77777777">
        <w:tc>
          <w:tcPr>
            <w:tcW w:w="1244" w:type="dxa"/>
            <w:tcBorders>
              <w:top w:val="single" w:sz="8" w:space="0" w:color="1A171C"/>
              <w:left w:val="nil"/>
              <w:bottom w:val="single" w:sz="8" w:space="0" w:color="1A171C"/>
              <w:right w:val="single" w:sz="8" w:space="0" w:color="1A171C"/>
            </w:tcBorders>
            <w:vAlign w:val="center"/>
          </w:tcPr>
          <w:p w14:paraId="7FE1CF3E" w14:textId="23D0ECF1" w:rsidR="00534D9A" w:rsidRDefault="003243B2">
            <w:pPr>
              <w:pStyle w:val="P68B1DB1-Normal31"/>
            </w:pPr>
            <w:r>
              <w:t>0060</w:t>
            </w:r>
          </w:p>
        </w:tc>
        <w:tc>
          <w:tcPr>
            <w:tcW w:w="7782" w:type="dxa"/>
            <w:gridSpan w:val="2"/>
            <w:tcBorders>
              <w:top w:val="single" w:sz="8" w:space="0" w:color="1A171C"/>
              <w:left w:val="single" w:sz="8" w:space="0" w:color="1A171C"/>
              <w:bottom w:val="single" w:sz="8" w:space="0" w:color="1A171C"/>
              <w:right w:val="nil"/>
            </w:tcBorders>
            <w:vAlign w:val="bottom"/>
          </w:tcPr>
          <w:p w14:paraId="7FE1CF3F" w14:textId="211E9426" w:rsidR="00534D9A" w:rsidRDefault="003243B2">
            <w:pPr>
              <w:pStyle w:val="P68B1DB1-TableParagraph73"/>
              <w:spacing w:before="108"/>
              <w:ind w:left="85"/>
              <w:jc w:val="both"/>
              <w:rPr>
                <w:bCs/>
              </w:rPr>
            </w:pPr>
            <w:r>
              <w:t>Liġi Applikabbli</w:t>
            </w:r>
          </w:p>
          <w:p w14:paraId="7FE1CF40" w14:textId="2C49BDFC" w:rsidR="00534D9A" w:rsidRDefault="003243B2">
            <w:pPr>
              <w:pStyle w:val="P68B1DB1-TableParagraph40"/>
              <w:spacing w:before="108"/>
              <w:ind w:left="85"/>
              <w:jc w:val="both"/>
            </w:pPr>
            <w:r>
              <w:t xml:space="preserve">Il-kodiċi ISO 3166–1 alpha-2 tal-pajjiż li l-liġi tiegħu tirregola l-istrument (uża l-kodiċi ISO 3166–2 meta l-liġi ta’ subdiviżjoni amministrattiva tkun rilevanti, eż. “US-NY”). Jekk il-kuntratt ikun irregolat mil-liġi ta’ aktar minn pajjiż wieħed, għandu jiġi rrapportat il-pajjiż li l-liġi tiegħu għandha l-ogħla rilevanza għar-rikonoxximent tas-setgħat ta’ valwazzjoni negattiva u konverżjoni.  </w:t>
            </w:r>
          </w:p>
        </w:tc>
      </w:tr>
      <w:tr w:rsidR="00534D9A" w14:paraId="7FE1CF4A" w14:textId="77777777">
        <w:tc>
          <w:tcPr>
            <w:tcW w:w="1244" w:type="dxa"/>
            <w:tcBorders>
              <w:top w:val="single" w:sz="8" w:space="0" w:color="1A171C"/>
              <w:left w:val="nil"/>
              <w:bottom w:val="single" w:sz="8" w:space="0" w:color="1A171C"/>
              <w:right w:val="single" w:sz="8" w:space="0" w:color="1A171C"/>
            </w:tcBorders>
            <w:vAlign w:val="center"/>
          </w:tcPr>
          <w:p w14:paraId="7FE1CF42" w14:textId="77777777" w:rsidR="00534D9A" w:rsidRDefault="003243B2">
            <w:pPr>
              <w:pStyle w:val="P68B1DB1-Normal31"/>
            </w:pPr>
            <w:r>
              <w:t>0070</w:t>
            </w:r>
          </w:p>
        </w:tc>
        <w:tc>
          <w:tcPr>
            <w:tcW w:w="7782" w:type="dxa"/>
            <w:gridSpan w:val="2"/>
            <w:tcBorders>
              <w:top w:val="single" w:sz="8" w:space="0" w:color="1A171C"/>
              <w:left w:val="single" w:sz="8" w:space="0" w:color="1A171C"/>
              <w:bottom w:val="single" w:sz="8" w:space="0" w:color="1A171C"/>
              <w:right w:val="nil"/>
            </w:tcBorders>
            <w:vAlign w:val="bottom"/>
          </w:tcPr>
          <w:p w14:paraId="7FE1CF43" w14:textId="37132E78" w:rsidR="00534D9A" w:rsidRDefault="003243B2">
            <w:pPr>
              <w:pStyle w:val="P68B1DB1-TableParagraph73"/>
              <w:spacing w:before="108"/>
              <w:ind w:left="85"/>
              <w:jc w:val="both"/>
              <w:rPr>
                <w:bCs/>
              </w:rPr>
            </w:pPr>
            <w:r>
              <w:t xml:space="preserve">Jekk il-liġi ta’ pajjiż terz, ir-rikonoxximent kuntrattwali </w:t>
            </w:r>
          </w:p>
          <w:p w14:paraId="7FE1CF45" w14:textId="77777777" w:rsidR="00534D9A" w:rsidRDefault="003243B2">
            <w:pPr>
              <w:pStyle w:val="P68B1DB1-TableParagraph40"/>
              <w:spacing w:before="108"/>
              <w:ind w:left="85"/>
              <w:jc w:val="both"/>
            </w:pPr>
            <w:r>
              <w:t xml:space="preserve">Identifikazzjoni tad-dispożizzjonijiet kuntrattwali għar-rikonoxximent tas-setgħat ta’ rikapitalizzazzjoni interna f’konformità mal-Artikolu 55 tal-BRRD, jew </w:t>
            </w:r>
          </w:p>
          <w:p w14:paraId="7FE1CF46" w14:textId="77777777" w:rsidR="00534D9A" w:rsidRDefault="003243B2">
            <w:pPr>
              <w:pStyle w:val="P68B1DB1-TableParagraph40"/>
              <w:spacing w:before="108"/>
              <w:ind w:left="85"/>
              <w:jc w:val="both"/>
            </w:pPr>
            <w:r>
              <w:t>“Iva, appoġġata minn Opinjoni Legali” = l-obbligazzjoni tinkludi klawżola ta’ rikonoxximent ta’ rikapitalizzazzjoni interna f’konformità mal-Artikolu 55 tal-BRRD li hija appoġġata minn opinjoni legali;</w:t>
            </w:r>
          </w:p>
          <w:p w14:paraId="7FE1CF47" w14:textId="77777777" w:rsidR="00534D9A" w:rsidRDefault="003243B2">
            <w:pPr>
              <w:pStyle w:val="P68B1DB1-TableParagraph40"/>
              <w:spacing w:before="108"/>
              <w:ind w:left="85"/>
              <w:jc w:val="both"/>
            </w:pPr>
            <w:r>
              <w:t>“Iva, mhux appoġġata mill-Opinjoni Legali” = l-obbligazzjoni tinkludi klawżola ta’ rikonoxximent tar-rikapitalizzazzjoni interna f’konformità mal-Artikolu 55 tal-BRRD li bħalissa mhijiex appoġġata minn opinjoni legali;</w:t>
            </w:r>
          </w:p>
          <w:p w14:paraId="7FE1CF48" w14:textId="7427A49E" w:rsidR="00534D9A" w:rsidRDefault="003243B2">
            <w:pPr>
              <w:pStyle w:val="P68B1DB1-TableParagraph40"/>
              <w:spacing w:before="108"/>
              <w:ind w:left="85"/>
              <w:jc w:val="both"/>
            </w:pPr>
            <w:r>
              <w:t>“Le” = l-obbligazzjoni ma tinkludix klawżola ta’ rikonoxximent ta’ rikapitalizzazzjoni interna;</w:t>
            </w:r>
          </w:p>
          <w:p w14:paraId="7FE1CF49" w14:textId="2FE33A69" w:rsidR="00534D9A" w:rsidRDefault="003243B2">
            <w:pPr>
              <w:pStyle w:val="P68B1DB1-TableParagraph40"/>
              <w:spacing w:before="108"/>
              <w:ind w:left="85"/>
              <w:jc w:val="both"/>
            </w:pPr>
            <w:r>
              <w:t>“Mhux applikabbli”.  minn lista predefinita.</w:t>
            </w:r>
          </w:p>
        </w:tc>
      </w:tr>
      <w:tr w:rsidR="00534D9A" w14:paraId="7FE1CF4E" w14:textId="77777777">
        <w:tc>
          <w:tcPr>
            <w:tcW w:w="1244" w:type="dxa"/>
            <w:vAlign w:val="center"/>
          </w:tcPr>
          <w:p w14:paraId="7FE1CF4B" w14:textId="77777777" w:rsidR="00534D9A" w:rsidRDefault="003243B2">
            <w:pPr>
              <w:pStyle w:val="P68B1DB1-Normal31"/>
            </w:pPr>
            <w:r>
              <w:t>0080</w:t>
            </w:r>
          </w:p>
        </w:tc>
        <w:tc>
          <w:tcPr>
            <w:tcW w:w="7782" w:type="dxa"/>
            <w:gridSpan w:val="2"/>
            <w:tcBorders>
              <w:top w:val="single" w:sz="8" w:space="0" w:color="1A171C"/>
              <w:left w:val="single" w:sz="8" w:space="0" w:color="1A171C"/>
              <w:bottom w:val="single" w:sz="8" w:space="0" w:color="1A171C"/>
              <w:right w:val="nil"/>
            </w:tcBorders>
            <w:vAlign w:val="bottom"/>
          </w:tcPr>
          <w:p w14:paraId="7FE1CF4C" w14:textId="5032EB27" w:rsidR="00534D9A" w:rsidRDefault="003243B2">
            <w:pPr>
              <w:pStyle w:val="P68B1DB1-TableParagraph73"/>
              <w:spacing w:before="108"/>
              <w:ind w:left="85"/>
              <w:jc w:val="both"/>
              <w:rPr>
                <w:bCs/>
              </w:rPr>
            </w:pPr>
            <w:r>
              <w:t xml:space="preserve">Ammont ta’ Kapital Pendenti </w:t>
            </w:r>
          </w:p>
          <w:p w14:paraId="7FE1CF4D" w14:textId="1F7D6035" w:rsidR="00534D9A" w:rsidRDefault="003243B2">
            <w:pPr>
              <w:pStyle w:val="P68B1DB1-TableParagraph40"/>
              <w:spacing w:before="108"/>
              <w:ind w:left="85"/>
              <w:jc w:val="both"/>
            </w:pPr>
            <w:r>
              <w:t>L-ammont tal-kapital pendenti tal-obbligazzjoni.</w:t>
            </w:r>
          </w:p>
        </w:tc>
      </w:tr>
      <w:tr w:rsidR="00534D9A" w14:paraId="7FE1CF52" w14:textId="77777777">
        <w:tc>
          <w:tcPr>
            <w:tcW w:w="1244" w:type="dxa"/>
            <w:tcBorders>
              <w:top w:val="single" w:sz="8" w:space="0" w:color="1A171C"/>
              <w:left w:val="nil"/>
              <w:bottom w:val="single" w:sz="8" w:space="0" w:color="1A171C"/>
              <w:right w:val="single" w:sz="8" w:space="0" w:color="1A171C"/>
            </w:tcBorders>
            <w:vAlign w:val="center"/>
          </w:tcPr>
          <w:p w14:paraId="7FE1CF4F" w14:textId="77777777" w:rsidR="00534D9A" w:rsidRDefault="003243B2">
            <w:pPr>
              <w:pStyle w:val="P68B1DB1-Normal31"/>
            </w:pPr>
            <w:r>
              <w:t>0090</w:t>
            </w:r>
          </w:p>
        </w:tc>
        <w:tc>
          <w:tcPr>
            <w:tcW w:w="7782" w:type="dxa"/>
            <w:gridSpan w:val="2"/>
            <w:tcBorders>
              <w:top w:val="single" w:sz="8" w:space="0" w:color="1A171C"/>
              <w:left w:val="single" w:sz="8" w:space="0" w:color="1A171C"/>
              <w:bottom w:val="single" w:sz="8" w:space="0" w:color="1A171C"/>
              <w:right w:val="nil"/>
            </w:tcBorders>
            <w:vAlign w:val="bottom"/>
          </w:tcPr>
          <w:p w14:paraId="7FE1CF50" w14:textId="77777777" w:rsidR="00534D9A" w:rsidRDefault="003243B2">
            <w:pPr>
              <w:pStyle w:val="P68B1DB1-TableParagraph73"/>
              <w:spacing w:before="108"/>
              <w:ind w:left="85"/>
              <w:jc w:val="both"/>
              <w:rPr>
                <w:bCs/>
              </w:rPr>
            </w:pPr>
            <w:r>
              <w:t>L-Imgħax Dovut</w:t>
            </w:r>
          </w:p>
          <w:p w14:paraId="7FE1CF51" w14:textId="6BF1C45C" w:rsidR="00534D9A" w:rsidRDefault="003243B2">
            <w:pPr>
              <w:pStyle w:val="P68B1DB1-TableParagraph40"/>
              <w:spacing w:before="108"/>
              <w:ind w:left="85"/>
              <w:jc w:val="both"/>
            </w:pPr>
            <w:r>
              <w:t>L-imgħax dovut pendenti fuq l-obbligazzjoni.</w:t>
            </w:r>
          </w:p>
        </w:tc>
      </w:tr>
      <w:tr w:rsidR="00534D9A" w14:paraId="7FE1CF56" w14:textId="77777777">
        <w:tc>
          <w:tcPr>
            <w:tcW w:w="1244" w:type="dxa"/>
            <w:tcBorders>
              <w:top w:val="single" w:sz="8" w:space="0" w:color="1A171C"/>
              <w:left w:val="nil"/>
              <w:bottom w:val="single" w:sz="8" w:space="0" w:color="1A171C"/>
              <w:right w:val="single" w:sz="8" w:space="0" w:color="1A171C"/>
            </w:tcBorders>
            <w:vAlign w:val="center"/>
          </w:tcPr>
          <w:p w14:paraId="7FE1CF53" w14:textId="77777777" w:rsidR="00534D9A" w:rsidRDefault="003243B2">
            <w:pPr>
              <w:pStyle w:val="P68B1DB1-Normal31"/>
            </w:pPr>
            <w:r>
              <w:t>0100</w:t>
            </w:r>
          </w:p>
        </w:tc>
        <w:tc>
          <w:tcPr>
            <w:tcW w:w="7782" w:type="dxa"/>
            <w:gridSpan w:val="2"/>
            <w:tcBorders>
              <w:top w:val="single" w:sz="8" w:space="0" w:color="1A171C"/>
              <w:left w:val="single" w:sz="8" w:space="0" w:color="1A171C"/>
              <w:bottom w:val="single" w:sz="8" w:space="0" w:color="1A171C"/>
              <w:right w:val="nil"/>
            </w:tcBorders>
            <w:vAlign w:val="bottom"/>
          </w:tcPr>
          <w:p w14:paraId="7FE1CF54" w14:textId="3506FC94" w:rsidR="00534D9A" w:rsidRDefault="003243B2">
            <w:pPr>
              <w:pStyle w:val="P68B1DB1-TableParagraph73"/>
              <w:spacing w:before="108"/>
              <w:ind w:left="85"/>
              <w:jc w:val="both"/>
              <w:rPr>
                <w:bCs/>
              </w:rPr>
            </w:pPr>
            <w:r>
              <w:t>Munita</w:t>
            </w:r>
          </w:p>
          <w:p w14:paraId="7FE1CF55" w14:textId="7419E4E6" w:rsidR="00534D9A" w:rsidRDefault="003243B2">
            <w:pPr>
              <w:pStyle w:val="P68B1DB1-TableParagraph40"/>
              <w:spacing w:before="108"/>
              <w:ind w:left="85"/>
              <w:jc w:val="both"/>
            </w:pPr>
            <w:r>
              <w:t>Il-munita tal-obbligazzjoni f’konformità mal-kodiċi ISO 4217 bi 3 ittri tagħha.</w:t>
            </w:r>
          </w:p>
        </w:tc>
      </w:tr>
      <w:tr w:rsidR="00534D9A" w14:paraId="7FE1CF5A" w14:textId="77777777">
        <w:tc>
          <w:tcPr>
            <w:tcW w:w="1244" w:type="dxa"/>
            <w:tcBorders>
              <w:top w:val="single" w:sz="8" w:space="0" w:color="1A171C"/>
              <w:left w:val="nil"/>
              <w:bottom w:val="single" w:sz="8" w:space="0" w:color="1A171C"/>
              <w:right w:val="single" w:sz="8" w:space="0" w:color="1A171C"/>
            </w:tcBorders>
            <w:vAlign w:val="center"/>
          </w:tcPr>
          <w:p w14:paraId="7FE1CF57" w14:textId="77777777" w:rsidR="00534D9A" w:rsidRDefault="003243B2">
            <w:pPr>
              <w:pStyle w:val="P68B1DB1-Normal31"/>
            </w:pPr>
            <w:r>
              <w:t>0110</w:t>
            </w:r>
          </w:p>
        </w:tc>
        <w:tc>
          <w:tcPr>
            <w:tcW w:w="7782" w:type="dxa"/>
            <w:gridSpan w:val="2"/>
            <w:tcBorders>
              <w:top w:val="single" w:sz="8" w:space="0" w:color="1A171C"/>
              <w:left w:val="single" w:sz="8" w:space="0" w:color="1A171C"/>
              <w:bottom w:val="single" w:sz="8" w:space="0" w:color="1A171C"/>
              <w:right w:val="nil"/>
            </w:tcBorders>
            <w:vAlign w:val="bottom"/>
          </w:tcPr>
          <w:p w14:paraId="7FE1CF58" w14:textId="77777777" w:rsidR="00534D9A" w:rsidRDefault="003243B2">
            <w:pPr>
              <w:pStyle w:val="P68B1DB1-TableParagraph73"/>
              <w:spacing w:before="108"/>
              <w:ind w:left="85"/>
              <w:jc w:val="both"/>
              <w:rPr>
                <w:bCs/>
              </w:rPr>
            </w:pPr>
            <w:r>
              <w:t>Data tal-Ħruġ</w:t>
            </w:r>
          </w:p>
          <w:p w14:paraId="7FE1CF59" w14:textId="77777777" w:rsidR="00534D9A" w:rsidRDefault="003243B2">
            <w:pPr>
              <w:pStyle w:val="P68B1DB1-TableParagraph40"/>
              <w:spacing w:before="108"/>
              <w:ind w:left="85"/>
              <w:jc w:val="both"/>
            </w:pPr>
            <w:r>
              <w:t>Id-data tal-ħruġ oriġinali tal-obbligazzjoni. Għal tranżazzjonijiet ta’ finanzjament tat-titoli soġġetti għal arranġament ta’ netting u rrapportati bħala sett ta’ netting, id-data tar-rapportar tista’ tintuża bħala d-data tal-ħruġ.</w:t>
            </w:r>
          </w:p>
        </w:tc>
      </w:tr>
      <w:tr w:rsidR="00534D9A" w14:paraId="7FE1CF5E" w14:textId="77777777">
        <w:tc>
          <w:tcPr>
            <w:tcW w:w="1244" w:type="dxa"/>
            <w:tcBorders>
              <w:top w:val="single" w:sz="8" w:space="0" w:color="1A171C"/>
              <w:left w:val="nil"/>
              <w:bottom w:val="single" w:sz="8" w:space="0" w:color="1A171C"/>
              <w:right w:val="single" w:sz="8" w:space="0" w:color="1A171C"/>
            </w:tcBorders>
            <w:vAlign w:val="center"/>
          </w:tcPr>
          <w:p w14:paraId="7FE1CF5B" w14:textId="77777777" w:rsidR="00534D9A" w:rsidRDefault="003243B2">
            <w:pPr>
              <w:pStyle w:val="P68B1DB1-Normal31"/>
            </w:pPr>
            <w:r>
              <w:lastRenderedPageBreak/>
              <w:t>0120</w:t>
            </w:r>
          </w:p>
        </w:tc>
        <w:tc>
          <w:tcPr>
            <w:tcW w:w="7782" w:type="dxa"/>
            <w:gridSpan w:val="2"/>
            <w:tcBorders>
              <w:top w:val="single" w:sz="8" w:space="0" w:color="1A171C"/>
              <w:left w:val="single" w:sz="8" w:space="0" w:color="1A171C"/>
              <w:bottom w:val="single" w:sz="8" w:space="0" w:color="1A171C"/>
              <w:right w:val="nil"/>
            </w:tcBorders>
            <w:vAlign w:val="bottom"/>
          </w:tcPr>
          <w:p w14:paraId="7FE1CF5C" w14:textId="77777777" w:rsidR="00534D9A" w:rsidRDefault="003243B2">
            <w:pPr>
              <w:pStyle w:val="P68B1DB1-TableParagraph73"/>
              <w:spacing w:before="108"/>
              <w:ind w:left="85"/>
              <w:jc w:val="both"/>
              <w:rPr>
                <w:bCs/>
              </w:rPr>
            </w:pPr>
            <w:r>
              <w:t>L-ewwel Data ta’ Tifdija</w:t>
            </w:r>
          </w:p>
          <w:p w14:paraId="7FE1CF5D" w14:textId="206F36C8" w:rsidR="00534D9A" w:rsidRDefault="003243B2">
            <w:pPr>
              <w:pStyle w:val="P68B1DB1-TableParagraph40"/>
              <w:spacing w:before="108"/>
              <w:ind w:left="85"/>
              <w:jc w:val="both"/>
            </w:pPr>
            <w:r>
              <w:t>Jekk teżisti opzjoni għall-kreditur li jitlob rimborż bikri, jew il-kundizzjonijiet għal rimborż bikri tal-obbligazzjoni huma previsti kuntrattwalment, ipprovdi l-aktar data bikrija ta’ okkorrenza. Jekk ir-rimborż bikri jkun relatat biss ma’ porzjon tal-obbligazzjoni (eż. rimborż bikri ta’ 50 % tal-ammont nominali), aqsam l-obbligazzjoni biex tqis din il-klawżola ta’ tifdija bikrija parzjali. Għal tranżazzjonijiet ta’ finanzjament tat-titoli soġġetti għal arranġament ta’ netting u rrapportati bħala sett ta’</w:t>
            </w:r>
            <w:r>
              <w:t xml:space="preserve"> netting, uża l-jum wara d-data tar-rapportar.</w:t>
            </w:r>
          </w:p>
        </w:tc>
      </w:tr>
      <w:tr w:rsidR="00534D9A" w14:paraId="7FE1CF63" w14:textId="77777777">
        <w:tc>
          <w:tcPr>
            <w:tcW w:w="1244" w:type="dxa"/>
            <w:tcBorders>
              <w:top w:val="single" w:sz="8" w:space="0" w:color="1A171C"/>
              <w:left w:val="nil"/>
              <w:bottom w:val="single" w:sz="8" w:space="0" w:color="1A171C"/>
              <w:right w:val="single" w:sz="8" w:space="0" w:color="1A171C"/>
            </w:tcBorders>
            <w:vAlign w:val="center"/>
          </w:tcPr>
          <w:p w14:paraId="7FE1CF5F" w14:textId="77777777" w:rsidR="00534D9A" w:rsidRDefault="003243B2">
            <w:pPr>
              <w:pStyle w:val="P68B1DB1-Normal31"/>
            </w:pPr>
            <w:r>
              <w:t>0130</w:t>
            </w:r>
          </w:p>
        </w:tc>
        <w:tc>
          <w:tcPr>
            <w:tcW w:w="7782" w:type="dxa"/>
            <w:gridSpan w:val="2"/>
            <w:tcBorders>
              <w:top w:val="single" w:sz="8" w:space="0" w:color="1A171C"/>
              <w:left w:val="single" w:sz="8" w:space="0" w:color="1A171C"/>
              <w:bottom w:val="single" w:sz="8" w:space="0" w:color="1A171C"/>
              <w:right w:val="nil"/>
            </w:tcBorders>
            <w:vAlign w:val="bottom"/>
          </w:tcPr>
          <w:p w14:paraId="7FE1CF60" w14:textId="77777777" w:rsidR="00534D9A" w:rsidRDefault="003243B2">
            <w:pPr>
              <w:pStyle w:val="P68B1DB1-TableParagraph73"/>
              <w:spacing w:before="108"/>
              <w:ind w:left="85"/>
              <w:jc w:val="both"/>
              <w:rPr>
                <w:bCs/>
              </w:rPr>
            </w:pPr>
            <w:r>
              <w:t>Maturità Legali</w:t>
            </w:r>
          </w:p>
          <w:p w14:paraId="7FE1CF61" w14:textId="6595476F" w:rsidR="00534D9A" w:rsidRDefault="003243B2">
            <w:pPr>
              <w:pStyle w:val="P68B1DB1-TableParagraph40"/>
              <w:spacing w:before="108"/>
              <w:ind w:left="85"/>
              <w:jc w:val="both"/>
            </w:pPr>
            <w:r>
              <w:t>Id-data tal-maturità legali u finali tal-obbligazzjoni. Għal strumenti perpetwi, uża “2099–01–31”.</w:t>
            </w:r>
          </w:p>
          <w:p w14:paraId="7FE1CF62" w14:textId="77777777" w:rsidR="00534D9A" w:rsidRDefault="003243B2">
            <w:pPr>
              <w:pStyle w:val="P68B1DB1-TableParagraph40"/>
              <w:spacing w:before="108"/>
              <w:ind w:left="85"/>
              <w:jc w:val="both"/>
            </w:pPr>
            <w:r>
              <w:t>Għal tranżazzjonijiet ta’ finanzjament tat-titoli soġġetti għal arranġament ta’ netting u rrapportati bħala sett ta’ netting, uża l-jum wara d-data tar-rapportar.</w:t>
            </w:r>
          </w:p>
        </w:tc>
      </w:tr>
      <w:tr w:rsidR="00534D9A" w14:paraId="7FE1CF67" w14:textId="77777777">
        <w:tc>
          <w:tcPr>
            <w:tcW w:w="1244" w:type="dxa"/>
            <w:tcBorders>
              <w:top w:val="single" w:sz="8" w:space="0" w:color="1A171C"/>
              <w:left w:val="nil"/>
              <w:bottom w:val="single" w:sz="8" w:space="0" w:color="1A171C"/>
              <w:right w:val="single" w:sz="8" w:space="0" w:color="1A171C"/>
            </w:tcBorders>
            <w:vAlign w:val="center"/>
          </w:tcPr>
          <w:p w14:paraId="7FE1CF64" w14:textId="77777777" w:rsidR="00534D9A" w:rsidRDefault="003243B2">
            <w:pPr>
              <w:pStyle w:val="P68B1DB1-Normal31"/>
            </w:pPr>
            <w:r>
              <w:t>0150</w:t>
            </w:r>
          </w:p>
        </w:tc>
        <w:tc>
          <w:tcPr>
            <w:tcW w:w="7782" w:type="dxa"/>
            <w:gridSpan w:val="2"/>
            <w:tcBorders>
              <w:top w:val="single" w:sz="8" w:space="0" w:color="1A171C"/>
              <w:left w:val="single" w:sz="8" w:space="0" w:color="1A171C"/>
              <w:bottom w:val="single" w:sz="8" w:space="0" w:color="1A171C"/>
              <w:right w:val="nil"/>
            </w:tcBorders>
            <w:vAlign w:val="bottom"/>
          </w:tcPr>
          <w:p w14:paraId="7FE1CF65" w14:textId="2AE250AE" w:rsidR="00534D9A" w:rsidRDefault="003243B2">
            <w:pPr>
              <w:pStyle w:val="P68B1DB1-TableParagraph73"/>
              <w:spacing w:before="108"/>
              <w:ind w:left="85"/>
              <w:jc w:val="both"/>
              <w:rPr>
                <w:bCs/>
              </w:rPr>
            </w:pPr>
            <w:r>
              <w:t>Ammont ta’ rahan, rahan jew kollateral</w:t>
            </w:r>
          </w:p>
          <w:p w14:paraId="7FE1CF66" w14:textId="77777777" w:rsidR="00534D9A" w:rsidRDefault="003243B2">
            <w:pPr>
              <w:pStyle w:val="P68B1DB1-TableParagraph40"/>
              <w:spacing w:before="108"/>
              <w:ind w:left="85"/>
              <w:jc w:val="both"/>
            </w:pPr>
            <w:r>
              <w:t>Meta obbligazzjoni tkun garantita b’rahan, rahan jew kollateral, għandu jiġi pprovdut il-valur gross ta’ dan tal-aħħar. Inkella, għal obbligazzjonijiet mhux garantiti, din il-kategorija għandha tiġi rrapportata bħala żero. Dan l-ammont jiddetermina l-parti kollateralizzata u eventwalment mhux kollateralizzata ta’ kwalunkwe obbligazzjoni garantita. Għal puli kollaterali li jiggarantixxu entrati multipli fir-ringiela, iddetermina l-proporzjon ta’ kopertura globali u applika pro rata għall-entrati kollha tar-r</w:t>
            </w:r>
            <w:r>
              <w:t>ingieli koperti minn dan il-pool.</w:t>
            </w:r>
          </w:p>
        </w:tc>
      </w:tr>
      <w:tr w:rsidR="00534D9A" w14:paraId="7FE1CF6B" w14:textId="77777777">
        <w:tc>
          <w:tcPr>
            <w:tcW w:w="1244" w:type="dxa"/>
            <w:tcBorders>
              <w:top w:val="single" w:sz="8" w:space="0" w:color="1A171C"/>
              <w:left w:val="nil"/>
              <w:bottom w:val="single" w:sz="8" w:space="0" w:color="1A171C"/>
              <w:right w:val="single" w:sz="8" w:space="0" w:color="1A171C"/>
            </w:tcBorders>
            <w:vAlign w:val="center"/>
          </w:tcPr>
          <w:p w14:paraId="7FE1CF68" w14:textId="77777777" w:rsidR="00534D9A" w:rsidRDefault="003243B2">
            <w:pPr>
              <w:pStyle w:val="P68B1DB1-Normal31"/>
            </w:pPr>
            <w:r>
              <w:t>0160</w:t>
            </w:r>
          </w:p>
        </w:tc>
        <w:tc>
          <w:tcPr>
            <w:tcW w:w="7782" w:type="dxa"/>
            <w:gridSpan w:val="2"/>
            <w:tcBorders>
              <w:top w:val="single" w:sz="8" w:space="0" w:color="1A171C"/>
              <w:left w:val="single" w:sz="8" w:space="0" w:color="1A171C"/>
              <w:bottom w:val="single" w:sz="8" w:space="0" w:color="1A171C"/>
              <w:right w:val="nil"/>
            </w:tcBorders>
            <w:vAlign w:val="bottom"/>
          </w:tcPr>
          <w:p w14:paraId="7FE1CF69" w14:textId="77777777" w:rsidR="00534D9A" w:rsidRDefault="003243B2">
            <w:pPr>
              <w:pStyle w:val="P68B1DB1-TableParagraph73"/>
              <w:spacing w:before="108"/>
              <w:ind w:left="85"/>
              <w:jc w:val="both"/>
              <w:rPr>
                <w:bCs/>
              </w:rPr>
            </w:pPr>
            <w:r>
              <w:t>Garanti jekk applikabbli</w:t>
            </w:r>
          </w:p>
          <w:p w14:paraId="7FE1CF6A" w14:textId="77777777" w:rsidR="00534D9A" w:rsidRDefault="003243B2">
            <w:pPr>
              <w:pStyle w:val="P68B1DB1-TableParagraph40"/>
              <w:spacing w:before="108"/>
              <w:ind w:left="85"/>
              <w:jc w:val="both"/>
            </w:pPr>
            <w:r>
              <w:t>Jekk ikun hemm garanziji pprovduti għall-istrument, ipprovdi identifikazzjoni dettaljata tal-garanti (il-kodiċi LEI, il-kodiċi tal-pajjiż ISO 3166–1 alpha-2 għall-gvern, eċċ.). Fejn hemm diversi garanti preżenti, irrapporta l-identifikaturi kollha, separati b’punt u virgola.</w:t>
            </w:r>
          </w:p>
        </w:tc>
      </w:tr>
      <w:tr w:rsidR="00534D9A" w14:paraId="7FE1CF70" w14:textId="77777777">
        <w:tc>
          <w:tcPr>
            <w:tcW w:w="1244" w:type="dxa"/>
            <w:tcBorders>
              <w:top w:val="single" w:sz="8" w:space="0" w:color="1A171C"/>
              <w:left w:val="nil"/>
              <w:bottom w:val="single" w:sz="8" w:space="0" w:color="1A171C"/>
              <w:right w:val="single" w:sz="8" w:space="0" w:color="1A171C"/>
            </w:tcBorders>
            <w:vAlign w:val="center"/>
          </w:tcPr>
          <w:p w14:paraId="7FE1CF6C" w14:textId="77777777" w:rsidR="00534D9A" w:rsidRDefault="003243B2">
            <w:pPr>
              <w:pStyle w:val="P68B1DB1-Normal31"/>
            </w:pPr>
            <w:r>
              <w:t>0175</w:t>
            </w:r>
          </w:p>
        </w:tc>
        <w:tc>
          <w:tcPr>
            <w:tcW w:w="7782" w:type="dxa"/>
            <w:gridSpan w:val="2"/>
            <w:tcBorders>
              <w:top w:val="single" w:sz="8" w:space="0" w:color="1A171C"/>
              <w:left w:val="single" w:sz="8" w:space="0" w:color="1A171C"/>
              <w:bottom w:val="single" w:sz="8" w:space="0" w:color="1A171C"/>
              <w:right w:val="nil"/>
            </w:tcBorders>
            <w:vAlign w:val="bottom"/>
          </w:tcPr>
          <w:p w14:paraId="7FE1CF6D" w14:textId="2F4CF6F7" w:rsidR="00534D9A" w:rsidRDefault="003243B2">
            <w:pPr>
              <w:pStyle w:val="P68B1DB1-TableParagraph73"/>
              <w:spacing w:before="108"/>
              <w:ind w:left="85"/>
              <w:jc w:val="both"/>
              <w:rPr>
                <w:bCs/>
              </w:rPr>
            </w:pPr>
            <w:r>
              <w:t>Ammont li jissodisfa l-kundizzjonijiet għall-eliġibbiltà tal-MREL</w:t>
            </w:r>
          </w:p>
          <w:p w14:paraId="7FE1CF6F" w14:textId="4E658BD3" w:rsidR="00534D9A" w:rsidRDefault="003243B2">
            <w:pPr>
              <w:pStyle w:val="P68B1DB1-TableParagraph40"/>
              <w:spacing w:before="108"/>
              <w:ind w:left="85"/>
              <w:jc w:val="both"/>
            </w:pPr>
            <w:r>
              <w:t xml:space="preserve">L-ammont ta’ fondi proprji u obbligazzjonijiet eliġibbli li jgħoddu għar-rekwiżit stabbilit f’konformità mal-Artikolu 45(1) tad-Direttiva 2014/59/UE. </w:t>
            </w:r>
          </w:p>
        </w:tc>
      </w:tr>
      <w:tr w:rsidR="00534D9A" w14:paraId="7FE1CF76" w14:textId="77777777">
        <w:tc>
          <w:tcPr>
            <w:tcW w:w="1244" w:type="dxa"/>
            <w:tcBorders>
              <w:top w:val="single" w:sz="8" w:space="0" w:color="1A171C"/>
              <w:left w:val="nil"/>
              <w:bottom w:val="single" w:sz="8" w:space="0" w:color="1A171C"/>
              <w:right w:val="single" w:sz="8" w:space="0" w:color="1A171C"/>
            </w:tcBorders>
            <w:vAlign w:val="center"/>
          </w:tcPr>
          <w:p w14:paraId="7FE1CF71" w14:textId="77777777" w:rsidR="00534D9A" w:rsidRDefault="003243B2">
            <w:pPr>
              <w:pStyle w:val="P68B1DB1-Normal31"/>
            </w:pPr>
            <w:r>
              <w:t>0180</w:t>
            </w:r>
          </w:p>
        </w:tc>
        <w:tc>
          <w:tcPr>
            <w:tcW w:w="7782" w:type="dxa"/>
            <w:gridSpan w:val="2"/>
            <w:tcBorders>
              <w:top w:val="single" w:sz="8" w:space="0" w:color="1A171C"/>
              <w:left w:val="single" w:sz="8" w:space="0" w:color="1A171C"/>
              <w:bottom w:val="single" w:sz="8" w:space="0" w:color="1A171C"/>
              <w:right w:val="nil"/>
            </w:tcBorders>
            <w:vAlign w:val="bottom"/>
          </w:tcPr>
          <w:p w14:paraId="7FE1CF72" w14:textId="77777777" w:rsidR="00534D9A" w:rsidRDefault="003243B2">
            <w:pPr>
              <w:pStyle w:val="P68B1DB1-TableParagraph73"/>
              <w:spacing w:before="108"/>
              <w:ind w:left="85"/>
              <w:jc w:val="both"/>
              <w:rPr>
                <w:bCs/>
              </w:rPr>
            </w:pPr>
            <w:r>
              <w:t>Li jikkwalifikaw bħala Fondi Proprji</w:t>
            </w:r>
          </w:p>
          <w:p w14:paraId="7FE1CF73" w14:textId="52056531" w:rsidR="00534D9A" w:rsidRDefault="003243B2">
            <w:pPr>
              <w:pStyle w:val="P68B1DB1-TableParagraph40"/>
              <w:spacing w:before="108"/>
              <w:ind w:left="85"/>
              <w:jc w:val="both"/>
            </w:pPr>
            <w:r>
              <w:t>Indika jekk u f’liema livell l-istrument huwa inkluż fil-fondi proprji, flimkien ma’ informazzjoni dwar ir-reġim ta’ eliminazzjoni gradwali u l-arranġamenti ta’ anterjorità. Il-valur jista’ jkun “Le”, “Parzjalment AT1, T1 u T2”, “T2 fi tneħħija gradwali”, “Grandfathered T2”, “Konformità Sħiħa T2”, “AT1 anterjorat”, “Konformità Sħiħa AT1” jew “CET1” minn lista predefinita.</w:t>
            </w:r>
          </w:p>
          <w:p w14:paraId="7FE1CF74" w14:textId="77777777" w:rsidR="00534D9A" w:rsidRDefault="003243B2">
            <w:pPr>
              <w:pStyle w:val="P68B1DB1-TableParagraph40"/>
              <w:spacing w:before="108"/>
              <w:ind w:left="85"/>
              <w:jc w:val="both"/>
            </w:pPr>
            <w:r>
              <w:t>Fil-lista ta’ opzjonijiet, it-terminu “eliminazzjoni gradwali” jirreferi għall-perjodu ta’ 5 snin qabel il-maturità ta’ kwalunkwe strument T2 partikolari, li matulu jkun hemm biss rikonoxximent proporzjonat ibbażat fuq iż-żmien li jifdal sal-maturità. “Anterjorità” tirreferi għal kwalunkwe miżura tranżizzjonali applikabbli għal strument T2, li ma tinkludix l- “eliminazzjoni gradwali”. Matul dan il- “anterjorità”, ir-rikonoxximent jista’ jkun sħiħ jew parzjali.</w:t>
            </w:r>
          </w:p>
          <w:p w14:paraId="7FE1CF75" w14:textId="77777777" w:rsidR="00534D9A" w:rsidRDefault="00534D9A">
            <w:pPr>
              <w:pStyle w:val="TableParagraph"/>
              <w:spacing w:before="108"/>
              <w:ind w:left="85"/>
              <w:jc w:val="both"/>
              <w:rPr>
                <w:rFonts w:ascii="Times New Roman" w:eastAsia="Times New Roman" w:hAnsi="Times New Roman" w:cs="Times New Roman"/>
                <w:sz w:val="20"/>
                <w:szCs w:val="20"/>
              </w:rPr>
            </w:pPr>
          </w:p>
        </w:tc>
      </w:tr>
      <w:tr w:rsidR="00534D9A" w14:paraId="7FE1CF7A" w14:textId="77777777">
        <w:tc>
          <w:tcPr>
            <w:tcW w:w="1244" w:type="dxa"/>
            <w:tcBorders>
              <w:top w:val="single" w:sz="8" w:space="0" w:color="1A171C"/>
              <w:left w:val="nil"/>
              <w:bottom w:val="single" w:sz="8" w:space="0" w:color="1A171C"/>
              <w:right w:val="single" w:sz="8" w:space="0" w:color="1A171C"/>
            </w:tcBorders>
            <w:vAlign w:val="center"/>
          </w:tcPr>
          <w:p w14:paraId="7FE1CF77" w14:textId="77777777" w:rsidR="00534D9A" w:rsidRDefault="003243B2">
            <w:pPr>
              <w:pStyle w:val="P68B1DB1-Normal31"/>
            </w:pPr>
            <w:r>
              <w:t>0190</w:t>
            </w:r>
          </w:p>
        </w:tc>
        <w:tc>
          <w:tcPr>
            <w:tcW w:w="7782" w:type="dxa"/>
            <w:gridSpan w:val="2"/>
            <w:tcBorders>
              <w:top w:val="single" w:sz="8" w:space="0" w:color="1A171C"/>
              <w:left w:val="single" w:sz="8" w:space="0" w:color="1A171C"/>
              <w:bottom w:val="single" w:sz="8" w:space="0" w:color="1A171C"/>
              <w:right w:val="nil"/>
            </w:tcBorders>
            <w:vAlign w:val="bottom"/>
          </w:tcPr>
          <w:p w14:paraId="7FE1CF78" w14:textId="2BF371BF" w:rsidR="00534D9A" w:rsidRDefault="003243B2">
            <w:pPr>
              <w:pStyle w:val="P68B1DB1-TableParagraph73"/>
              <w:spacing w:before="108"/>
              <w:ind w:left="85"/>
              <w:jc w:val="both"/>
              <w:rPr>
                <w:bCs/>
              </w:rPr>
            </w:pPr>
            <w:r>
              <w:t>Ammont li jikkwalifika bħala Fondi Proprji</w:t>
            </w:r>
          </w:p>
          <w:p w14:paraId="7FE1CF79" w14:textId="28EFFBCF" w:rsidR="00534D9A" w:rsidRDefault="003243B2">
            <w:pPr>
              <w:pStyle w:val="P68B1DB1-TableParagraph40"/>
              <w:spacing w:before="108"/>
              <w:ind w:left="85"/>
              <w:jc w:val="both"/>
            </w:pPr>
            <w:r>
              <w:t>L-ammont tal-istrument li jikkwalifika bħala fondi proprji.</w:t>
            </w:r>
          </w:p>
        </w:tc>
      </w:tr>
    </w:tbl>
    <w:p w14:paraId="7FE1CF7B" w14:textId="77777777" w:rsidR="00534D9A" w:rsidRDefault="00534D9A">
      <w:pPr>
        <w:pStyle w:val="Instructionsberschrift2"/>
        <w:ind w:left="357"/>
        <w:rPr>
          <w:rFonts w:ascii="Times New Roman" w:eastAsia="Calibri" w:hAnsi="Times New Roman" w:cs="Times New Roman"/>
          <w:szCs w:val="20"/>
        </w:rPr>
      </w:pPr>
    </w:p>
    <w:p w14:paraId="7FE1CF7C" w14:textId="78CE26C4" w:rsidR="00534D9A" w:rsidRDefault="003243B2">
      <w:pPr>
        <w:pStyle w:val="Instructionsberschrift2"/>
        <w:numPr>
          <w:ilvl w:val="1"/>
          <w:numId w:val="49"/>
        </w:numPr>
        <w:spacing w:before="0"/>
        <w:ind w:left="357" w:hanging="357"/>
        <w:rPr>
          <w:rFonts w:ascii="Times New Roman" w:hAnsi="Times New Roman" w:cs="Times New Roman"/>
        </w:rPr>
      </w:pPr>
      <w:bookmarkStart w:id="244" w:name="_Toc208245026"/>
      <w:r>
        <w:rPr>
          <w:rFonts w:ascii="Times New Roman" w:hAnsi="Times New Roman" w:cs="Times New Roman"/>
          <w:color w:val="000000" w:themeColor="text1"/>
        </w:rPr>
        <w:t xml:space="preserve">Z 12.00 — </w:t>
      </w:r>
      <w:r>
        <w:rPr>
          <w:rFonts w:ascii="Times New Roman" w:eastAsia="Cambria" w:hAnsi="Times New Roman" w:cs="Times New Roman"/>
        </w:rPr>
        <w:t>Titoli (inklużi strumenti CET1, AT1 &amp; ampGrad 2; esklużi intragrupp)</w:t>
      </w:r>
      <w:bookmarkEnd w:id="243"/>
      <w:r>
        <w:rPr>
          <w:rFonts w:ascii="Times New Roman" w:eastAsia="Cambria" w:hAnsi="Times New Roman" w:cs="Times New Roman"/>
        </w:rPr>
        <w:t xml:space="preserve"> </w:t>
      </w:r>
      <w:r>
        <w:rPr>
          <w:rFonts w:ascii="Times New Roman" w:eastAsia="Calibri" w:hAnsi="Times New Roman" w:cs="Times New Roman"/>
          <w:szCs w:val="20"/>
        </w:rPr>
        <w:t>(LIAB-G-2)</w:t>
      </w:r>
      <w:bookmarkEnd w:id="244"/>
    </w:p>
    <w:p w14:paraId="7FE1CF7D" w14:textId="77777777" w:rsidR="00534D9A" w:rsidRDefault="003243B2">
      <w:pPr>
        <w:pStyle w:val="P68B1DB1-Numberedtitlelevel372"/>
      </w:pPr>
      <w:r>
        <w:t>Kummenti ġenerali</w:t>
      </w:r>
    </w:p>
    <w:p w14:paraId="7FE1CF7F" w14:textId="048C4053" w:rsidR="00534D9A" w:rsidRDefault="003243B2">
      <w:pPr>
        <w:pStyle w:val="InstructionsText2"/>
        <w:spacing w:before="0"/>
        <w:ind w:left="1134"/>
        <w:rPr>
          <w:rFonts w:ascii="Times New Roman" w:eastAsiaTheme="majorEastAsia" w:hAnsi="Times New Roman" w:cs="Times New Roman"/>
          <w:sz w:val="20"/>
          <w:szCs w:val="20"/>
        </w:rPr>
      </w:pPr>
      <w:r>
        <w:rPr>
          <w:rFonts w:ascii="Times New Roman" w:eastAsia="Cambria" w:hAnsi="Times New Roman" w:cs="Times New Roman"/>
          <w:sz w:val="20"/>
          <w:szCs w:val="20"/>
        </w:rPr>
        <w:lastRenderedPageBreak/>
        <w:t>Titolu huwa strument finanzjarju funġibbli u negozjabbli li jirrappreżenta valur finanzjarju, irrispettivament mill-ispeċifiċitajiet attwali tiegħu (eż. dawn l-istrumenti huma garantiti jew mhux garantiti). Din it-tabella għandha tinkludi wkoll l-istrumenti tal-Fondi Proprji</w:t>
      </w:r>
      <w:r>
        <w:rPr>
          <w:rStyle w:val="FootnoteReference"/>
          <w:rFonts w:eastAsia="Cambria" w:cs="Times New Roman"/>
        </w:rPr>
        <w:footnoteReference w:id="36"/>
      </w:r>
      <w:r>
        <w:rPr>
          <w:rFonts w:ascii="Times New Roman" w:eastAsia="Cambria" w:hAnsi="Times New Roman" w:cs="Times New Roman"/>
          <w:sz w:val="20"/>
          <w:szCs w:val="20"/>
        </w:rPr>
        <w:t>. Għall-finijiet tal-istrumenti kapitali CET1, il-pretensjoni residwa tal-ishma fuq l-ekwità kontabilistika totali (kif definita minn Z 02.00-R0511) għandha tiġi rrapportata fil-livell tal-istrument.</w:t>
      </w:r>
    </w:p>
    <w:p w14:paraId="7FE1CF81" w14:textId="262B713C" w:rsidR="00534D9A" w:rsidRDefault="003243B2">
      <w:pPr>
        <w:pStyle w:val="P68B1DB1-InstructionsText286"/>
        <w:numPr>
          <w:ilvl w:val="2"/>
          <w:numId w:val="209"/>
        </w:numPr>
        <w:spacing w:before="0"/>
        <w:ind w:left="1134"/>
      </w:pPr>
      <w:r>
        <w:t>Meta l-identifikatur tal-kreditur (il-kolonna 0210) ma jkunx disponibbli (eż. fil-każ ta’ strumenti nnegozjati fuq il-pjattaformi), kull ringiela għandha tiġi rrapportata fil-livell aggregat fir-rigward ta’ din il-kaxxa.</w:t>
      </w:r>
    </w:p>
    <w:p w14:paraId="7FE1CF83" w14:textId="77777777" w:rsidR="00534D9A" w:rsidRDefault="003243B2">
      <w:pPr>
        <w:pStyle w:val="P68B1DB1-InstructionsText286"/>
        <w:numPr>
          <w:ilvl w:val="2"/>
          <w:numId w:val="209"/>
        </w:numPr>
        <w:spacing w:before="0"/>
        <w:ind w:left="1134"/>
      </w:pPr>
      <w:r>
        <w:t>Għall-finijiet ta’ din it-tabella, l-obbligazzjonijiet għandhom jiġu rrapportati fir-ringieli fil-livell ta’ granularità definit mill-oqsma mitluba.</w:t>
      </w:r>
    </w:p>
    <w:p w14:paraId="7FE1CF86" w14:textId="77777777" w:rsidR="00534D9A" w:rsidRDefault="00534D9A">
      <w:pPr>
        <w:spacing w:line="276" w:lineRule="auto"/>
        <w:rPr>
          <w:rFonts w:ascii="Times New Roman" w:hAnsi="Times New Roman" w:cs="Times New Roman"/>
          <w:sz w:val="20"/>
          <w:szCs w:val="20"/>
        </w:rPr>
      </w:pPr>
    </w:p>
    <w:p w14:paraId="7FE1CF87" w14:textId="77777777" w:rsidR="00534D9A" w:rsidRDefault="003243B2">
      <w:pPr>
        <w:pStyle w:val="P68B1DB1-Numberedtitlelevel372"/>
      </w:pPr>
      <w:r>
        <w:t>Struzzjonijiet li jikkonċernaw pożizzjonijiet speċifiċi</w:t>
      </w:r>
    </w:p>
    <w:p w14:paraId="7FE1CF88" w14:textId="77777777" w:rsidR="00534D9A" w:rsidRDefault="00534D9A">
      <w:pPr>
        <w:pStyle w:val="body"/>
        <w:rPr>
          <w:rFonts w:ascii="Times New Roman" w:hAnsi="Times New Roman" w:cs="Times New Roman"/>
          <w:color w:val="000000" w:themeColor="text1"/>
          <w:sz w:val="20"/>
          <w:szCs w:val="20"/>
        </w:rPr>
      </w:pPr>
    </w:p>
    <w:tbl>
      <w:tblPr>
        <w:tblW w:w="0" w:type="auto"/>
        <w:tblLook w:val="01E0" w:firstRow="1" w:lastRow="1" w:firstColumn="1" w:lastColumn="1" w:noHBand="0" w:noVBand="0"/>
      </w:tblPr>
      <w:tblGrid>
        <w:gridCol w:w="1415"/>
        <w:gridCol w:w="7547"/>
        <w:gridCol w:w="64"/>
      </w:tblGrid>
      <w:tr w:rsidR="00534D9A" w14:paraId="7FE1CF8B" w14:textId="77777777">
        <w:trPr>
          <w:gridAfter w:val="1"/>
          <w:wAfter w:w="64" w:type="dxa"/>
          <w:tblHeader/>
        </w:trPr>
        <w:tc>
          <w:tcPr>
            <w:tcW w:w="1415" w:type="dxa"/>
            <w:tcBorders>
              <w:top w:val="single" w:sz="4" w:space="0" w:color="1A171C"/>
              <w:left w:val="nil"/>
              <w:bottom w:val="single" w:sz="4" w:space="0" w:color="1A171C"/>
              <w:right w:val="single" w:sz="4" w:space="0" w:color="1A171C"/>
            </w:tcBorders>
            <w:shd w:val="clear" w:color="auto" w:fill="E4E5E5"/>
          </w:tcPr>
          <w:p w14:paraId="7FE1CF89" w14:textId="77777777" w:rsidR="00534D9A" w:rsidRDefault="003243B2">
            <w:pPr>
              <w:pStyle w:val="P68B1DB1-TableParagraph17"/>
              <w:spacing w:before="108"/>
              <w:ind w:left="85"/>
            </w:pPr>
            <w:r>
              <w:t>Kolonni</w:t>
            </w:r>
          </w:p>
        </w:tc>
        <w:tc>
          <w:tcPr>
            <w:tcW w:w="7547" w:type="dxa"/>
            <w:tcBorders>
              <w:top w:val="single" w:sz="4" w:space="0" w:color="1A171C"/>
              <w:left w:val="single" w:sz="4" w:space="0" w:color="1A171C"/>
              <w:bottom w:val="single" w:sz="4" w:space="0" w:color="1A171C"/>
              <w:right w:val="nil"/>
            </w:tcBorders>
            <w:shd w:val="clear" w:color="auto" w:fill="E4E5E5"/>
          </w:tcPr>
          <w:p w14:paraId="7FE1CF8A" w14:textId="77777777" w:rsidR="00534D9A" w:rsidRDefault="003243B2">
            <w:pPr>
              <w:pStyle w:val="P68B1DB1-TableParagraph17"/>
              <w:spacing w:before="108"/>
              <w:ind w:left="85" w:right="1"/>
            </w:pPr>
            <w:r>
              <w:t>Struzzjonijiet</w:t>
            </w:r>
          </w:p>
        </w:tc>
      </w:tr>
      <w:tr w:rsidR="00534D9A" w14:paraId="7FE1CF8F" w14:textId="77777777">
        <w:tc>
          <w:tcPr>
            <w:tcW w:w="1415" w:type="dxa"/>
            <w:tcBorders>
              <w:top w:val="single" w:sz="8" w:space="0" w:color="1A171C"/>
              <w:left w:val="nil"/>
              <w:bottom w:val="single" w:sz="8" w:space="0" w:color="1A171C"/>
              <w:right w:val="single" w:sz="8" w:space="0" w:color="1A171C"/>
            </w:tcBorders>
            <w:vAlign w:val="center"/>
          </w:tcPr>
          <w:p w14:paraId="7FE1CF8C" w14:textId="77777777" w:rsidR="00534D9A" w:rsidRDefault="003243B2">
            <w:pPr>
              <w:pStyle w:val="P68B1DB1-Normal31"/>
            </w:pPr>
            <w:r>
              <w:t>0010</w:t>
            </w:r>
          </w:p>
        </w:tc>
        <w:tc>
          <w:tcPr>
            <w:tcW w:w="7611" w:type="dxa"/>
            <w:gridSpan w:val="2"/>
            <w:tcBorders>
              <w:top w:val="single" w:sz="8" w:space="0" w:color="1A171C"/>
              <w:left w:val="single" w:sz="8" w:space="0" w:color="1A171C"/>
              <w:bottom w:val="single" w:sz="8" w:space="0" w:color="1A171C"/>
              <w:right w:val="nil"/>
            </w:tcBorders>
            <w:vAlign w:val="bottom"/>
          </w:tcPr>
          <w:p w14:paraId="7FE1CF8D" w14:textId="77777777" w:rsidR="00534D9A" w:rsidRDefault="003243B2">
            <w:pPr>
              <w:pStyle w:val="P68B1DB1-TableParagraph40"/>
              <w:spacing w:before="108"/>
              <w:ind w:left="85"/>
              <w:jc w:val="both"/>
              <w:rPr>
                <w:b/>
                <w:bCs/>
              </w:rPr>
            </w:pPr>
            <w:r>
              <w:t xml:space="preserve"> </w:t>
            </w:r>
            <w:r>
              <w:rPr>
                <w:b/>
              </w:rPr>
              <w:t>NRU</w:t>
            </w:r>
          </w:p>
          <w:p w14:paraId="7FE1CF8E" w14:textId="77777777" w:rsidR="00534D9A" w:rsidRDefault="003243B2">
            <w:pPr>
              <w:pStyle w:val="P68B1DB1-TableParagraph40"/>
              <w:spacing w:before="108"/>
              <w:ind w:left="85"/>
              <w:jc w:val="both"/>
            </w:pPr>
            <w:r>
              <w:t>Numru uniku/ċavetta primarja biex jiġu identifikati l-oġġetti tar-ringiela.</w:t>
            </w:r>
          </w:p>
        </w:tc>
      </w:tr>
      <w:tr w:rsidR="00534D9A" w14:paraId="7FE1CF93" w14:textId="77777777">
        <w:tc>
          <w:tcPr>
            <w:tcW w:w="1415" w:type="dxa"/>
            <w:tcBorders>
              <w:top w:val="single" w:sz="8" w:space="0" w:color="1A171C"/>
              <w:left w:val="nil"/>
              <w:bottom w:val="single" w:sz="8" w:space="0" w:color="1A171C"/>
              <w:right w:val="single" w:sz="8" w:space="0" w:color="1A171C"/>
            </w:tcBorders>
            <w:vAlign w:val="center"/>
          </w:tcPr>
          <w:p w14:paraId="7FE1CF90" w14:textId="77777777" w:rsidR="00534D9A" w:rsidRDefault="003243B2">
            <w:pPr>
              <w:pStyle w:val="P68B1DB1-Normal31"/>
            </w:pPr>
            <w:r>
              <w:t>0020</w:t>
            </w:r>
          </w:p>
        </w:tc>
        <w:tc>
          <w:tcPr>
            <w:tcW w:w="7611" w:type="dxa"/>
            <w:gridSpan w:val="2"/>
            <w:tcBorders>
              <w:top w:val="single" w:sz="8" w:space="0" w:color="1A171C"/>
              <w:left w:val="single" w:sz="8" w:space="0" w:color="1A171C"/>
              <w:bottom w:val="single" w:sz="8" w:space="0" w:color="1A171C"/>
              <w:right w:val="nil"/>
            </w:tcBorders>
            <w:vAlign w:val="bottom"/>
          </w:tcPr>
          <w:p w14:paraId="7FE1CF91" w14:textId="2D0C3327" w:rsidR="00534D9A" w:rsidRDefault="003243B2">
            <w:pPr>
              <w:pStyle w:val="P68B1DB1-TableParagraph73"/>
              <w:spacing w:before="108"/>
              <w:ind w:left="85"/>
              <w:jc w:val="both"/>
              <w:rPr>
                <w:bCs/>
              </w:rPr>
            </w:pPr>
            <w:r>
              <w:t>Ringiela</w:t>
            </w:r>
          </w:p>
          <w:p w14:paraId="7FE1CF92" w14:textId="771261C9" w:rsidR="00534D9A" w:rsidRDefault="003243B2">
            <w:pPr>
              <w:pStyle w:val="P68B1DB1-TableParagraph40"/>
              <w:spacing w:before="108"/>
              <w:ind w:left="85"/>
              <w:jc w:val="both"/>
            </w:pPr>
            <w:r>
              <w:t>Għal kull Ringiela rrapportata, trid tiġi pprovduta rikonċiljazzjoni mal-kategoriji tal-obbligazzjonijiet tal-istruttura tal-obbligazzjonijiet f’Z02.00 fil-livell tal-maturità minn lista predefinita ta’ valuri.</w:t>
            </w:r>
          </w:p>
        </w:tc>
      </w:tr>
      <w:tr w:rsidR="00534D9A" w14:paraId="7FE1CF97" w14:textId="77777777">
        <w:tc>
          <w:tcPr>
            <w:tcW w:w="1415" w:type="dxa"/>
            <w:tcBorders>
              <w:top w:val="single" w:sz="8" w:space="0" w:color="1A171C"/>
              <w:left w:val="nil"/>
              <w:bottom w:val="single" w:sz="8" w:space="0" w:color="1A171C"/>
              <w:right w:val="single" w:sz="8" w:space="0" w:color="1A171C"/>
            </w:tcBorders>
            <w:vAlign w:val="center"/>
          </w:tcPr>
          <w:p w14:paraId="7FE1CF94" w14:textId="77777777" w:rsidR="00534D9A" w:rsidRDefault="003243B2">
            <w:pPr>
              <w:pStyle w:val="P68B1DB1-Normal31"/>
            </w:pPr>
            <w:r>
              <w:t>0030</w:t>
            </w:r>
          </w:p>
        </w:tc>
        <w:tc>
          <w:tcPr>
            <w:tcW w:w="7611" w:type="dxa"/>
            <w:gridSpan w:val="2"/>
            <w:tcBorders>
              <w:top w:val="single" w:sz="8" w:space="0" w:color="1A171C"/>
              <w:left w:val="single" w:sz="8" w:space="0" w:color="1A171C"/>
              <w:bottom w:val="single" w:sz="8" w:space="0" w:color="1A171C"/>
              <w:right w:val="nil"/>
            </w:tcBorders>
            <w:vAlign w:val="bottom"/>
          </w:tcPr>
          <w:p w14:paraId="7FE1CF95" w14:textId="77777777" w:rsidR="00534D9A" w:rsidRDefault="003243B2">
            <w:pPr>
              <w:pStyle w:val="P68B1DB1-TableParagraph73"/>
              <w:spacing w:before="108"/>
              <w:ind w:left="85"/>
              <w:jc w:val="both"/>
              <w:rPr>
                <w:bCs/>
              </w:rPr>
            </w:pPr>
            <w:r>
              <w:t xml:space="preserve">Kolonna </w:t>
            </w:r>
          </w:p>
          <w:p w14:paraId="7FE1CF96" w14:textId="68A01AA0" w:rsidR="00534D9A" w:rsidRDefault="003243B2">
            <w:pPr>
              <w:pStyle w:val="P68B1DB1-TableParagraph40"/>
              <w:spacing w:before="108"/>
              <w:ind w:left="85"/>
              <w:jc w:val="both"/>
            </w:pPr>
            <w:r>
              <w:t>Għal kull Ringiela rapportata, trid tiġi pprovduta rikonċiljazzjoni mal-klassi tal-kontroparti f’ “02.00” li għaliha hija dovuta l-obbligazzjoni minn lista predefinita ta’ valuri.</w:t>
            </w:r>
          </w:p>
        </w:tc>
      </w:tr>
      <w:tr w:rsidR="00534D9A" w14:paraId="7FE1CF9B" w14:textId="77777777">
        <w:tc>
          <w:tcPr>
            <w:tcW w:w="1415" w:type="dxa"/>
            <w:tcBorders>
              <w:top w:val="single" w:sz="8" w:space="0" w:color="1A171C"/>
              <w:left w:val="nil"/>
              <w:bottom w:val="single" w:sz="8" w:space="0" w:color="1A171C"/>
              <w:right w:val="single" w:sz="8" w:space="0" w:color="1A171C"/>
            </w:tcBorders>
            <w:vAlign w:val="center"/>
          </w:tcPr>
          <w:p w14:paraId="7FE1CF98" w14:textId="77777777" w:rsidR="00534D9A" w:rsidRDefault="003243B2">
            <w:pPr>
              <w:pStyle w:val="P68B1DB1-Normal31"/>
            </w:pPr>
            <w:r>
              <w:t>0040</w:t>
            </w:r>
          </w:p>
        </w:tc>
        <w:tc>
          <w:tcPr>
            <w:tcW w:w="7611" w:type="dxa"/>
            <w:gridSpan w:val="2"/>
            <w:tcBorders>
              <w:top w:val="single" w:sz="8" w:space="0" w:color="1A171C"/>
              <w:left w:val="single" w:sz="8" w:space="0" w:color="1A171C"/>
              <w:bottom w:val="single" w:sz="8" w:space="0" w:color="1A171C"/>
              <w:right w:val="nil"/>
            </w:tcBorders>
            <w:vAlign w:val="bottom"/>
          </w:tcPr>
          <w:p w14:paraId="7FE1CF99" w14:textId="612A6BCD" w:rsidR="00534D9A" w:rsidRDefault="003243B2">
            <w:pPr>
              <w:pStyle w:val="P68B1DB1-TableParagraph40"/>
              <w:spacing w:before="108"/>
              <w:ind w:left="85"/>
              <w:jc w:val="both"/>
              <w:rPr>
                <w:b/>
                <w:bCs/>
              </w:rPr>
            </w:pPr>
            <w:r>
              <w:t xml:space="preserve"> </w:t>
            </w:r>
            <w:r>
              <w:rPr>
                <w:b/>
              </w:rPr>
              <w:t>Klassifikazzjoni</w:t>
            </w:r>
          </w:p>
          <w:p w14:paraId="7FE1CF9A" w14:textId="33768518" w:rsidR="00534D9A" w:rsidRDefault="003243B2">
            <w:pPr>
              <w:pStyle w:val="P68B1DB1-TableParagraph40"/>
              <w:spacing w:before="108"/>
              <w:ind w:left="85"/>
              <w:jc w:val="both"/>
            </w:pPr>
            <w:r>
              <w:t xml:space="preserve">Il-grad ta’ insolvenza għandu jkun wieħed mill-gradi inklużi fil-klassifikazzjonijiet tal-insolvenza ppubblikati mill-awtorità ta’ riżoluzzjoni ta’ dik il-ġuriżdizzjoni. </w:t>
            </w:r>
          </w:p>
        </w:tc>
      </w:tr>
      <w:tr w:rsidR="00534D9A" w14:paraId="7FE1CF9F" w14:textId="77777777">
        <w:tc>
          <w:tcPr>
            <w:tcW w:w="1415" w:type="dxa"/>
            <w:tcBorders>
              <w:top w:val="single" w:sz="8" w:space="0" w:color="1A171C"/>
              <w:left w:val="nil"/>
              <w:bottom w:val="single" w:sz="8" w:space="0" w:color="1A171C"/>
              <w:right w:val="single" w:sz="8" w:space="0" w:color="1A171C"/>
            </w:tcBorders>
            <w:vAlign w:val="center"/>
          </w:tcPr>
          <w:p w14:paraId="7FE1CF9C" w14:textId="77777777" w:rsidR="00534D9A" w:rsidRDefault="003243B2">
            <w:pPr>
              <w:pStyle w:val="P68B1DB1-Normal31"/>
            </w:pPr>
            <w:r>
              <w:t>0050</w:t>
            </w:r>
          </w:p>
        </w:tc>
        <w:tc>
          <w:tcPr>
            <w:tcW w:w="7611" w:type="dxa"/>
            <w:gridSpan w:val="2"/>
            <w:tcBorders>
              <w:top w:val="single" w:sz="8" w:space="0" w:color="1A171C"/>
              <w:left w:val="single" w:sz="8" w:space="0" w:color="1A171C"/>
              <w:bottom w:val="single" w:sz="8" w:space="0" w:color="1A171C"/>
              <w:right w:val="nil"/>
            </w:tcBorders>
            <w:vAlign w:val="bottom"/>
          </w:tcPr>
          <w:p w14:paraId="7FE1CF9D" w14:textId="77777777" w:rsidR="00534D9A" w:rsidRDefault="003243B2">
            <w:pPr>
              <w:pStyle w:val="P68B1DB1-TableParagraph73"/>
              <w:spacing w:before="108"/>
              <w:ind w:left="85"/>
              <w:jc w:val="both"/>
              <w:rPr>
                <w:bCs/>
              </w:rPr>
            </w:pPr>
            <w:r>
              <w:t>ISIN</w:t>
            </w:r>
          </w:p>
          <w:p w14:paraId="7FE1CF9E" w14:textId="02C8C7D3" w:rsidR="00534D9A" w:rsidRDefault="003243B2">
            <w:pPr>
              <w:pStyle w:val="P68B1DB1-TableParagraph40"/>
              <w:spacing w:before="108"/>
              <w:ind w:left="85"/>
              <w:jc w:val="both"/>
            </w:pPr>
            <w:r>
              <w:t>L-ISIN jew, f’każ li l-ISIN ma jkunx disponibbli, għandu jiġi rrapportat identifikatur ieħor tal-kuntratt tal-istrument.</w:t>
            </w:r>
          </w:p>
        </w:tc>
      </w:tr>
      <w:tr w:rsidR="00534D9A" w14:paraId="7FE1CFAC" w14:textId="77777777">
        <w:tc>
          <w:tcPr>
            <w:tcW w:w="1415" w:type="dxa"/>
            <w:tcBorders>
              <w:top w:val="single" w:sz="8" w:space="0" w:color="1A171C"/>
              <w:left w:val="nil"/>
              <w:bottom w:val="single" w:sz="8" w:space="0" w:color="1A171C"/>
              <w:right w:val="single" w:sz="8" w:space="0" w:color="1A171C"/>
            </w:tcBorders>
            <w:vAlign w:val="center"/>
          </w:tcPr>
          <w:p w14:paraId="7FE1CFA0" w14:textId="77777777" w:rsidR="00534D9A" w:rsidRDefault="003243B2">
            <w:pPr>
              <w:pStyle w:val="P68B1DB1-Normal31"/>
            </w:pPr>
            <w:r>
              <w:t>0060</w:t>
            </w:r>
          </w:p>
        </w:tc>
        <w:tc>
          <w:tcPr>
            <w:tcW w:w="7611" w:type="dxa"/>
            <w:gridSpan w:val="2"/>
            <w:tcBorders>
              <w:top w:val="single" w:sz="8" w:space="0" w:color="1A171C"/>
              <w:left w:val="single" w:sz="8" w:space="0" w:color="1A171C"/>
              <w:bottom w:val="single" w:sz="8" w:space="0" w:color="1A171C"/>
              <w:right w:val="nil"/>
            </w:tcBorders>
            <w:vAlign w:val="bottom"/>
          </w:tcPr>
          <w:p w14:paraId="7FE1CFA1" w14:textId="6BA6A7B1" w:rsidR="00534D9A" w:rsidRDefault="003243B2">
            <w:pPr>
              <w:pStyle w:val="P68B1DB1-TableParagraph73"/>
              <w:spacing w:before="108"/>
              <w:ind w:left="85"/>
              <w:jc w:val="both"/>
              <w:rPr>
                <w:bCs/>
              </w:rPr>
            </w:pPr>
            <w:r>
              <w:t xml:space="preserve">Tip ta’ strument  </w:t>
            </w:r>
          </w:p>
          <w:p w14:paraId="7FE1CFA2" w14:textId="77777777" w:rsidR="00534D9A" w:rsidRDefault="003243B2">
            <w:pPr>
              <w:pStyle w:val="P68B1DB1-TableParagraph40"/>
              <w:spacing w:before="108"/>
              <w:ind w:left="85"/>
              <w:jc w:val="both"/>
            </w:pPr>
            <w:r>
              <w:t xml:space="preserve">Identifikazzjoni tat-tip ta’ strument, jew </w:t>
            </w:r>
          </w:p>
          <w:p w14:paraId="7FE1CFA3" w14:textId="77777777" w:rsidR="00534D9A" w:rsidRDefault="003243B2">
            <w:pPr>
              <w:pStyle w:val="P68B1DB1-TableParagraph40"/>
              <w:spacing w:before="108"/>
              <w:ind w:left="85"/>
              <w:jc w:val="both"/>
            </w:pPr>
            <w:r>
              <w:t>— Bond Reġistrat</w:t>
            </w:r>
          </w:p>
          <w:p w14:paraId="7FE1CFA4" w14:textId="77777777" w:rsidR="00534D9A" w:rsidRDefault="003243B2">
            <w:pPr>
              <w:pStyle w:val="P68B1DB1-TableParagraph40"/>
              <w:spacing w:before="108"/>
              <w:ind w:left="85"/>
              <w:jc w:val="both"/>
            </w:pPr>
            <w:r>
              <w:t>— Bond għall-portatur</w:t>
            </w:r>
          </w:p>
          <w:p w14:paraId="7FE1CFA5" w14:textId="77777777" w:rsidR="00534D9A" w:rsidRDefault="003243B2">
            <w:pPr>
              <w:pStyle w:val="P68B1DB1-TableParagraph40"/>
              <w:spacing w:before="108"/>
              <w:ind w:left="85"/>
              <w:jc w:val="both"/>
            </w:pPr>
            <w:r>
              <w:t>— Self għan-Nota tal-mutwatarju</w:t>
            </w:r>
          </w:p>
          <w:p w14:paraId="7FE1CFA7" w14:textId="3E3D590C" w:rsidR="00534D9A" w:rsidRDefault="003243B2">
            <w:pPr>
              <w:pStyle w:val="P68B1DB1-TableParagraph40"/>
              <w:spacing w:before="108"/>
              <w:ind w:left="85"/>
              <w:jc w:val="both"/>
            </w:pPr>
            <w:r>
              <w:t>— Ċertifikat ta’ Depożitu/Karta kummerċjali</w:t>
            </w:r>
          </w:p>
          <w:p w14:paraId="7FE1CFA8" w14:textId="77777777" w:rsidR="00534D9A" w:rsidRDefault="003243B2">
            <w:pPr>
              <w:pStyle w:val="P68B1DB1-TableParagraph40"/>
              <w:spacing w:before="108"/>
              <w:ind w:left="85"/>
              <w:jc w:val="both"/>
            </w:pPr>
            <w:r>
              <w:t>— Titolu ta’ sjieda</w:t>
            </w:r>
          </w:p>
          <w:p w14:paraId="7FE1CFA9" w14:textId="77777777" w:rsidR="00534D9A" w:rsidRDefault="003243B2">
            <w:pPr>
              <w:pStyle w:val="P68B1DB1-TableParagraph40"/>
              <w:spacing w:before="108"/>
              <w:ind w:left="85"/>
              <w:jc w:val="both"/>
            </w:pPr>
            <w:r>
              <w:t>Oħrajn</w:t>
            </w:r>
          </w:p>
          <w:p w14:paraId="7FE1CFAA" w14:textId="2BCDE67E" w:rsidR="00534D9A" w:rsidRDefault="003243B2">
            <w:pPr>
              <w:pStyle w:val="P68B1DB1-TableParagraph40"/>
              <w:spacing w:before="108"/>
              <w:ind w:left="85"/>
              <w:jc w:val="both"/>
            </w:pPr>
            <w:r>
              <w:t xml:space="preserve"> </w:t>
            </w:r>
          </w:p>
          <w:p w14:paraId="7FE1CFAB" w14:textId="77777777" w:rsidR="00534D9A" w:rsidRDefault="003243B2">
            <w:pPr>
              <w:pStyle w:val="P68B1DB1-TableParagraph40"/>
              <w:spacing w:before="108"/>
              <w:ind w:left="85"/>
              <w:jc w:val="both"/>
            </w:pPr>
            <w:r>
              <w:t>minn lista predefinita.</w:t>
            </w:r>
          </w:p>
        </w:tc>
      </w:tr>
      <w:tr w:rsidR="00534D9A" w14:paraId="7FE1CFB0" w14:textId="77777777">
        <w:tc>
          <w:tcPr>
            <w:tcW w:w="1415" w:type="dxa"/>
            <w:tcBorders>
              <w:top w:val="single" w:sz="8" w:space="0" w:color="1A171C"/>
              <w:left w:val="nil"/>
              <w:bottom w:val="single" w:sz="8" w:space="0" w:color="1A171C"/>
              <w:right w:val="single" w:sz="8" w:space="0" w:color="1A171C"/>
            </w:tcBorders>
            <w:vAlign w:val="center"/>
          </w:tcPr>
          <w:p w14:paraId="7FE1CFAD" w14:textId="77777777" w:rsidR="00534D9A" w:rsidRDefault="003243B2">
            <w:pPr>
              <w:pStyle w:val="P68B1DB1-Normal31"/>
            </w:pPr>
            <w:r>
              <w:lastRenderedPageBreak/>
              <w:t>0070</w:t>
            </w:r>
          </w:p>
        </w:tc>
        <w:tc>
          <w:tcPr>
            <w:tcW w:w="7611" w:type="dxa"/>
            <w:gridSpan w:val="2"/>
            <w:tcBorders>
              <w:top w:val="single" w:sz="8" w:space="0" w:color="1A171C"/>
              <w:left w:val="single" w:sz="8" w:space="0" w:color="1A171C"/>
              <w:bottom w:val="single" w:sz="8" w:space="0" w:color="1A171C"/>
              <w:right w:val="nil"/>
            </w:tcBorders>
            <w:vAlign w:val="bottom"/>
          </w:tcPr>
          <w:p w14:paraId="7FE1CFAE" w14:textId="15104C03" w:rsidR="00534D9A" w:rsidRDefault="003243B2">
            <w:pPr>
              <w:pStyle w:val="P68B1DB1-TableParagraph73"/>
              <w:spacing w:before="108"/>
              <w:ind w:left="85"/>
              <w:jc w:val="both"/>
              <w:rPr>
                <w:bCs/>
              </w:rPr>
            </w:pPr>
            <w:r>
              <w:t xml:space="preserve">Il-liġi regolatorja  </w:t>
            </w:r>
          </w:p>
          <w:p w14:paraId="7FE1CFAF" w14:textId="2BE77EA5" w:rsidR="00534D9A" w:rsidRDefault="003243B2">
            <w:pPr>
              <w:pStyle w:val="P68B1DB1-TableParagraph40"/>
              <w:spacing w:before="108"/>
              <w:ind w:left="85"/>
              <w:jc w:val="both"/>
            </w:pPr>
            <w:r>
              <w:t xml:space="preserve">Il-kodiċi ISO 3166–1 alpha-2 tal-pajjiż li l-liġi tiegħu tirregola l-istrument (uża l-kodiċi ISO 3166–2 meta l-liġi ta’ subdiviżjoni amministrattiva tkun rilevanti, eż. “US-NY”). Jekk il-kuntratt ikun irregolat mil-liġi ta’ aktar minn pajjiż wieħed, għandu jiġi rrapportat il-pajjiż li l-liġi tiegħu għandha l-ogħla rilevanza għar-rikonoxximent tas-setgħat ta’ valwazzjoni negattiva u konverżjoni.  </w:t>
            </w:r>
          </w:p>
        </w:tc>
      </w:tr>
      <w:tr w:rsidR="00534D9A" w14:paraId="7FE1CFB9" w14:textId="77777777">
        <w:tc>
          <w:tcPr>
            <w:tcW w:w="1415" w:type="dxa"/>
            <w:tcBorders>
              <w:top w:val="single" w:sz="8" w:space="0" w:color="1A171C"/>
              <w:left w:val="nil"/>
              <w:bottom w:val="single" w:sz="8" w:space="0" w:color="1A171C"/>
              <w:right w:val="single" w:sz="8" w:space="0" w:color="1A171C"/>
            </w:tcBorders>
            <w:vAlign w:val="center"/>
          </w:tcPr>
          <w:p w14:paraId="7FE1CFB1" w14:textId="77777777" w:rsidR="00534D9A" w:rsidRDefault="003243B2">
            <w:pPr>
              <w:pStyle w:val="P68B1DB1-Normal31"/>
            </w:pPr>
            <w:r>
              <w:t>0080</w:t>
            </w:r>
          </w:p>
        </w:tc>
        <w:tc>
          <w:tcPr>
            <w:tcW w:w="7611" w:type="dxa"/>
            <w:gridSpan w:val="2"/>
            <w:tcBorders>
              <w:top w:val="single" w:sz="8" w:space="0" w:color="1A171C"/>
              <w:left w:val="single" w:sz="8" w:space="0" w:color="1A171C"/>
              <w:bottom w:val="single" w:sz="8" w:space="0" w:color="1A171C"/>
              <w:right w:val="nil"/>
            </w:tcBorders>
            <w:vAlign w:val="bottom"/>
          </w:tcPr>
          <w:p w14:paraId="7FE1CFB2" w14:textId="5EBC9195" w:rsidR="00534D9A" w:rsidRDefault="003243B2">
            <w:pPr>
              <w:pStyle w:val="P68B1DB1-TableParagraph73"/>
              <w:spacing w:before="108"/>
              <w:ind w:left="85"/>
              <w:jc w:val="both"/>
              <w:rPr>
                <w:bCs/>
              </w:rPr>
            </w:pPr>
            <w:r>
              <w:t xml:space="preserve">Jekk il-liġi ta’ pajjiż terz, ir-rikonoxximent kuntrattwali </w:t>
            </w:r>
          </w:p>
          <w:p w14:paraId="7FE1CFB3" w14:textId="0329FBCA" w:rsidR="00534D9A" w:rsidRDefault="003243B2">
            <w:pPr>
              <w:pStyle w:val="P68B1DB1-TableParagraph40"/>
              <w:spacing w:before="108"/>
              <w:ind w:left="85"/>
              <w:jc w:val="both"/>
            </w:pPr>
            <w:r>
              <w:t>Identifikazzjoni tad-dispożizzjonijiet kuntrattwali għar-rikonoxximent tas-setgħat ta’ rikapitalizzazzjoni interna f’konformità mal-Artikolu 55 tal-BRRD, jew:</w:t>
            </w:r>
          </w:p>
          <w:p w14:paraId="7FE1CFB4" w14:textId="7CAD351E" w:rsidR="00534D9A" w:rsidRDefault="003243B2">
            <w:pPr>
              <w:pStyle w:val="P68B1DB1-TableParagraph40"/>
              <w:spacing w:before="108"/>
              <w:ind w:left="85"/>
              <w:jc w:val="both"/>
            </w:pPr>
            <w:r>
              <w:t>“Iva, appoġġata minn Opinjoni Legali” = l-obbligazzjoni tinkludi klawżola ta’ rikonoxximent ta’ rikapitalizzazzjoni interna f’konformità mal-Artikolu 55 tal-BRRD li hija appoġġata minn opinjoni legali;</w:t>
            </w:r>
          </w:p>
          <w:p w14:paraId="7FE1CFB5" w14:textId="77777777" w:rsidR="00534D9A" w:rsidRDefault="003243B2">
            <w:pPr>
              <w:pStyle w:val="P68B1DB1-TableParagraph40"/>
              <w:spacing w:before="108"/>
              <w:ind w:left="85"/>
              <w:jc w:val="both"/>
            </w:pPr>
            <w:r>
              <w:t>“Iva, mhux appoġġata mill-Opinjoni Legali” = l-obbligazzjoni tinkludi klawżola ta’ rikonoxximent tar-rikapitalizzazzjoni interna f’konformità mal-Artikolu 55 tal-BRRD li bħalissa mhijiex appoġġata minn opinjoni legali;</w:t>
            </w:r>
          </w:p>
          <w:p w14:paraId="7FE1CFB6" w14:textId="77777777" w:rsidR="00534D9A" w:rsidRDefault="003243B2">
            <w:pPr>
              <w:pStyle w:val="P68B1DB1-TableParagraph40"/>
              <w:spacing w:before="108"/>
              <w:ind w:left="85"/>
              <w:jc w:val="both"/>
            </w:pPr>
            <w:r>
              <w:t>“Le” = l-obbligazzjoni ma tinkludix klawżola ta’ rikonoxximent ta’ rikapitalizzazzjoni interna;</w:t>
            </w:r>
          </w:p>
          <w:p w14:paraId="7FE1CFB7" w14:textId="58099242" w:rsidR="00534D9A" w:rsidRDefault="003243B2">
            <w:pPr>
              <w:pStyle w:val="P68B1DB1-TableParagraph40"/>
              <w:spacing w:before="108"/>
              <w:ind w:left="85"/>
              <w:jc w:val="both"/>
            </w:pPr>
            <w:r>
              <w:t xml:space="preserve">“Mhux applikabbli”,  </w:t>
            </w:r>
          </w:p>
          <w:p w14:paraId="7FE1CFB8" w14:textId="77777777" w:rsidR="00534D9A" w:rsidRDefault="003243B2">
            <w:pPr>
              <w:pStyle w:val="P68B1DB1-TableParagraph40"/>
              <w:spacing w:before="108"/>
              <w:ind w:left="85"/>
              <w:jc w:val="both"/>
            </w:pPr>
            <w:r>
              <w:t>minn lista predefinita.</w:t>
            </w:r>
          </w:p>
        </w:tc>
      </w:tr>
      <w:tr w:rsidR="00534D9A" w14:paraId="7FE1CFBD" w14:textId="77777777">
        <w:tc>
          <w:tcPr>
            <w:tcW w:w="1415" w:type="dxa"/>
            <w:tcBorders>
              <w:top w:val="single" w:sz="8" w:space="0" w:color="1A171C"/>
              <w:left w:val="nil"/>
              <w:bottom w:val="single" w:sz="8" w:space="0" w:color="1A171C"/>
              <w:right w:val="single" w:sz="8" w:space="0" w:color="1A171C"/>
            </w:tcBorders>
            <w:vAlign w:val="center"/>
          </w:tcPr>
          <w:p w14:paraId="7FE1CFBA" w14:textId="77777777" w:rsidR="00534D9A" w:rsidRDefault="003243B2">
            <w:pPr>
              <w:pStyle w:val="P68B1DB1-Normal31"/>
            </w:pPr>
            <w:r>
              <w:t>0090</w:t>
            </w:r>
          </w:p>
        </w:tc>
        <w:tc>
          <w:tcPr>
            <w:tcW w:w="7611" w:type="dxa"/>
            <w:gridSpan w:val="2"/>
            <w:tcBorders>
              <w:top w:val="single" w:sz="8" w:space="0" w:color="1A171C"/>
              <w:left w:val="single" w:sz="8" w:space="0" w:color="1A171C"/>
              <w:bottom w:val="single" w:sz="8" w:space="0" w:color="1A171C"/>
              <w:right w:val="nil"/>
            </w:tcBorders>
            <w:vAlign w:val="bottom"/>
          </w:tcPr>
          <w:p w14:paraId="7FE1CFBB" w14:textId="023CCF16" w:rsidR="00534D9A" w:rsidRDefault="003243B2">
            <w:pPr>
              <w:pStyle w:val="P68B1DB1-TableParagraph73"/>
              <w:spacing w:before="108"/>
              <w:ind w:left="85"/>
              <w:jc w:val="both"/>
              <w:rPr>
                <w:bCs/>
              </w:rPr>
            </w:pPr>
            <w:r>
              <w:t xml:space="preserve">Munita </w:t>
            </w:r>
          </w:p>
          <w:p w14:paraId="7FE1CFBC" w14:textId="71E1420D" w:rsidR="00534D9A" w:rsidRDefault="003243B2">
            <w:pPr>
              <w:pStyle w:val="P68B1DB1-TableParagraph40"/>
              <w:spacing w:before="108"/>
              <w:ind w:left="85"/>
              <w:jc w:val="both"/>
            </w:pPr>
            <w:r>
              <w:t>Il-munita tal-obbligazzjoni f’konformità mal-kodiċi ISO 4217 bi 3 ittri tagħha.</w:t>
            </w:r>
          </w:p>
        </w:tc>
      </w:tr>
      <w:tr w:rsidR="00534D9A" w14:paraId="7FE1CFC8" w14:textId="77777777">
        <w:trPr>
          <w:trHeight w:val="2041"/>
        </w:trPr>
        <w:tc>
          <w:tcPr>
            <w:tcW w:w="1415" w:type="dxa"/>
            <w:tcBorders>
              <w:top w:val="single" w:sz="8" w:space="0" w:color="1A171C"/>
              <w:left w:val="nil"/>
              <w:bottom w:val="single" w:sz="8" w:space="0" w:color="1A171C"/>
              <w:right w:val="single" w:sz="8" w:space="0" w:color="1A171C"/>
            </w:tcBorders>
            <w:vAlign w:val="center"/>
          </w:tcPr>
          <w:p w14:paraId="7FE1CFC2" w14:textId="77777777" w:rsidR="00534D9A" w:rsidRDefault="003243B2">
            <w:pPr>
              <w:pStyle w:val="P68B1DB1-Normal31"/>
            </w:pPr>
            <w:r>
              <w:t>0110</w:t>
            </w:r>
          </w:p>
          <w:p w14:paraId="7FE1CFC3" w14:textId="77777777" w:rsidR="00534D9A" w:rsidRDefault="003243B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CFC4" w14:textId="77777777" w:rsidR="00534D9A" w:rsidRDefault="003243B2">
            <w:pPr>
              <w:pStyle w:val="P68B1DB1-TableParagraph73"/>
              <w:spacing w:before="108"/>
              <w:ind w:left="85"/>
              <w:jc w:val="both"/>
              <w:rPr>
                <w:bCs/>
              </w:rPr>
            </w:pPr>
            <w:r>
              <w:t xml:space="preserve">Ammont ta’ kapital pendenti  </w:t>
            </w:r>
          </w:p>
          <w:p w14:paraId="7FE1CFC5" w14:textId="3E328E9E" w:rsidR="00534D9A" w:rsidRDefault="003243B2">
            <w:pPr>
              <w:pStyle w:val="P68B1DB1-TableParagraph40"/>
              <w:spacing w:before="108"/>
              <w:ind w:left="85"/>
              <w:jc w:val="both"/>
            </w:pPr>
            <w:r>
              <w:t xml:space="preserve">L-ammont prinċipali pendenti tal-istrument miżmum mill-kontroparti speċifikat fil-kolonna 0210. Jekk il-kontroparti ma tkunx disponibbli minħabba li l-kredituri ma jkunux jistgħu jiġu identifikati, l-ammonti prinċipali pendenti għandhom jiġu raggruppati billi ma tiġix ikkunsidrata l-kontroparti. Għall-ishma, dan l-ammont jinkludi riżervi, f’konformità mal-gwida relatata ma’ Z02.00-r0511. </w:t>
            </w:r>
          </w:p>
          <w:p w14:paraId="7FE1CFC7" w14:textId="1EFD62D1" w:rsidR="00534D9A" w:rsidRDefault="00534D9A">
            <w:pPr>
              <w:pStyle w:val="TableParagraph"/>
              <w:spacing w:before="108"/>
              <w:ind w:left="85"/>
              <w:jc w:val="both"/>
              <w:rPr>
                <w:rFonts w:ascii="Times New Roman" w:eastAsia="Times New Roman" w:hAnsi="Times New Roman" w:cs="Times New Roman"/>
                <w:sz w:val="20"/>
                <w:szCs w:val="20"/>
              </w:rPr>
            </w:pPr>
          </w:p>
        </w:tc>
      </w:tr>
      <w:tr w:rsidR="00534D9A" w14:paraId="7FE1CFCC" w14:textId="77777777">
        <w:tc>
          <w:tcPr>
            <w:tcW w:w="1415" w:type="dxa"/>
            <w:tcBorders>
              <w:top w:val="single" w:sz="8" w:space="0" w:color="1A171C"/>
              <w:left w:val="nil"/>
              <w:bottom w:val="single" w:sz="8" w:space="0" w:color="1A171C"/>
              <w:right w:val="single" w:sz="8" w:space="0" w:color="1A171C"/>
            </w:tcBorders>
            <w:vAlign w:val="center"/>
          </w:tcPr>
          <w:p w14:paraId="7FE1CFC9" w14:textId="77777777" w:rsidR="00534D9A" w:rsidRDefault="003243B2">
            <w:pPr>
              <w:pStyle w:val="P68B1DB1-Normal31"/>
            </w:pPr>
            <w:r>
              <w:t>0120</w:t>
            </w:r>
          </w:p>
        </w:tc>
        <w:tc>
          <w:tcPr>
            <w:tcW w:w="7611" w:type="dxa"/>
            <w:gridSpan w:val="2"/>
            <w:tcBorders>
              <w:top w:val="single" w:sz="8" w:space="0" w:color="1A171C"/>
              <w:left w:val="single" w:sz="8" w:space="0" w:color="1A171C"/>
              <w:bottom w:val="single" w:sz="8" w:space="0" w:color="1A171C"/>
              <w:right w:val="nil"/>
            </w:tcBorders>
            <w:vAlign w:val="bottom"/>
          </w:tcPr>
          <w:p w14:paraId="7FE1CFCA" w14:textId="099C67A4" w:rsidR="00534D9A" w:rsidRDefault="003243B2">
            <w:pPr>
              <w:pStyle w:val="P68B1DB1-TableParagraph73"/>
              <w:spacing w:before="108"/>
              <w:ind w:left="85"/>
              <w:jc w:val="both"/>
              <w:rPr>
                <w:bCs/>
              </w:rPr>
            </w:pPr>
            <w:r>
              <w:t xml:space="preserve">Imgħax akkumulat </w:t>
            </w:r>
          </w:p>
          <w:p w14:paraId="7FE1CFCB" w14:textId="5040BFD7" w:rsidR="00534D9A" w:rsidRDefault="003243B2">
            <w:pPr>
              <w:pStyle w:val="P68B1DB1-TableParagraph40"/>
              <w:spacing w:before="108"/>
              <w:ind w:left="85"/>
              <w:jc w:val="both"/>
            </w:pPr>
            <w:r>
              <w:t>L-imgħax dovut pendenti fuq l-istrument.</w:t>
            </w:r>
          </w:p>
        </w:tc>
      </w:tr>
      <w:tr w:rsidR="00534D9A" w14:paraId="7FE1CFD0" w14:textId="77777777">
        <w:tc>
          <w:tcPr>
            <w:tcW w:w="1415" w:type="dxa"/>
            <w:tcBorders>
              <w:top w:val="single" w:sz="8" w:space="0" w:color="1A171C"/>
              <w:left w:val="nil"/>
              <w:bottom w:val="single" w:sz="8" w:space="0" w:color="1A171C"/>
              <w:right w:val="single" w:sz="8" w:space="0" w:color="1A171C"/>
            </w:tcBorders>
            <w:vAlign w:val="center"/>
          </w:tcPr>
          <w:p w14:paraId="7FE1CFCD" w14:textId="77777777" w:rsidR="00534D9A" w:rsidRDefault="003243B2">
            <w:pPr>
              <w:pStyle w:val="P68B1DB1-Normal31"/>
            </w:pPr>
            <w:r>
              <w:t>0130</w:t>
            </w:r>
          </w:p>
        </w:tc>
        <w:tc>
          <w:tcPr>
            <w:tcW w:w="7611" w:type="dxa"/>
            <w:gridSpan w:val="2"/>
            <w:tcBorders>
              <w:top w:val="single" w:sz="8" w:space="0" w:color="1A171C"/>
              <w:left w:val="single" w:sz="8" w:space="0" w:color="1A171C"/>
              <w:bottom w:val="single" w:sz="8" w:space="0" w:color="1A171C"/>
              <w:right w:val="nil"/>
            </w:tcBorders>
            <w:vAlign w:val="bottom"/>
          </w:tcPr>
          <w:p w14:paraId="7FE1CFCE" w14:textId="7D22CBBF" w:rsidR="00534D9A" w:rsidRDefault="003243B2">
            <w:pPr>
              <w:pStyle w:val="P68B1DB1-TableParagraph73"/>
              <w:spacing w:before="108"/>
              <w:ind w:left="85"/>
              <w:jc w:val="both"/>
              <w:rPr>
                <w:bCs/>
              </w:rPr>
            </w:pPr>
            <w:r>
              <w:t xml:space="preserve">Coupon type (Tip ta’ kupun) </w:t>
            </w:r>
          </w:p>
          <w:p w14:paraId="7FE1CFCF" w14:textId="77777777" w:rsidR="00534D9A" w:rsidRDefault="003243B2">
            <w:pPr>
              <w:pStyle w:val="P68B1DB1-TableParagraph40"/>
              <w:spacing w:before="108"/>
              <w:ind w:left="85"/>
              <w:jc w:val="both"/>
            </w:pPr>
            <w:r>
              <w:t>Identifikazzjoni tat-tip attwali ta’ pagament tal-kupun, jew “Kupun fiss”, “Kupun varjabbli”, “Kupun strutturat” jew “Zero-Coupon” minn lista predefinita.</w:t>
            </w:r>
          </w:p>
        </w:tc>
      </w:tr>
      <w:tr w:rsidR="00534D9A" w14:paraId="7FE1CFD4" w14:textId="77777777">
        <w:tc>
          <w:tcPr>
            <w:tcW w:w="1415" w:type="dxa"/>
            <w:tcBorders>
              <w:top w:val="single" w:sz="8" w:space="0" w:color="1A171C"/>
              <w:left w:val="nil"/>
              <w:bottom w:val="single" w:sz="8" w:space="0" w:color="1A171C"/>
              <w:right w:val="single" w:sz="8" w:space="0" w:color="1A171C"/>
            </w:tcBorders>
            <w:vAlign w:val="center"/>
          </w:tcPr>
          <w:p w14:paraId="7FE1CFD1" w14:textId="77777777" w:rsidR="00534D9A" w:rsidRDefault="003243B2">
            <w:pPr>
              <w:pStyle w:val="P68B1DB1-Normal31"/>
            </w:pPr>
            <w:r>
              <w:t>0140</w:t>
            </w:r>
          </w:p>
        </w:tc>
        <w:tc>
          <w:tcPr>
            <w:tcW w:w="7611" w:type="dxa"/>
            <w:gridSpan w:val="2"/>
            <w:tcBorders>
              <w:top w:val="single" w:sz="8" w:space="0" w:color="1A171C"/>
              <w:left w:val="single" w:sz="8" w:space="0" w:color="1A171C"/>
              <w:bottom w:val="single" w:sz="8" w:space="0" w:color="1A171C"/>
              <w:right w:val="nil"/>
            </w:tcBorders>
            <w:vAlign w:val="bottom"/>
          </w:tcPr>
          <w:p w14:paraId="7FE1CFD2" w14:textId="49072AC0" w:rsidR="00534D9A" w:rsidRDefault="003243B2">
            <w:pPr>
              <w:pStyle w:val="P68B1DB1-TableParagraph73"/>
              <w:spacing w:before="108"/>
              <w:ind w:left="85"/>
              <w:jc w:val="both"/>
              <w:rPr>
                <w:bCs/>
              </w:rPr>
            </w:pPr>
            <w:r>
              <w:t>Rata kurrenti tal-kupun (%)</w:t>
            </w:r>
          </w:p>
          <w:p w14:paraId="7FE1CFD3" w14:textId="32FFE809" w:rsidR="00534D9A" w:rsidRDefault="003243B2">
            <w:pPr>
              <w:pStyle w:val="P68B1DB1-TableParagraph40"/>
              <w:spacing w:before="108"/>
              <w:ind w:left="85"/>
              <w:jc w:val="both"/>
            </w:pPr>
            <w:r>
              <w:t xml:space="preserve">Il-livell tar-rata tal-kupun li huwa applikabbli għall-istrument fid-data tar-rapportar. </w:t>
            </w:r>
          </w:p>
        </w:tc>
      </w:tr>
      <w:tr w:rsidR="00534D9A" w14:paraId="7FE1CFD8" w14:textId="77777777">
        <w:tc>
          <w:tcPr>
            <w:tcW w:w="1415" w:type="dxa"/>
            <w:tcBorders>
              <w:top w:val="single" w:sz="8" w:space="0" w:color="1A171C"/>
              <w:left w:val="nil"/>
              <w:bottom w:val="single" w:sz="8" w:space="0" w:color="1A171C"/>
              <w:right w:val="single" w:sz="8" w:space="0" w:color="1A171C"/>
            </w:tcBorders>
            <w:vAlign w:val="center"/>
          </w:tcPr>
          <w:p w14:paraId="7FE1CFD5" w14:textId="77777777" w:rsidR="00534D9A" w:rsidRDefault="003243B2">
            <w:pPr>
              <w:pStyle w:val="P68B1DB1-Normal31"/>
            </w:pPr>
            <w:r>
              <w:t>0150</w:t>
            </w:r>
          </w:p>
        </w:tc>
        <w:tc>
          <w:tcPr>
            <w:tcW w:w="7611" w:type="dxa"/>
            <w:gridSpan w:val="2"/>
            <w:tcBorders>
              <w:top w:val="single" w:sz="8" w:space="0" w:color="1A171C"/>
              <w:left w:val="single" w:sz="8" w:space="0" w:color="1A171C"/>
              <w:bottom w:val="single" w:sz="8" w:space="0" w:color="1A171C"/>
              <w:right w:val="nil"/>
            </w:tcBorders>
            <w:vAlign w:val="bottom"/>
          </w:tcPr>
          <w:p w14:paraId="7FE1CFD6" w14:textId="5C828CFC" w:rsidR="00534D9A" w:rsidRDefault="003243B2">
            <w:pPr>
              <w:pStyle w:val="P68B1DB1-TableParagraph73"/>
              <w:spacing w:before="108"/>
              <w:ind w:left="85"/>
              <w:jc w:val="both"/>
              <w:rPr>
                <w:bCs/>
              </w:rPr>
            </w:pPr>
            <w:r>
              <w:t xml:space="preserve">Data tal-ħruġ </w:t>
            </w:r>
          </w:p>
          <w:p w14:paraId="7FE1CFD7" w14:textId="77777777" w:rsidR="00534D9A" w:rsidRDefault="003243B2">
            <w:pPr>
              <w:pStyle w:val="P68B1DB1-TableParagraph40"/>
              <w:spacing w:before="108"/>
              <w:ind w:left="85"/>
              <w:jc w:val="both"/>
            </w:pPr>
            <w:r>
              <w:t>Id-data tal-ħruġ oriġinali tal-istrument.</w:t>
            </w:r>
          </w:p>
        </w:tc>
      </w:tr>
      <w:tr w:rsidR="00534D9A" w14:paraId="7FE1CFDC" w14:textId="77777777">
        <w:tc>
          <w:tcPr>
            <w:tcW w:w="1415" w:type="dxa"/>
            <w:tcBorders>
              <w:top w:val="single" w:sz="8" w:space="0" w:color="1A171C"/>
              <w:left w:val="nil"/>
              <w:bottom w:val="single" w:sz="8" w:space="0" w:color="1A171C"/>
              <w:right w:val="single" w:sz="8" w:space="0" w:color="1A171C"/>
            </w:tcBorders>
            <w:vAlign w:val="center"/>
          </w:tcPr>
          <w:p w14:paraId="7FE1CFD9" w14:textId="77777777" w:rsidR="00534D9A" w:rsidRDefault="003243B2">
            <w:pPr>
              <w:pStyle w:val="P68B1DB1-Normal31"/>
            </w:pPr>
            <w:r>
              <w:t>0160</w:t>
            </w:r>
          </w:p>
        </w:tc>
        <w:tc>
          <w:tcPr>
            <w:tcW w:w="7611" w:type="dxa"/>
            <w:gridSpan w:val="2"/>
            <w:tcBorders>
              <w:top w:val="single" w:sz="8" w:space="0" w:color="1A171C"/>
              <w:left w:val="single" w:sz="8" w:space="0" w:color="1A171C"/>
              <w:bottom w:val="single" w:sz="8" w:space="0" w:color="1A171C"/>
              <w:right w:val="nil"/>
            </w:tcBorders>
            <w:vAlign w:val="bottom"/>
          </w:tcPr>
          <w:p w14:paraId="7FE1CFDA" w14:textId="6E864D46" w:rsidR="00534D9A" w:rsidRDefault="003243B2">
            <w:pPr>
              <w:pStyle w:val="P68B1DB1-TableParagraph73"/>
              <w:spacing w:before="108"/>
              <w:ind w:left="85"/>
              <w:jc w:val="both"/>
              <w:rPr>
                <w:bCs/>
              </w:rPr>
            </w:pPr>
            <w:r>
              <w:t xml:space="preserve">L-ewwel data ta’ tifdija  </w:t>
            </w:r>
          </w:p>
          <w:p w14:paraId="7FE1CFDB" w14:textId="2A33C765" w:rsidR="00534D9A" w:rsidRDefault="003243B2">
            <w:pPr>
              <w:pStyle w:val="P68B1DB1-TableParagraph40"/>
              <w:spacing w:before="108"/>
              <w:ind w:left="85"/>
              <w:jc w:val="both"/>
            </w:pPr>
            <w:r>
              <w:t>Jekk teżisti għażla għad-detenturi tal-istrument biex jitolbu rimborż bikri, jew il-kundizzjonijiet għal rimborż bikri huma previsti kuntrattwalment, irrapporta l-aktar data bikrija tal-okkorrenza. Meta tali avvenimenti ta’ terminazzjoni ma jkunux marbuta ma’ data, iżda pjuttost mal-okkorrenza ta’ kwalunkwe avveniment fil-futur, irrapporta l-aktar data bikrija li fiha jista’ jseħħ l-avveniment. Jekk ir-rimborż bikri jkun relatat biss ma’ porzjon tal-obbligazzjoni (eż. rimborż bikri ta’ 50 % tal-ammont nomin</w:t>
            </w:r>
            <w:r>
              <w:t>ali), aqsam l-obbligazzjoni biex tqis din il-klawżola ta’ tifdija bikrija parzjali.</w:t>
            </w:r>
          </w:p>
        </w:tc>
      </w:tr>
      <w:tr w:rsidR="00534D9A" w14:paraId="7FE1CFE0" w14:textId="77777777">
        <w:tc>
          <w:tcPr>
            <w:tcW w:w="1415" w:type="dxa"/>
            <w:tcBorders>
              <w:top w:val="single" w:sz="8" w:space="0" w:color="1A171C"/>
              <w:left w:val="nil"/>
              <w:bottom w:val="single" w:sz="8" w:space="0" w:color="1A171C"/>
              <w:right w:val="single" w:sz="8" w:space="0" w:color="1A171C"/>
            </w:tcBorders>
            <w:vAlign w:val="center"/>
          </w:tcPr>
          <w:p w14:paraId="7FE1CFDD" w14:textId="77777777" w:rsidR="00534D9A" w:rsidRDefault="003243B2">
            <w:pPr>
              <w:pStyle w:val="P68B1DB1-Normal31"/>
            </w:pPr>
            <w:r>
              <w:lastRenderedPageBreak/>
              <w:t>0170</w:t>
            </w:r>
          </w:p>
        </w:tc>
        <w:tc>
          <w:tcPr>
            <w:tcW w:w="7611" w:type="dxa"/>
            <w:gridSpan w:val="2"/>
            <w:tcBorders>
              <w:top w:val="single" w:sz="8" w:space="0" w:color="1A171C"/>
              <w:left w:val="single" w:sz="8" w:space="0" w:color="1A171C"/>
              <w:bottom w:val="single" w:sz="8" w:space="0" w:color="1A171C"/>
              <w:right w:val="nil"/>
            </w:tcBorders>
            <w:vAlign w:val="bottom"/>
          </w:tcPr>
          <w:p w14:paraId="7FE1CFDE" w14:textId="7C85BAAB" w:rsidR="00534D9A" w:rsidRDefault="003243B2">
            <w:pPr>
              <w:pStyle w:val="P68B1DB1-TableParagraph73"/>
              <w:spacing w:before="108"/>
              <w:ind w:left="85"/>
              <w:jc w:val="both"/>
              <w:rPr>
                <w:bCs/>
              </w:rPr>
            </w:pPr>
            <w:r>
              <w:t xml:space="preserve">Maturità legali </w:t>
            </w:r>
          </w:p>
          <w:p w14:paraId="7FE1CFDF" w14:textId="3157371F" w:rsidR="00534D9A" w:rsidRDefault="003243B2">
            <w:pPr>
              <w:pStyle w:val="P68B1DB1-TableParagraph40"/>
              <w:spacing w:before="108"/>
              <w:ind w:left="85"/>
              <w:jc w:val="both"/>
            </w:pPr>
            <w:r>
              <w:t>Id-data tal-maturità legali u finali tal-istrument. Għal strumenti perpetwi, uża “2099–01–31”.</w:t>
            </w:r>
          </w:p>
        </w:tc>
      </w:tr>
      <w:tr w:rsidR="00534D9A" w14:paraId="7FE1CFE4" w14:textId="77777777">
        <w:tc>
          <w:tcPr>
            <w:tcW w:w="1415" w:type="dxa"/>
            <w:tcBorders>
              <w:top w:val="single" w:sz="8" w:space="0" w:color="1A171C"/>
              <w:left w:val="nil"/>
              <w:bottom w:val="single" w:sz="8" w:space="0" w:color="1A171C"/>
              <w:right w:val="single" w:sz="8" w:space="0" w:color="1A171C"/>
            </w:tcBorders>
            <w:vAlign w:val="center"/>
          </w:tcPr>
          <w:p w14:paraId="7FE1CFE1" w14:textId="77777777" w:rsidR="00534D9A" w:rsidRDefault="003243B2">
            <w:pPr>
              <w:pStyle w:val="P68B1DB1-Normal31"/>
            </w:pPr>
            <w:r>
              <w:t>0180</w:t>
            </w:r>
          </w:p>
        </w:tc>
        <w:tc>
          <w:tcPr>
            <w:tcW w:w="7611" w:type="dxa"/>
            <w:gridSpan w:val="2"/>
            <w:tcBorders>
              <w:top w:val="single" w:sz="8" w:space="0" w:color="1A171C"/>
              <w:left w:val="single" w:sz="8" w:space="0" w:color="1A171C"/>
              <w:bottom w:val="single" w:sz="8" w:space="0" w:color="1A171C"/>
              <w:right w:val="nil"/>
            </w:tcBorders>
            <w:vAlign w:val="bottom"/>
          </w:tcPr>
          <w:p w14:paraId="7FE1CFE2" w14:textId="2FFCAFEB" w:rsidR="00534D9A" w:rsidRDefault="003243B2">
            <w:pPr>
              <w:pStyle w:val="P68B1DB1-TableParagraph73"/>
              <w:spacing w:before="108"/>
              <w:ind w:left="85"/>
              <w:jc w:val="both"/>
              <w:rPr>
                <w:bCs/>
              </w:rPr>
            </w:pPr>
            <w:r>
              <w:t xml:space="preserve">Kollokament Pubbliku/Privat </w:t>
            </w:r>
          </w:p>
          <w:p w14:paraId="7FE1CFE3" w14:textId="77777777" w:rsidR="00534D9A" w:rsidRDefault="003243B2">
            <w:pPr>
              <w:pStyle w:val="P68B1DB1-TableParagraph40"/>
              <w:spacing w:before="108"/>
              <w:ind w:left="85"/>
              <w:jc w:val="both"/>
            </w:pPr>
            <w:r>
              <w:t>Fi pjazzament pubbliku, l-entità tkun ippubbliċizzat il-ħruġ bi żmien speċifiku għal proċedura tal-offerti. Għall-kuntrarju, il-kollokamenti privati jiġu nnegozjati bejn partijiet individwali li jaġixxu jew għan-nom tagħhom stess f’isem terzi. Il-valur jista’ jkun “Tqegħid Pubbliku” jew “Tqegħid Privat” minn lista predefinita.</w:t>
            </w:r>
          </w:p>
        </w:tc>
      </w:tr>
      <w:tr w:rsidR="00534D9A" w14:paraId="7FE1CFE8" w14:textId="77777777">
        <w:tc>
          <w:tcPr>
            <w:tcW w:w="1415" w:type="dxa"/>
            <w:tcBorders>
              <w:top w:val="single" w:sz="8" w:space="0" w:color="1A171C"/>
              <w:left w:val="nil"/>
              <w:bottom w:val="single" w:sz="8" w:space="0" w:color="1A171C"/>
              <w:right w:val="single" w:sz="8" w:space="0" w:color="1A171C"/>
            </w:tcBorders>
            <w:vAlign w:val="center"/>
          </w:tcPr>
          <w:p w14:paraId="7FE1CFE5" w14:textId="77777777" w:rsidR="00534D9A" w:rsidRDefault="003243B2">
            <w:pPr>
              <w:pStyle w:val="P68B1DB1-Normal31"/>
            </w:pPr>
            <w:r>
              <w:t>0190</w:t>
            </w:r>
          </w:p>
        </w:tc>
        <w:tc>
          <w:tcPr>
            <w:tcW w:w="7611" w:type="dxa"/>
            <w:gridSpan w:val="2"/>
            <w:tcBorders>
              <w:top w:val="single" w:sz="8" w:space="0" w:color="1A171C"/>
              <w:left w:val="single" w:sz="8" w:space="0" w:color="1A171C"/>
              <w:bottom w:val="single" w:sz="8" w:space="0" w:color="1A171C"/>
              <w:right w:val="nil"/>
            </w:tcBorders>
            <w:vAlign w:val="bottom"/>
          </w:tcPr>
          <w:p w14:paraId="7FE1CFE6" w14:textId="652BB104" w:rsidR="00534D9A" w:rsidRDefault="003243B2">
            <w:pPr>
              <w:pStyle w:val="P68B1DB1-TableParagraph73"/>
              <w:spacing w:before="108"/>
              <w:ind w:left="85"/>
              <w:jc w:val="both"/>
              <w:rPr>
                <w:bCs/>
              </w:rPr>
            </w:pPr>
            <w:r>
              <w:t xml:space="preserve">Aġent tal-ħlas </w:t>
            </w:r>
          </w:p>
          <w:p w14:paraId="7FE1CFE7" w14:textId="77777777" w:rsidR="00534D9A" w:rsidRDefault="003243B2">
            <w:pPr>
              <w:pStyle w:val="P68B1DB1-TableParagraph40"/>
              <w:spacing w:before="108"/>
              <w:ind w:left="85"/>
              <w:jc w:val="both"/>
            </w:pPr>
            <w:r>
              <w:t>Identifikazzjoni tal-Aġent tal-Ħlas għall-istrument bl-użu tal-kodiċi LEI tiegħu. “Aġent tal-ħlas” huwa istituzzjoni, normalment bank ta’ investiment, li taċċetta fondi mill-emittent ta’ titolu u tqassamhom lid-detenturi ta’ dak it-titolu. Għall-istokks, aġent tal-ħlas iqassam dividendi lill-azzjonisti. Għall-bonds, hija tqassam pagamenti ta’ kupuni u rimborżi tal-kapital lid-detenturi tal-bonds.</w:t>
            </w:r>
          </w:p>
        </w:tc>
      </w:tr>
      <w:tr w:rsidR="00534D9A" w14:paraId="7FE1CFF0" w14:textId="77777777">
        <w:tc>
          <w:tcPr>
            <w:tcW w:w="1415" w:type="dxa"/>
            <w:tcBorders>
              <w:top w:val="single" w:sz="8" w:space="0" w:color="1A171C"/>
              <w:left w:val="nil"/>
              <w:bottom w:val="single" w:sz="8" w:space="0" w:color="1A171C"/>
              <w:right w:val="single" w:sz="8" w:space="0" w:color="1A171C"/>
            </w:tcBorders>
            <w:vAlign w:val="center"/>
          </w:tcPr>
          <w:p w14:paraId="7FE1CFED" w14:textId="77777777" w:rsidR="00534D9A" w:rsidRDefault="003243B2">
            <w:pPr>
              <w:pStyle w:val="P68B1DB1-TableParagraph40"/>
              <w:spacing w:before="108"/>
              <w:ind w:left="85"/>
              <w:jc w:val="both"/>
            </w:pPr>
            <w:r>
              <w:t>0210</w:t>
            </w:r>
          </w:p>
        </w:tc>
        <w:tc>
          <w:tcPr>
            <w:tcW w:w="7611" w:type="dxa"/>
            <w:gridSpan w:val="2"/>
            <w:tcBorders>
              <w:top w:val="single" w:sz="8" w:space="0" w:color="1A171C"/>
              <w:left w:val="single" w:sz="8" w:space="0" w:color="1A171C"/>
              <w:bottom w:val="single" w:sz="8" w:space="0" w:color="1A171C"/>
              <w:right w:val="nil"/>
            </w:tcBorders>
            <w:vAlign w:val="bottom"/>
          </w:tcPr>
          <w:p w14:paraId="7FE1CFEE" w14:textId="07CBB79D" w:rsidR="00534D9A" w:rsidRDefault="003243B2">
            <w:pPr>
              <w:pStyle w:val="P68B1DB1-TableParagraph73"/>
              <w:spacing w:before="108"/>
              <w:ind w:left="85"/>
              <w:jc w:val="both"/>
              <w:rPr>
                <w:bCs/>
              </w:rPr>
            </w:pPr>
            <w:r>
              <w:t xml:space="preserve">Identifikatur tal-kontroparti </w:t>
            </w:r>
          </w:p>
          <w:p w14:paraId="7FE1CFEF" w14:textId="599C6555" w:rsidR="00534D9A" w:rsidRDefault="003243B2">
            <w:pPr>
              <w:pStyle w:val="P68B1DB1-TableParagraph40"/>
              <w:spacing w:before="108"/>
              <w:ind w:left="85"/>
              <w:jc w:val="both"/>
            </w:pPr>
            <w:r>
              <w:t>Irrapporta l-kodiċi LEI tal-kreditur. Fin-nuqqas ta’ LEI, fil-każ tal-banek, irrapporta l-identifikatur tal-Istituzzjonijiet Finanzjarji Monetarji tal-BĊE (MFI ID) użat fir-RIAD. Esklussivament fin-nuqqas ta’ dawn iż-żewġ identifikaturi, irrapporta identifikatur intern.</w:t>
            </w:r>
          </w:p>
        </w:tc>
      </w:tr>
      <w:tr w:rsidR="00534D9A" w14:paraId="7FE1CFF4" w14:textId="77777777">
        <w:tc>
          <w:tcPr>
            <w:tcW w:w="1415" w:type="dxa"/>
            <w:tcBorders>
              <w:top w:val="single" w:sz="8" w:space="0" w:color="1A171C"/>
              <w:left w:val="nil"/>
              <w:bottom w:val="single" w:sz="8" w:space="0" w:color="1A171C"/>
              <w:right w:val="single" w:sz="8" w:space="0" w:color="1A171C"/>
            </w:tcBorders>
            <w:vAlign w:val="center"/>
          </w:tcPr>
          <w:p w14:paraId="7FE1CFF1" w14:textId="77777777" w:rsidR="00534D9A" w:rsidRDefault="003243B2">
            <w:pPr>
              <w:pStyle w:val="P68B1DB1-Normal31"/>
            </w:pPr>
            <w:r>
              <w:t>0215</w:t>
            </w:r>
          </w:p>
        </w:tc>
        <w:tc>
          <w:tcPr>
            <w:tcW w:w="7611" w:type="dxa"/>
            <w:gridSpan w:val="2"/>
            <w:tcBorders>
              <w:top w:val="single" w:sz="8" w:space="0" w:color="1A171C"/>
              <w:left w:val="single" w:sz="8" w:space="0" w:color="1A171C"/>
              <w:bottom w:val="single" w:sz="8" w:space="0" w:color="1A171C"/>
              <w:right w:val="nil"/>
            </w:tcBorders>
            <w:vAlign w:val="bottom"/>
          </w:tcPr>
          <w:p w14:paraId="7FE1CFF2" w14:textId="77777777" w:rsidR="00534D9A" w:rsidRDefault="003243B2">
            <w:pPr>
              <w:pStyle w:val="P68B1DB1-TableParagraph73"/>
              <w:spacing w:before="108"/>
              <w:ind w:left="85"/>
              <w:jc w:val="both"/>
              <w:rPr>
                <w:bCs/>
              </w:rPr>
            </w:pPr>
            <w:r>
              <w:t xml:space="preserve">Tip ta’ identifikatur </w:t>
            </w:r>
          </w:p>
          <w:p w14:paraId="7FE1CFF3"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CFF8" w14:textId="77777777">
        <w:tc>
          <w:tcPr>
            <w:tcW w:w="1415" w:type="dxa"/>
            <w:tcBorders>
              <w:top w:val="single" w:sz="8" w:space="0" w:color="1A171C"/>
              <w:left w:val="nil"/>
              <w:bottom w:val="single" w:sz="8" w:space="0" w:color="1A171C"/>
              <w:right w:val="single" w:sz="8" w:space="0" w:color="1A171C"/>
            </w:tcBorders>
            <w:vAlign w:val="center"/>
          </w:tcPr>
          <w:p w14:paraId="7FE1CFF5" w14:textId="77777777" w:rsidR="00534D9A" w:rsidRDefault="003243B2">
            <w:pPr>
              <w:pStyle w:val="P68B1DB1-Normal31"/>
            </w:pPr>
            <w:r>
              <w:t>0220</w:t>
            </w:r>
          </w:p>
        </w:tc>
        <w:tc>
          <w:tcPr>
            <w:tcW w:w="7611" w:type="dxa"/>
            <w:gridSpan w:val="2"/>
            <w:tcBorders>
              <w:top w:val="single" w:sz="8" w:space="0" w:color="1A171C"/>
              <w:left w:val="single" w:sz="8" w:space="0" w:color="1A171C"/>
              <w:bottom w:val="single" w:sz="8" w:space="0" w:color="1A171C"/>
              <w:right w:val="nil"/>
            </w:tcBorders>
            <w:vAlign w:val="bottom"/>
          </w:tcPr>
          <w:p w14:paraId="7FE1CFF6" w14:textId="5FE84F49" w:rsidR="00534D9A" w:rsidRDefault="003243B2">
            <w:pPr>
              <w:pStyle w:val="P68B1DB1-TableParagraph73"/>
              <w:spacing w:before="108"/>
              <w:ind w:left="85"/>
              <w:jc w:val="both"/>
              <w:rPr>
                <w:bCs/>
              </w:rPr>
            </w:pPr>
            <w:r>
              <w:t xml:space="preserve">It-titoli tal-boroż huma elenkati fi </w:t>
            </w:r>
          </w:p>
          <w:p w14:paraId="7FE1CFF7" w14:textId="3C377B4D" w:rsidR="00534D9A" w:rsidRDefault="003243B2">
            <w:pPr>
              <w:pStyle w:val="P68B1DB1-TableParagraph40"/>
              <w:spacing w:before="108"/>
              <w:ind w:left="85"/>
              <w:jc w:val="both"/>
            </w:pPr>
            <w:r>
              <w:t>Jekk l-istrumenti huma elenkati fuq pjattaforma ta’ skambju, ipprovdi din/dawn il-pjattaforma/i. F’dak li għandu x’jaqsam ma’ skambji multipli, jisseparaw il-pjattaformi b’punt u virgola.</w:t>
            </w:r>
          </w:p>
        </w:tc>
      </w:tr>
      <w:tr w:rsidR="00534D9A" w14:paraId="7FE1CFFC" w14:textId="77777777">
        <w:tc>
          <w:tcPr>
            <w:tcW w:w="1415" w:type="dxa"/>
            <w:tcBorders>
              <w:top w:val="single" w:sz="8" w:space="0" w:color="1A171C"/>
              <w:left w:val="nil"/>
              <w:bottom w:val="single" w:sz="8" w:space="0" w:color="1A171C"/>
              <w:right w:val="single" w:sz="8" w:space="0" w:color="1A171C"/>
            </w:tcBorders>
            <w:vAlign w:val="center"/>
          </w:tcPr>
          <w:p w14:paraId="7FE1CFF9" w14:textId="77777777" w:rsidR="00534D9A" w:rsidRDefault="003243B2">
            <w:pPr>
              <w:pStyle w:val="P68B1DB1-Normal31"/>
            </w:pPr>
            <w:r>
              <w:t>0230</w:t>
            </w:r>
          </w:p>
        </w:tc>
        <w:tc>
          <w:tcPr>
            <w:tcW w:w="7611" w:type="dxa"/>
            <w:gridSpan w:val="2"/>
            <w:tcBorders>
              <w:top w:val="single" w:sz="8" w:space="0" w:color="1A171C"/>
              <w:left w:val="single" w:sz="8" w:space="0" w:color="1A171C"/>
              <w:bottom w:val="single" w:sz="8" w:space="0" w:color="1A171C"/>
              <w:right w:val="nil"/>
            </w:tcBorders>
            <w:vAlign w:val="bottom"/>
          </w:tcPr>
          <w:p w14:paraId="7FE1CFFA" w14:textId="124C9BEE" w:rsidR="00534D9A" w:rsidRDefault="003243B2">
            <w:pPr>
              <w:pStyle w:val="P68B1DB1-TableParagraph73"/>
              <w:spacing w:before="108"/>
              <w:ind w:left="85"/>
              <w:jc w:val="both"/>
              <w:rPr>
                <w:bCs/>
              </w:rPr>
            </w:pPr>
            <w:r>
              <w:t xml:space="preserve">Sistemi ta’ saldu  </w:t>
            </w:r>
          </w:p>
          <w:p w14:paraId="7FE1CFFB" w14:textId="2006B3AF" w:rsidR="00534D9A" w:rsidRDefault="003243B2">
            <w:pPr>
              <w:pStyle w:val="P68B1DB1-TableParagraph40"/>
              <w:spacing w:before="108"/>
              <w:ind w:left="85"/>
              <w:jc w:val="both"/>
            </w:pPr>
            <w:r>
              <w:t>Indika s-Sistemi ta’ Saldu tat-Titoli fejn dawn it-titoli jistgħu jiġu saldati. Fejn huma kkonċernati sistemi ta’ saldu multipli, issepara kull waħda b’punt u virgola.</w:t>
            </w:r>
          </w:p>
        </w:tc>
      </w:tr>
      <w:tr w:rsidR="00534D9A" w14:paraId="7FE1D000" w14:textId="77777777">
        <w:tc>
          <w:tcPr>
            <w:tcW w:w="1415" w:type="dxa"/>
            <w:tcBorders>
              <w:top w:val="single" w:sz="8" w:space="0" w:color="1A171C"/>
              <w:left w:val="nil"/>
              <w:bottom w:val="single" w:sz="8" w:space="0" w:color="1A171C"/>
              <w:right w:val="single" w:sz="8" w:space="0" w:color="1A171C"/>
            </w:tcBorders>
            <w:vAlign w:val="center"/>
          </w:tcPr>
          <w:p w14:paraId="7FE1CFFD" w14:textId="77777777" w:rsidR="00534D9A" w:rsidRDefault="003243B2">
            <w:pPr>
              <w:pStyle w:val="P68B1DB1-Normal31"/>
            </w:pPr>
            <w:r>
              <w:t>0240</w:t>
            </w:r>
          </w:p>
        </w:tc>
        <w:tc>
          <w:tcPr>
            <w:tcW w:w="7611" w:type="dxa"/>
            <w:gridSpan w:val="2"/>
            <w:tcBorders>
              <w:top w:val="single" w:sz="8" w:space="0" w:color="1A171C"/>
              <w:left w:val="single" w:sz="8" w:space="0" w:color="1A171C"/>
              <w:bottom w:val="single" w:sz="8" w:space="0" w:color="1A171C"/>
              <w:right w:val="nil"/>
            </w:tcBorders>
            <w:vAlign w:val="bottom"/>
          </w:tcPr>
          <w:p w14:paraId="7FE1CFFE" w14:textId="6490BF78" w:rsidR="00534D9A" w:rsidRDefault="003243B2">
            <w:pPr>
              <w:pStyle w:val="P68B1DB1-TableParagraph73"/>
              <w:spacing w:before="108"/>
              <w:ind w:left="85"/>
              <w:jc w:val="both"/>
              <w:rPr>
                <w:bCs/>
              </w:rPr>
            </w:pPr>
            <w:r>
              <w:t xml:space="preserve">Ir-Reġistratur </w:t>
            </w:r>
          </w:p>
          <w:p w14:paraId="7FE1CFFF" w14:textId="77777777" w:rsidR="00534D9A" w:rsidRDefault="003243B2">
            <w:pPr>
              <w:pStyle w:val="P68B1DB1-TableParagraph40"/>
              <w:spacing w:before="108"/>
              <w:ind w:left="85"/>
              <w:jc w:val="both"/>
            </w:pPr>
            <w:r>
              <w:t xml:space="preserve">Indika r-reġistratur (responsabbli għaż-żamma tar-rekords ta’ dawn is-sidien tat-titoli). Ir-reġistratur jew id-detentur tar-reġistru normalment ikun l-emittent innifsu, CSD jew entità oħra. </w:t>
            </w:r>
          </w:p>
        </w:tc>
      </w:tr>
      <w:tr w:rsidR="00534D9A" w14:paraId="7FE1D004" w14:textId="77777777">
        <w:tc>
          <w:tcPr>
            <w:tcW w:w="1415" w:type="dxa"/>
            <w:tcBorders>
              <w:top w:val="single" w:sz="8" w:space="0" w:color="1A171C"/>
              <w:left w:val="nil"/>
              <w:right w:val="single" w:sz="8" w:space="0" w:color="1A171C"/>
            </w:tcBorders>
            <w:vAlign w:val="center"/>
          </w:tcPr>
          <w:p w14:paraId="7FE1D001" w14:textId="77777777" w:rsidR="00534D9A" w:rsidRDefault="003243B2">
            <w:pPr>
              <w:pStyle w:val="P68B1DB1-Normal31"/>
            </w:pPr>
            <w:r>
              <w:t>C250</w:t>
            </w:r>
          </w:p>
        </w:tc>
        <w:tc>
          <w:tcPr>
            <w:tcW w:w="7611" w:type="dxa"/>
            <w:gridSpan w:val="2"/>
            <w:tcBorders>
              <w:top w:val="single" w:sz="8" w:space="0" w:color="1A171C"/>
              <w:left w:val="single" w:sz="8" w:space="0" w:color="1A171C"/>
              <w:right w:val="nil"/>
            </w:tcBorders>
            <w:vAlign w:val="bottom"/>
          </w:tcPr>
          <w:p w14:paraId="7FE1D002" w14:textId="200E4E8A" w:rsidR="00534D9A" w:rsidRDefault="003243B2">
            <w:pPr>
              <w:pStyle w:val="P68B1DB1-TableParagraph73"/>
              <w:spacing w:before="108"/>
              <w:ind w:left="85"/>
              <w:jc w:val="both"/>
              <w:rPr>
                <w:bCs/>
              </w:rPr>
            </w:pPr>
            <w:r>
              <w:t xml:space="preserve">Depożitorju ċentrali tat-titoli </w:t>
            </w:r>
          </w:p>
          <w:p w14:paraId="7FE1D003" w14:textId="77777777" w:rsidR="00534D9A" w:rsidRDefault="003243B2">
            <w:pPr>
              <w:pStyle w:val="P68B1DB1-TableParagraph40"/>
              <w:spacing w:before="108"/>
              <w:ind w:left="85"/>
              <w:jc w:val="both"/>
            </w:pPr>
            <w:r>
              <w:t>Indika s-CSD tal-ħruġ għat-titolu.</w:t>
            </w:r>
          </w:p>
        </w:tc>
      </w:tr>
      <w:tr w:rsidR="00534D9A" w14:paraId="7FE1D02F" w14:textId="77777777">
        <w:tc>
          <w:tcPr>
            <w:tcW w:w="1415" w:type="dxa"/>
            <w:tcBorders>
              <w:left w:val="nil"/>
              <w:bottom w:val="single" w:sz="8" w:space="0" w:color="1A171C"/>
              <w:right w:val="single" w:sz="8" w:space="0" w:color="1A171C"/>
            </w:tcBorders>
            <w:vAlign w:val="center"/>
          </w:tcPr>
          <w:p w14:paraId="7FE1D005" w14:textId="77777777" w:rsidR="00534D9A" w:rsidRDefault="003243B2">
            <w:pPr>
              <w:pStyle w:val="P68B1DB1-Normal31"/>
            </w:pPr>
            <w:r>
              <w:t xml:space="preserve"> </w:t>
            </w:r>
          </w:p>
        </w:tc>
        <w:tc>
          <w:tcPr>
            <w:tcW w:w="7611" w:type="dxa"/>
            <w:gridSpan w:val="2"/>
            <w:tcBorders>
              <w:left w:val="single" w:sz="8" w:space="0" w:color="1A171C"/>
              <w:bottom w:val="single" w:sz="8" w:space="0" w:color="1A171C"/>
              <w:right w:val="nil"/>
            </w:tcBorders>
            <w:vAlign w:val="bottom"/>
          </w:tcPr>
          <w:p w14:paraId="7FE1D006" w14:textId="599DD4C5" w:rsidR="00534D9A" w:rsidRDefault="003243B2">
            <w:pPr>
              <w:pStyle w:val="P68B1DB1-TableParagraph40"/>
              <w:spacing w:before="108"/>
              <w:ind w:left="85"/>
              <w:jc w:val="both"/>
            </w:pPr>
            <w:r>
              <w:t>Meta tirrapporta s-CSD tal-ħruġ, uża l-abbrevjazzjoni indikata fit-tabella ta’ hawn taħt, ħlief jekk is-CSD rilevanti ma jkunx fil-lista:</w:t>
            </w:r>
          </w:p>
          <w:p w14:paraId="7FE1D007" w14:textId="77777777" w:rsidR="00534D9A" w:rsidRDefault="003243B2">
            <w:pPr>
              <w:pStyle w:val="P68B1DB1-TableParagraph40"/>
              <w:spacing w:before="108"/>
              <w:ind w:left="85"/>
              <w:jc w:val="both"/>
            </w:pPr>
            <w:r>
              <w:t>ATHEX CSD_EL</w:t>
            </w:r>
          </w:p>
          <w:p w14:paraId="7FE1D008" w14:textId="77777777" w:rsidR="00534D9A" w:rsidRDefault="003243B2">
            <w:pPr>
              <w:pStyle w:val="P68B1DB1-TableParagraph40"/>
              <w:spacing w:before="108"/>
              <w:ind w:left="85"/>
              <w:jc w:val="both"/>
            </w:pPr>
            <w:r>
              <w:t>BOGS_EL</w:t>
            </w:r>
          </w:p>
          <w:p w14:paraId="7FE1D009" w14:textId="77777777" w:rsidR="00534D9A" w:rsidRDefault="003243B2">
            <w:pPr>
              <w:pStyle w:val="P68B1DB1-TableParagraph40"/>
              <w:spacing w:before="108"/>
              <w:ind w:left="85"/>
              <w:jc w:val="both"/>
            </w:pPr>
            <w:r>
              <w:t>CBF_DE</w:t>
            </w:r>
          </w:p>
          <w:p w14:paraId="7FE1D00A" w14:textId="77777777" w:rsidR="00534D9A" w:rsidRDefault="003243B2">
            <w:pPr>
              <w:pStyle w:val="P68B1DB1-TableParagraph40"/>
              <w:spacing w:before="108"/>
              <w:ind w:left="85"/>
              <w:jc w:val="both"/>
            </w:pPr>
            <w:r>
              <w:t>CBL_LU</w:t>
            </w:r>
          </w:p>
          <w:p w14:paraId="7FE1D00B" w14:textId="77777777" w:rsidR="00534D9A" w:rsidRDefault="003243B2">
            <w:pPr>
              <w:pStyle w:val="P68B1DB1-TableParagraph40"/>
              <w:spacing w:before="108"/>
              <w:ind w:left="85"/>
              <w:jc w:val="both"/>
            </w:pPr>
            <w:r>
              <w:t>CDCP SR_SK</w:t>
            </w:r>
          </w:p>
          <w:p w14:paraId="7FE1D00C" w14:textId="77777777" w:rsidR="00534D9A" w:rsidRDefault="003243B2">
            <w:pPr>
              <w:pStyle w:val="P68B1DB1-TableParagraph40"/>
              <w:spacing w:before="108"/>
              <w:ind w:left="85"/>
              <w:jc w:val="both"/>
            </w:pPr>
            <w:r>
              <w:t>CDCP_CZ</w:t>
            </w:r>
          </w:p>
          <w:p w14:paraId="7FE1D00D" w14:textId="77777777" w:rsidR="00534D9A" w:rsidRDefault="003243B2">
            <w:pPr>
              <w:pStyle w:val="P68B1DB1-TableParagraph40"/>
              <w:spacing w:before="108"/>
              <w:ind w:left="85"/>
              <w:jc w:val="both"/>
            </w:pPr>
            <w:r>
              <w:t>Depożitorju Ċentrali &amp; ampKumpanija tal-Ikklerjar _HR</w:t>
            </w:r>
          </w:p>
          <w:p w14:paraId="7FE1D00E" w14:textId="77777777" w:rsidR="00534D9A" w:rsidRDefault="003243B2">
            <w:pPr>
              <w:pStyle w:val="P68B1DB1-TableParagraph40"/>
              <w:spacing w:before="108"/>
              <w:ind w:left="85"/>
              <w:jc w:val="both"/>
            </w:pPr>
            <w:r>
              <w:t>Depożitarju Ċentrali ta’ Securities Prague_CZ</w:t>
            </w:r>
          </w:p>
          <w:p w14:paraId="7FE1D00F" w14:textId="77777777" w:rsidR="00534D9A" w:rsidRDefault="003243B2">
            <w:pPr>
              <w:pStyle w:val="P68B1DB1-TableParagraph40"/>
              <w:spacing w:before="108"/>
              <w:ind w:left="85"/>
              <w:jc w:val="both"/>
            </w:pPr>
            <w:r>
              <w:lastRenderedPageBreak/>
              <w:t>Depożitarju Ċentrali_BG</w:t>
            </w:r>
          </w:p>
          <w:p w14:paraId="7FE1D010" w14:textId="77777777" w:rsidR="00534D9A" w:rsidRDefault="003243B2">
            <w:pPr>
              <w:pStyle w:val="P68B1DB1-TableParagraph40"/>
              <w:spacing w:before="108"/>
              <w:ind w:left="85"/>
              <w:jc w:val="both"/>
            </w:pPr>
            <w:r>
              <w:t>CDCR_CY ta’ Ċipru</w:t>
            </w:r>
          </w:p>
          <w:p w14:paraId="7FE1D011" w14:textId="77777777" w:rsidR="00534D9A" w:rsidRDefault="003243B2">
            <w:pPr>
              <w:pStyle w:val="P68B1DB1-TableParagraph40"/>
              <w:spacing w:before="108"/>
              <w:ind w:left="85"/>
              <w:jc w:val="both"/>
            </w:pPr>
            <w:r>
              <w:t>Ċentru ta’ Depozitarul</w:t>
            </w:r>
          </w:p>
          <w:p w14:paraId="7FE1D012" w14:textId="77777777" w:rsidR="00534D9A" w:rsidRDefault="003243B2">
            <w:pPr>
              <w:pStyle w:val="P68B1DB1-TableParagraph40"/>
              <w:spacing w:before="108"/>
              <w:ind w:left="85"/>
              <w:jc w:val="both"/>
            </w:pPr>
            <w:r>
              <w:t>DTC_US</w:t>
            </w:r>
          </w:p>
          <w:p w14:paraId="7FE1D013" w14:textId="77777777" w:rsidR="00534D9A" w:rsidRDefault="003243B2">
            <w:pPr>
              <w:pStyle w:val="P68B1DB1-TableParagraph40"/>
              <w:spacing w:before="108"/>
              <w:ind w:left="85"/>
              <w:jc w:val="both"/>
            </w:pPr>
            <w:r>
              <w:t>Euroclear Bank_BE</w:t>
            </w:r>
          </w:p>
          <w:p w14:paraId="7FE1D014" w14:textId="77777777" w:rsidR="00534D9A" w:rsidRDefault="003243B2">
            <w:pPr>
              <w:pStyle w:val="P68B1DB1-TableParagraph40"/>
              <w:spacing w:before="108"/>
              <w:ind w:left="85"/>
              <w:jc w:val="both"/>
            </w:pPr>
            <w:r>
              <w:t>Euroclear Belgium_BE</w:t>
            </w:r>
          </w:p>
          <w:p w14:paraId="7FE1D015" w14:textId="77777777" w:rsidR="00534D9A" w:rsidRDefault="003243B2">
            <w:pPr>
              <w:pStyle w:val="P68B1DB1-TableParagraph40"/>
              <w:spacing w:before="108"/>
              <w:ind w:left="85"/>
              <w:jc w:val="both"/>
            </w:pPr>
            <w:r>
              <w:t>Euroclear Finland_FI</w:t>
            </w:r>
          </w:p>
          <w:p w14:paraId="7FE1D016" w14:textId="77777777" w:rsidR="00534D9A" w:rsidRDefault="003243B2">
            <w:pPr>
              <w:pStyle w:val="P68B1DB1-TableParagraph40"/>
              <w:spacing w:before="108"/>
              <w:ind w:left="85"/>
              <w:jc w:val="both"/>
            </w:pPr>
            <w:r>
              <w:t>Euroclear France_FR</w:t>
            </w:r>
          </w:p>
          <w:p w14:paraId="7FE1D017" w14:textId="77777777" w:rsidR="00534D9A" w:rsidRDefault="003243B2">
            <w:pPr>
              <w:pStyle w:val="P68B1DB1-TableParagraph40"/>
              <w:spacing w:before="108"/>
              <w:ind w:left="85"/>
              <w:jc w:val="both"/>
            </w:pPr>
            <w:r>
              <w:t>Euroclear Netherlands_NL</w:t>
            </w:r>
          </w:p>
          <w:p w14:paraId="7FE1D018" w14:textId="77777777" w:rsidR="00534D9A" w:rsidRDefault="003243B2">
            <w:pPr>
              <w:pStyle w:val="P68B1DB1-TableParagraph40"/>
              <w:spacing w:before="108"/>
              <w:ind w:left="85"/>
              <w:jc w:val="both"/>
            </w:pPr>
            <w:r>
              <w:t>L-Euroclear Sweden_SE</w:t>
            </w:r>
          </w:p>
          <w:p w14:paraId="7FE1D019" w14:textId="77777777" w:rsidR="00534D9A" w:rsidRDefault="003243B2">
            <w:pPr>
              <w:pStyle w:val="P68B1DB1-TableParagraph40"/>
              <w:spacing w:before="108"/>
              <w:ind w:left="85"/>
              <w:jc w:val="both"/>
            </w:pPr>
            <w:r>
              <w:t>Euroclear UK &amp;Ireland_UK</w:t>
            </w:r>
          </w:p>
          <w:p w14:paraId="7FE1D01A" w14:textId="77777777" w:rsidR="00534D9A" w:rsidRDefault="003243B2">
            <w:pPr>
              <w:pStyle w:val="P68B1DB1-TableParagraph40"/>
              <w:spacing w:before="108"/>
              <w:ind w:left="85"/>
              <w:jc w:val="both"/>
            </w:pPr>
            <w:r>
              <w:t>Depożitarju tat-Titoli tal-Gvern (GSD) _BG</w:t>
            </w:r>
          </w:p>
          <w:p w14:paraId="7FE1D01B" w14:textId="77777777" w:rsidR="00534D9A" w:rsidRDefault="003243B2">
            <w:pPr>
              <w:pStyle w:val="P68B1DB1-TableParagraph40"/>
              <w:spacing w:before="108"/>
              <w:ind w:left="85"/>
              <w:jc w:val="both"/>
            </w:pPr>
            <w:r>
              <w:t>Iberclear_ES</w:t>
            </w:r>
          </w:p>
          <w:p w14:paraId="7FE1D01C" w14:textId="77777777" w:rsidR="00534D9A" w:rsidRDefault="003243B2">
            <w:pPr>
              <w:pStyle w:val="P68B1DB1-TableParagraph40"/>
              <w:spacing w:before="108"/>
              <w:ind w:left="85"/>
              <w:jc w:val="both"/>
            </w:pPr>
            <w:r>
              <w:t>INTERBOLSA_PT</w:t>
            </w:r>
          </w:p>
          <w:p w14:paraId="7FE1D01D" w14:textId="77777777" w:rsidR="00534D9A" w:rsidRDefault="003243B2">
            <w:pPr>
              <w:pStyle w:val="P68B1DB1-TableParagraph40"/>
              <w:spacing w:before="108"/>
              <w:ind w:left="85"/>
              <w:jc w:val="both"/>
            </w:pPr>
            <w:r>
              <w:t>KDD_SI</w:t>
            </w:r>
          </w:p>
          <w:p w14:paraId="7FE1D01E" w14:textId="77777777" w:rsidR="00534D9A" w:rsidRDefault="003243B2">
            <w:pPr>
              <w:pStyle w:val="P68B1DB1-TableParagraph40"/>
              <w:spacing w:before="108"/>
              <w:ind w:left="85"/>
              <w:jc w:val="both"/>
            </w:pPr>
            <w:r>
              <w:t>KDPW_PL</w:t>
            </w:r>
          </w:p>
          <w:p w14:paraId="7FE1D01F" w14:textId="77777777" w:rsidR="00534D9A" w:rsidRDefault="003243B2">
            <w:pPr>
              <w:pStyle w:val="P68B1DB1-TableParagraph40"/>
              <w:spacing w:before="108"/>
              <w:ind w:left="85"/>
              <w:jc w:val="both"/>
            </w:pPr>
            <w:r>
              <w:t>KELER_HU</w:t>
            </w:r>
          </w:p>
          <w:p w14:paraId="7FE1D020" w14:textId="77777777" w:rsidR="00534D9A" w:rsidRDefault="003243B2">
            <w:pPr>
              <w:pStyle w:val="P68B1DB1-TableParagraph40"/>
              <w:spacing w:before="108"/>
              <w:ind w:left="85"/>
              <w:jc w:val="both"/>
            </w:pPr>
            <w:r>
              <w:t>LUX CSD_LU</w:t>
            </w:r>
          </w:p>
          <w:p w14:paraId="7FE1D021" w14:textId="77777777" w:rsidR="00534D9A" w:rsidRDefault="003243B2">
            <w:pPr>
              <w:pStyle w:val="P68B1DB1-TableParagraph40"/>
              <w:spacing w:before="108"/>
              <w:ind w:left="85"/>
              <w:jc w:val="both"/>
            </w:pPr>
            <w:r>
              <w:t>Borża ta’ Malta CSD_MT</w:t>
            </w:r>
          </w:p>
          <w:p w14:paraId="7FE1D022" w14:textId="77777777" w:rsidR="00534D9A" w:rsidRDefault="003243B2">
            <w:pPr>
              <w:pStyle w:val="P68B1DB1-TableParagraph40"/>
              <w:spacing w:before="108"/>
              <w:ind w:left="85"/>
              <w:jc w:val="both"/>
            </w:pPr>
            <w:r>
              <w:t>Titoli Euronext Milan_IT</w:t>
            </w:r>
          </w:p>
          <w:p w14:paraId="7FE1D023" w14:textId="77777777" w:rsidR="00534D9A" w:rsidRDefault="003243B2">
            <w:pPr>
              <w:pStyle w:val="P68B1DB1-TableParagraph40"/>
              <w:spacing w:before="108"/>
              <w:ind w:left="85"/>
              <w:jc w:val="both"/>
            </w:pPr>
            <w:r>
              <w:t>Nasdaq CSD_EE</w:t>
            </w:r>
          </w:p>
          <w:p w14:paraId="7FE1D024" w14:textId="77777777" w:rsidR="00534D9A" w:rsidRDefault="003243B2">
            <w:pPr>
              <w:pStyle w:val="P68B1DB1-TableParagraph40"/>
              <w:spacing w:before="108"/>
              <w:ind w:left="85"/>
              <w:jc w:val="both"/>
            </w:pPr>
            <w:r>
              <w:t>Nasdaq CSD_LT</w:t>
            </w:r>
          </w:p>
          <w:p w14:paraId="7FE1D025" w14:textId="77777777" w:rsidR="00534D9A" w:rsidRDefault="003243B2">
            <w:pPr>
              <w:pStyle w:val="P68B1DB1-TableParagraph40"/>
              <w:spacing w:before="108"/>
              <w:ind w:left="85"/>
              <w:jc w:val="both"/>
            </w:pPr>
            <w:r>
              <w:t>Nasdaq CSD_LV</w:t>
            </w:r>
          </w:p>
          <w:p w14:paraId="7FE1D026" w14:textId="77777777" w:rsidR="00534D9A" w:rsidRDefault="003243B2">
            <w:pPr>
              <w:pStyle w:val="P68B1DB1-TableParagraph40"/>
              <w:spacing w:before="108"/>
              <w:ind w:left="85"/>
              <w:jc w:val="both"/>
            </w:pPr>
            <w:r>
              <w:t>NBB SSS_BE</w:t>
            </w:r>
          </w:p>
          <w:p w14:paraId="7FE1D027" w14:textId="77777777" w:rsidR="00534D9A" w:rsidRDefault="003243B2">
            <w:pPr>
              <w:pStyle w:val="P68B1DB1-TableParagraph40"/>
              <w:spacing w:before="108"/>
              <w:ind w:left="85"/>
              <w:jc w:val="both"/>
            </w:pPr>
            <w:r>
              <w:t>nCDCP_SK</w:t>
            </w:r>
          </w:p>
          <w:p w14:paraId="7FE1D028" w14:textId="77777777" w:rsidR="00534D9A" w:rsidRDefault="003243B2">
            <w:pPr>
              <w:pStyle w:val="P68B1DB1-TableParagraph40"/>
              <w:spacing w:before="108"/>
              <w:ind w:left="85"/>
              <w:jc w:val="both"/>
            </w:pPr>
            <w:r>
              <w:t>OeKB CSD_AT</w:t>
            </w:r>
          </w:p>
          <w:p w14:paraId="7FE1D029" w14:textId="77777777" w:rsidR="00534D9A" w:rsidRDefault="003243B2">
            <w:pPr>
              <w:pStyle w:val="P68B1DB1-TableParagraph40"/>
              <w:spacing w:before="108"/>
              <w:ind w:left="85"/>
              <w:jc w:val="both"/>
            </w:pPr>
            <w:r>
              <w:t>SAFIR_RO</w:t>
            </w:r>
          </w:p>
          <w:p w14:paraId="7FE1D02A" w14:textId="77777777" w:rsidR="00534D9A" w:rsidRDefault="003243B2">
            <w:pPr>
              <w:pStyle w:val="P68B1DB1-TableParagraph40"/>
              <w:spacing w:before="108"/>
              <w:ind w:left="85"/>
              <w:jc w:val="both"/>
            </w:pPr>
            <w:r>
              <w:t>SITT SIS_CH</w:t>
            </w:r>
          </w:p>
          <w:p w14:paraId="7FE1D02B" w14:textId="77777777" w:rsidR="00534D9A" w:rsidRDefault="003243B2">
            <w:pPr>
              <w:pStyle w:val="P68B1DB1-TableParagraph40"/>
              <w:spacing w:before="108"/>
              <w:ind w:left="85"/>
              <w:jc w:val="both"/>
            </w:pPr>
            <w:r>
              <w:t>SKARBNET4_PL</w:t>
            </w:r>
          </w:p>
          <w:p w14:paraId="7FE1D02C" w14:textId="77777777" w:rsidR="00534D9A" w:rsidRDefault="003243B2">
            <w:pPr>
              <w:pStyle w:val="P68B1DB1-TableParagraph40"/>
              <w:spacing w:before="108"/>
              <w:ind w:left="85"/>
              <w:jc w:val="both"/>
            </w:pPr>
            <w:r>
              <w:t>SKD_CZ</w:t>
            </w:r>
          </w:p>
          <w:p w14:paraId="7FE1D02D" w14:textId="77777777" w:rsidR="00534D9A" w:rsidRDefault="003243B2">
            <w:pPr>
              <w:pStyle w:val="P68B1DB1-TableParagraph40"/>
              <w:spacing w:before="108"/>
              <w:ind w:left="85"/>
              <w:jc w:val="both"/>
            </w:pPr>
            <w:r>
              <w:t>VP Titolities_DK</w:t>
            </w:r>
          </w:p>
          <w:p w14:paraId="7FE1D02E" w14:textId="77777777" w:rsidR="00534D9A" w:rsidRDefault="003243B2">
            <w:pPr>
              <w:pStyle w:val="P68B1DB1-TableParagraph40"/>
              <w:spacing w:before="108"/>
              <w:ind w:left="85"/>
              <w:jc w:val="both"/>
            </w:pPr>
            <w:r>
              <w:t>VPS_NO</w:t>
            </w:r>
          </w:p>
        </w:tc>
      </w:tr>
      <w:tr w:rsidR="00534D9A" w14:paraId="7FE1D036" w14:textId="77777777">
        <w:tc>
          <w:tcPr>
            <w:tcW w:w="1415" w:type="dxa"/>
            <w:tcBorders>
              <w:top w:val="single" w:sz="8" w:space="0" w:color="1A171C"/>
              <w:left w:val="nil"/>
              <w:bottom w:val="single" w:sz="8" w:space="0" w:color="1A171C"/>
              <w:right w:val="single" w:sz="8" w:space="0" w:color="1A171C"/>
            </w:tcBorders>
            <w:vAlign w:val="center"/>
          </w:tcPr>
          <w:p w14:paraId="7FE1D033" w14:textId="77777777" w:rsidR="00534D9A" w:rsidRDefault="003243B2">
            <w:pPr>
              <w:pStyle w:val="P68B1DB1-Normal31"/>
            </w:pPr>
            <w:r>
              <w:lastRenderedPageBreak/>
              <w:t>0270</w:t>
            </w:r>
          </w:p>
        </w:tc>
        <w:tc>
          <w:tcPr>
            <w:tcW w:w="7611" w:type="dxa"/>
            <w:gridSpan w:val="2"/>
            <w:tcBorders>
              <w:top w:val="single" w:sz="8" w:space="0" w:color="1A171C"/>
              <w:left w:val="single" w:sz="8" w:space="0" w:color="1A171C"/>
              <w:bottom w:val="single" w:sz="8" w:space="0" w:color="1A171C"/>
              <w:right w:val="nil"/>
            </w:tcBorders>
            <w:vAlign w:val="bottom"/>
          </w:tcPr>
          <w:p w14:paraId="7FE1D034" w14:textId="7763C810" w:rsidR="00534D9A" w:rsidRDefault="003243B2">
            <w:pPr>
              <w:pStyle w:val="P68B1DB1-TableParagraph73"/>
              <w:spacing w:before="108"/>
              <w:ind w:left="85"/>
              <w:jc w:val="both"/>
              <w:rPr>
                <w:bCs/>
              </w:rPr>
            </w:pPr>
            <w:r>
              <w:t>Ammont ta’ rahan, rahan jew kollateral</w:t>
            </w:r>
          </w:p>
          <w:p w14:paraId="7FE1D035" w14:textId="01C91AE9" w:rsidR="00534D9A" w:rsidRDefault="003243B2">
            <w:pPr>
              <w:pStyle w:val="P68B1DB1-TableParagraph40"/>
              <w:spacing w:before="108"/>
              <w:ind w:left="85"/>
              <w:jc w:val="both"/>
            </w:pPr>
            <w:r>
              <w:t>Meta obbligazzjoni tkun garantita b’rahan, rahan jew kollateral, għandu jiġi rrapportat il-valur tas-suq gross ta’ dan tal-aħħar. Inkella, għal obbligazzjonijiet mhux garantiti, din il-kategorija għandha tiġi rrapportata bħala żero. Dan l-ammont jiddetermina l-parti kollateralizzata u eventwalment mhux kollateralizzata ta’ kwalunkwe obbligazzjoni garantita. Għal aggregazzjonijiet ta’ kollateral li jiggarantixxu entrati f’linja multipli, iddetermina l-proporzjon ta’ kopertura globali u applika pro rata għall</w:t>
            </w:r>
            <w:r>
              <w:t>-entrati f’linja kollha koperti minn dan il-pool.</w:t>
            </w:r>
          </w:p>
        </w:tc>
      </w:tr>
      <w:tr w:rsidR="00534D9A" w14:paraId="7FE1D03A" w14:textId="77777777">
        <w:tc>
          <w:tcPr>
            <w:tcW w:w="1415" w:type="dxa"/>
            <w:tcBorders>
              <w:top w:val="single" w:sz="8" w:space="0" w:color="1A171C"/>
              <w:left w:val="nil"/>
              <w:bottom w:val="single" w:sz="8" w:space="0" w:color="1A171C"/>
              <w:right w:val="single" w:sz="8" w:space="0" w:color="1A171C"/>
            </w:tcBorders>
            <w:vAlign w:val="center"/>
          </w:tcPr>
          <w:p w14:paraId="7FE1D037" w14:textId="77777777" w:rsidR="00534D9A" w:rsidRDefault="003243B2">
            <w:pPr>
              <w:pStyle w:val="P68B1DB1-Normal31"/>
            </w:pPr>
            <w:r>
              <w:t>0280</w:t>
            </w:r>
          </w:p>
        </w:tc>
        <w:tc>
          <w:tcPr>
            <w:tcW w:w="7611" w:type="dxa"/>
            <w:gridSpan w:val="2"/>
            <w:tcBorders>
              <w:top w:val="single" w:sz="8" w:space="0" w:color="1A171C"/>
              <w:left w:val="single" w:sz="8" w:space="0" w:color="1A171C"/>
              <w:bottom w:val="single" w:sz="8" w:space="0" w:color="1A171C"/>
              <w:right w:val="nil"/>
            </w:tcBorders>
            <w:vAlign w:val="bottom"/>
          </w:tcPr>
          <w:p w14:paraId="7FE1D038" w14:textId="4F4E64F0" w:rsidR="00534D9A" w:rsidRDefault="003243B2">
            <w:pPr>
              <w:pStyle w:val="P68B1DB1-TableParagraph73"/>
              <w:spacing w:before="108"/>
              <w:ind w:left="85"/>
              <w:jc w:val="both"/>
              <w:rPr>
                <w:bCs/>
              </w:rPr>
            </w:pPr>
            <w:r>
              <w:t xml:space="preserve">Garanti </w:t>
            </w:r>
          </w:p>
          <w:p w14:paraId="7FE1D039" w14:textId="7525BFD5" w:rsidR="00534D9A" w:rsidRDefault="003243B2">
            <w:pPr>
              <w:pStyle w:val="P68B1DB1-TableParagraph40"/>
              <w:spacing w:before="108"/>
              <w:ind w:left="85"/>
              <w:jc w:val="both"/>
            </w:pPr>
            <w:r>
              <w:lastRenderedPageBreak/>
              <w:t>Jekk ikun hemm garanziji pprovduti għall-istrument, ipprovdi identifikazzjoni dettaljata tal-garanti (il-kodiċi LEI, il-kodiċi tal-pajjiż ISO 3166–1 alpha-2 għall-gvern, eċċ.). Fejn hemm diversi garanti preżenti, irrapporta l-identifikaturi kollha, separati b’punt u virgola.</w:t>
            </w:r>
          </w:p>
        </w:tc>
      </w:tr>
      <w:tr w:rsidR="00534D9A" w14:paraId="7FE1D045" w14:textId="77777777">
        <w:tc>
          <w:tcPr>
            <w:tcW w:w="1415" w:type="dxa"/>
            <w:tcBorders>
              <w:top w:val="single" w:sz="8" w:space="0" w:color="1A171C"/>
              <w:left w:val="nil"/>
              <w:bottom w:val="single" w:sz="8" w:space="0" w:color="1A171C"/>
              <w:right w:val="single" w:sz="8" w:space="0" w:color="1A171C"/>
            </w:tcBorders>
            <w:vAlign w:val="center"/>
          </w:tcPr>
          <w:p w14:paraId="7FE1D042" w14:textId="77777777" w:rsidR="00534D9A" w:rsidRDefault="003243B2">
            <w:pPr>
              <w:pStyle w:val="P68B1DB1-Normal31"/>
            </w:pPr>
            <w:r>
              <w:lastRenderedPageBreak/>
              <w:t>0305</w:t>
            </w:r>
          </w:p>
        </w:tc>
        <w:tc>
          <w:tcPr>
            <w:tcW w:w="7611" w:type="dxa"/>
            <w:gridSpan w:val="2"/>
            <w:tcBorders>
              <w:top w:val="single" w:sz="8" w:space="0" w:color="1A171C"/>
              <w:left w:val="single" w:sz="8" w:space="0" w:color="1A171C"/>
              <w:bottom w:val="single" w:sz="8" w:space="0" w:color="1A171C"/>
              <w:right w:val="nil"/>
            </w:tcBorders>
            <w:vAlign w:val="bottom"/>
          </w:tcPr>
          <w:p w14:paraId="7FE1D043" w14:textId="77777777" w:rsidR="00534D9A" w:rsidRDefault="003243B2">
            <w:pPr>
              <w:pStyle w:val="P68B1DB1-TableParagraph73"/>
              <w:spacing w:before="108"/>
              <w:ind w:left="85"/>
              <w:jc w:val="both"/>
              <w:rPr>
                <w:bCs/>
              </w:rPr>
            </w:pPr>
            <w:r>
              <w:t xml:space="preserve">Ammont li jissodisfa l-kundizzjonijiet għall-eliġibbiltà tal-MREL </w:t>
            </w:r>
          </w:p>
          <w:p w14:paraId="7FE1D044" w14:textId="63D3C63A" w:rsidR="00534D9A" w:rsidRDefault="003243B2">
            <w:pPr>
              <w:pStyle w:val="P68B1DB1-TableParagraph40"/>
              <w:spacing w:before="108"/>
              <w:ind w:left="85"/>
              <w:jc w:val="both"/>
            </w:pPr>
            <w:r>
              <w:t>L-ammont ta’ fondi proprji u obbligazzjonijiet eliġibbli li jgħoddu għar-rekwiżit stabbilit f’konformità mal-Artikolu 45(1) tad-Direttiva 2014/59/UE.</w:t>
            </w:r>
          </w:p>
        </w:tc>
      </w:tr>
      <w:tr w:rsidR="00534D9A" w14:paraId="7FE1D04C" w14:textId="77777777">
        <w:trPr>
          <w:trHeight w:val="2982"/>
        </w:trPr>
        <w:tc>
          <w:tcPr>
            <w:tcW w:w="1415" w:type="dxa"/>
            <w:tcBorders>
              <w:top w:val="single" w:sz="8" w:space="0" w:color="1A171C"/>
              <w:left w:val="nil"/>
              <w:bottom w:val="single" w:sz="8" w:space="0" w:color="1A171C"/>
              <w:right w:val="single" w:sz="8" w:space="0" w:color="1A171C"/>
            </w:tcBorders>
            <w:vAlign w:val="center"/>
          </w:tcPr>
          <w:p w14:paraId="7FE1D046" w14:textId="77777777" w:rsidR="00534D9A" w:rsidRDefault="003243B2">
            <w:pPr>
              <w:pStyle w:val="P68B1DB1-Normal31"/>
            </w:pPr>
            <w:r>
              <w:t>0310</w:t>
            </w:r>
          </w:p>
          <w:p w14:paraId="7FE1D047" w14:textId="77777777" w:rsidR="00534D9A" w:rsidRDefault="003243B2">
            <w:pPr>
              <w:pStyle w:val="P68B1DB1-Normal31"/>
            </w:pPr>
            <w:r>
              <w:t xml:space="preserve"> </w:t>
            </w:r>
          </w:p>
        </w:tc>
        <w:tc>
          <w:tcPr>
            <w:tcW w:w="7611" w:type="dxa"/>
            <w:gridSpan w:val="2"/>
            <w:tcBorders>
              <w:top w:val="single" w:sz="8" w:space="0" w:color="1A171C"/>
              <w:left w:val="single" w:sz="8" w:space="0" w:color="1A171C"/>
              <w:right w:val="nil"/>
            </w:tcBorders>
            <w:vAlign w:val="bottom"/>
          </w:tcPr>
          <w:p w14:paraId="7FE1D048" w14:textId="1CDBBE51" w:rsidR="00534D9A" w:rsidRDefault="003243B2">
            <w:pPr>
              <w:pStyle w:val="P68B1DB1-TableParagraph73"/>
              <w:spacing w:before="108"/>
              <w:ind w:left="85"/>
              <w:jc w:val="both"/>
              <w:rPr>
                <w:bCs/>
              </w:rPr>
            </w:pPr>
            <w:r>
              <w:t xml:space="preserve">Li jikkwalifikaw bħala fondi proprji </w:t>
            </w:r>
          </w:p>
          <w:p w14:paraId="7FE1D049" w14:textId="4AE6A326" w:rsidR="00534D9A" w:rsidRDefault="003243B2">
            <w:pPr>
              <w:pStyle w:val="P68B1DB1-TableParagraph40"/>
              <w:spacing w:before="108"/>
              <w:ind w:left="85"/>
              <w:jc w:val="both"/>
            </w:pPr>
            <w:r>
              <w:t xml:space="preserve">Indika jekk u f’liema livell l-istrument huwa inkluż fil-fondi proprji, flimkien ma’ informazzjoni dwar ir-reġim ta’ eliminazzjoni gradwali u l-arranġamenti ta’ anterjorità. Il-valur jista’ jkun “Le”, “Parzjalment AT1, T1 u T2”, “T2 fi tneħħija gradwali”, “Grandfathered T2”, “Konformità Sħiħa T2”, “AT1 anterjorat”, “Konformità Sħiħa AT1” jew “CET1” minn lista predefinita. </w:t>
            </w:r>
          </w:p>
          <w:p w14:paraId="7FE1D04A" w14:textId="62223A6F" w:rsidR="00534D9A" w:rsidRDefault="003243B2">
            <w:pPr>
              <w:pStyle w:val="P68B1DB1-TableParagraph40"/>
              <w:spacing w:before="108"/>
              <w:ind w:left="85"/>
              <w:jc w:val="both"/>
            </w:pPr>
            <w:r>
              <w:t>Fil-lista ta’ opzjonijiet, it-terminu “eliminazzjoni gradwali” jirreferi għall-perjodu ta’ 5 snin qabel il-maturità ta’ kwalunkwe strument T2 partikolari, li matulu jkun hemm biss rikonoxximent proporzjonat ibbażat fuq iż-żmien li jifdal sal-maturità. “Anterjorità” tirreferi għal kwalunkwe miżura tranżizzjonali applikabbli għal strument T2, li ma tinkludix l- “eliminazzjoni gradwali”. Matul dan il- “anterjorità”, ir-rikonoxximent jista’ jkun sħiħ jew parzjali.</w:t>
            </w:r>
          </w:p>
          <w:p w14:paraId="7FE1D04B" w14:textId="56289907" w:rsidR="00534D9A" w:rsidRDefault="003243B2">
            <w:pPr>
              <w:pStyle w:val="P68B1DB1-TableParagraph40"/>
              <w:spacing w:before="108"/>
              <w:ind w:left="85"/>
              <w:jc w:val="both"/>
            </w:pPr>
            <w:r>
              <w:t xml:space="preserve"> </w:t>
            </w:r>
          </w:p>
        </w:tc>
      </w:tr>
      <w:tr w:rsidR="00534D9A" w14:paraId="7FE1D051" w14:textId="77777777">
        <w:tc>
          <w:tcPr>
            <w:tcW w:w="1415" w:type="dxa"/>
            <w:tcBorders>
              <w:top w:val="single" w:sz="8" w:space="0" w:color="1A171C"/>
              <w:left w:val="nil"/>
              <w:bottom w:val="single" w:sz="8" w:space="0" w:color="1A171C"/>
              <w:right w:val="single" w:sz="8" w:space="0" w:color="1A171C"/>
            </w:tcBorders>
            <w:vAlign w:val="center"/>
          </w:tcPr>
          <w:p w14:paraId="7FE1D04D" w14:textId="77777777" w:rsidR="00534D9A" w:rsidRDefault="003243B2">
            <w:pPr>
              <w:pStyle w:val="P68B1DB1-Normal31"/>
            </w:pPr>
            <w:r>
              <w:t>0320</w:t>
            </w:r>
          </w:p>
        </w:tc>
        <w:tc>
          <w:tcPr>
            <w:tcW w:w="7611" w:type="dxa"/>
            <w:gridSpan w:val="2"/>
            <w:tcBorders>
              <w:top w:val="single" w:sz="8" w:space="0" w:color="1A171C"/>
              <w:left w:val="single" w:sz="8" w:space="0" w:color="1A171C"/>
              <w:bottom w:val="single" w:sz="8" w:space="0" w:color="1A171C"/>
              <w:right w:val="nil"/>
            </w:tcBorders>
            <w:vAlign w:val="bottom"/>
          </w:tcPr>
          <w:p w14:paraId="7FE1D04E" w14:textId="77777777" w:rsidR="00534D9A" w:rsidRDefault="003243B2">
            <w:pPr>
              <w:pStyle w:val="P68B1DB1-TableParagraph40"/>
              <w:spacing w:before="108"/>
              <w:ind w:left="85"/>
              <w:jc w:val="both"/>
              <w:rPr>
                <w:b/>
                <w:bCs/>
              </w:rPr>
            </w:pPr>
            <w:r>
              <w:t xml:space="preserve"> </w:t>
            </w:r>
            <w:r>
              <w:rPr>
                <w:b/>
              </w:rPr>
              <w:t>Ammont li jikkwalifika bħala Fondi Proprji</w:t>
            </w:r>
          </w:p>
          <w:p w14:paraId="7FE1D050" w14:textId="1253231B" w:rsidR="00534D9A" w:rsidRDefault="003243B2">
            <w:pPr>
              <w:pStyle w:val="P68B1DB1-TableParagraph40"/>
              <w:spacing w:before="108"/>
              <w:ind w:left="85"/>
              <w:jc w:val="both"/>
            </w:pPr>
            <w:r>
              <w:t>L-ammont tal-istrument li jikkwalifika bħala fondi proprji.</w:t>
            </w:r>
          </w:p>
        </w:tc>
      </w:tr>
    </w:tbl>
    <w:p w14:paraId="7FE1D052" w14:textId="77777777" w:rsidR="00534D9A" w:rsidRDefault="00534D9A">
      <w:pPr>
        <w:rPr>
          <w:rFonts w:ascii="Times New Roman" w:hAnsi="Times New Roman" w:cs="Times New Roman"/>
        </w:rPr>
      </w:pPr>
    </w:p>
    <w:p w14:paraId="7FE1D053" w14:textId="77777777" w:rsidR="00534D9A" w:rsidRDefault="00534D9A">
      <w:pPr>
        <w:pStyle w:val="Instructionsberschrift2"/>
        <w:ind w:left="357"/>
        <w:rPr>
          <w:rFonts w:ascii="Times New Roman" w:eastAsia="Calibri" w:hAnsi="Times New Roman" w:cs="Times New Roman"/>
          <w:szCs w:val="20"/>
        </w:rPr>
      </w:pPr>
    </w:p>
    <w:p w14:paraId="7FE1D054" w14:textId="6B5C3BCC" w:rsidR="00534D9A" w:rsidRDefault="003243B2">
      <w:pPr>
        <w:pStyle w:val="Instructionsberschrift2"/>
        <w:numPr>
          <w:ilvl w:val="1"/>
          <w:numId w:val="49"/>
        </w:numPr>
        <w:spacing w:before="0"/>
        <w:ind w:left="357" w:hanging="357"/>
        <w:rPr>
          <w:rFonts w:ascii="Times New Roman" w:hAnsi="Times New Roman" w:cs="Times New Roman"/>
        </w:rPr>
      </w:pPr>
      <w:bookmarkStart w:id="245" w:name="_Toc208245027"/>
      <w:r>
        <w:rPr>
          <w:rFonts w:ascii="Times New Roman" w:eastAsiaTheme="minorEastAsia" w:hAnsi="Times New Roman" w:cs="Times New Roman"/>
        </w:rPr>
        <w:t xml:space="preserve">Z 13.00 — Id-Depożiti kollha (eskluż intragrupp) </w:t>
      </w:r>
      <w:r>
        <w:rPr>
          <w:rFonts w:ascii="Times New Roman" w:eastAsia="Calibri" w:hAnsi="Times New Roman" w:cs="Times New Roman"/>
          <w:szCs w:val="20"/>
        </w:rPr>
        <w:t>(LIAB-G-3)</w:t>
      </w:r>
      <w:bookmarkEnd w:id="245"/>
    </w:p>
    <w:p w14:paraId="7FE1D057" w14:textId="77777777" w:rsidR="00534D9A" w:rsidRDefault="003243B2">
      <w:pPr>
        <w:pStyle w:val="P68B1DB1-Numberedtitlelevel372"/>
      </w:pPr>
      <w:r>
        <w:t>Kummenti ġenerali</w:t>
      </w:r>
    </w:p>
    <w:p w14:paraId="7FE1D058" w14:textId="669C462E" w:rsidR="00534D9A" w:rsidRDefault="003243B2">
      <w:pPr>
        <w:pStyle w:val="P68B1DB1-InstructionsText26"/>
        <w:numPr>
          <w:ilvl w:val="2"/>
          <w:numId w:val="209"/>
        </w:numPr>
        <w:spacing w:before="0"/>
        <w:ind w:left="1418"/>
        <w:rPr>
          <w:rFonts w:eastAsia="Cambria"/>
        </w:rPr>
      </w:pPr>
      <w:r>
        <w:t>L-ambitu ta’ dan ir-rapport ikopri d-depożiti kollha, esklużi t-tranżazzjonijiet intragrupp, irrispettivament min-natura tad-depożitu jew it-terminu. Id-depożiti għandhom jiġu identifikati abbażi tad-definizzjoni pprovduta skont l-Artikolu 2(1) (3) tad-Direttiva 2014/49/UE.</w:t>
      </w:r>
    </w:p>
    <w:p w14:paraId="7FE1D05A" w14:textId="4B3AE2E6" w:rsidR="00534D9A" w:rsidRDefault="003243B2">
      <w:pPr>
        <w:pStyle w:val="P68B1DB1-InstructionsText286"/>
        <w:numPr>
          <w:ilvl w:val="2"/>
          <w:numId w:val="209"/>
        </w:numPr>
        <w:spacing w:before="0"/>
        <w:ind w:left="1418"/>
      </w:pPr>
      <w:r>
        <w:t>Għall-finijiet ta’ din it-tabella, jiġbor id-depożiti Not-Covered-and-Not-Preferenzjali kollha (kif definiti minn Z 02.00-R0320) b’maturità residwa ta’ inqas minn sena (1), id-depożiti koperti kollha u d-depożiti Not-Covered-but-Preferenzjali (kif definiti minn Z 02.00-R0310 u irrispettivament mill-maturità residwa tagħhom), skont il-kategorija tal-obbligazzjoni (il-kolonna 0020), it-tip ta’ kontroparti (il-kolonna 0025) u l-klassifikazzjoni tal-insolvenza (il-kolonna 0030). Id-depożiti Not-Covered-and-Not-</w:t>
      </w:r>
      <w:r>
        <w:t xml:space="preserve">Preferred b’maturità residwa ta’ sena (1) jew aktar iridu jiġu rrapportati bħala entrata individwali tar-ringiela fir-rigward tal-oqsma kollha mitluba. </w:t>
      </w:r>
    </w:p>
    <w:p w14:paraId="7FE1D05B" w14:textId="4C000A39" w:rsidR="00534D9A" w:rsidRDefault="003243B2">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Minkejja l-punt 67), kull depożitu minn istituzzjoni ta’ kreditu, irrispettivament mit-tip ta’ depożitu, irid jiġi rrapportat bħala entrata tar-ringiela individwali</w:t>
      </w:r>
      <w:r>
        <w:rPr>
          <w:rFonts w:ascii="Times New Roman" w:hAnsi="Times New Roman" w:cs="Times New Roman"/>
        </w:rPr>
        <w:t xml:space="preserve"> </w:t>
      </w:r>
      <w:r>
        <w:rPr>
          <w:rFonts w:ascii="Times New Roman" w:eastAsia="Cambria" w:hAnsi="Times New Roman" w:cs="Times New Roman"/>
          <w:sz w:val="20"/>
          <w:szCs w:val="20"/>
        </w:rPr>
        <w:t>fir-rigward tal-oqsma kollha mitluba. Pereżempju, tranżazzjoni waħda trid tiġi rrapportata f’entrati multipli f’ringiela f’każ li tkun tappartjeni għal klassifikazzjonijiet differenti tal-insolvenza.</w:t>
      </w:r>
    </w:p>
    <w:p w14:paraId="7FE1D05C" w14:textId="0E610125" w:rsidR="00534D9A" w:rsidRDefault="003243B2">
      <w:pPr>
        <w:pStyle w:val="InstructionsText2"/>
        <w:numPr>
          <w:ilvl w:val="2"/>
          <w:numId w:val="209"/>
        </w:numPr>
        <w:spacing w:before="0"/>
        <w:ind w:left="1418"/>
        <w:rPr>
          <w:rFonts w:ascii="Times New Roman" w:eastAsia="Cambria" w:hAnsi="Times New Roman" w:cs="Times New Roman"/>
          <w:sz w:val="20"/>
          <w:szCs w:val="20"/>
        </w:rPr>
      </w:pPr>
      <w:r>
        <w:rPr>
          <w:rFonts w:ascii="Times New Roman" w:eastAsia="Cambria" w:hAnsi="Times New Roman" w:cs="Times New Roman"/>
          <w:sz w:val="20"/>
          <w:szCs w:val="20"/>
        </w:rPr>
        <w:t>Id-depożiti l-oħra kollha mhux imsemmija b’mod espliċitu hawn fuq, iridu jiġu rrapportati bħala entrata individwali tar-ringiela</w:t>
      </w:r>
      <w:r>
        <w:rPr>
          <w:rFonts w:ascii="Times New Roman" w:hAnsi="Times New Roman" w:cs="Times New Roman"/>
        </w:rPr>
        <w:t xml:space="preserve"> </w:t>
      </w:r>
      <w:r>
        <w:rPr>
          <w:rFonts w:ascii="Times New Roman" w:eastAsia="Cambria" w:hAnsi="Times New Roman" w:cs="Times New Roman"/>
          <w:sz w:val="20"/>
          <w:szCs w:val="20"/>
        </w:rPr>
        <w:t>fir-rigward tal-entrati kollha mitluba.</w:t>
      </w:r>
    </w:p>
    <w:p w14:paraId="7FE1D061" w14:textId="77777777" w:rsidR="00534D9A" w:rsidRDefault="003243B2">
      <w:pPr>
        <w:pStyle w:val="P68B1DB1-InstructionsText287"/>
        <w:numPr>
          <w:ilvl w:val="0"/>
          <w:numId w:val="0"/>
        </w:numPr>
        <w:ind w:left="753"/>
      </w:pPr>
      <w:r>
        <w:t>Struzzjonijiet li jikkonċernaw pożizzjonijiet speċifiċi</w:t>
      </w:r>
    </w:p>
    <w:tbl>
      <w:tblPr>
        <w:tblW w:w="0" w:type="auto"/>
        <w:tblLook w:val="01E0" w:firstRow="1" w:lastRow="1" w:firstColumn="1" w:lastColumn="1" w:noHBand="0" w:noVBand="0"/>
      </w:tblPr>
      <w:tblGrid>
        <w:gridCol w:w="1188"/>
        <w:gridCol w:w="7772"/>
        <w:gridCol w:w="66"/>
      </w:tblGrid>
      <w:tr w:rsidR="00534D9A" w14:paraId="7FE1D064" w14:textId="77777777">
        <w:trPr>
          <w:gridAfter w:val="1"/>
          <w:wAfter w:w="66" w:type="dxa"/>
          <w:tblHeader/>
        </w:trPr>
        <w:tc>
          <w:tcPr>
            <w:tcW w:w="1188" w:type="dxa"/>
            <w:tcBorders>
              <w:top w:val="single" w:sz="4" w:space="0" w:color="1A171C"/>
              <w:left w:val="nil"/>
              <w:bottom w:val="single" w:sz="4" w:space="0" w:color="1A171C"/>
              <w:right w:val="single" w:sz="4" w:space="0" w:color="1A171C"/>
            </w:tcBorders>
            <w:shd w:val="clear" w:color="auto" w:fill="E4E5E5"/>
          </w:tcPr>
          <w:p w14:paraId="7FE1D062" w14:textId="77777777" w:rsidR="00534D9A" w:rsidRDefault="003243B2">
            <w:pPr>
              <w:pStyle w:val="P68B1DB1-TableParagraph17"/>
              <w:spacing w:before="108"/>
              <w:ind w:left="85"/>
            </w:pPr>
            <w:r>
              <w:lastRenderedPageBreak/>
              <w:t>Kolonni</w:t>
            </w:r>
          </w:p>
        </w:tc>
        <w:tc>
          <w:tcPr>
            <w:tcW w:w="7772" w:type="dxa"/>
            <w:tcBorders>
              <w:top w:val="single" w:sz="4" w:space="0" w:color="1A171C"/>
              <w:left w:val="single" w:sz="4" w:space="0" w:color="1A171C"/>
              <w:bottom w:val="single" w:sz="4" w:space="0" w:color="1A171C"/>
              <w:right w:val="nil"/>
            </w:tcBorders>
            <w:shd w:val="clear" w:color="auto" w:fill="E4E5E5"/>
          </w:tcPr>
          <w:p w14:paraId="7FE1D063" w14:textId="77777777" w:rsidR="00534D9A" w:rsidRDefault="003243B2">
            <w:pPr>
              <w:pStyle w:val="P68B1DB1-TableParagraph17"/>
              <w:spacing w:before="108"/>
              <w:ind w:left="85" w:right="1"/>
            </w:pPr>
            <w:r>
              <w:t>Struzzjonijiet</w:t>
            </w:r>
          </w:p>
        </w:tc>
      </w:tr>
      <w:tr w:rsidR="00534D9A" w14:paraId="7FE1D068" w14:textId="77777777">
        <w:tc>
          <w:tcPr>
            <w:tcW w:w="1188" w:type="dxa"/>
            <w:tcBorders>
              <w:top w:val="single" w:sz="8" w:space="0" w:color="1A171C"/>
              <w:left w:val="nil"/>
              <w:bottom w:val="single" w:sz="8" w:space="0" w:color="1A171C"/>
              <w:right w:val="single" w:sz="8" w:space="0" w:color="1A171C"/>
            </w:tcBorders>
          </w:tcPr>
          <w:p w14:paraId="7FE1D065" w14:textId="77777777" w:rsidR="00534D9A" w:rsidRDefault="003243B2">
            <w:pPr>
              <w:pStyle w:val="P68B1DB1-Normal31"/>
            </w:pPr>
            <w:r>
              <w:t>0010</w:t>
            </w:r>
          </w:p>
        </w:tc>
        <w:tc>
          <w:tcPr>
            <w:tcW w:w="7838" w:type="dxa"/>
            <w:gridSpan w:val="2"/>
            <w:tcBorders>
              <w:top w:val="single" w:sz="8" w:space="0" w:color="1A171C"/>
              <w:left w:val="single" w:sz="8" w:space="0" w:color="1A171C"/>
              <w:bottom w:val="single" w:sz="8" w:space="0" w:color="1A171C"/>
              <w:right w:val="nil"/>
            </w:tcBorders>
          </w:tcPr>
          <w:p w14:paraId="7FE1D066" w14:textId="6199DB93" w:rsidR="00534D9A" w:rsidRDefault="003243B2">
            <w:pPr>
              <w:pStyle w:val="P68B1DB1-TableParagraph73"/>
              <w:spacing w:before="108"/>
              <w:ind w:left="85"/>
              <w:jc w:val="both"/>
              <w:rPr>
                <w:bCs/>
              </w:rPr>
            </w:pPr>
            <w:r>
              <w:t xml:space="preserve">NRU </w:t>
            </w:r>
          </w:p>
          <w:p w14:paraId="7FE1D067" w14:textId="43449971" w:rsidR="00534D9A" w:rsidRDefault="003243B2">
            <w:pPr>
              <w:pStyle w:val="P68B1DB1-TableParagraph40"/>
              <w:spacing w:before="108"/>
              <w:ind w:left="85"/>
              <w:jc w:val="both"/>
            </w:pPr>
            <w:r>
              <w:t>Numru uniku/ċavetta primarja biex jiġu identifikati l-oġġetti tar-ringiela.</w:t>
            </w:r>
          </w:p>
        </w:tc>
      </w:tr>
      <w:tr w:rsidR="00534D9A" w14:paraId="7FE1D06C" w14:textId="77777777">
        <w:tc>
          <w:tcPr>
            <w:tcW w:w="1188" w:type="dxa"/>
            <w:tcBorders>
              <w:top w:val="single" w:sz="8" w:space="0" w:color="1A171C"/>
              <w:left w:val="nil"/>
              <w:bottom w:val="single" w:sz="8" w:space="0" w:color="1A171C"/>
              <w:right w:val="single" w:sz="8" w:space="0" w:color="1A171C"/>
            </w:tcBorders>
          </w:tcPr>
          <w:p w14:paraId="7FE1D069" w14:textId="77777777" w:rsidR="00534D9A" w:rsidRDefault="003243B2">
            <w:pPr>
              <w:pStyle w:val="P68B1DB1-Normal31"/>
            </w:pPr>
            <w:r>
              <w:t>0020</w:t>
            </w:r>
          </w:p>
        </w:tc>
        <w:tc>
          <w:tcPr>
            <w:tcW w:w="7838" w:type="dxa"/>
            <w:gridSpan w:val="2"/>
            <w:tcBorders>
              <w:top w:val="single" w:sz="8" w:space="0" w:color="1A171C"/>
              <w:left w:val="single" w:sz="8" w:space="0" w:color="1A171C"/>
              <w:bottom w:val="single" w:sz="8" w:space="0" w:color="1A171C"/>
              <w:right w:val="nil"/>
            </w:tcBorders>
          </w:tcPr>
          <w:p w14:paraId="7FE1D06A" w14:textId="7FE04A35" w:rsidR="00534D9A" w:rsidRDefault="003243B2">
            <w:pPr>
              <w:pStyle w:val="P68B1DB1-TableParagraph73"/>
              <w:spacing w:before="108"/>
              <w:ind w:left="85"/>
              <w:jc w:val="both"/>
              <w:rPr>
                <w:bCs/>
              </w:rPr>
            </w:pPr>
            <w:r>
              <w:t xml:space="preserve">Ringiela </w:t>
            </w:r>
          </w:p>
          <w:p w14:paraId="7FE1D06B" w14:textId="7887C3E1" w:rsidR="00534D9A" w:rsidRDefault="003243B2">
            <w:pPr>
              <w:pStyle w:val="P68B1DB1-TableParagraph40"/>
              <w:spacing w:before="108"/>
              <w:ind w:left="85"/>
              <w:jc w:val="both"/>
            </w:pPr>
            <w:r>
              <w:t>Għal kull ringiela rrapportata, trid tiġi pprovduta rikonċiljazzjoni mal-kategorija ta’ obbligazzjonijiet tal-istruttura tal-obbligazzjonijiet f’Z02.00 fil-livell ta’ maturità minn lista predefinita ta’ valuri.</w:t>
            </w:r>
          </w:p>
        </w:tc>
      </w:tr>
      <w:tr w:rsidR="00534D9A" w14:paraId="7FE1D070" w14:textId="77777777">
        <w:tc>
          <w:tcPr>
            <w:tcW w:w="1188" w:type="dxa"/>
            <w:tcBorders>
              <w:top w:val="single" w:sz="8" w:space="0" w:color="1A171C"/>
              <w:left w:val="nil"/>
              <w:bottom w:val="single" w:sz="8" w:space="0" w:color="1A171C"/>
              <w:right w:val="single" w:sz="8" w:space="0" w:color="1A171C"/>
            </w:tcBorders>
          </w:tcPr>
          <w:p w14:paraId="7FE1D06D" w14:textId="77777777" w:rsidR="00534D9A" w:rsidRDefault="003243B2">
            <w:pPr>
              <w:pStyle w:val="P68B1DB1-Normal31"/>
            </w:pPr>
            <w:r>
              <w:t>0025</w:t>
            </w:r>
          </w:p>
        </w:tc>
        <w:tc>
          <w:tcPr>
            <w:tcW w:w="7838" w:type="dxa"/>
            <w:gridSpan w:val="2"/>
            <w:tcBorders>
              <w:top w:val="single" w:sz="8" w:space="0" w:color="1A171C"/>
              <w:left w:val="single" w:sz="8" w:space="0" w:color="1A171C"/>
              <w:bottom w:val="single" w:sz="8" w:space="0" w:color="1A171C"/>
              <w:right w:val="nil"/>
            </w:tcBorders>
          </w:tcPr>
          <w:p w14:paraId="7FE1D06E" w14:textId="77777777" w:rsidR="00534D9A" w:rsidRDefault="003243B2">
            <w:pPr>
              <w:pStyle w:val="P68B1DB1-TableParagraph73"/>
              <w:spacing w:before="108"/>
              <w:ind w:left="85"/>
              <w:jc w:val="both"/>
              <w:rPr>
                <w:bCs/>
              </w:rPr>
            </w:pPr>
            <w:r>
              <w:t xml:space="preserve">Kolonna </w:t>
            </w:r>
          </w:p>
          <w:p w14:paraId="7FE1D06F" w14:textId="34DE133F" w:rsidR="00534D9A" w:rsidRDefault="003243B2">
            <w:pPr>
              <w:pStyle w:val="P68B1DB1-TableParagraph40"/>
              <w:spacing w:before="108"/>
              <w:ind w:left="85"/>
              <w:jc w:val="both"/>
            </w:pPr>
            <w:r>
              <w:t>Għal kull ringiela rapportata, trid tiġi pprovduta rikonċiljazzjoni mal-klassi tal-kontroparti f’ “02.00” li għaliha huwa dovut id-depożitu minn lista predefinita ta’ valuri.</w:t>
            </w:r>
          </w:p>
        </w:tc>
      </w:tr>
      <w:tr w:rsidR="00534D9A" w14:paraId="7FE1D074" w14:textId="77777777">
        <w:tc>
          <w:tcPr>
            <w:tcW w:w="1188" w:type="dxa"/>
            <w:tcBorders>
              <w:top w:val="single" w:sz="8" w:space="0" w:color="1A171C"/>
              <w:left w:val="nil"/>
              <w:bottom w:val="single" w:sz="8" w:space="0" w:color="1A171C"/>
              <w:right w:val="single" w:sz="8" w:space="0" w:color="1A171C"/>
            </w:tcBorders>
          </w:tcPr>
          <w:p w14:paraId="7FE1D071" w14:textId="77777777" w:rsidR="00534D9A" w:rsidRDefault="003243B2">
            <w:pPr>
              <w:pStyle w:val="P68B1DB1-Normal31"/>
            </w:pPr>
            <w:r>
              <w:t>0030</w:t>
            </w:r>
          </w:p>
        </w:tc>
        <w:tc>
          <w:tcPr>
            <w:tcW w:w="7838" w:type="dxa"/>
            <w:gridSpan w:val="2"/>
            <w:tcBorders>
              <w:top w:val="single" w:sz="8" w:space="0" w:color="1A171C"/>
              <w:left w:val="single" w:sz="8" w:space="0" w:color="1A171C"/>
              <w:bottom w:val="single" w:sz="8" w:space="0" w:color="1A171C"/>
              <w:right w:val="nil"/>
            </w:tcBorders>
          </w:tcPr>
          <w:p w14:paraId="7FE1D072" w14:textId="6120A697" w:rsidR="00534D9A" w:rsidRDefault="003243B2">
            <w:pPr>
              <w:pStyle w:val="P68B1DB1-TableParagraph73"/>
              <w:spacing w:before="108"/>
              <w:ind w:left="85"/>
              <w:jc w:val="both"/>
              <w:rPr>
                <w:bCs/>
              </w:rPr>
            </w:pPr>
            <w:r>
              <w:t xml:space="preserve">Klassifikazzjoni  </w:t>
            </w:r>
          </w:p>
          <w:p w14:paraId="7FE1D073" w14:textId="3CA3DC07"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D078" w14:textId="77777777">
        <w:tc>
          <w:tcPr>
            <w:tcW w:w="1188" w:type="dxa"/>
            <w:tcBorders>
              <w:top w:val="single" w:sz="8" w:space="0" w:color="1A171C"/>
              <w:left w:val="nil"/>
              <w:bottom w:val="single" w:sz="8" w:space="0" w:color="1A171C"/>
              <w:right w:val="single" w:sz="8" w:space="0" w:color="1A171C"/>
            </w:tcBorders>
          </w:tcPr>
          <w:p w14:paraId="7FE1D075" w14:textId="77777777" w:rsidR="00534D9A" w:rsidRDefault="003243B2">
            <w:pPr>
              <w:pStyle w:val="P68B1DB1-Normal31"/>
            </w:pPr>
            <w:r>
              <w:t>0035</w:t>
            </w:r>
          </w:p>
        </w:tc>
        <w:tc>
          <w:tcPr>
            <w:tcW w:w="7838" w:type="dxa"/>
            <w:gridSpan w:val="2"/>
            <w:tcBorders>
              <w:top w:val="single" w:sz="8" w:space="0" w:color="1A171C"/>
              <w:left w:val="single" w:sz="8" w:space="0" w:color="1A171C"/>
              <w:bottom w:val="single" w:sz="8" w:space="0" w:color="1A171C"/>
              <w:right w:val="nil"/>
            </w:tcBorders>
          </w:tcPr>
          <w:p w14:paraId="7FE1D076" w14:textId="77777777" w:rsidR="00534D9A" w:rsidRDefault="003243B2">
            <w:pPr>
              <w:pStyle w:val="P68B1DB1-TableParagraph73"/>
              <w:spacing w:before="108"/>
              <w:ind w:left="85"/>
              <w:jc w:val="both"/>
              <w:rPr>
                <w:bCs/>
              </w:rPr>
            </w:pPr>
            <w:r>
              <w:t xml:space="preserve">Identifikatur tal-Kuntratt </w:t>
            </w:r>
          </w:p>
          <w:p w14:paraId="7FE1D077" w14:textId="77777777" w:rsidR="00534D9A" w:rsidRDefault="003243B2">
            <w:pPr>
              <w:pStyle w:val="P68B1DB1-TableParagraph40"/>
              <w:spacing w:before="108"/>
              <w:ind w:left="85"/>
              <w:jc w:val="both"/>
            </w:pPr>
            <w:r>
              <w:t>Identifikatur intern tal-kuntratt.</w:t>
            </w:r>
          </w:p>
        </w:tc>
      </w:tr>
      <w:tr w:rsidR="00534D9A" w14:paraId="7FE1D07C" w14:textId="77777777">
        <w:tc>
          <w:tcPr>
            <w:tcW w:w="1188" w:type="dxa"/>
            <w:vMerge w:val="restart"/>
            <w:tcBorders>
              <w:top w:val="single" w:sz="8" w:space="0" w:color="1A171C"/>
              <w:left w:val="nil"/>
              <w:bottom w:val="single" w:sz="8" w:space="0" w:color="1A171C"/>
              <w:right w:val="single" w:sz="8" w:space="0" w:color="1A171C"/>
            </w:tcBorders>
          </w:tcPr>
          <w:p w14:paraId="7FE1D079" w14:textId="77777777" w:rsidR="00534D9A" w:rsidRDefault="003243B2">
            <w:pPr>
              <w:pStyle w:val="P68B1DB1-Normal31"/>
            </w:pPr>
            <w:r>
              <w:t>0040</w:t>
            </w:r>
          </w:p>
        </w:tc>
        <w:tc>
          <w:tcPr>
            <w:tcW w:w="7838" w:type="dxa"/>
            <w:gridSpan w:val="2"/>
            <w:tcBorders>
              <w:top w:val="single" w:sz="8" w:space="0" w:color="1A171C"/>
              <w:left w:val="single" w:sz="8" w:space="0" w:color="1A171C"/>
              <w:right w:val="nil"/>
            </w:tcBorders>
          </w:tcPr>
          <w:p w14:paraId="7FE1D07A" w14:textId="0FCA0B78" w:rsidR="00534D9A" w:rsidRDefault="003243B2">
            <w:pPr>
              <w:pStyle w:val="P68B1DB1-TableParagraph73"/>
              <w:spacing w:before="108"/>
              <w:ind w:left="85"/>
              <w:jc w:val="both"/>
              <w:rPr>
                <w:bCs/>
              </w:rPr>
            </w:pPr>
            <w:r>
              <w:t xml:space="preserve">Identifikatur tal-kontroparti  </w:t>
            </w:r>
          </w:p>
          <w:p w14:paraId="7FE1D07B" w14:textId="67D0F26D" w:rsidR="00534D9A" w:rsidRDefault="003243B2">
            <w:pPr>
              <w:pStyle w:val="P68B1DB1-TableParagraph40"/>
              <w:spacing w:before="108"/>
              <w:ind w:left="85"/>
              <w:jc w:val="both"/>
            </w:pPr>
            <w:r>
              <w:t xml:space="preserve">Irrapporta l-kodiċi LEI tad-depożitant. Fin-nuqqas ta’ LEI, fil-każ tar-rapport tal-banek, l-identifikatur tal-Istituzzjonijiet Finanzjarji Monetarji tal-BĊE (MFI ID) użat fir-RIAD. Esklussivament fin-nuqqas ta’ dawn iż-żewġ identifikaturi, irrapporta identifikatur intern (huwa mistenni identifikatur uniku wieħed biss għal kull kontroparti). </w:t>
            </w:r>
          </w:p>
        </w:tc>
      </w:tr>
      <w:tr w:rsidR="00534D9A" w14:paraId="7FE1D07F" w14:textId="77777777">
        <w:tc>
          <w:tcPr>
            <w:tcW w:w="1188" w:type="dxa"/>
            <w:vMerge/>
            <w:tcBorders>
              <w:bottom w:val="single" w:sz="4" w:space="0" w:color="auto"/>
              <w:right w:val="single" w:sz="8" w:space="0" w:color="1A171C"/>
            </w:tcBorders>
            <w:vAlign w:val="center"/>
          </w:tcPr>
          <w:p w14:paraId="7FE1D07D" w14:textId="77777777" w:rsidR="00534D9A" w:rsidRDefault="00534D9A">
            <w:pPr>
              <w:rPr>
                <w:rFonts w:ascii="Times New Roman" w:hAnsi="Times New Roman" w:cs="Times New Roman"/>
              </w:rPr>
            </w:pPr>
          </w:p>
        </w:tc>
        <w:tc>
          <w:tcPr>
            <w:tcW w:w="7838" w:type="dxa"/>
            <w:gridSpan w:val="2"/>
            <w:tcBorders>
              <w:left w:val="single" w:sz="8" w:space="0" w:color="1A171C"/>
              <w:bottom w:val="single" w:sz="4" w:space="0" w:color="auto"/>
              <w:right w:val="nil"/>
            </w:tcBorders>
          </w:tcPr>
          <w:p w14:paraId="7FE1D07E" w14:textId="17BB416A" w:rsidR="00534D9A" w:rsidRDefault="003243B2">
            <w:pPr>
              <w:pStyle w:val="P68B1DB1-TableParagraph40"/>
              <w:spacing w:before="108"/>
              <w:ind w:left="85"/>
              <w:jc w:val="both"/>
            </w:pPr>
            <w:r>
              <w:t>Għad-depożiti rrapportati fuq livell aggregat, indika “0000” peress li din il-kaxxa hija obbligatorja.</w:t>
            </w:r>
          </w:p>
        </w:tc>
      </w:tr>
      <w:tr w:rsidR="00534D9A" w14:paraId="7FE1D083" w14:textId="77777777">
        <w:tc>
          <w:tcPr>
            <w:tcW w:w="1188" w:type="dxa"/>
            <w:vMerge w:val="restart"/>
            <w:tcBorders>
              <w:top w:val="single" w:sz="4" w:space="0" w:color="auto"/>
              <w:left w:val="nil"/>
              <w:bottom w:val="single" w:sz="8" w:space="0" w:color="1A171C"/>
              <w:right w:val="single" w:sz="4" w:space="0" w:color="auto"/>
            </w:tcBorders>
          </w:tcPr>
          <w:p w14:paraId="7FE1D080" w14:textId="77777777" w:rsidR="00534D9A" w:rsidRDefault="003243B2">
            <w:pPr>
              <w:pStyle w:val="P68B1DB1-Normal31"/>
            </w:pPr>
            <w:r>
              <w:t>0045</w:t>
            </w:r>
          </w:p>
        </w:tc>
        <w:tc>
          <w:tcPr>
            <w:tcW w:w="7838" w:type="dxa"/>
            <w:gridSpan w:val="2"/>
            <w:tcBorders>
              <w:top w:val="single" w:sz="4" w:space="0" w:color="auto"/>
              <w:left w:val="single" w:sz="4" w:space="0" w:color="auto"/>
            </w:tcBorders>
          </w:tcPr>
          <w:p w14:paraId="7FE1D081" w14:textId="05C93935" w:rsidR="00534D9A" w:rsidRDefault="003243B2">
            <w:pPr>
              <w:pStyle w:val="P68B1DB1-TableParagraph73"/>
              <w:spacing w:before="108"/>
              <w:ind w:left="85"/>
              <w:jc w:val="both"/>
              <w:rPr>
                <w:bCs/>
              </w:rPr>
            </w:pPr>
            <w:r>
              <w:t xml:space="preserve">Tip ta’ identifikatur </w:t>
            </w:r>
          </w:p>
          <w:p w14:paraId="7FE1D082"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D086" w14:textId="77777777">
        <w:tc>
          <w:tcPr>
            <w:tcW w:w="1188" w:type="dxa"/>
            <w:vMerge/>
            <w:tcBorders>
              <w:top w:val="single" w:sz="8" w:space="0" w:color="1A171C"/>
              <w:bottom w:val="single" w:sz="4" w:space="0" w:color="auto"/>
              <w:right w:val="single" w:sz="4" w:space="0" w:color="auto"/>
            </w:tcBorders>
            <w:vAlign w:val="center"/>
          </w:tcPr>
          <w:p w14:paraId="7FE1D084" w14:textId="77777777" w:rsidR="00534D9A" w:rsidRDefault="00534D9A">
            <w:pPr>
              <w:rPr>
                <w:rFonts w:ascii="Times New Roman" w:eastAsia="Times New Roman" w:hAnsi="Times New Roman" w:cs="Times New Roman"/>
                <w:sz w:val="20"/>
                <w:szCs w:val="20"/>
              </w:rPr>
            </w:pPr>
          </w:p>
        </w:tc>
        <w:tc>
          <w:tcPr>
            <w:tcW w:w="7838" w:type="dxa"/>
            <w:gridSpan w:val="2"/>
            <w:tcBorders>
              <w:left w:val="single" w:sz="4" w:space="0" w:color="auto"/>
              <w:bottom w:val="single" w:sz="4" w:space="0" w:color="auto"/>
            </w:tcBorders>
          </w:tcPr>
          <w:p w14:paraId="7FE1D085" w14:textId="2249F5A9" w:rsidR="00534D9A" w:rsidRDefault="003243B2">
            <w:pPr>
              <w:pStyle w:val="P68B1DB1-TableParagraph40"/>
              <w:spacing w:before="108"/>
              <w:ind w:left="85"/>
              <w:jc w:val="both"/>
            </w:pPr>
            <w:r>
              <w:t>Għad-depożiti rrapportati fuq livell aggregat, indika “Tip ta’ identifikatur, għajr LEI jew kodiċi MFI”.</w:t>
            </w:r>
          </w:p>
        </w:tc>
      </w:tr>
      <w:tr w:rsidR="00534D9A" w14:paraId="7FE1D08A" w14:textId="77777777">
        <w:tc>
          <w:tcPr>
            <w:tcW w:w="1188" w:type="dxa"/>
            <w:tcBorders>
              <w:top w:val="single" w:sz="4" w:space="0" w:color="auto"/>
              <w:left w:val="nil"/>
              <w:bottom w:val="single" w:sz="8" w:space="0" w:color="1A171C"/>
              <w:right w:val="single" w:sz="8" w:space="0" w:color="1A171C"/>
            </w:tcBorders>
          </w:tcPr>
          <w:p w14:paraId="7FE1D087" w14:textId="77777777" w:rsidR="00534D9A" w:rsidRDefault="003243B2">
            <w:pPr>
              <w:pStyle w:val="P68B1DB1-Normal31"/>
            </w:pPr>
            <w:r>
              <w:t xml:space="preserve"> 005</w:t>
            </w:r>
          </w:p>
        </w:tc>
        <w:tc>
          <w:tcPr>
            <w:tcW w:w="7838" w:type="dxa"/>
            <w:gridSpan w:val="2"/>
            <w:tcBorders>
              <w:top w:val="single" w:sz="4" w:space="0" w:color="auto"/>
              <w:left w:val="single" w:sz="8" w:space="0" w:color="1A171C"/>
              <w:bottom w:val="single" w:sz="8" w:space="0" w:color="1A171C"/>
              <w:right w:val="nil"/>
            </w:tcBorders>
          </w:tcPr>
          <w:p w14:paraId="7FE1D088" w14:textId="70C0260E" w:rsidR="00534D9A" w:rsidRDefault="003243B2">
            <w:pPr>
              <w:pStyle w:val="P68B1DB1-TableParagraph73"/>
              <w:spacing w:before="108"/>
              <w:ind w:left="85"/>
              <w:jc w:val="both"/>
              <w:rPr>
                <w:bCs/>
              </w:rPr>
            </w:pPr>
            <w:r>
              <w:t xml:space="preserve">Il-liġi regolatorja  </w:t>
            </w:r>
          </w:p>
          <w:p w14:paraId="7FE1D089" w14:textId="1A451092" w:rsidR="00534D9A" w:rsidRDefault="003243B2">
            <w:pPr>
              <w:pStyle w:val="P68B1DB1-TableParagraph40"/>
              <w:spacing w:before="108"/>
              <w:ind w:left="85"/>
              <w:jc w:val="both"/>
            </w:pPr>
            <w:r>
              <w:t>Il-kodiċi ISO 3166–1 alpha-2 tal-pajjiż li l-liġi tiegħu tirregola l-istrument (uża l-kodiċi ISO 3166–2 meta l-liġi ta’ subdiviżjoni amministrattiva tkun rilevanti, eż. “US-NY”). Jekk il-kuntratt ikun irregolat mil-liġi ta’ aktar minn pajjiż wieħed, għandu jiġi rrapportat il-pajjiż li l-liġi tiegħu għandha l-ogħla rilevanza għar-rikonoxximent tas-setgħat ta’ valwazzjoni negattiva u konverżjoni.  Għal depożiti rrapportati fuq livell aggregat, uża l-valur “Pajjiżi Oħra”.</w:t>
            </w:r>
          </w:p>
        </w:tc>
      </w:tr>
      <w:tr w:rsidR="00534D9A" w14:paraId="7FE1D08E" w14:textId="77777777">
        <w:tc>
          <w:tcPr>
            <w:tcW w:w="1188" w:type="dxa"/>
            <w:tcBorders>
              <w:top w:val="single" w:sz="8" w:space="0" w:color="1A171C"/>
              <w:left w:val="nil"/>
              <w:bottom w:val="single" w:sz="8" w:space="0" w:color="1A171C"/>
              <w:right w:val="single" w:sz="8" w:space="0" w:color="1A171C"/>
            </w:tcBorders>
          </w:tcPr>
          <w:p w14:paraId="7FE1D08B" w14:textId="77777777" w:rsidR="00534D9A" w:rsidRDefault="003243B2">
            <w:pPr>
              <w:pStyle w:val="P68B1DB1-Normal31"/>
            </w:pPr>
            <w:r>
              <w:t>0060</w:t>
            </w:r>
          </w:p>
        </w:tc>
        <w:tc>
          <w:tcPr>
            <w:tcW w:w="7838" w:type="dxa"/>
            <w:gridSpan w:val="2"/>
            <w:tcBorders>
              <w:top w:val="single" w:sz="8" w:space="0" w:color="1A171C"/>
              <w:left w:val="single" w:sz="8" w:space="0" w:color="1A171C"/>
              <w:bottom w:val="single" w:sz="8" w:space="0" w:color="1A171C"/>
              <w:right w:val="nil"/>
            </w:tcBorders>
          </w:tcPr>
          <w:p w14:paraId="7FE1D08C" w14:textId="77777777" w:rsidR="00534D9A" w:rsidRDefault="003243B2">
            <w:pPr>
              <w:pStyle w:val="P68B1DB1-TableParagraph73"/>
              <w:spacing w:before="108"/>
              <w:ind w:left="85"/>
              <w:jc w:val="both"/>
              <w:rPr>
                <w:bCs/>
              </w:rPr>
            </w:pPr>
            <w:r>
              <w:t xml:space="preserve">Munita  </w:t>
            </w:r>
          </w:p>
          <w:p w14:paraId="7FE1D08D" w14:textId="3FCE0053" w:rsidR="00534D9A" w:rsidRDefault="003243B2">
            <w:pPr>
              <w:pStyle w:val="P68B1DB1-TableParagraph40"/>
              <w:spacing w:before="108"/>
              <w:ind w:left="85"/>
              <w:jc w:val="both"/>
            </w:pPr>
            <w:r>
              <w:t>Il-munita tad-depożitu f’konformità mal-kodiċi ISO 4217 bi 3 ittri tiegħu. Għal depożiti rrapportati fuq livell aggregat, uża l-valur “XXX”.</w:t>
            </w:r>
          </w:p>
        </w:tc>
      </w:tr>
      <w:tr w:rsidR="00534D9A" w14:paraId="7FE1D092" w14:textId="77777777">
        <w:tc>
          <w:tcPr>
            <w:tcW w:w="1188" w:type="dxa"/>
            <w:tcBorders>
              <w:top w:val="single" w:sz="8" w:space="0" w:color="1A171C"/>
              <w:left w:val="nil"/>
              <w:bottom w:val="single" w:sz="8" w:space="0" w:color="1A171C"/>
              <w:right w:val="single" w:sz="8" w:space="0" w:color="1A171C"/>
            </w:tcBorders>
          </w:tcPr>
          <w:p w14:paraId="7FE1D08F" w14:textId="77777777" w:rsidR="00534D9A" w:rsidRDefault="003243B2">
            <w:pPr>
              <w:pStyle w:val="P68B1DB1-Normal31"/>
            </w:pPr>
            <w:r>
              <w:t>0070</w:t>
            </w:r>
          </w:p>
        </w:tc>
        <w:tc>
          <w:tcPr>
            <w:tcW w:w="7838" w:type="dxa"/>
            <w:gridSpan w:val="2"/>
            <w:tcBorders>
              <w:top w:val="single" w:sz="8" w:space="0" w:color="1A171C"/>
              <w:left w:val="single" w:sz="8" w:space="0" w:color="1A171C"/>
              <w:bottom w:val="single" w:sz="8" w:space="0" w:color="1A171C"/>
              <w:right w:val="nil"/>
            </w:tcBorders>
          </w:tcPr>
          <w:p w14:paraId="7FE1D090" w14:textId="5CEF44E5" w:rsidR="00534D9A" w:rsidRDefault="003243B2">
            <w:pPr>
              <w:pStyle w:val="P68B1DB1-TableParagraph73"/>
              <w:spacing w:before="108"/>
              <w:ind w:left="85"/>
              <w:jc w:val="both"/>
              <w:rPr>
                <w:bCs/>
              </w:rPr>
            </w:pPr>
            <w:r>
              <w:t xml:space="preserve">Ammont ta’ Kapital Pendenti  </w:t>
            </w:r>
          </w:p>
          <w:p w14:paraId="7FE1D091" w14:textId="6232EFBD" w:rsidR="00534D9A" w:rsidRDefault="003243B2">
            <w:pPr>
              <w:pStyle w:val="P68B1DB1-TableParagraph40"/>
              <w:spacing w:before="108"/>
              <w:ind w:left="85"/>
              <w:jc w:val="both"/>
            </w:pPr>
            <w:r>
              <w:t>L-ammont tal-kapital pendenti tad-depożitu.</w:t>
            </w:r>
          </w:p>
        </w:tc>
      </w:tr>
      <w:tr w:rsidR="00534D9A" w14:paraId="7FE1D096" w14:textId="77777777">
        <w:tc>
          <w:tcPr>
            <w:tcW w:w="1188" w:type="dxa"/>
            <w:tcBorders>
              <w:top w:val="single" w:sz="8" w:space="0" w:color="1A171C"/>
              <w:left w:val="nil"/>
              <w:bottom w:val="single" w:sz="8" w:space="0" w:color="1A171C"/>
              <w:right w:val="single" w:sz="8" w:space="0" w:color="1A171C"/>
            </w:tcBorders>
          </w:tcPr>
          <w:p w14:paraId="7FE1D093" w14:textId="77777777" w:rsidR="00534D9A" w:rsidRDefault="003243B2">
            <w:pPr>
              <w:pStyle w:val="P68B1DB1-Normal31"/>
            </w:pPr>
            <w:r>
              <w:t>0080</w:t>
            </w:r>
          </w:p>
        </w:tc>
        <w:tc>
          <w:tcPr>
            <w:tcW w:w="7838" w:type="dxa"/>
            <w:gridSpan w:val="2"/>
            <w:tcBorders>
              <w:top w:val="single" w:sz="8" w:space="0" w:color="1A171C"/>
              <w:left w:val="single" w:sz="8" w:space="0" w:color="1A171C"/>
              <w:bottom w:val="single" w:sz="8" w:space="0" w:color="1A171C"/>
              <w:right w:val="nil"/>
            </w:tcBorders>
          </w:tcPr>
          <w:p w14:paraId="7FE1D094" w14:textId="57240ABD" w:rsidR="00534D9A" w:rsidRDefault="003243B2">
            <w:pPr>
              <w:pStyle w:val="P68B1DB1-TableParagraph73"/>
              <w:spacing w:before="108"/>
              <w:ind w:left="85"/>
              <w:jc w:val="both"/>
              <w:rPr>
                <w:bCs/>
              </w:rPr>
            </w:pPr>
            <w:r>
              <w:t xml:space="preserve">L-Imgħax Dovut </w:t>
            </w:r>
          </w:p>
          <w:p w14:paraId="7FE1D095" w14:textId="1CBCCFC7" w:rsidR="00534D9A" w:rsidRDefault="003243B2">
            <w:pPr>
              <w:pStyle w:val="P68B1DB1-TableParagraph40"/>
              <w:spacing w:before="108"/>
              <w:ind w:left="85"/>
              <w:jc w:val="both"/>
            </w:pPr>
            <w:r>
              <w:t>L-imgħax dovut dovut fuq id-depożitu.</w:t>
            </w:r>
          </w:p>
        </w:tc>
      </w:tr>
      <w:tr w:rsidR="00534D9A" w14:paraId="7FE1D09A" w14:textId="77777777">
        <w:tc>
          <w:tcPr>
            <w:tcW w:w="1188" w:type="dxa"/>
            <w:tcBorders>
              <w:top w:val="single" w:sz="8" w:space="0" w:color="1A171C"/>
              <w:left w:val="nil"/>
              <w:bottom w:val="single" w:sz="8" w:space="0" w:color="1A171C"/>
              <w:right w:val="single" w:sz="8" w:space="0" w:color="1A171C"/>
            </w:tcBorders>
          </w:tcPr>
          <w:p w14:paraId="7FE1D097" w14:textId="77777777" w:rsidR="00534D9A" w:rsidRDefault="003243B2">
            <w:pPr>
              <w:pStyle w:val="P68B1DB1-Normal31"/>
            </w:pPr>
            <w:r>
              <w:t>0090</w:t>
            </w:r>
          </w:p>
        </w:tc>
        <w:tc>
          <w:tcPr>
            <w:tcW w:w="7838" w:type="dxa"/>
            <w:gridSpan w:val="2"/>
            <w:tcBorders>
              <w:top w:val="single" w:sz="8" w:space="0" w:color="1A171C"/>
              <w:left w:val="single" w:sz="8" w:space="0" w:color="1A171C"/>
              <w:bottom w:val="single" w:sz="8" w:space="0" w:color="1A171C"/>
              <w:right w:val="nil"/>
            </w:tcBorders>
          </w:tcPr>
          <w:p w14:paraId="7FE1D098" w14:textId="52C2978C" w:rsidR="00534D9A" w:rsidRDefault="003243B2">
            <w:pPr>
              <w:pStyle w:val="P68B1DB1-TableParagraph73"/>
              <w:spacing w:before="108"/>
              <w:ind w:left="85"/>
              <w:jc w:val="both"/>
              <w:rPr>
                <w:bCs/>
              </w:rPr>
            </w:pPr>
            <w:r>
              <w:t xml:space="preserve">Rata tal-imgħax attwali (%) </w:t>
            </w:r>
          </w:p>
          <w:p w14:paraId="7FE1D099" w14:textId="0E3CB279" w:rsidR="00534D9A" w:rsidRDefault="003243B2">
            <w:pPr>
              <w:pStyle w:val="P68B1DB1-TableParagraph40"/>
              <w:spacing w:before="108"/>
              <w:ind w:left="85"/>
              <w:jc w:val="both"/>
            </w:pPr>
            <w:r>
              <w:t xml:space="preserve">Il-livell attwali tar-rata tal-imgħax li hija applikabbli għad-depożitu. </w:t>
            </w:r>
          </w:p>
        </w:tc>
      </w:tr>
      <w:tr w:rsidR="00534D9A" w14:paraId="7FE1D0A3" w14:textId="77777777">
        <w:tc>
          <w:tcPr>
            <w:tcW w:w="1188" w:type="dxa"/>
            <w:tcBorders>
              <w:top w:val="single" w:sz="8" w:space="0" w:color="1A171C"/>
              <w:left w:val="nil"/>
              <w:bottom w:val="single" w:sz="8" w:space="0" w:color="1A171C"/>
              <w:right w:val="single" w:sz="8" w:space="0" w:color="1A171C"/>
            </w:tcBorders>
          </w:tcPr>
          <w:p w14:paraId="7FE1D09F" w14:textId="77777777" w:rsidR="00534D9A" w:rsidRDefault="003243B2">
            <w:pPr>
              <w:pStyle w:val="P68B1DB1-TableParagraph40"/>
              <w:spacing w:before="108"/>
              <w:ind w:left="85"/>
              <w:jc w:val="both"/>
            </w:pPr>
            <w:r>
              <w:t>0110</w:t>
            </w:r>
          </w:p>
        </w:tc>
        <w:tc>
          <w:tcPr>
            <w:tcW w:w="7838" w:type="dxa"/>
            <w:gridSpan w:val="2"/>
            <w:tcBorders>
              <w:top w:val="single" w:sz="8" w:space="0" w:color="1A171C"/>
              <w:left w:val="single" w:sz="8" w:space="0" w:color="1A171C"/>
              <w:bottom w:val="single" w:sz="8" w:space="0" w:color="1A171C"/>
              <w:right w:val="nil"/>
            </w:tcBorders>
          </w:tcPr>
          <w:p w14:paraId="7FE1D0A0" w14:textId="6354C873" w:rsidR="00534D9A" w:rsidRDefault="003243B2">
            <w:pPr>
              <w:pStyle w:val="P68B1DB1-TableParagraph73"/>
              <w:spacing w:before="108"/>
              <w:ind w:left="85"/>
              <w:jc w:val="both"/>
              <w:rPr>
                <w:bCs/>
              </w:rPr>
            </w:pPr>
            <w:r>
              <w:t xml:space="preserve">Ammont ta’ rahan, rahan jew kollateral </w:t>
            </w:r>
          </w:p>
          <w:p w14:paraId="7FE1D0A2" w14:textId="5FFC3F02" w:rsidR="00534D9A" w:rsidRDefault="003243B2">
            <w:pPr>
              <w:pStyle w:val="P68B1DB1-TableParagraph40"/>
              <w:spacing w:before="108"/>
              <w:ind w:left="85"/>
              <w:jc w:val="both"/>
            </w:pPr>
            <w:r>
              <w:t xml:space="preserve">Meta obbligazzjoni tkun garantita b’rahan, rahan jew kollateral, għandu jiġi pprovdut il-valur </w:t>
            </w:r>
            <w:r>
              <w:lastRenderedPageBreak/>
              <w:t>tas-suq gross ta’ dan tal-aħħar. Inkella, għal obbligazzjonijiet mhux garantiti, din il-kategorija għandha tiġi rrapportata bħala żero. Dan l-ammont jiddetermina l-parti kollateralizzata u eventwalment mhux kollateralizzata ta’ kwalunkwe depożitu garantit. Għal puli kollaterali li jiggarantixxu entrati multipli fir-ringiela, iddetermina l-proporzjon ta’ kopertura globali u applika pro rata għall-entrati kollha tar-ringieli koperti minn dan il-pool.</w:t>
            </w:r>
          </w:p>
        </w:tc>
      </w:tr>
      <w:tr w:rsidR="00534D9A" w14:paraId="7FE1D0A7" w14:textId="77777777">
        <w:tc>
          <w:tcPr>
            <w:tcW w:w="1188" w:type="dxa"/>
            <w:tcBorders>
              <w:top w:val="single" w:sz="8" w:space="0" w:color="1A171C"/>
              <w:left w:val="nil"/>
              <w:bottom w:val="single" w:sz="8" w:space="0" w:color="1A171C"/>
              <w:right w:val="single" w:sz="8" w:space="0" w:color="1A171C"/>
            </w:tcBorders>
          </w:tcPr>
          <w:p w14:paraId="7FE1D0A4" w14:textId="77777777" w:rsidR="00534D9A" w:rsidRDefault="003243B2">
            <w:pPr>
              <w:pStyle w:val="P68B1DB1-Normal31"/>
            </w:pPr>
            <w:r>
              <w:lastRenderedPageBreak/>
              <w:t>0115</w:t>
            </w:r>
          </w:p>
        </w:tc>
        <w:tc>
          <w:tcPr>
            <w:tcW w:w="7838" w:type="dxa"/>
            <w:gridSpan w:val="2"/>
            <w:tcBorders>
              <w:top w:val="single" w:sz="8" w:space="0" w:color="1A171C"/>
              <w:left w:val="single" w:sz="8" w:space="0" w:color="1A171C"/>
              <w:bottom w:val="single" w:sz="8" w:space="0" w:color="1A171C"/>
              <w:right w:val="nil"/>
            </w:tcBorders>
          </w:tcPr>
          <w:p w14:paraId="7FE1D0A5" w14:textId="6B0A15B4" w:rsidR="00534D9A" w:rsidRDefault="003243B2">
            <w:pPr>
              <w:pStyle w:val="P68B1DB1-TableParagraph73"/>
              <w:spacing w:before="108"/>
              <w:ind w:left="85"/>
              <w:jc w:val="both"/>
              <w:rPr>
                <w:bCs/>
              </w:rPr>
            </w:pPr>
            <w:r>
              <w:t xml:space="preserve">Ammont li jissodisfa l-kundizzjonijiet għall-eliġibbiltà tal-MREL </w:t>
            </w:r>
          </w:p>
          <w:p w14:paraId="7FE1D0A6" w14:textId="65380CFA" w:rsidR="00534D9A" w:rsidRDefault="003243B2">
            <w:pPr>
              <w:pStyle w:val="P68B1DB1-TableParagraph40"/>
              <w:spacing w:before="108"/>
              <w:ind w:left="85"/>
              <w:jc w:val="both"/>
            </w:pPr>
            <w:r>
              <w:t>L-ammont ta’ fondi proprji u obbligazzjonijiet eliġibbli li jgħoddu għar-rekwiżit stabbilit f’konformità mal-Artikolu 45(1) tad-Direttiva 2014/59/UE.</w:t>
            </w:r>
          </w:p>
        </w:tc>
      </w:tr>
      <w:tr w:rsidR="00534D9A" w14:paraId="7FE1D0AB" w14:textId="77777777">
        <w:tc>
          <w:tcPr>
            <w:tcW w:w="1188" w:type="dxa"/>
            <w:tcBorders>
              <w:top w:val="single" w:sz="8" w:space="0" w:color="1A171C"/>
              <w:left w:val="nil"/>
              <w:bottom w:val="single" w:sz="8" w:space="0" w:color="1A171C"/>
              <w:right w:val="single" w:sz="8" w:space="0" w:color="1A171C"/>
            </w:tcBorders>
          </w:tcPr>
          <w:p w14:paraId="7FE1D0A8" w14:textId="77777777" w:rsidR="00534D9A" w:rsidRDefault="003243B2">
            <w:pPr>
              <w:pStyle w:val="P68B1DB1-Normal31"/>
            </w:pPr>
            <w:r>
              <w:t>0120</w:t>
            </w:r>
          </w:p>
        </w:tc>
        <w:tc>
          <w:tcPr>
            <w:tcW w:w="7838" w:type="dxa"/>
            <w:gridSpan w:val="2"/>
            <w:tcBorders>
              <w:top w:val="single" w:sz="8" w:space="0" w:color="1A171C"/>
              <w:left w:val="single" w:sz="8" w:space="0" w:color="1A171C"/>
              <w:bottom w:val="single" w:sz="8" w:space="0" w:color="1A171C"/>
              <w:right w:val="nil"/>
            </w:tcBorders>
          </w:tcPr>
          <w:p w14:paraId="7FE1D0A9" w14:textId="3256B0A2" w:rsidR="00534D9A" w:rsidRDefault="003243B2">
            <w:pPr>
              <w:pStyle w:val="P68B1DB1-TableParagraph73"/>
              <w:spacing w:before="108"/>
              <w:ind w:left="85"/>
              <w:jc w:val="both"/>
              <w:rPr>
                <w:bCs/>
              </w:rPr>
            </w:pPr>
            <w:r>
              <w:t xml:space="preserve">Data tal-Ħruġ għad-Depożiti tat-Terminu </w:t>
            </w:r>
          </w:p>
          <w:p w14:paraId="7FE1D0AA" w14:textId="77777777" w:rsidR="00534D9A" w:rsidRDefault="003243B2">
            <w:pPr>
              <w:pStyle w:val="P68B1DB1-TableParagraph40"/>
              <w:spacing w:before="108"/>
              <w:ind w:left="85"/>
              <w:jc w:val="both"/>
            </w:pPr>
            <w:r>
              <w:t>Id-data tal-ħruġ oriġinali tad-depożitu b’terminu.</w:t>
            </w:r>
          </w:p>
        </w:tc>
      </w:tr>
      <w:tr w:rsidR="00534D9A" w14:paraId="7FE1D0AF" w14:textId="77777777">
        <w:tc>
          <w:tcPr>
            <w:tcW w:w="1188" w:type="dxa"/>
            <w:vMerge w:val="restart"/>
            <w:tcBorders>
              <w:top w:val="single" w:sz="8" w:space="0" w:color="1A171C"/>
              <w:left w:val="nil"/>
              <w:right w:val="single" w:sz="8" w:space="0" w:color="1A171C"/>
            </w:tcBorders>
          </w:tcPr>
          <w:p w14:paraId="7FE1D0AC" w14:textId="77777777" w:rsidR="00534D9A" w:rsidRDefault="003243B2">
            <w:pPr>
              <w:pStyle w:val="P68B1DB1-Normal31"/>
            </w:pPr>
            <w:r>
              <w:t>0130</w:t>
            </w:r>
          </w:p>
        </w:tc>
        <w:tc>
          <w:tcPr>
            <w:tcW w:w="7838" w:type="dxa"/>
            <w:gridSpan w:val="2"/>
            <w:tcBorders>
              <w:top w:val="single" w:sz="8" w:space="0" w:color="1A171C"/>
              <w:left w:val="single" w:sz="8" w:space="0" w:color="1A171C"/>
              <w:right w:val="nil"/>
            </w:tcBorders>
          </w:tcPr>
          <w:p w14:paraId="7FE1D0AD" w14:textId="42C2FA36" w:rsidR="00534D9A" w:rsidRDefault="003243B2">
            <w:pPr>
              <w:pStyle w:val="P68B1DB1-TableParagraph73"/>
              <w:spacing w:before="108"/>
              <w:ind w:left="85"/>
              <w:jc w:val="both"/>
              <w:rPr>
                <w:bCs/>
              </w:rPr>
            </w:pPr>
            <w:r>
              <w:t xml:space="preserve">L-ewwel data ta’ tifdija  </w:t>
            </w:r>
          </w:p>
          <w:p w14:paraId="7FE1D0AE" w14:textId="5DABFCEF" w:rsidR="00534D9A" w:rsidRDefault="003243B2">
            <w:pPr>
              <w:pStyle w:val="P68B1DB1-TableParagraph40"/>
              <w:spacing w:before="108"/>
              <w:ind w:left="85"/>
              <w:jc w:val="both"/>
            </w:pPr>
            <w:r>
              <w:t>Jekk teżisti opzjoni għad-detenturi tal-kreditur li jitolbu rimborż bikri tal-obbligazzjoni, jew il-kundizzjonijiet għal rimborż bikri huma previsti kuntrattwalment, ipprovdi l-aktar data bikrija ta’ okkorrenza, inkella d-data tal-maturità legali finali tad-depożitu. Jekk ir-rimborż bikri jkun relatat biss ma’ porzjon tal-obbligazzjoni (eż. rimborż bikri ta’ 50 % tal-ammont nominali), aqsam l-obbligazzjoni biex tqis din il-klawżola ta’ tifdija bikrija parzjali.</w:t>
            </w:r>
          </w:p>
        </w:tc>
      </w:tr>
      <w:tr w:rsidR="00534D9A" w14:paraId="7FE1D0B2" w14:textId="77777777">
        <w:tc>
          <w:tcPr>
            <w:tcW w:w="1188" w:type="dxa"/>
            <w:vMerge/>
            <w:tcBorders>
              <w:bottom w:val="single" w:sz="8" w:space="0" w:color="1A171C"/>
              <w:right w:val="single" w:sz="8" w:space="0" w:color="1A171C"/>
            </w:tcBorders>
            <w:vAlign w:val="center"/>
          </w:tcPr>
          <w:p w14:paraId="7FE1D0B0" w14:textId="77777777" w:rsidR="00534D9A" w:rsidRDefault="00534D9A">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1" w14:textId="2A134B32" w:rsidR="00534D9A" w:rsidRDefault="003243B2">
            <w:pPr>
              <w:pStyle w:val="P68B1DB1-TableParagraph40"/>
              <w:spacing w:before="108"/>
              <w:ind w:left="85"/>
              <w:jc w:val="both"/>
            </w:pPr>
            <w:r>
              <w:t xml:space="preserve">Għad-depożiti rrapportati fuq livell aggregat, l-aktar data bikrija ta’ tifdija għandha tiġi rrapportata bħala “2199–12–31”. </w:t>
            </w:r>
          </w:p>
        </w:tc>
      </w:tr>
      <w:tr w:rsidR="00534D9A" w14:paraId="7FE1D0B6" w14:textId="77777777">
        <w:tc>
          <w:tcPr>
            <w:tcW w:w="1188" w:type="dxa"/>
            <w:vMerge w:val="restart"/>
            <w:tcBorders>
              <w:top w:val="single" w:sz="8" w:space="0" w:color="1A171C"/>
              <w:left w:val="nil"/>
              <w:right w:val="single" w:sz="8" w:space="0" w:color="1A171C"/>
            </w:tcBorders>
          </w:tcPr>
          <w:p w14:paraId="7FE1D0B3" w14:textId="413885FF" w:rsidR="00534D9A" w:rsidRDefault="00534D9A">
            <w:pPr>
              <w:rPr>
                <w:rFonts w:ascii="Times New Roman" w:hAnsi="Times New Roman" w:cs="Times New Roman"/>
              </w:rPr>
            </w:pPr>
          </w:p>
        </w:tc>
        <w:tc>
          <w:tcPr>
            <w:tcW w:w="7838" w:type="dxa"/>
            <w:gridSpan w:val="2"/>
            <w:tcBorders>
              <w:top w:val="single" w:sz="8" w:space="0" w:color="1A171C"/>
              <w:left w:val="single" w:sz="8" w:space="0" w:color="1A171C"/>
              <w:right w:val="nil"/>
            </w:tcBorders>
          </w:tcPr>
          <w:p w14:paraId="7FE1D0B5" w14:textId="7EA5292A" w:rsidR="00534D9A" w:rsidRDefault="00534D9A">
            <w:pPr>
              <w:pStyle w:val="TableParagraph"/>
              <w:spacing w:before="108"/>
              <w:ind w:left="85"/>
              <w:jc w:val="both"/>
              <w:rPr>
                <w:rFonts w:ascii="Times New Roman" w:eastAsia="Times New Roman" w:hAnsi="Times New Roman" w:cs="Times New Roman"/>
                <w:sz w:val="20"/>
                <w:szCs w:val="20"/>
              </w:rPr>
            </w:pPr>
          </w:p>
        </w:tc>
      </w:tr>
      <w:tr w:rsidR="00534D9A" w14:paraId="7FE1D0B9" w14:textId="77777777">
        <w:tc>
          <w:tcPr>
            <w:tcW w:w="1188" w:type="dxa"/>
            <w:vMerge/>
            <w:tcBorders>
              <w:bottom w:val="single" w:sz="8" w:space="0" w:color="1A171C"/>
              <w:right w:val="single" w:sz="8" w:space="0" w:color="1A171C"/>
            </w:tcBorders>
            <w:vAlign w:val="center"/>
          </w:tcPr>
          <w:p w14:paraId="7FE1D0B7" w14:textId="77777777" w:rsidR="00534D9A" w:rsidRDefault="00534D9A">
            <w:pPr>
              <w:rPr>
                <w:rFonts w:ascii="Times New Roman" w:hAnsi="Times New Roman" w:cs="Times New Roman"/>
              </w:rPr>
            </w:pPr>
          </w:p>
        </w:tc>
        <w:tc>
          <w:tcPr>
            <w:tcW w:w="7838" w:type="dxa"/>
            <w:gridSpan w:val="2"/>
            <w:tcBorders>
              <w:left w:val="single" w:sz="8" w:space="0" w:color="1A171C"/>
              <w:bottom w:val="single" w:sz="8" w:space="0" w:color="1A171C"/>
              <w:right w:val="nil"/>
            </w:tcBorders>
          </w:tcPr>
          <w:p w14:paraId="7FE1D0B8" w14:textId="21293449" w:rsidR="00534D9A" w:rsidRDefault="00534D9A">
            <w:pPr>
              <w:rPr>
                <w:rFonts w:ascii="Times New Roman" w:hAnsi="Times New Roman" w:cs="Times New Roman"/>
              </w:rPr>
            </w:pPr>
          </w:p>
        </w:tc>
      </w:tr>
    </w:tbl>
    <w:p w14:paraId="7FE1D0BA" w14:textId="77777777" w:rsidR="00534D9A" w:rsidRDefault="00534D9A">
      <w:pPr>
        <w:pStyle w:val="body"/>
        <w:rPr>
          <w:rFonts w:ascii="Times New Roman" w:hAnsi="Times New Roman" w:cs="Times New Roman"/>
          <w:color w:val="000000" w:themeColor="text1"/>
          <w:sz w:val="20"/>
          <w:szCs w:val="20"/>
        </w:rPr>
      </w:pPr>
    </w:p>
    <w:p w14:paraId="7FE1D0BB" w14:textId="77777777" w:rsidR="00534D9A" w:rsidRDefault="00534D9A">
      <w:pPr>
        <w:rPr>
          <w:rFonts w:ascii="Times New Roman" w:hAnsi="Times New Roman" w:cs="Times New Roman"/>
        </w:rPr>
      </w:pPr>
    </w:p>
    <w:p w14:paraId="7FE1D0BC" w14:textId="77777777" w:rsidR="00534D9A" w:rsidRDefault="00534D9A">
      <w:pPr>
        <w:pStyle w:val="Instructionsberschrift2"/>
        <w:ind w:left="357"/>
        <w:rPr>
          <w:rFonts w:ascii="Times New Roman" w:eastAsia="Calibri" w:hAnsi="Times New Roman" w:cs="Times New Roman"/>
          <w:szCs w:val="20"/>
        </w:rPr>
      </w:pPr>
    </w:p>
    <w:p w14:paraId="7FE1D0BD" w14:textId="2FE97D37" w:rsidR="00534D9A" w:rsidRDefault="003243B2">
      <w:pPr>
        <w:pStyle w:val="Instructionsberschrift2"/>
        <w:numPr>
          <w:ilvl w:val="1"/>
          <w:numId w:val="49"/>
        </w:numPr>
        <w:spacing w:before="0"/>
        <w:ind w:left="357" w:hanging="357"/>
        <w:rPr>
          <w:rFonts w:ascii="Times New Roman" w:hAnsi="Times New Roman" w:cs="Times New Roman"/>
          <w:color w:val="000000" w:themeColor="text1"/>
          <w:szCs w:val="20"/>
        </w:rPr>
      </w:pPr>
      <w:r>
        <w:rPr>
          <w:rFonts w:ascii="Times New Roman" w:eastAsiaTheme="minorEastAsia" w:hAnsi="Times New Roman" w:cs="Times New Roman"/>
        </w:rPr>
        <w:t xml:space="preserve"> </w:t>
      </w:r>
      <w:bookmarkStart w:id="246" w:name="_Toc208245028"/>
      <w:r>
        <w:rPr>
          <w:rFonts w:ascii="Times New Roman" w:eastAsiaTheme="minorEastAsia" w:hAnsi="Times New Roman" w:cs="Times New Roman"/>
        </w:rPr>
        <w:t xml:space="preserve">Z 14.00 — </w:t>
      </w:r>
      <w:r>
        <w:rPr>
          <w:rFonts w:ascii="Times New Roman" w:hAnsi="Times New Roman" w:cs="Times New Roman"/>
          <w:color w:val="000000" w:themeColor="text1"/>
        </w:rPr>
        <w:t xml:space="preserve">Obbligazzjonijiet Finanzjarji Oħrajn (mhux inklużi f’tabs oħrajn, eskluż intragrupp) </w:t>
      </w:r>
      <w:r>
        <w:rPr>
          <w:rFonts w:ascii="Times New Roman" w:eastAsia="Calibri" w:hAnsi="Times New Roman" w:cs="Times New Roman"/>
          <w:szCs w:val="20"/>
        </w:rPr>
        <w:t>(LIAB-G-4)</w:t>
      </w:r>
      <w:bookmarkEnd w:id="246"/>
    </w:p>
    <w:p w14:paraId="7FE1D0BE" w14:textId="56404057" w:rsidR="00534D9A" w:rsidRDefault="00534D9A">
      <w:pPr>
        <w:pStyle w:val="Instructionsberschrift2"/>
        <w:ind w:left="357"/>
        <w:rPr>
          <w:rFonts w:ascii="Times New Roman" w:eastAsiaTheme="minorEastAsia" w:hAnsi="Times New Roman" w:cs="Times New Roman"/>
          <w:color w:val="000000" w:themeColor="text1"/>
        </w:rPr>
      </w:pPr>
    </w:p>
    <w:p w14:paraId="7FE1D0BF" w14:textId="77777777" w:rsidR="00534D9A" w:rsidRDefault="003243B2">
      <w:pPr>
        <w:pStyle w:val="P68B1DB1-Numberedtitlelevel372"/>
      </w:pPr>
      <w:r>
        <w:t>Kummenti ġenerali</w:t>
      </w:r>
    </w:p>
    <w:p w14:paraId="7FE1D0C0" w14:textId="28B97243" w:rsidR="00534D9A" w:rsidRDefault="003243B2">
      <w:pPr>
        <w:pStyle w:val="P68B1DB1-InstructionsText286"/>
        <w:numPr>
          <w:ilvl w:val="2"/>
          <w:numId w:val="209"/>
        </w:numPr>
        <w:spacing w:before="0"/>
        <w:ind w:left="1276"/>
      </w:pPr>
      <w:r>
        <w:t>Din it-tabella tkopri l-obbligazzjonijiet kollha, li ma huma rrapportati fl-ebda wieħed mir-rekwiżiti ta’ informazzjoni dettaljata l-oħra (jiġifieri Z11.00, Z12.00, Z13.00, Z15.00, Z16.00 u Z17.00), bħal self, obbligazzjonijiet operazzjonali, obbligazzjonijiet lejn kmamar tal-ikklerjar, eċċ.</w:t>
      </w:r>
    </w:p>
    <w:p w14:paraId="7FE1D0C2" w14:textId="3CB02A11" w:rsidR="00534D9A" w:rsidRDefault="003243B2">
      <w:pPr>
        <w:pStyle w:val="P68B1DB1-InstructionsText286"/>
        <w:numPr>
          <w:ilvl w:val="2"/>
          <w:numId w:val="209"/>
        </w:numPr>
        <w:spacing w:before="0"/>
        <w:ind w:left="1276"/>
      </w:pPr>
      <w:r>
        <w:t>Iċ-ċelloli li mhumiex applikabbli għal obbligazzjoni partikolari (eż. imgħax akkumulat, rata tal-imgħax kurrenti, data tal-ħruġ, eċċ.) jistgħu jitħallew vojta.</w:t>
      </w:r>
    </w:p>
    <w:p w14:paraId="7FE1D0C3" w14:textId="7C8B3D6D" w:rsidR="00534D9A" w:rsidRDefault="003243B2">
      <w:pPr>
        <w:pStyle w:val="P68B1DB1-InstructionsText286"/>
        <w:numPr>
          <w:ilvl w:val="2"/>
          <w:numId w:val="209"/>
        </w:numPr>
        <w:spacing w:before="0"/>
        <w:ind w:left="1276"/>
      </w:pPr>
      <w:r>
        <w:t>Għall-finijiet ta’ din it-tabella, l-obbligazzjonijiet għandhom jiġu rrapportati fir-ringieli fil-livell ta’ granularità definit mill-oqsma mitluba (fil-prinċipju kull tranżazzjoni rrapportata bħala entrata individwali tar-ringiela). L-obbligazzjonijiet tal-impjegati tal-grupp skont it-tip u l-klassifikazzjoni tal-insolvenza.</w:t>
      </w:r>
    </w:p>
    <w:p w14:paraId="7FE1D0C5" w14:textId="77777777" w:rsidR="00534D9A" w:rsidRDefault="003243B2">
      <w:pPr>
        <w:pStyle w:val="P68B1DB1-InstructionsText287"/>
        <w:numPr>
          <w:ilvl w:val="0"/>
          <w:numId w:val="0"/>
        </w:numPr>
        <w:spacing w:before="0"/>
      </w:pPr>
      <w:r>
        <w:t>Struzzjonijiet li jikkonċernaw pożizzjonijiet speċifiċi</w:t>
      </w:r>
    </w:p>
    <w:tbl>
      <w:tblPr>
        <w:tblW w:w="9015" w:type="dxa"/>
        <w:tblInd w:w="135" w:type="dxa"/>
        <w:tblLayout w:type="fixed"/>
        <w:tblLook w:val="04A0" w:firstRow="1" w:lastRow="0" w:firstColumn="1" w:lastColumn="0" w:noHBand="0" w:noVBand="1"/>
      </w:tblPr>
      <w:tblGrid>
        <w:gridCol w:w="1183"/>
        <w:gridCol w:w="7832"/>
      </w:tblGrid>
      <w:tr w:rsidR="00534D9A" w14:paraId="7FE1D0C8"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0C6" w14:textId="77777777" w:rsidR="00534D9A" w:rsidRDefault="003243B2">
            <w:pPr>
              <w:pStyle w:val="P68B1DB1-TableParagraph17"/>
              <w:spacing w:before="108"/>
              <w:ind w:left="85"/>
            </w:pPr>
            <w:r>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0C7" w14:textId="77777777" w:rsidR="00534D9A" w:rsidRDefault="003243B2">
            <w:pPr>
              <w:pStyle w:val="P68B1DB1-TableParagraph17"/>
              <w:spacing w:before="108"/>
              <w:ind w:left="85"/>
            </w:pPr>
            <w:r>
              <w:t xml:space="preserve">Struzzjonijiet </w:t>
            </w:r>
          </w:p>
        </w:tc>
      </w:tr>
      <w:tr w:rsidR="00534D9A" w14:paraId="7FE1D0CC" w14:textId="77777777">
        <w:tc>
          <w:tcPr>
            <w:tcW w:w="1183" w:type="dxa"/>
            <w:tcBorders>
              <w:top w:val="single" w:sz="8" w:space="0" w:color="1A171C"/>
              <w:left w:val="nil"/>
              <w:bottom w:val="single" w:sz="8" w:space="0" w:color="1A171C"/>
              <w:right w:val="single" w:sz="8" w:space="0" w:color="1A171C"/>
            </w:tcBorders>
            <w:vAlign w:val="center"/>
          </w:tcPr>
          <w:p w14:paraId="7FE1D0C9" w14:textId="77777777" w:rsidR="00534D9A" w:rsidRDefault="003243B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0CA" w14:textId="281BB567" w:rsidR="00534D9A" w:rsidRDefault="003243B2">
            <w:pPr>
              <w:pStyle w:val="P68B1DB1-TableParagraph73"/>
              <w:spacing w:before="108"/>
              <w:ind w:left="85"/>
              <w:jc w:val="both"/>
              <w:rPr>
                <w:bCs/>
              </w:rPr>
            </w:pPr>
            <w:r>
              <w:t xml:space="preserve">NRU </w:t>
            </w:r>
          </w:p>
          <w:p w14:paraId="7FE1D0CB" w14:textId="1F8D9197" w:rsidR="00534D9A" w:rsidRDefault="003243B2">
            <w:pPr>
              <w:pStyle w:val="P68B1DB1-TableParagraph40"/>
              <w:spacing w:before="108"/>
              <w:ind w:left="85"/>
              <w:jc w:val="both"/>
            </w:pPr>
            <w:r>
              <w:t>Numru uniku/ċavetta primarja biex jiġu identifikati l-oġġetti tar-ringiela.</w:t>
            </w:r>
          </w:p>
        </w:tc>
      </w:tr>
      <w:tr w:rsidR="00534D9A" w14:paraId="7FE1D0D0" w14:textId="77777777">
        <w:tc>
          <w:tcPr>
            <w:tcW w:w="1183" w:type="dxa"/>
            <w:tcBorders>
              <w:top w:val="single" w:sz="8" w:space="0" w:color="1A171C"/>
              <w:left w:val="nil"/>
              <w:bottom w:val="single" w:sz="8" w:space="0" w:color="1A171C"/>
              <w:right w:val="single" w:sz="8" w:space="0" w:color="1A171C"/>
            </w:tcBorders>
            <w:vAlign w:val="center"/>
          </w:tcPr>
          <w:p w14:paraId="7FE1D0CD" w14:textId="77777777" w:rsidR="00534D9A" w:rsidRDefault="003243B2">
            <w:pPr>
              <w:pStyle w:val="P68B1DB1-Normal31"/>
            </w:pPr>
            <w:r>
              <w:lastRenderedPageBreak/>
              <w:t>0020</w:t>
            </w:r>
          </w:p>
        </w:tc>
        <w:tc>
          <w:tcPr>
            <w:tcW w:w="7832" w:type="dxa"/>
            <w:tcBorders>
              <w:top w:val="single" w:sz="8" w:space="0" w:color="1A171C"/>
              <w:left w:val="single" w:sz="8" w:space="0" w:color="1A171C"/>
              <w:bottom w:val="single" w:sz="8" w:space="0" w:color="1A171C"/>
              <w:right w:val="nil"/>
            </w:tcBorders>
            <w:vAlign w:val="bottom"/>
          </w:tcPr>
          <w:p w14:paraId="7FE1D0CE" w14:textId="2F41A40D" w:rsidR="00534D9A" w:rsidRDefault="003243B2">
            <w:pPr>
              <w:pStyle w:val="P68B1DB1-TableParagraph73"/>
              <w:spacing w:before="108"/>
              <w:ind w:left="85"/>
              <w:jc w:val="both"/>
              <w:rPr>
                <w:bCs/>
              </w:rPr>
            </w:pPr>
            <w:r>
              <w:t xml:space="preserve">Ringiela </w:t>
            </w:r>
          </w:p>
          <w:p w14:paraId="7FE1D0CF" w14:textId="3C03C281" w:rsidR="00534D9A" w:rsidRDefault="003243B2">
            <w:pPr>
              <w:pStyle w:val="P68B1DB1-TableParagraph40"/>
              <w:spacing w:before="108"/>
              <w:ind w:left="85"/>
              <w:jc w:val="both"/>
            </w:pPr>
            <w:r>
              <w:t>Għal kull ringiela rrapportata, trid tiġi pprovduta rikonċiljazzjoni mal-kategoriji ta’ obbligazzjonijiet tal-istruttura tal-obbligazzjonijiet f’Z02.00 fil-livell ta’ maturità minn lista predefinita ta’ valuri.</w:t>
            </w:r>
          </w:p>
        </w:tc>
      </w:tr>
      <w:tr w:rsidR="00534D9A" w14:paraId="7FE1D0D4" w14:textId="77777777">
        <w:tc>
          <w:tcPr>
            <w:tcW w:w="1183" w:type="dxa"/>
            <w:tcBorders>
              <w:top w:val="single" w:sz="8" w:space="0" w:color="1A171C"/>
              <w:left w:val="nil"/>
              <w:bottom w:val="single" w:sz="8" w:space="0" w:color="1A171C"/>
              <w:right w:val="single" w:sz="8" w:space="0" w:color="1A171C"/>
            </w:tcBorders>
            <w:vAlign w:val="center"/>
          </w:tcPr>
          <w:p w14:paraId="7FE1D0D1" w14:textId="77777777" w:rsidR="00534D9A" w:rsidRDefault="003243B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0D2" w14:textId="7749B1EA" w:rsidR="00534D9A" w:rsidRDefault="003243B2">
            <w:pPr>
              <w:pStyle w:val="P68B1DB1-TableParagraph73"/>
              <w:spacing w:before="108"/>
              <w:ind w:left="85"/>
              <w:jc w:val="both"/>
              <w:rPr>
                <w:bCs/>
              </w:rPr>
            </w:pPr>
            <w:r>
              <w:t xml:space="preserve">Kolonna </w:t>
            </w:r>
          </w:p>
          <w:p w14:paraId="7FE1D0D3" w14:textId="0F37C958" w:rsidR="00534D9A" w:rsidRDefault="003243B2">
            <w:pPr>
              <w:pStyle w:val="P68B1DB1-TableParagraph40"/>
              <w:spacing w:before="108"/>
              <w:ind w:left="85"/>
              <w:jc w:val="both"/>
            </w:pPr>
            <w:r>
              <w:t>Għal kull ringiela rrapportata, trid tiġi pprovduta rikonċiljazzjoni mal-klassi tal-kontroparti f’Z02.00 li għaliha hija dovuta l-obbligazzjoni minn lista predefinita ta’ valuri.</w:t>
            </w:r>
          </w:p>
        </w:tc>
      </w:tr>
      <w:tr w:rsidR="00534D9A" w14:paraId="7FE1D0D8" w14:textId="77777777">
        <w:tc>
          <w:tcPr>
            <w:tcW w:w="1183" w:type="dxa"/>
            <w:tcBorders>
              <w:top w:val="single" w:sz="8" w:space="0" w:color="1A171C"/>
              <w:left w:val="nil"/>
              <w:bottom w:val="single" w:sz="8" w:space="0" w:color="1A171C"/>
              <w:right w:val="single" w:sz="8" w:space="0" w:color="1A171C"/>
            </w:tcBorders>
            <w:vAlign w:val="center"/>
          </w:tcPr>
          <w:p w14:paraId="7FE1D0D5" w14:textId="77777777" w:rsidR="00534D9A" w:rsidRDefault="003243B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0D6" w14:textId="64F8E89E" w:rsidR="00534D9A" w:rsidRDefault="003243B2">
            <w:pPr>
              <w:pStyle w:val="P68B1DB1-TableParagraph73"/>
              <w:spacing w:before="108"/>
              <w:ind w:left="85"/>
              <w:jc w:val="both"/>
              <w:rPr>
                <w:bCs/>
              </w:rPr>
            </w:pPr>
            <w:r>
              <w:t xml:space="preserve">Klassifikazzjoni  </w:t>
            </w:r>
          </w:p>
          <w:p w14:paraId="7FE1D0D7" w14:textId="3C00E6EA"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D0DC" w14:textId="77777777">
        <w:tc>
          <w:tcPr>
            <w:tcW w:w="1183" w:type="dxa"/>
            <w:tcBorders>
              <w:top w:val="single" w:sz="8" w:space="0" w:color="1A171C"/>
              <w:left w:val="nil"/>
              <w:bottom w:val="single" w:sz="8" w:space="0" w:color="1A171C"/>
              <w:right w:val="single" w:sz="8" w:space="0" w:color="1A171C"/>
            </w:tcBorders>
            <w:vAlign w:val="center"/>
          </w:tcPr>
          <w:p w14:paraId="7FE1D0D9" w14:textId="77777777" w:rsidR="00534D9A" w:rsidRDefault="003243B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0DA" w14:textId="77777777" w:rsidR="00534D9A" w:rsidRDefault="003243B2">
            <w:pPr>
              <w:pStyle w:val="P68B1DB1-TableParagraph73"/>
              <w:spacing w:before="108"/>
              <w:ind w:left="85"/>
              <w:jc w:val="both"/>
              <w:rPr>
                <w:bCs/>
              </w:rPr>
            </w:pPr>
            <w:r>
              <w:t xml:space="preserve">Identifikatur tal-kuntratt </w:t>
            </w:r>
          </w:p>
          <w:p w14:paraId="7FE1D0DB" w14:textId="09A77FF8" w:rsidR="00534D9A" w:rsidRDefault="003243B2">
            <w:pPr>
              <w:pStyle w:val="P68B1DB1-TableParagraph40"/>
              <w:spacing w:before="108"/>
              <w:ind w:left="85"/>
              <w:jc w:val="both"/>
            </w:pPr>
            <w:r>
              <w:t>L-ISIN jew, f’każ li l-ISIN ma jkunx disponibbli, għandu jiġi rrapportat identifikatur ieħor tal-kuntratt tal-istrument.</w:t>
            </w:r>
          </w:p>
        </w:tc>
      </w:tr>
      <w:tr w:rsidR="00534D9A" w14:paraId="7FE1D0E0" w14:textId="77777777">
        <w:tc>
          <w:tcPr>
            <w:tcW w:w="1183" w:type="dxa"/>
            <w:tcBorders>
              <w:top w:val="single" w:sz="8" w:space="0" w:color="1A171C"/>
              <w:left w:val="nil"/>
              <w:bottom w:val="single" w:sz="8" w:space="0" w:color="1A171C"/>
              <w:right w:val="single" w:sz="8" w:space="0" w:color="1A171C"/>
            </w:tcBorders>
            <w:vAlign w:val="center"/>
          </w:tcPr>
          <w:p w14:paraId="7FE1D0DD" w14:textId="77777777" w:rsidR="00534D9A" w:rsidRDefault="003243B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0DE" w14:textId="6192EFDD" w:rsidR="00534D9A" w:rsidRDefault="003243B2">
            <w:pPr>
              <w:pStyle w:val="P68B1DB1-TableParagraph73"/>
              <w:spacing w:before="108"/>
              <w:ind w:left="85"/>
              <w:jc w:val="both"/>
              <w:rPr>
                <w:bCs/>
              </w:rPr>
            </w:pPr>
            <w:r>
              <w:t xml:space="preserve">Isem il-kontroparti </w:t>
            </w:r>
          </w:p>
          <w:p w14:paraId="7FE1D0DF" w14:textId="5D08E31A" w:rsidR="00534D9A" w:rsidRDefault="003243B2">
            <w:pPr>
              <w:pStyle w:val="P68B1DB1-TableParagraph40"/>
              <w:spacing w:before="108"/>
              <w:ind w:left="85"/>
              <w:jc w:val="both"/>
            </w:pPr>
            <w:r>
              <w:t>L-isem tal-entità tal-kontroparti tal-obbligazzjoni.</w:t>
            </w:r>
          </w:p>
        </w:tc>
      </w:tr>
      <w:tr w:rsidR="00534D9A" w14:paraId="7FE1D0E5" w14:textId="77777777">
        <w:tc>
          <w:tcPr>
            <w:tcW w:w="1183" w:type="dxa"/>
            <w:tcBorders>
              <w:top w:val="single" w:sz="8" w:space="0" w:color="1A171C"/>
              <w:left w:val="nil"/>
              <w:bottom w:val="single" w:sz="8" w:space="0" w:color="1A171C"/>
              <w:right w:val="single" w:sz="8" w:space="0" w:color="1A171C"/>
            </w:tcBorders>
            <w:vAlign w:val="center"/>
          </w:tcPr>
          <w:p w14:paraId="7FE1D0E1" w14:textId="77777777" w:rsidR="00534D9A" w:rsidRDefault="003243B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142A50B" w14:textId="5B4939E6" w:rsidR="00534D9A" w:rsidRDefault="003243B2">
            <w:pPr>
              <w:pStyle w:val="P68B1DB1-TableParagraph73"/>
              <w:spacing w:before="108"/>
              <w:ind w:left="85"/>
              <w:jc w:val="both"/>
            </w:pPr>
            <w:r>
              <w:t>Identifikatur tal-kontroparti</w:t>
            </w:r>
          </w:p>
          <w:p w14:paraId="7FE1D0E3" w14:textId="4E34C2DB" w:rsidR="00534D9A" w:rsidRDefault="003243B2">
            <w:pPr>
              <w:pStyle w:val="P68B1DB1-TableParagraph40"/>
              <w:spacing w:before="108"/>
              <w:ind w:left="85"/>
              <w:jc w:val="both"/>
            </w:pPr>
            <w:r>
              <w:t>Irrapporta l-kodiċi LEI tal-kreditur. Fin-nuqqas ta’ LEI, fil-każ tar-rapport tal-banek, l-identifikatur tal-Istituzzjonijiet Finanzjarji Monetarji tal-BĊE (MFI ID) użat fir-RIAD. Esklussivament fin-nuqqas ta’ dawn iż-żewġ identifikaturi, irrapporta identifikatur intern.</w:t>
            </w:r>
          </w:p>
          <w:p w14:paraId="7FE1D0E4" w14:textId="1D573481" w:rsidR="00534D9A" w:rsidRDefault="00534D9A">
            <w:pPr>
              <w:pStyle w:val="TableParagraph"/>
              <w:spacing w:before="108"/>
              <w:ind w:left="85"/>
              <w:jc w:val="both"/>
              <w:rPr>
                <w:rFonts w:ascii="Times New Roman" w:eastAsia="Times New Roman" w:hAnsi="Times New Roman" w:cs="Times New Roman"/>
                <w:sz w:val="20"/>
                <w:szCs w:val="20"/>
              </w:rPr>
            </w:pPr>
          </w:p>
        </w:tc>
      </w:tr>
      <w:tr w:rsidR="00534D9A" w14:paraId="7FE1D0E9" w14:textId="77777777">
        <w:tc>
          <w:tcPr>
            <w:tcW w:w="1183" w:type="dxa"/>
            <w:tcBorders>
              <w:top w:val="single" w:sz="8" w:space="0" w:color="1A171C"/>
              <w:left w:val="nil"/>
              <w:bottom w:val="single" w:sz="8" w:space="0" w:color="1A171C"/>
              <w:right w:val="single" w:sz="8" w:space="0" w:color="1A171C"/>
            </w:tcBorders>
            <w:vAlign w:val="center"/>
          </w:tcPr>
          <w:p w14:paraId="7FE1D0E6" w14:textId="77777777" w:rsidR="00534D9A" w:rsidRDefault="003243B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0E7" w14:textId="77777777" w:rsidR="00534D9A" w:rsidRDefault="003243B2">
            <w:pPr>
              <w:pStyle w:val="P68B1DB1-TableParagraph73"/>
              <w:spacing w:before="108"/>
              <w:ind w:left="85"/>
              <w:jc w:val="both"/>
              <w:rPr>
                <w:bCs/>
              </w:rPr>
            </w:pPr>
            <w:r>
              <w:t xml:space="preserve">Tip ta’ identifikatur </w:t>
            </w:r>
          </w:p>
          <w:p w14:paraId="7FE1D0E8"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D0ED" w14:textId="77777777">
        <w:tc>
          <w:tcPr>
            <w:tcW w:w="1183" w:type="dxa"/>
            <w:tcBorders>
              <w:top w:val="single" w:sz="8" w:space="0" w:color="1A171C"/>
              <w:left w:val="nil"/>
              <w:bottom w:val="single" w:sz="8" w:space="0" w:color="1A171C"/>
              <w:right w:val="single" w:sz="8" w:space="0" w:color="1A171C"/>
            </w:tcBorders>
            <w:vAlign w:val="center"/>
          </w:tcPr>
          <w:p w14:paraId="7FE1D0EA" w14:textId="4E648225" w:rsidR="00534D9A" w:rsidRDefault="003243B2">
            <w:pPr>
              <w:pStyle w:val="P68B1DB1-Normal31"/>
            </w:pPr>
            <w:r>
              <w:t xml:space="preserve"> 0070</w:t>
            </w:r>
          </w:p>
        </w:tc>
        <w:tc>
          <w:tcPr>
            <w:tcW w:w="7832" w:type="dxa"/>
            <w:tcBorders>
              <w:top w:val="single" w:sz="8" w:space="0" w:color="1A171C"/>
              <w:left w:val="single" w:sz="8" w:space="0" w:color="1A171C"/>
              <w:bottom w:val="single" w:sz="8" w:space="0" w:color="1A171C"/>
              <w:right w:val="nil"/>
            </w:tcBorders>
            <w:vAlign w:val="bottom"/>
          </w:tcPr>
          <w:p w14:paraId="7FE1D0EB" w14:textId="3585FBA0" w:rsidR="00534D9A" w:rsidRDefault="003243B2">
            <w:pPr>
              <w:pStyle w:val="P68B1DB1-TableParagraph73"/>
              <w:spacing w:before="108"/>
              <w:ind w:left="85"/>
              <w:jc w:val="both"/>
              <w:rPr>
                <w:bCs/>
              </w:rPr>
            </w:pPr>
            <w:r>
              <w:t xml:space="preserve">Il-liġi regolatorja  </w:t>
            </w:r>
          </w:p>
          <w:p w14:paraId="7FE1D0EC" w14:textId="237CB9E1" w:rsidR="00534D9A" w:rsidRDefault="003243B2">
            <w:pPr>
              <w:pStyle w:val="P68B1DB1-TableParagraph40"/>
              <w:spacing w:before="108"/>
              <w:ind w:left="85"/>
              <w:jc w:val="both"/>
            </w:pPr>
            <w:r>
              <w:t xml:space="preserve">Il-kodiċi ISO 3166–1 alpha-2 tal-pajjiż li l-liġi tiegħu tirregola l-istrument (uża l-kodiċi ISO 3166–2 meta l-liġi ta’ subdiviżjoni amministrattiva tkun rilevanti, eż. “US-NY”). Jekk il-kuntratt ikun irregolat mil-liġi ta’ aktar minn pajjiż wieħed, għandu jiġi rrapportat il-pajjiż li l-liġi tiegħu għandha l-ogħla rilevanza għar-rikonoxximent tas-setgħat ta’ valwazzjoni negattiva u konverżjoni.  </w:t>
            </w:r>
          </w:p>
        </w:tc>
      </w:tr>
      <w:tr w:rsidR="00534D9A" w14:paraId="7FE1D0F1" w14:textId="77777777">
        <w:tc>
          <w:tcPr>
            <w:tcW w:w="1183" w:type="dxa"/>
            <w:tcBorders>
              <w:top w:val="single" w:sz="8" w:space="0" w:color="1A171C"/>
              <w:left w:val="nil"/>
              <w:bottom w:val="single" w:sz="8" w:space="0" w:color="1A171C"/>
              <w:right w:val="single" w:sz="8" w:space="0" w:color="1A171C"/>
            </w:tcBorders>
            <w:vAlign w:val="center"/>
          </w:tcPr>
          <w:p w14:paraId="7FE1D0EE" w14:textId="02F3BABE" w:rsidR="00534D9A" w:rsidRDefault="003243B2">
            <w:pPr>
              <w:pStyle w:val="P68B1DB1-Normal31"/>
            </w:pPr>
            <w:r>
              <w:t xml:space="preserve"> 0075</w:t>
            </w:r>
          </w:p>
        </w:tc>
        <w:tc>
          <w:tcPr>
            <w:tcW w:w="7832" w:type="dxa"/>
            <w:tcBorders>
              <w:top w:val="single" w:sz="8" w:space="0" w:color="1A171C"/>
              <w:left w:val="single" w:sz="8" w:space="0" w:color="1A171C"/>
              <w:bottom w:val="single" w:sz="8" w:space="0" w:color="1A171C"/>
              <w:right w:val="nil"/>
            </w:tcBorders>
            <w:vAlign w:val="bottom"/>
          </w:tcPr>
          <w:p w14:paraId="7FE1D0EF" w14:textId="5B4FC1DF" w:rsidR="00534D9A" w:rsidRDefault="003243B2">
            <w:pPr>
              <w:pStyle w:val="P68B1DB1-TableParagraph73"/>
              <w:spacing w:before="108"/>
              <w:ind w:left="85"/>
              <w:jc w:val="both"/>
              <w:rPr>
                <w:bCs/>
              </w:rPr>
            </w:pPr>
            <w:r>
              <w:t xml:space="preserve">Tip ta’ obbligazzjonijiet finanzjarji </w:t>
            </w:r>
          </w:p>
          <w:p w14:paraId="7FE1D0F0" w14:textId="3ACB2D3D" w:rsidR="00534D9A" w:rsidRDefault="003243B2">
            <w:pPr>
              <w:pStyle w:val="P68B1DB1-TableParagraph40"/>
              <w:spacing w:before="108"/>
              <w:ind w:left="85"/>
              <w:jc w:val="both"/>
            </w:pPr>
            <w:r>
              <w:t>Għandha tintgħażel minn fost l-opzjonijiet li ġejjin “Self b’Nota ta’ Kommodatarju”, “Bond irreġistrat”, “Kambjament”, “Kontribuzzjonijiet ta’ Sħubija Silenti”, “Obbligazzjonijiet finanzjarji oħrajn”.</w:t>
            </w:r>
          </w:p>
        </w:tc>
      </w:tr>
      <w:tr w:rsidR="00534D9A" w14:paraId="7FE1D0FC" w14:textId="77777777">
        <w:tc>
          <w:tcPr>
            <w:tcW w:w="1183" w:type="dxa"/>
            <w:tcBorders>
              <w:top w:val="single" w:sz="8" w:space="0" w:color="1A171C"/>
              <w:left w:val="nil"/>
              <w:bottom w:val="single" w:sz="8" w:space="0" w:color="1A171C"/>
              <w:right w:val="single" w:sz="8" w:space="0" w:color="1A171C"/>
            </w:tcBorders>
            <w:vAlign w:val="center"/>
          </w:tcPr>
          <w:p w14:paraId="7FE1D0F2" w14:textId="77777777" w:rsidR="00534D9A" w:rsidRDefault="003243B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0F4" w14:textId="69C59D27" w:rsidR="00534D9A" w:rsidRDefault="003243B2">
            <w:pPr>
              <w:pStyle w:val="P68B1DB1-TableParagraph73"/>
              <w:spacing w:before="108"/>
              <w:ind w:left="85"/>
              <w:jc w:val="both"/>
            </w:pPr>
            <w:r>
              <w:t xml:space="preserve">Jekk il-Liġi ta’ Pajjiżi Terzi, ir-rikonoxximent kuntrattwali </w:t>
            </w:r>
          </w:p>
          <w:p w14:paraId="7FE1D0F6" w14:textId="77777777" w:rsidR="00534D9A" w:rsidRDefault="003243B2">
            <w:pPr>
              <w:pStyle w:val="P68B1DB1-TableParagraph40"/>
              <w:spacing w:before="108"/>
              <w:ind w:left="85"/>
              <w:jc w:val="both"/>
            </w:pPr>
            <w:r>
              <w:t xml:space="preserve">Identifikazzjoni tad-dispożizzjonijiet kuntrattwali għar-rikonoxximent tas-setgħat ta’ rikapitalizzazzjoni interna f’konformità mal-Artikolu 55 tal-BRRD, jew </w:t>
            </w:r>
          </w:p>
          <w:p w14:paraId="7FE1D0F7" w14:textId="77777777" w:rsidR="00534D9A" w:rsidRDefault="003243B2">
            <w:pPr>
              <w:pStyle w:val="P68B1DB1-TableParagraph40"/>
              <w:spacing w:before="108"/>
              <w:ind w:left="85"/>
              <w:jc w:val="both"/>
            </w:pPr>
            <w:r>
              <w:t>Iva, appoġġata mill-Opinjoni Legali "= l-obbligazzjoni tinkludi klawżola ta’ rikonoxximent tar-rikapitalizzazzjoni interna f’konformità mal-Artikolu 55 tal-BRRD li hija appoġġata minn opinjoni legali;</w:t>
            </w:r>
          </w:p>
          <w:p w14:paraId="7FE1D0F8" w14:textId="77777777" w:rsidR="00534D9A" w:rsidRDefault="003243B2">
            <w:pPr>
              <w:pStyle w:val="P68B1DB1-TableParagraph40"/>
              <w:spacing w:before="108"/>
              <w:ind w:left="85"/>
              <w:jc w:val="both"/>
            </w:pPr>
            <w:r>
              <w:t>“Iva, mhux appoġġata mill-Opinjoni Legali” = l-obbligazzjoni tinkludi klawżola ta’ rikonoxximent tar-rikapitalizzazzjoni interna f’konformità mal-Artikolu 55 tal-BRRD li bħalissa mhijiex appoġġata minn opinjoni legali;</w:t>
            </w:r>
          </w:p>
          <w:p w14:paraId="7FE1D0F9" w14:textId="77777777" w:rsidR="00534D9A" w:rsidRDefault="003243B2">
            <w:pPr>
              <w:pStyle w:val="P68B1DB1-TableParagraph40"/>
              <w:spacing w:before="108"/>
              <w:ind w:left="85"/>
              <w:jc w:val="both"/>
            </w:pPr>
            <w:r>
              <w:t>“Le” = l-obbligazzjoni ma tinkludix klawżola ta’ rikonoxximent ta’ rikapitalizzazzjoni interna;</w:t>
            </w:r>
          </w:p>
          <w:p w14:paraId="7FE1D0FA" w14:textId="07E9B1A6" w:rsidR="00534D9A" w:rsidRDefault="003243B2">
            <w:pPr>
              <w:pStyle w:val="P68B1DB1-TableParagraph40"/>
              <w:spacing w:before="108"/>
              <w:ind w:left="85"/>
              <w:jc w:val="both"/>
            </w:pPr>
            <w:r>
              <w:t xml:space="preserve">“Mhux applikabbli”,   </w:t>
            </w:r>
          </w:p>
          <w:p w14:paraId="7FE1D0FB" w14:textId="77777777" w:rsidR="00534D9A" w:rsidRDefault="003243B2">
            <w:pPr>
              <w:pStyle w:val="P68B1DB1-TableParagraph40"/>
              <w:spacing w:before="108"/>
              <w:ind w:left="85"/>
              <w:jc w:val="both"/>
            </w:pPr>
            <w:r>
              <w:t>minn lista predefinita.</w:t>
            </w:r>
          </w:p>
        </w:tc>
      </w:tr>
      <w:tr w:rsidR="00534D9A" w14:paraId="7FE1D100" w14:textId="77777777">
        <w:tc>
          <w:tcPr>
            <w:tcW w:w="1183" w:type="dxa"/>
            <w:tcBorders>
              <w:top w:val="single" w:sz="8" w:space="0" w:color="1A171C"/>
              <w:left w:val="nil"/>
              <w:bottom w:val="single" w:sz="8" w:space="0" w:color="1A171C"/>
              <w:right w:val="single" w:sz="8" w:space="0" w:color="1A171C"/>
            </w:tcBorders>
            <w:vAlign w:val="center"/>
          </w:tcPr>
          <w:p w14:paraId="7FE1D0FD" w14:textId="77777777" w:rsidR="00534D9A" w:rsidRDefault="003243B2">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0FE" w14:textId="2B50D04C" w:rsidR="00534D9A" w:rsidRDefault="003243B2">
            <w:pPr>
              <w:pStyle w:val="P68B1DB1-TableParagraph73"/>
              <w:spacing w:before="108"/>
              <w:ind w:left="85"/>
              <w:jc w:val="both"/>
              <w:rPr>
                <w:bCs/>
              </w:rPr>
            </w:pPr>
            <w:r>
              <w:t xml:space="preserve">Ammont ta’ Kapital Pendenti  </w:t>
            </w:r>
          </w:p>
          <w:p w14:paraId="7FE1D0FF" w14:textId="66FDB1F5" w:rsidR="00534D9A" w:rsidRDefault="003243B2">
            <w:pPr>
              <w:pStyle w:val="P68B1DB1-TableParagraph40"/>
              <w:spacing w:before="108"/>
              <w:ind w:left="85"/>
              <w:jc w:val="both"/>
            </w:pPr>
            <w:r>
              <w:t>L-ammont tal-kapital pendenti tal-obbligazzjoni.</w:t>
            </w:r>
          </w:p>
        </w:tc>
      </w:tr>
      <w:tr w:rsidR="00534D9A" w14:paraId="7FE1D104" w14:textId="77777777">
        <w:tc>
          <w:tcPr>
            <w:tcW w:w="1183" w:type="dxa"/>
            <w:tcBorders>
              <w:top w:val="single" w:sz="8" w:space="0" w:color="1A171C"/>
              <w:left w:val="nil"/>
              <w:bottom w:val="single" w:sz="8" w:space="0" w:color="1A171C"/>
              <w:right w:val="single" w:sz="8" w:space="0" w:color="1A171C"/>
            </w:tcBorders>
            <w:vAlign w:val="center"/>
          </w:tcPr>
          <w:p w14:paraId="7FE1D101" w14:textId="77777777" w:rsidR="00534D9A" w:rsidRDefault="003243B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02" w14:textId="2DA0F2E6" w:rsidR="00534D9A" w:rsidRDefault="003243B2">
            <w:pPr>
              <w:pStyle w:val="P68B1DB1-TableParagraph73"/>
              <w:spacing w:before="108"/>
              <w:ind w:left="85"/>
              <w:jc w:val="both"/>
              <w:rPr>
                <w:bCs/>
              </w:rPr>
            </w:pPr>
            <w:r>
              <w:t xml:space="preserve">L-Imgħax Dovut </w:t>
            </w:r>
          </w:p>
          <w:p w14:paraId="7FE1D103" w14:textId="345D6EBF" w:rsidR="00534D9A" w:rsidRDefault="003243B2">
            <w:pPr>
              <w:pStyle w:val="P68B1DB1-TableParagraph40"/>
              <w:spacing w:before="108"/>
              <w:ind w:left="85"/>
              <w:jc w:val="both"/>
            </w:pPr>
            <w:r>
              <w:t>L-imgħax dovut pendenti fuq l-obbligazzjoni.</w:t>
            </w:r>
          </w:p>
        </w:tc>
      </w:tr>
      <w:tr w:rsidR="00534D9A" w14:paraId="7FE1D108" w14:textId="77777777">
        <w:tc>
          <w:tcPr>
            <w:tcW w:w="1183" w:type="dxa"/>
            <w:tcBorders>
              <w:top w:val="single" w:sz="8" w:space="0" w:color="1A171C"/>
              <w:left w:val="nil"/>
              <w:bottom w:val="single" w:sz="8" w:space="0" w:color="1A171C"/>
              <w:right w:val="single" w:sz="8" w:space="0" w:color="1A171C"/>
            </w:tcBorders>
            <w:vAlign w:val="center"/>
          </w:tcPr>
          <w:p w14:paraId="7FE1D105" w14:textId="77777777" w:rsidR="00534D9A" w:rsidRDefault="003243B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06" w14:textId="7F6E59CB" w:rsidR="00534D9A" w:rsidRDefault="003243B2">
            <w:pPr>
              <w:pStyle w:val="P68B1DB1-TableParagraph73"/>
              <w:spacing w:before="108"/>
              <w:ind w:left="85"/>
              <w:jc w:val="both"/>
              <w:rPr>
                <w:bCs/>
              </w:rPr>
            </w:pPr>
            <w:r>
              <w:t xml:space="preserve">Rata tal-imgħax attwali (%) </w:t>
            </w:r>
          </w:p>
          <w:p w14:paraId="7FE1D107" w14:textId="574366AF" w:rsidR="00534D9A" w:rsidRDefault="003243B2">
            <w:pPr>
              <w:pStyle w:val="P68B1DB1-TableParagraph40"/>
              <w:spacing w:before="108"/>
              <w:ind w:left="85"/>
              <w:jc w:val="both"/>
            </w:pPr>
            <w:r>
              <w:t xml:space="preserve">Il-livell attwali tar-rata tal-imgħax li hija applikabbli għall-obbligazzjoni. </w:t>
            </w:r>
          </w:p>
        </w:tc>
      </w:tr>
      <w:tr w:rsidR="00534D9A" w14:paraId="7FE1D10C" w14:textId="77777777">
        <w:tc>
          <w:tcPr>
            <w:tcW w:w="1183" w:type="dxa"/>
            <w:tcBorders>
              <w:top w:val="single" w:sz="8" w:space="0" w:color="1A171C"/>
              <w:left w:val="nil"/>
              <w:bottom w:val="single" w:sz="8" w:space="0" w:color="1A171C"/>
              <w:right w:val="single" w:sz="8" w:space="0" w:color="1A171C"/>
            </w:tcBorders>
            <w:vAlign w:val="center"/>
          </w:tcPr>
          <w:p w14:paraId="7FE1D109" w14:textId="77777777" w:rsidR="00534D9A" w:rsidRDefault="003243B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0A" w14:textId="77777777" w:rsidR="00534D9A" w:rsidRDefault="003243B2">
            <w:pPr>
              <w:pStyle w:val="P68B1DB1-TableParagraph73"/>
              <w:spacing w:before="108"/>
              <w:ind w:left="85"/>
              <w:jc w:val="both"/>
              <w:rPr>
                <w:bCs/>
              </w:rPr>
            </w:pPr>
            <w:r>
              <w:t xml:space="preserve">Munita  </w:t>
            </w:r>
          </w:p>
          <w:p w14:paraId="7FE1D10B" w14:textId="4FC71DBE" w:rsidR="00534D9A" w:rsidRDefault="003243B2">
            <w:pPr>
              <w:pStyle w:val="P68B1DB1-TableParagraph40"/>
              <w:spacing w:before="108"/>
              <w:ind w:left="85"/>
              <w:jc w:val="both"/>
            </w:pPr>
            <w:r>
              <w:t>Il-munita tal-obbligazzjoni f’konformità mal-kodiċi ISO 4217 bi 3 ittri tagħha.</w:t>
            </w:r>
          </w:p>
        </w:tc>
      </w:tr>
      <w:tr w:rsidR="00534D9A" w14:paraId="7FE1D110" w14:textId="77777777">
        <w:tc>
          <w:tcPr>
            <w:tcW w:w="1183" w:type="dxa"/>
            <w:tcBorders>
              <w:top w:val="single" w:sz="8" w:space="0" w:color="1A171C"/>
              <w:left w:val="nil"/>
              <w:bottom w:val="single" w:sz="8" w:space="0" w:color="1A171C"/>
              <w:right w:val="single" w:sz="8" w:space="0" w:color="1A171C"/>
            </w:tcBorders>
            <w:vAlign w:val="center"/>
          </w:tcPr>
          <w:p w14:paraId="7FE1D10D" w14:textId="77777777" w:rsidR="00534D9A" w:rsidRDefault="003243B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0E" w14:textId="24CCD785" w:rsidR="00534D9A" w:rsidRDefault="003243B2">
            <w:pPr>
              <w:pStyle w:val="P68B1DB1-TableParagraph73"/>
              <w:spacing w:before="108"/>
              <w:ind w:left="85"/>
              <w:jc w:val="both"/>
              <w:rPr>
                <w:bCs/>
              </w:rPr>
            </w:pPr>
            <w:r>
              <w:t xml:space="preserve">Data tal-Ħruġ </w:t>
            </w:r>
          </w:p>
          <w:p w14:paraId="7FE1D10F" w14:textId="77777777" w:rsidR="00534D9A" w:rsidRDefault="003243B2">
            <w:pPr>
              <w:pStyle w:val="P68B1DB1-TableParagraph40"/>
              <w:spacing w:before="108"/>
              <w:ind w:left="85"/>
              <w:jc w:val="both"/>
            </w:pPr>
            <w:r>
              <w:t>Id-data tal-ħruġ oriġinali tal-obbligazzjoni.</w:t>
            </w:r>
          </w:p>
        </w:tc>
      </w:tr>
      <w:tr w:rsidR="00534D9A" w14:paraId="7FE1D114" w14:textId="77777777">
        <w:tc>
          <w:tcPr>
            <w:tcW w:w="1183" w:type="dxa"/>
            <w:tcBorders>
              <w:top w:val="single" w:sz="8" w:space="0" w:color="1A171C"/>
              <w:left w:val="nil"/>
              <w:bottom w:val="single" w:sz="8" w:space="0" w:color="1A171C"/>
              <w:right w:val="single" w:sz="8" w:space="0" w:color="1A171C"/>
            </w:tcBorders>
            <w:vAlign w:val="center"/>
          </w:tcPr>
          <w:p w14:paraId="7FE1D111" w14:textId="77777777" w:rsidR="00534D9A" w:rsidRDefault="003243B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12" w14:textId="6174C675" w:rsidR="00534D9A" w:rsidRDefault="003243B2">
            <w:pPr>
              <w:pStyle w:val="P68B1DB1-TableParagraph73"/>
              <w:spacing w:before="108"/>
              <w:ind w:left="85"/>
              <w:jc w:val="both"/>
              <w:rPr>
                <w:bCs/>
              </w:rPr>
            </w:pPr>
            <w:r>
              <w:t xml:space="preserve">L-ewwel Data ta’ Tifdija  </w:t>
            </w:r>
          </w:p>
          <w:p w14:paraId="7FE1D113" w14:textId="6DCF0327" w:rsidR="00534D9A" w:rsidRDefault="003243B2">
            <w:pPr>
              <w:pStyle w:val="P68B1DB1-TableParagraph40"/>
              <w:spacing w:before="108"/>
              <w:ind w:left="85"/>
              <w:jc w:val="both"/>
            </w:pPr>
            <w:r>
              <w:t>Jekk teżisti opzjoni għall-kreditur li jitlob rimborż bikri, jew il-kundizzjonijiet għal rimborż bikri tal-obbligazzjoni huma previsti kuntrattwalment, ipprovdi l-aktar data bikrija ta’ okkorrenza. Jekk ir-rimborż bikri jkun relatat biss ma’ porzjon tal-obbligazzjoni (eż. rimborż bikri ta’ 50 % tal-ammont nominali), aqsam l-obbligazzjoni biex tqis din il-klawżola ta’ tifdija bikrija parzjali.</w:t>
            </w:r>
          </w:p>
        </w:tc>
      </w:tr>
      <w:tr w:rsidR="00534D9A" w14:paraId="7FE1D118" w14:textId="77777777">
        <w:tc>
          <w:tcPr>
            <w:tcW w:w="1183" w:type="dxa"/>
            <w:tcBorders>
              <w:top w:val="single" w:sz="8" w:space="0" w:color="1A171C"/>
              <w:left w:val="nil"/>
              <w:bottom w:val="single" w:sz="8" w:space="0" w:color="1A171C"/>
              <w:right w:val="single" w:sz="8" w:space="0" w:color="1A171C"/>
            </w:tcBorders>
            <w:vAlign w:val="center"/>
          </w:tcPr>
          <w:p w14:paraId="7FE1D115" w14:textId="77777777" w:rsidR="00534D9A" w:rsidRDefault="003243B2">
            <w:pPr>
              <w:pStyle w:val="P68B1DB1-Normal31"/>
            </w:pPr>
            <w:r>
              <w:t>0150</w:t>
            </w:r>
          </w:p>
        </w:tc>
        <w:tc>
          <w:tcPr>
            <w:tcW w:w="7832" w:type="dxa"/>
            <w:tcBorders>
              <w:top w:val="single" w:sz="8" w:space="0" w:color="1A171C"/>
              <w:left w:val="single" w:sz="8" w:space="0" w:color="1A171C"/>
              <w:bottom w:val="single" w:sz="8" w:space="0" w:color="1A171C"/>
              <w:right w:val="nil"/>
            </w:tcBorders>
            <w:vAlign w:val="bottom"/>
          </w:tcPr>
          <w:p w14:paraId="7FE1D116" w14:textId="77777777" w:rsidR="00534D9A" w:rsidRDefault="003243B2">
            <w:pPr>
              <w:pStyle w:val="P68B1DB1-TableParagraph73"/>
              <w:spacing w:before="108"/>
              <w:ind w:left="85"/>
              <w:jc w:val="both"/>
              <w:rPr>
                <w:bCs/>
              </w:rPr>
            </w:pPr>
            <w:r>
              <w:t xml:space="preserve"> Maturità Legali </w:t>
            </w:r>
          </w:p>
          <w:p w14:paraId="7FE1D117" w14:textId="39B8EDB9" w:rsidR="00534D9A" w:rsidRDefault="003243B2">
            <w:pPr>
              <w:pStyle w:val="P68B1DB1-TableParagraph40"/>
              <w:spacing w:before="108"/>
              <w:ind w:left="85"/>
              <w:jc w:val="both"/>
            </w:pPr>
            <w:r>
              <w:t>Id-data tal-maturità legali u finali tal-istrument. Għal strumenti perpetwi, uża “2099–01–31”.</w:t>
            </w:r>
          </w:p>
        </w:tc>
      </w:tr>
      <w:tr w:rsidR="00534D9A" w14:paraId="7FE1D121" w14:textId="77777777">
        <w:tc>
          <w:tcPr>
            <w:tcW w:w="1183" w:type="dxa"/>
            <w:tcBorders>
              <w:top w:val="single" w:sz="8" w:space="0" w:color="1A171C"/>
              <w:left w:val="nil"/>
              <w:bottom w:val="single" w:sz="8" w:space="0" w:color="1A171C"/>
              <w:right w:val="single" w:sz="8" w:space="0" w:color="1A171C"/>
            </w:tcBorders>
            <w:vAlign w:val="center"/>
          </w:tcPr>
          <w:p w14:paraId="7FE1D11D" w14:textId="77777777" w:rsidR="00534D9A" w:rsidRDefault="003243B2">
            <w:pPr>
              <w:pStyle w:val="P68B1DB1-Normal31"/>
            </w:pPr>
            <w:r>
              <w:t>0170</w:t>
            </w:r>
          </w:p>
        </w:tc>
        <w:tc>
          <w:tcPr>
            <w:tcW w:w="7832" w:type="dxa"/>
            <w:tcBorders>
              <w:top w:val="single" w:sz="8" w:space="0" w:color="1A171C"/>
              <w:left w:val="single" w:sz="8" w:space="0" w:color="1A171C"/>
              <w:bottom w:val="single" w:sz="8" w:space="0" w:color="1A171C"/>
              <w:right w:val="nil"/>
            </w:tcBorders>
            <w:vAlign w:val="bottom"/>
          </w:tcPr>
          <w:p w14:paraId="7FE1D11E" w14:textId="638ECC24" w:rsidR="00534D9A" w:rsidRDefault="003243B2">
            <w:pPr>
              <w:pStyle w:val="P68B1DB1-TableParagraph73"/>
              <w:spacing w:before="108"/>
              <w:ind w:left="85"/>
              <w:jc w:val="both"/>
              <w:rPr>
                <w:bCs/>
              </w:rPr>
            </w:pPr>
            <w:r>
              <w:t xml:space="preserve">Ammont ta’ rahan, rahan jew kollateral </w:t>
            </w:r>
          </w:p>
          <w:p w14:paraId="7FE1D120" w14:textId="7CF01C3B" w:rsidR="00534D9A" w:rsidRDefault="003243B2">
            <w:pPr>
              <w:pStyle w:val="P68B1DB1-TableParagraph40"/>
              <w:spacing w:before="108"/>
              <w:ind w:left="85"/>
              <w:jc w:val="both"/>
            </w:pPr>
            <w:r>
              <w:t>Meta obbligazzjoni tkun garantita b’rahan, rahan jew kollateral, għandu jiġi pprovdut il-valur tas-suq gross ta’ dan tal-aħħar. Inkella, għal obbligazzjonijiet mhux garantiti, din il-kategorija għandha tiġi rrapportata bħala żero. Dan l-ammont jiddetermina l-parti kollateralizzata u eventwalment mhux kollateralizzata ta’ kwalunkwe obbligazzjoni garantita. Għal puli kollaterali li jiggarantixxu entrati multipli fir-ringiela, iddetermina l-proporzjon ta’ kopertura globali u applika pro rata għall-entrati koll</w:t>
            </w:r>
            <w:r>
              <w:t>ha tar-ringieli koperti minn dan il-pool.</w:t>
            </w:r>
          </w:p>
        </w:tc>
      </w:tr>
      <w:tr w:rsidR="00534D9A" w14:paraId="7FE1D125" w14:textId="77777777">
        <w:tc>
          <w:tcPr>
            <w:tcW w:w="1183" w:type="dxa"/>
            <w:tcBorders>
              <w:top w:val="single" w:sz="8" w:space="0" w:color="1A171C"/>
              <w:left w:val="nil"/>
              <w:bottom w:val="single" w:sz="8" w:space="0" w:color="1A171C"/>
              <w:right w:val="single" w:sz="8" w:space="0" w:color="1A171C"/>
            </w:tcBorders>
            <w:vAlign w:val="center"/>
          </w:tcPr>
          <w:p w14:paraId="7FE1D122" w14:textId="77777777" w:rsidR="00534D9A" w:rsidRDefault="003243B2">
            <w:pPr>
              <w:pStyle w:val="P68B1DB1-Normal31"/>
            </w:pPr>
            <w:r>
              <w:t>0180</w:t>
            </w:r>
          </w:p>
        </w:tc>
        <w:tc>
          <w:tcPr>
            <w:tcW w:w="7832" w:type="dxa"/>
            <w:tcBorders>
              <w:top w:val="single" w:sz="8" w:space="0" w:color="1A171C"/>
              <w:left w:val="single" w:sz="8" w:space="0" w:color="1A171C"/>
              <w:bottom w:val="single" w:sz="8" w:space="0" w:color="1A171C"/>
              <w:right w:val="nil"/>
            </w:tcBorders>
            <w:vAlign w:val="bottom"/>
          </w:tcPr>
          <w:p w14:paraId="7FE1D123" w14:textId="6FE5C4C2" w:rsidR="00534D9A" w:rsidRDefault="003243B2">
            <w:pPr>
              <w:pStyle w:val="P68B1DB1-TableParagraph73"/>
              <w:spacing w:before="108"/>
              <w:ind w:left="85"/>
              <w:jc w:val="both"/>
              <w:rPr>
                <w:bCs/>
              </w:rPr>
            </w:pPr>
            <w:r>
              <w:t xml:space="preserve">Garanti </w:t>
            </w:r>
          </w:p>
          <w:p w14:paraId="7FE1D124" w14:textId="216ADC15" w:rsidR="00534D9A" w:rsidRDefault="003243B2">
            <w:pPr>
              <w:pStyle w:val="P68B1DB1-TableParagraph40"/>
              <w:spacing w:before="108"/>
              <w:ind w:left="85"/>
              <w:jc w:val="both"/>
            </w:pPr>
            <w:r>
              <w:t>Jekk ikun hemm garanziji pprovduti għall-istrument, ipprovdi identifikazzjoni dettaljata tal-garanti (il-kodiċi LEI, il-kodiċi tal-pajjiż ISO 3166–1 alpha-2 għall-gvern, eċċ.). Fejn hemm diversi garanti preżenti, irrapporta l-identifikaturi kollha, separati b’punt u virgola.</w:t>
            </w:r>
          </w:p>
        </w:tc>
      </w:tr>
      <w:tr w:rsidR="00534D9A" w14:paraId="7FE1D131" w14:textId="77777777">
        <w:tc>
          <w:tcPr>
            <w:tcW w:w="1183" w:type="dxa"/>
            <w:tcBorders>
              <w:top w:val="single" w:sz="8" w:space="0" w:color="1A171C"/>
              <w:left w:val="nil"/>
              <w:bottom w:val="single" w:sz="8" w:space="0" w:color="1A171C"/>
              <w:right w:val="single" w:sz="8" w:space="0" w:color="1A171C"/>
            </w:tcBorders>
            <w:vAlign w:val="center"/>
          </w:tcPr>
          <w:p w14:paraId="7FE1D12E" w14:textId="77777777" w:rsidR="00534D9A" w:rsidRDefault="003243B2">
            <w:pPr>
              <w:pStyle w:val="P68B1DB1-Normal31"/>
            </w:pPr>
            <w:r>
              <w:t>0205</w:t>
            </w:r>
          </w:p>
        </w:tc>
        <w:tc>
          <w:tcPr>
            <w:tcW w:w="7832" w:type="dxa"/>
            <w:tcBorders>
              <w:top w:val="single" w:sz="8" w:space="0" w:color="1A171C"/>
              <w:left w:val="single" w:sz="8" w:space="0" w:color="1A171C"/>
              <w:bottom w:val="single" w:sz="8" w:space="0" w:color="1A171C"/>
              <w:right w:val="nil"/>
            </w:tcBorders>
            <w:vAlign w:val="bottom"/>
          </w:tcPr>
          <w:p w14:paraId="7FE1D12F" w14:textId="77777777" w:rsidR="00534D9A" w:rsidRDefault="003243B2">
            <w:pPr>
              <w:pStyle w:val="P68B1DB1-TableParagraph73"/>
              <w:spacing w:before="108"/>
              <w:ind w:left="85"/>
              <w:jc w:val="both"/>
              <w:rPr>
                <w:bCs/>
              </w:rPr>
            </w:pPr>
            <w:r>
              <w:t xml:space="preserve">Ammont li jissodisfa l-kundizzjonijiet għall-eliġibbiltà tal-MREL </w:t>
            </w:r>
          </w:p>
          <w:p w14:paraId="7FE1D130" w14:textId="267C8F59" w:rsidR="00534D9A" w:rsidRDefault="003243B2">
            <w:pPr>
              <w:pStyle w:val="P68B1DB1-TableParagraph40"/>
              <w:spacing w:before="108"/>
              <w:ind w:left="85"/>
              <w:jc w:val="both"/>
            </w:pPr>
            <w:r>
              <w:t>L-ammont ta’ fondi proprji u obbligazzjonijiet eliġibbli li jgħoddu għar-rekwiżit stabbilit f’konformità mal-Artikolu 45(1) tad-Direttiva 2014/59/UE</w:t>
            </w:r>
          </w:p>
        </w:tc>
      </w:tr>
      <w:tr w:rsidR="00534D9A" w14:paraId="7FE1D135" w14:textId="77777777">
        <w:tc>
          <w:tcPr>
            <w:tcW w:w="1183" w:type="dxa"/>
            <w:tcBorders>
              <w:top w:val="single" w:sz="8" w:space="0" w:color="1A171C"/>
              <w:left w:val="nil"/>
              <w:bottom w:val="single" w:sz="8" w:space="0" w:color="1A171C"/>
              <w:right w:val="single" w:sz="8" w:space="0" w:color="1A171C"/>
            </w:tcBorders>
            <w:vAlign w:val="center"/>
          </w:tcPr>
          <w:p w14:paraId="7FE1D132" w14:textId="77777777" w:rsidR="00534D9A" w:rsidRDefault="003243B2">
            <w:pPr>
              <w:pStyle w:val="P68B1DB1-Normal31"/>
            </w:pPr>
            <w:r>
              <w:t>0210</w:t>
            </w:r>
          </w:p>
        </w:tc>
        <w:tc>
          <w:tcPr>
            <w:tcW w:w="7832" w:type="dxa"/>
            <w:tcBorders>
              <w:top w:val="single" w:sz="8" w:space="0" w:color="1A171C"/>
              <w:left w:val="single" w:sz="8" w:space="0" w:color="1A171C"/>
              <w:bottom w:val="single" w:sz="8" w:space="0" w:color="1A171C"/>
              <w:right w:val="nil"/>
            </w:tcBorders>
            <w:vAlign w:val="bottom"/>
          </w:tcPr>
          <w:p w14:paraId="7FE1D133" w14:textId="13940F18" w:rsidR="00534D9A" w:rsidRDefault="003243B2">
            <w:pPr>
              <w:pStyle w:val="P68B1DB1-TableParagraph73"/>
              <w:spacing w:before="108"/>
              <w:ind w:left="85"/>
              <w:jc w:val="both"/>
              <w:rPr>
                <w:bCs/>
              </w:rPr>
            </w:pPr>
            <w:r>
              <w:t xml:space="preserve">Li jikkwalifikaw bħala fondi proprji </w:t>
            </w:r>
          </w:p>
          <w:p w14:paraId="7FE1D134" w14:textId="3B38CBB9" w:rsidR="00534D9A" w:rsidRDefault="003243B2">
            <w:pPr>
              <w:pStyle w:val="P68B1DB1-TableParagraph40"/>
              <w:spacing w:before="108"/>
              <w:ind w:left="85"/>
              <w:jc w:val="both"/>
            </w:pPr>
            <w:r>
              <w:t>Indika jekk u f’liema livell l-istrument huwa inkluż fil-fondi proprji, flimkien ma’ informazzjoni dwar ir-reġim ta’ eliminazzjoni gradwali u l-arranġamenti ta’ anterjorità. Il-valur jista’ jkun “Le”, “Parzjalment AT1, T1 u T2”, “T2 fi tneħħija gradwali”, “Grandfathered T2”, “Konformità Sħiħa T2”, “AT1 anterjorat”, “Konformità Sħiħa AT1” jew “CET1” minn lista predefinita.</w:t>
            </w:r>
          </w:p>
        </w:tc>
      </w:tr>
      <w:tr w:rsidR="00534D9A" w14:paraId="7FE1D139" w14:textId="77777777">
        <w:tc>
          <w:tcPr>
            <w:tcW w:w="1183" w:type="dxa"/>
            <w:tcBorders>
              <w:top w:val="single" w:sz="8" w:space="0" w:color="1A171C"/>
              <w:left w:val="nil"/>
              <w:bottom w:val="single" w:sz="8" w:space="0" w:color="1A171C"/>
              <w:right w:val="single" w:sz="8" w:space="0" w:color="1A171C"/>
            </w:tcBorders>
            <w:vAlign w:val="center"/>
          </w:tcPr>
          <w:p w14:paraId="7FE1D136" w14:textId="77777777" w:rsidR="00534D9A" w:rsidRDefault="003243B2">
            <w:pPr>
              <w:pStyle w:val="P68B1DB1-Normal31"/>
            </w:pPr>
            <w:r>
              <w:t>0220</w:t>
            </w:r>
          </w:p>
        </w:tc>
        <w:tc>
          <w:tcPr>
            <w:tcW w:w="7832" w:type="dxa"/>
            <w:tcBorders>
              <w:top w:val="single" w:sz="8" w:space="0" w:color="1A171C"/>
              <w:left w:val="single" w:sz="8" w:space="0" w:color="1A171C"/>
              <w:bottom w:val="single" w:sz="8" w:space="0" w:color="1A171C"/>
              <w:right w:val="nil"/>
            </w:tcBorders>
            <w:vAlign w:val="bottom"/>
          </w:tcPr>
          <w:p w14:paraId="7FE1D137" w14:textId="6E010E25" w:rsidR="00534D9A" w:rsidRDefault="003243B2">
            <w:pPr>
              <w:pStyle w:val="P68B1DB1-TableParagraph40"/>
              <w:spacing w:before="108"/>
              <w:ind w:left="85"/>
              <w:jc w:val="both"/>
              <w:rPr>
                <w:b/>
                <w:bCs/>
              </w:rPr>
            </w:pPr>
            <w:r>
              <w:t xml:space="preserve"> </w:t>
            </w:r>
            <w:r>
              <w:rPr>
                <w:b/>
              </w:rPr>
              <w:t>Ammont li jikkwalifika bħala Fondi Proprji</w:t>
            </w:r>
          </w:p>
          <w:p w14:paraId="7FE1D138" w14:textId="48ED7147" w:rsidR="00534D9A" w:rsidRDefault="003243B2">
            <w:pPr>
              <w:pStyle w:val="P68B1DB1-TableParagraph40"/>
              <w:spacing w:before="108"/>
              <w:ind w:left="85"/>
              <w:jc w:val="both"/>
            </w:pPr>
            <w:r>
              <w:t>L-ammont tal-istrument li jikkwalifika bħala fondi proprji.</w:t>
            </w:r>
          </w:p>
        </w:tc>
      </w:tr>
    </w:tbl>
    <w:p w14:paraId="7FE1D13A" w14:textId="77777777" w:rsidR="00534D9A" w:rsidRDefault="00534D9A">
      <w:pPr>
        <w:pStyle w:val="Instructionsberschrift2"/>
        <w:ind w:left="357"/>
        <w:rPr>
          <w:rFonts w:ascii="Times New Roman" w:eastAsia="Calibri" w:hAnsi="Times New Roman" w:cs="Times New Roman"/>
          <w:szCs w:val="20"/>
        </w:rPr>
      </w:pPr>
      <w:bookmarkStart w:id="247" w:name="_Toc81454216"/>
    </w:p>
    <w:p w14:paraId="7FE1D13B" w14:textId="0DCB9703" w:rsidR="00534D9A" w:rsidRDefault="003243B2">
      <w:pPr>
        <w:pStyle w:val="Instructionsberschrift2"/>
        <w:numPr>
          <w:ilvl w:val="1"/>
          <w:numId w:val="49"/>
        </w:numPr>
        <w:spacing w:before="0"/>
        <w:ind w:left="357" w:hanging="357"/>
        <w:rPr>
          <w:rFonts w:ascii="Times New Roman" w:hAnsi="Times New Roman" w:cs="Times New Roman"/>
        </w:rPr>
      </w:pPr>
      <w:bookmarkStart w:id="248" w:name="_Toc208245029"/>
      <w:r>
        <w:rPr>
          <w:rFonts w:ascii="Times New Roman" w:eastAsiaTheme="minorEastAsia" w:hAnsi="Times New Roman" w:cs="Times New Roman"/>
        </w:rPr>
        <w:t xml:space="preserve">Z 15.00 — Derivattivi </w:t>
      </w:r>
      <w:r>
        <w:rPr>
          <w:rFonts w:ascii="Times New Roman" w:eastAsia="Calibri" w:hAnsi="Times New Roman" w:cs="Times New Roman"/>
          <w:szCs w:val="20"/>
        </w:rPr>
        <w:t>(LIAB-G-5)</w:t>
      </w:r>
      <w:bookmarkEnd w:id="248"/>
    </w:p>
    <w:bookmarkEnd w:id="247"/>
    <w:p w14:paraId="7FE1D13D" w14:textId="77777777" w:rsidR="00534D9A" w:rsidRDefault="003243B2">
      <w:pPr>
        <w:pStyle w:val="P68B1DB1-Numberedtitlelevel388"/>
      </w:pPr>
      <w:r>
        <w:t>Kummenti ġenerali</w:t>
      </w:r>
    </w:p>
    <w:p w14:paraId="7FE1D13E" w14:textId="2F22A34C" w:rsidR="00534D9A" w:rsidRDefault="003243B2">
      <w:pPr>
        <w:pStyle w:val="P68B1DB1-InstructionsText286"/>
        <w:numPr>
          <w:ilvl w:val="2"/>
          <w:numId w:val="209"/>
        </w:numPr>
        <w:spacing w:before="0"/>
        <w:ind w:left="1276"/>
        <w:rPr>
          <w:rFonts w:eastAsiaTheme="majorEastAsia"/>
        </w:rPr>
      </w:pPr>
      <w:r>
        <w:t xml:space="preserve">Għall-finijiet ta’ din it-tabella, l-obbligazzjonijiet li jirriżultaw minn derivattivi għandhom jiġu rrapportati skont is-sett tan-netting, jiġifieri kull sett tan-netting irrapportat bħala entrata individwali tar-ringiela. </w:t>
      </w:r>
    </w:p>
    <w:p w14:paraId="7FE1D140" w14:textId="6B5870BD" w:rsidR="00534D9A" w:rsidRDefault="003243B2">
      <w:pPr>
        <w:pStyle w:val="P68B1DB1-InstructionsText286"/>
        <w:numPr>
          <w:ilvl w:val="2"/>
          <w:numId w:val="209"/>
        </w:numPr>
        <w:spacing w:before="0"/>
        <w:ind w:left="1276"/>
      </w:pPr>
      <w:r>
        <w:t>Irrapporta biss is-settijiet tan-netting tad-derivattivi/kuntratti uniċi li jirriżultaw f’obbligazzjoni netta skont il-valur fis-suq (il-kolonna c0120).</w:t>
      </w:r>
    </w:p>
    <w:p w14:paraId="7FE1D142" w14:textId="77777777" w:rsidR="00534D9A" w:rsidRDefault="003243B2">
      <w:pPr>
        <w:pStyle w:val="P68B1DB1-Numberedtitlelevel388"/>
      </w:pPr>
      <w:r>
        <w:t>Struzzjonijiet li jikkonċernaw pożizzjonijiet speċifiċi</w:t>
      </w:r>
    </w:p>
    <w:tbl>
      <w:tblPr>
        <w:tblW w:w="9015" w:type="dxa"/>
        <w:tblInd w:w="135" w:type="dxa"/>
        <w:tblLayout w:type="fixed"/>
        <w:tblLook w:val="04A0" w:firstRow="1" w:lastRow="0" w:firstColumn="1" w:lastColumn="0" w:noHBand="0" w:noVBand="1"/>
      </w:tblPr>
      <w:tblGrid>
        <w:gridCol w:w="1183"/>
        <w:gridCol w:w="7832"/>
      </w:tblGrid>
      <w:tr w:rsidR="00534D9A" w14:paraId="7FE1D14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43" w14:textId="77777777" w:rsidR="00534D9A" w:rsidRDefault="003243B2">
            <w:pPr>
              <w:pStyle w:val="P68B1DB1-Normal31"/>
            </w:pPr>
            <w:r>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44" w14:textId="77777777" w:rsidR="00534D9A" w:rsidRDefault="003243B2">
            <w:pPr>
              <w:pStyle w:val="P68B1DB1-Normal31"/>
            </w:pPr>
            <w:r>
              <w:t xml:space="preserve">Struzzjonijiet </w:t>
            </w:r>
          </w:p>
        </w:tc>
      </w:tr>
      <w:tr w:rsidR="00534D9A" w14:paraId="7FE1D149" w14:textId="77777777">
        <w:tc>
          <w:tcPr>
            <w:tcW w:w="1183" w:type="dxa"/>
            <w:tcBorders>
              <w:top w:val="single" w:sz="8" w:space="0" w:color="1A171C"/>
              <w:left w:val="nil"/>
              <w:bottom w:val="single" w:sz="8" w:space="0" w:color="1A171C"/>
              <w:right w:val="single" w:sz="8" w:space="0" w:color="1A171C"/>
            </w:tcBorders>
            <w:vAlign w:val="center"/>
          </w:tcPr>
          <w:p w14:paraId="7FE1D146" w14:textId="77777777" w:rsidR="00534D9A" w:rsidRDefault="003243B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47" w14:textId="4468B718" w:rsidR="00534D9A" w:rsidRDefault="003243B2">
            <w:pPr>
              <w:pStyle w:val="P68B1DB1-TableParagraph73"/>
              <w:spacing w:before="108"/>
              <w:ind w:left="85"/>
              <w:jc w:val="both"/>
              <w:rPr>
                <w:bCs/>
              </w:rPr>
            </w:pPr>
            <w:r>
              <w:t xml:space="preserve">NRU </w:t>
            </w:r>
          </w:p>
          <w:p w14:paraId="7FE1D148" w14:textId="7090CAA7" w:rsidR="00534D9A" w:rsidRDefault="003243B2">
            <w:pPr>
              <w:pStyle w:val="P68B1DB1-TableParagraph40"/>
              <w:spacing w:before="108"/>
              <w:ind w:left="85"/>
              <w:jc w:val="both"/>
            </w:pPr>
            <w:r>
              <w:t>Numru uniku/ċavetta primarja biex jiġu identifikati l-oġġetti tar-ringiela.</w:t>
            </w:r>
          </w:p>
        </w:tc>
      </w:tr>
      <w:tr w:rsidR="00534D9A" w14:paraId="7FE1D14D" w14:textId="77777777">
        <w:tc>
          <w:tcPr>
            <w:tcW w:w="1183" w:type="dxa"/>
            <w:tcBorders>
              <w:top w:val="single" w:sz="8" w:space="0" w:color="1A171C"/>
              <w:left w:val="nil"/>
              <w:bottom w:val="single" w:sz="8" w:space="0" w:color="1A171C"/>
              <w:right w:val="single" w:sz="8" w:space="0" w:color="1A171C"/>
            </w:tcBorders>
            <w:vAlign w:val="center"/>
          </w:tcPr>
          <w:p w14:paraId="7FE1D14A" w14:textId="77777777" w:rsidR="00534D9A" w:rsidRDefault="003243B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4B" w14:textId="7DBB5157" w:rsidR="00534D9A" w:rsidRDefault="003243B2">
            <w:pPr>
              <w:pStyle w:val="P68B1DB1-TableParagraph73"/>
              <w:spacing w:before="108"/>
              <w:ind w:left="85"/>
              <w:jc w:val="both"/>
              <w:rPr>
                <w:bCs/>
              </w:rPr>
            </w:pPr>
            <w:r>
              <w:t xml:space="preserve">Kolonna </w:t>
            </w:r>
          </w:p>
          <w:p w14:paraId="7FE1D14C" w14:textId="43946C69" w:rsidR="00534D9A" w:rsidRDefault="003243B2">
            <w:pPr>
              <w:pStyle w:val="P68B1DB1-TableParagraph40"/>
              <w:spacing w:before="108"/>
              <w:ind w:left="85"/>
              <w:jc w:val="both"/>
            </w:pPr>
            <w:r>
              <w:t>Għal kull sett tan-netting, rikonċiljazzjoni ma’ liema mill-klassijiet tal-kontroparti l-istruttura tal-obbligazzjonijiet f’Z 02.00 ġiet ikkuntrattata li għandha tiġi pprovduta minn lista predefinita ta’ valuri.</w:t>
            </w:r>
          </w:p>
        </w:tc>
      </w:tr>
      <w:tr w:rsidR="00534D9A" w14:paraId="7FE1D151" w14:textId="77777777">
        <w:tc>
          <w:tcPr>
            <w:tcW w:w="1183" w:type="dxa"/>
            <w:tcBorders>
              <w:top w:val="single" w:sz="8" w:space="0" w:color="1A171C"/>
              <w:left w:val="nil"/>
              <w:bottom w:val="single" w:sz="8" w:space="0" w:color="1A171C"/>
              <w:right w:val="single" w:sz="8" w:space="0" w:color="1A171C"/>
            </w:tcBorders>
            <w:vAlign w:val="center"/>
          </w:tcPr>
          <w:p w14:paraId="7FE1D14E" w14:textId="77777777" w:rsidR="00534D9A" w:rsidRDefault="003243B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4F" w14:textId="6A6D5CEA" w:rsidR="00534D9A" w:rsidRDefault="003243B2">
            <w:pPr>
              <w:pStyle w:val="P68B1DB1-TableParagraph73"/>
              <w:spacing w:before="108"/>
              <w:ind w:left="85"/>
              <w:jc w:val="both"/>
              <w:rPr>
                <w:bCs/>
              </w:rPr>
            </w:pPr>
            <w:r>
              <w:t xml:space="preserve">Klassifikazzjoni  </w:t>
            </w:r>
          </w:p>
          <w:p w14:paraId="7FE1D150" w14:textId="00926D41"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D155" w14:textId="77777777">
        <w:tc>
          <w:tcPr>
            <w:tcW w:w="1183" w:type="dxa"/>
            <w:tcBorders>
              <w:top w:val="single" w:sz="8" w:space="0" w:color="1A171C"/>
              <w:left w:val="nil"/>
              <w:bottom w:val="single" w:sz="8" w:space="0" w:color="1A171C"/>
              <w:right w:val="single" w:sz="8" w:space="0" w:color="1A171C"/>
            </w:tcBorders>
            <w:vAlign w:val="center"/>
          </w:tcPr>
          <w:p w14:paraId="7FE1D152" w14:textId="77777777" w:rsidR="00534D9A" w:rsidRDefault="003243B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53" w14:textId="0C760DD7" w:rsidR="00534D9A" w:rsidRDefault="003243B2">
            <w:pPr>
              <w:pStyle w:val="P68B1DB1-TableParagraph73"/>
              <w:spacing w:before="108"/>
              <w:ind w:left="85"/>
              <w:jc w:val="both"/>
              <w:rPr>
                <w:bCs/>
              </w:rPr>
            </w:pPr>
            <w:r>
              <w:t xml:space="preserve">Id tal-Ftehim Prinċipali  </w:t>
            </w:r>
          </w:p>
          <w:p w14:paraId="7FE1D154" w14:textId="77777777" w:rsidR="00534D9A" w:rsidRDefault="003243B2">
            <w:pPr>
              <w:pStyle w:val="P68B1DB1-TableParagraph40"/>
              <w:spacing w:before="108"/>
              <w:ind w:left="85"/>
              <w:jc w:val="both"/>
            </w:pPr>
            <w:r>
              <w:t>Identifikatur intern tal-ftehim prinċipali jew tal-kuntratt uniku.</w:t>
            </w:r>
          </w:p>
        </w:tc>
      </w:tr>
      <w:tr w:rsidR="00534D9A" w14:paraId="7FE1D159" w14:textId="77777777">
        <w:tc>
          <w:tcPr>
            <w:tcW w:w="1183" w:type="dxa"/>
            <w:tcBorders>
              <w:top w:val="single" w:sz="8" w:space="0" w:color="1A171C"/>
              <w:left w:val="nil"/>
              <w:bottom w:val="single" w:sz="8" w:space="0" w:color="1A171C"/>
              <w:right w:val="single" w:sz="8" w:space="0" w:color="1A171C"/>
            </w:tcBorders>
            <w:vAlign w:val="center"/>
          </w:tcPr>
          <w:p w14:paraId="7FE1D156" w14:textId="77777777" w:rsidR="00534D9A" w:rsidRDefault="003243B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57" w14:textId="27FD9F90" w:rsidR="00534D9A" w:rsidRDefault="003243B2">
            <w:pPr>
              <w:pStyle w:val="P68B1DB1-TableParagraph73"/>
              <w:spacing w:before="108"/>
              <w:ind w:left="85"/>
              <w:jc w:val="both"/>
              <w:rPr>
                <w:bCs/>
              </w:rPr>
            </w:pPr>
            <w:r>
              <w:t xml:space="preserve">Tip ta’ Ftehim Prinċipali </w:t>
            </w:r>
          </w:p>
          <w:p w14:paraId="7FE1D158" w14:textId="338F32CE" w:rsidR="00534D9A" w:rsidRDefault="003243B2">
            <w:pPr>
              <w:pStyle w:val="P68B1DB1-TableParagraph40"/>
              <w:spacing w:before="108"/>
              <w:ind w:left="85"/>
              <w:jc w:val="both"/>
            </w:pPr>
            <w:r>
              <w:t>Speċifika l-ftehim prinċipali, jew “ISDA 2002 Master Agreement”, “ISDA 1992 Master Agreement”, “ISDA 1987 Master Agreement”, “ISDA 1986 Master Agreement”, “ISDA 1985 Master Agreement”, “Ftehim Master Oħrajn”, “Kuntratt Uniku” minn lista predefinita.</w:t>
            </w:r>
          </w:p>
        </w:tc>
      </w:tr>
      <w:tr w:rsidR="00534D9A" w14:paraId="7FE1D15D" w14:textId="77777777">
        <w:tc>
          <w:tcPr>
            <w:tcW w:w="1183" w:type="dxa"/>
            <w:tcBorders>
              <w:top w:val="single" w:sz="8" w:space="0" w:color="1A171C"/>
              <w:left w:val="nil"/>
              <w:bottom w:val="single" w:sz="8" w:space="0" w:color="1A171C"/>
              <w:right w:val="single" w:sz="8" w:space="0" w:color="1A171C"/>
            </w:tcBorders>
            <w:vAlign w:val="center"/>
          </w:tcPr>
          <w:p w14:paraId="7FE1D15A" w14:textId="77777777" w:rsidR="00534D9A" w:rsidRDefault="003243B2">
            <w:pPr>
              <w:pStyle w:val="P68B1DB1-Normal31"/>
            </w:pPr>
            <w:r>
              <w:t>0061</w:t>
            </w:r>
          </w:p>
        </w:tc>
        <w:tc>
          <w:tcPr>
            <w:tcW w:w="7832" w:type="dxa"/>
            <w:tcBorders>
              <w:top w:val="single" w:sz="8" w:space="0" w:color="1A171C"/>
              <w:left w:val="single" w:sz="8" w:space="0" w:color="1A171C"/>
              <w:bottom w:val="single" w:sz="8" w:space="0" w:color="1A171C"/>
              <w:right w:val="nil"/>
            </w:tcBorders>
            <w:vAlign w:val="bottom"/>
          </w:tcPr>
          <w:p w14:paraId="7FE1D15B" w14:textId="179CE7EC" w:rsidR="00534D9A" w:rsidRDefault="003243B2">
            <w:pPr>
              <w:pStyle w:val="P68B1DB1-TableParagraph73"/>
              <w:spacing w:before="108"/>
              <w:ind w:left="85"/>
              <w:jc w:val="both"/>
              <w:rPr>
                <w:bCs/>
              </w:rPr>
            </w:pPr>
            <w:r>
              <w:t xml:space="preserve">Entità Aderenti tal-Protokoll tal-ISDA  </w:t>
            </w:r>
          </w:p>
          <w:p w14:paraId="7FE1D15C" w14:textId="34C9BF40" w:rsidR="00534D9A" w:rsidRDefault="003243B2">
            <w:pPr>
              <w:pStyle w:val="P68B1DB1-TableParagraph40"/>
              <w:spacing w:before="108"/>
              <w:ind w:left="85"/>
              <w:jc w:val="both"/>
            </w:pPr>
            <w:r>
              <w:t xml:space="preserve">Indika jekk l-entità nnifisha ffirmatx il-Protokoll ta’ Żjara Universali tal-ISDA, jew “Protokoll Universali tal-ISDA”, “Modulu JMP tal-ISDA”, “Modulu Ġuriżdizzjonali Omnibus BRRD II” jew “Le” minn lista predefinita. </w:t>
            </w:r>
          </w:p>
        </w:tc>
      </w:tr>
      <w:tr w:rsidR="00534D9A" w14:paraId="7FE1D161" w14:textId="77777777">
        <w:tc>
          <w:tcPr>
            <w:tcW w:w="1183" w:type="dxa"/>
            <w:tcBorders>
              <w:top w:val="single" w:sz="8" w:space="0" w:color="1A171C"/>
              <w:left w:val="nil"/>
              <w:bottom w:val="single" w:sz="8" w:space="0" w:color="1A171C"/>
              <w:right w:val="single" w:sz="8" w:space="0" w:color="1A171C"/>
            </w:tcBorders>
            <w:vAlign w:val="center"/>
          </w:tcPr>
          <w:p w14:paraId="7FE1D15E" w14:textId="77777777" w:rsidR="00534D9A" w:rsidRDefault="003243B2">
            <w:pPr>
              <w:pStyle w:val="P68B1DB1-Normal31"/>
            </w:pPr>
            <w:r>
              <w:t>0071</w:t>
            </w:r>
          </w:p>
        </w:tc>
        <w:tc>
          <w:tcPr>
            <w:tcW w:w="7832" w:type="dxa"/>
            <w:tcBorders>
              <w:top w:val="single" w:sz="8" w:space="0" w:color="1A171C"/>
              <w:left w:val="single" w:sz="8" w:space="0" w:color="1A171C"/>
              <w:bottom w:val="single" w:sz="8" w:space="0" w:color="1A171C"/>
              <w:right w:val="nil"/>
            </w:tcBorders>
            <w:vAlign w:val="bottom"/>
          </w:tcPr>
          <w:p w14:paraId="7FE1D15F" w14:textId="77777777" w:rsidR="00534D9A" w:rsidRDefault="003243B2">
            <w:pPr>
              <w:pStyle w:val="P68B1DB1-TableParagraph73"/>
              <w:spacing w:before="108"/>
              <w:ind w:left="85"/>
              <w:jc w:val="both"/>
              <w:rPr>
                <w:bCs/>
              </w:rPr>
            </w:pPr>
            <w:r>
              <w:t xml:space="preserve">Rikonoxximent tas-Soġġorn ta’ Riżoluzzjoni  </w:t>
            </w:r>
          </w:p>
          <w:p w14:paraId="7FE1D160" w14:textId="59E963FA" w:rsidR="00534D9A" w:rsidRDefault="003243B2">
            <w:pPr>
              <w:pStyle w:val="P68B1DB1-TableParagraph40"/>
              <w:spacing w:before="108"/>
              <w:ind w:left="85"/>
              <w:jc w:val="both"/>
            </w:pPr>
            <w:r>
              <w:t>Indika jekk il-kontroparti osservatx, jew “Protokoll Universali tal-ISDA”, “Modulu tal-JMP tal-ISDA”, “Ftehim ieħor għar-rikonoxximent tas-soġġorn ta’ riżoluzzjoni” jew “Ebda rikonoxximent tas-soġġorn ta’ riżoluzzjoni” minn lista predefinita.</w:t>
            </w:r>
          </w:p>
        </w:tc>
      </w:tr>
      <w:tr w:rsidR="00534D9A" w14:paraId="7FE1D165" w14:textId="77777777">
        <w:tc>
          <w:tcPr>
            <w:tcW w:w="1183" w:type="dxa"/>
            <w:tcBorders>
              <w:top w:val="single" w:sz="8" w:space="0" w:color="1A171C"/>
              <w:left w:val="nil"/>
              <w:bottom w:val="single" w:sz="8" w:space="0" w:color="1A171C"/>
              <w:right w:val="single" w:sz="8" w:space="0" w:color="1A171C"/>
            </w:tcBorders>
            <w:vAlign w:val="center"/>
          </w:tcPr>
          <w:p w14:paraId="7FE1D162" w14:textId="77777777" w:rsidR="00534D9A" w:rsidRDefault="003243B2">
            <w:pPr>
              <w:pStyle w:val="P68B1DB1-Normal31"/>
            </w:pPr>
            <w:r>
              <w:t>0075</w:t>
            </w:r>
          </w:p>
        </w:tc>
        <w:tc>
          <w:tcPr>
            <w:tcW w:w="7832" w:type="dxa"/>
            <w:tcBorders>
              <w:top w:val="single" w:sz="8" w:space="0" w:color="1A171C"/>
              <w:left w:val="single" w:sz="8" w:space="0" w:color="1A171C"/>
              <w:bottom w:val="single" w:sz="8" w:space="0" w:color="1A171C"/>
              <w:right w:val="nil"/>
            </w:tcBorders>
            <w:vAlign w:val="bottom"/>
          </w:tcPr>
          <w:p w14:paraId="7FE1D163" w14:textId="69AD6494" w:rsidR="00534D9A" w:rsidRDefault="003243B2">
            <w:pPr>
              <w:pStyle w:val="P68B1DB1-TableParagraph73"/>
              <w:spacing w:before="108"/>
              <w:ind w:left="85"/>
              <w:jc w:val="both"/>
              <w:rPr>
                <w:bCs/>
              </w:rPr>
            </w:pPr>
            <w:r>
              <w:t xml:space="preserve">Isem il-Kontroparti </w:t>
            </w:r>
          </w:p>
          <w:p w14:paraId="7FE1D164" w14:textId="222EF1A6" w:rsidR="00534D9A" w:rsidRDefault="003243B2">
            <w:pPr>
              <w:pStyle w:val="P68B1DB1-TableParagraph40"/>
              <w:spacing w:before="108"/>
              <w:ind w:left="85"/>
              <w:jc w:val="both"/>
            </w:pPr>
            <w:bookmarkStart w:id="249" w:name="_Hlk189839311"/>
            <w:r>
              <w:t>L-isem tal-entità tal-kontroparti.</w:t>
            </w:r>
            <w:bookmarkEnd w:id="249"/>
            <w:r>
              <w:t xml:space="preserve"> Fil-każ ta’ derivattivi kklerjati mis-CCP, irrapporta s-CCP rilevanti bħala kontroparti.</w:t>
            </w:r>
          </w:p>
        </w:tc>
      </w:tr>
      <w:tr w:rsidR="00534D9A" w14:paraId="7FE1D169" w14:textId="77777777">
        <w:tc>
          <w:tcPr>
            <w:tcW w:w="1183" w:type="dxa"/>
            <w:tcBorders>
              <w:top w:val="single" w:sz="8" w:space="0" w:color="1A171C"/>
              <w:left w:val="nil"/>
              <w:bottom w:val="single" w:sz="8" w:space="0" w:color="1A171C"/>
              <w:right w:val="single" w:sz="8" w:space="0" w:color="1A171C"/>
            </w:tcBorders>
            <w:vAlign w:val="center"/>
          </w:tcPr>
          <w:p w14:paraId="7FE1D166" w14:textId="77777777" w:rsidR="00534D9A" w:rsidRDefault="003243B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0E76A125" w14:textId="26AE2361" w:rsidR="00534D9A" w:rsidRDefault="003243B2">
            <w:pPr>
              <w:pStyle w:val="P68B1DB1-TableParagraph73"/>
              <w:spacing w:before="108"/>
              <w:ind w:left="85"/>
              <w:jc w:val="both"/>
              <w:rPr>
                <w:bCs/>
              </w:rPr>
            </w:pPr>
            <w:r>
              <w:t xml:space="preserve">Identifikatur tal-kontroparti </w:t>
            </w:r>
          </w:p>
          <w:p w14:paraId="7FE1D168" w14:textId="7D4036D9" w:rsidR="00534D9A" w:rsidRDefault="003243B2">
            <w:pPr>
              <w:pStyle w:val="P68B1DB1-TableParagraph40"/>
              <w:spacing w:before="108"/>
              <w:ind w:left="85"/>
              <w:jc w:val="both"/>
            </w:pPr>
            <w:r>
              <w:t xml:space="preserve">Irrapporta l-kodiċi LEI tal-kontroparti. Fin-nuqqas ta’ LEI, fil-każ tar-rapport tal-banek, l-identifikatur tal-Istituzzjonijiet Finanzjarji Monetarji tal-BĊE (MFI ID) użat fir-RIAD. Fin-nuqqas taż-żewġ identifikaturi, irrapporta identifikatur intern. </w:t>
            </w:r>
          </w:p>
        </w:tc>
      </w:tr>
      <w:tr w:rsidR="00534D9A" w14:paraId="7FE1D16D" w14:textId="77777777">
        <w:tc>
          <w:tcPr>
            <w:tcW w:w="1183" w:type="dxa"/>
            <w:tcBorders>
              <w:top w:val="single" w:sz="8" w:space="0" w:color="1A171C"/>
              <w:left w:val="nil"/>
              <w:bottom w:val="single" w:sz="8" w:space="0" w:color="1A171C"/>
              <w:right w:val="single" w:sz="8" w:space="0" w:color="1A171C"/>
            </w:tcBorders>
            <w:vAlign w:val="center"/>
          </w:tcPr>
          <w:p w14:paraId="7FE1D16A" w14:textId="77777777" w:rsidR="00534D9A" w:rsidRDefault="003243B2">
            <w:pPr>
              <w:pStyle w:val="P68B1DB1-Normal31"/>
            </w:pPr>
            <w:r>
              <w:t>0085</w:t>
            </w:r>
          </w:p>
        </w:tc>
        <w:tc>
          <w:tcPr>
            <w:tcW w:w="7832" w:type="dxa"/>
            <w:tcBorders>
              <w:top w:val="single" w:sz="8" w:space="0" w:color="1A171C"/>
              <w:left w:val="single" w:sz="8" w:space="0" w:color="1A171C"/>
              <w:bottom w:val="single" w:sz="8" w:space="0" w:color="1A171C"/>
              <w:right w:val="nil"/>
            </w:tcBorders>
            <w:vAlign w:val="bottom"/>
          </w:tcPr>
          <w:p w14:paraId="7FE1D16B" w14:textId="77777777" w:rsidR="00534D9A" w:rsidRDefault="003243B2">
            <w:pPr>
              <w:pStyle w:val="P68B1DB1-TableParagraph73"/>
              <w:spacing w:before="108"/>
              <w:ind w:left="85"/>
              <w:jc w:val="both"/>
              <w:rPr>
                <w:bCs/>
              </w:rPr>
            </w:pPr>
            <w:r>
              <w:t xml:space="preserve">Tip ta’ Identifikatur </w:t>
            </w:r>
          </w:p>
          <w:p w14:paraId="7FE1D16C"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D171" w14:textId="77777777">
        <w:tc>
          <w:tcPr>
            <w:tcW w:w="1183" w:type="dxa"/>
            <w:tcBorders>
              <w:top w:val="single" w:sz="8" w:space="0" w:color="1A171C"/>
              <w:left w:val="nil"/>
              <w:bottom w:val="single" w:sz="8" w:space="0" w:color="1A171C"/>
              <w:right w:val="single" w:sz="8" w:space="0" w:color="1A171C"/>
            </w:tcBorders>
            <w:vAlign w:val="center"/>
          </w:tcPr>
          <w:p w14:paraId="7FE1D16E" w14:textId="77777777" w:rsidR="00534D9A" w:rsidRDefault="003243B2">
            <w:pPr>
              <w:pStyle w:val="P68B1DB1-Normal31"/>
            </w:pPr>
            <w:r>
              <w:lastRenderedPageBreak/>
              <w:t>0090</w:t>
            </w:r>
          </w:p>
        </w:tc>
        <w:tc>
          <w:tcPr>
            <w:tcW w:w="7832" w:type="dxa"/>
            <w:tcBorders>
              <w:top w:val="single" w:sz="8" w:space="0" w:color="1A171C"/>
              <w:left w:val="single" w:sz="8" w:space="0" w:color="1A171C"/>
              <w:bottom w:val="single" w:sz="8" w:space="0" w:color="1A171C"/>
              <w:right w:val="nil"/>
            </w:tcBorders>
            <w:vAlign w:val="bottom"/>
          </w:tcPr>
          <w:p w14:paraId="7FE1D16F" w14:textId="23850D88" w:rsidR="00534D9A" w:rsidRDefault="003243B2">
            <w:pPr>
              <w:pStyle w:val="P68B1DB1-TableParagraph73"/>
              <w:spacing w:before="108"/>
              <w:ind w:left="85"/>
              <w:jc w:val="both"/>
              <w:rPr>
                <w:bCs/>
              </w:rPr>
            </w:pPr>
            <w:r>
              <w:t xml:space="preserve">Pajjiż tal-kontroparti  </w:t>
            </w:r>
          </w:p>
          <w:p w14:paraId="7FE1D170" w14:textId="77777777" w:rsidR="00534D9A" w:rsidRDefault="003243B2">
            <w:pPr>
              <w:pStyle w:val="P68B1DB1-TableParagraph40"/>
              <w:spacing w:before="108"/>
              <w:ind w:left="85"/>
              <w:jc w:val="both"/>
            </w:pPr>
            <w:r>
              <w:t>L-identifikazzjoni ISO 3166–1 alpha-2 tal-pajjiż fejn hija inkorporata l-kontroparti.</w:t>
            </w:r>
          </w:p>
        </w:tc>
      </w:tr>
      <w:tr w:rsidR="00534D9A" w14:paraId="7404F251" w14:textId="77777777">
        <w:tc>
          <w:tcPr>
            <w:tcW w:w="1183" w:type="dxa"/>
            <w:tcBorders>
              <w:top w:val="single" w:sz="8" w:space="0" w:color="1A171C"/>
              <w:left w:val="nil"/>
              <w:bottom w:val="single" w:sz="8" w:space="0" w:color="1A171C"/>
              <w:right w:val="single" w:sz="8" w:space="0" w:color="1A171C"/>
            </w:tcBorders>
            <w:vAlign w:val="center"/>
          </w:tcPr>
          <w:p w14:paraId="6A962F58" w14:textId="41C252E0" w:rsidR="00534D9A" w:rsidRDefault="003243B2">
            <w:pPr>
              <w:pStyle w:val="P68B1DB1-Normal31"/>
            </w:pPr>
            <w:r>
              <w:t>0095</w:t>
            </w:r>
          </w:p>
        </w:tc>
        <w:tc>
          <w:tcPr>
            <w:tcW w:w="7832" w:type="dxa"/>
            <w:tcBorders>
              <w:top w:val="single" w:sz="8" w:space="0" w:color="1A171C"/>
              <w:left w:val="single" w:sz="8" w:space="0" w:color="1A171C"/>
              <w:bottom w:val="single" w:sz="8" w:space="0" w:color="1A171C"/>
              <w:right w:val="nil"/>
            </w:tcBorders>
            <w:vAlign w:val="bottom"/>
          </w:tcPr>
          <w:p w14:paraId="770D3BD3" w14:textId="77777777" w:rsidR="00534D9A" w:rsidRDefault="003243B2">
            <w:pPr>
              <w:pStyle w:val="P68B1DB1-TableParagraph73"/>
              <w:spacing w:before="108"/>
              <w:ind w:left="85"/>
              <w:jc w:val="both"/>
              <w:rPr>
                <w:bCs/>
              </w:rPr>
            </w:pPr>
            <w:r>
              <w:t>Tranżazzjoni intragrupp</w:t>
            </w:r>
          </w:p>
          <w:p w14:paraId="1EA32667" w14:textId="1995F401" w:rsidR="00534D9A" w:rsidRDefault="003243B2">
            <w:pPr>
              <w:pStyle w:val="P68B1DB1-TableParagraph40"/>
              <w:spacing w:before="108"/>
              <w:ind w:left="85"/>
              <w:jc w:val="both"/>
            </w:pPr>
            <w:r>
              <w:t>L-entità relatriċi trid tindika jekk it-tranżazzjoni rrapportata ssirx ma’ kontroparti li tappartjeni għall-ambitu kontabilistiku tal-konsolidazzjoni tal-entità omm apikali. Il-valuri aċċettabbli huma “Veru” jew “Falz”</w:t>
            </w:r>
          </w:p>
        </w:tc>
      </w:tr>
      <w:tr w:rsidR="00534D9A" w14:paraId="7FE1D179" w14:textId="77777777">
        <w:tc>
          <w:tcPr>
            <w:tcW w:w="1183" w:type="dxa"/>
            <w:tcBorders>
              <w:top w:val="single" w:sz="8" w:space="0" w:color="1A171C"/>
              <w:left w:val="nil"/>
              <w:bottom w:val="single" w:sz="8" w:space="0" w:color="1A171C"/>
              <w:right w:val="single" w:sz="8" w:space="0" w:color="1A171C"/>
            </w:tcBorders>
            <w:vAlign w:val="center"/>
          </w:tcPr>
          <w:p w14:paraId="7FE1D176" w14:textId="77777777" w:rsidR="00534D9A" w:rsidRDefault="003243B2">
            <w:pPr>
              <w:pStyle w:val="P68B1DB1-TableParagraph40"/>
              <w:spacing w:before="108"/>
              <w:ind w:left="85"/>
              <w:jc w:val="both"/>
            </w:pPr>
            <w:r>
              <w:t>0100</w:t>
            </w:r>
          </w:p>
        </w:tc>
        <w:tc>
          <w:tcPr>
            <w:tcW w:w="7832" w:type="dxa"/>
            <w:tcBorders>
              <w:top w:val="single" w:sz="8" w:space="0" w:color="1A171C"/>
              <w:left w:val="single" w:sz="8" w:space="0" w:color="1A171C"/>
              <w:bottom w:val="single" w:sz="8" w:space="0" w:color="1A171C"/>
              <w:right w:val="nil"/>
            </w:tcBorders>
            <w:vAlign w:val="bottom"/>
          </w:tcPr>
          <w:p w14:paraId="7FE1D177" w14:textId="142FAAFF" w:rsidR="00534D9A" w:rsidRDefault="003243B2">
            <w:pPr>
              <w:pStyle w:val="P68B1DB1-TableParagraph73"/>
              <w:spacing w:before="108"/>
              <w:ind w:left="85"/>
              <w:jc w:val="both"/>
              <w:rPr>
                <w:bCs/>
              </w:rPr>
            </w:pPr>
            <w:r>
              <w:t>Liġi regolatorja tal-ftehim prinċipali/kuntratt uniku</w:t>
            </w:r>
          </w:p>
          <w:p w14:paraId="7FE1D178" w14:textId="69ED3535" w:rsidR="00534D9A" w:rsidRDefault="003243B2">
            <w:pPr>
              <w:pStyle w:val="P68B1DB1-TableParagraph40"/>
              <w:spacing w:before="108"/>
              <w:ind w:left="85"/>
              <w:jc w:val="both"/>
            </w:pPr>
            <w:r>
              <w:t xml:space="preserve">Il-kodiċi ISO 3166–1 alpha-2 tal-pajjiż li l-liġi tiegħu tirregola l-ftehim prinċipali/kuntratt uniku (uża l-kodiċi ISO 3166–2 meta l-liġi ta’ sottodiviżjoni amministrattiva tkun rilevanti, eż. “US-NY”). Jekk il-kuntratt ikun irregolat mil-liġi ta’ aktar minn pajjiż wieħed, għandu jiġi rrapportat il-pajjiż li l-liġi tiegħu għandha l-ogħla rilevanza għar-rikonoxximent tas-setgħat ta’ valwazzjoni negattiva u konverżjoni.  </w:t>
            </w:r>
          </w:p>
        </w:tc>
      </w:tr>
      <w:tr w:rsidR="00534D9A" w14:paraId="7FE1D17D" w14:textId="77777777">
        <w:tc>
          <w:tcPr>
            <w:tcW w:w="1183" w:type="dxa"/>
            <w:tcBorders>
              <w:top w:val="single" w:sz="8" w:space="0" w:color="1A171C"/>
              <w:left w:val="nil"/>
              <w:bottom w:val="single" w:sz="8" w:space="0" w:color="1A171C"/>
              <w:right w:val="single" w:sz="8" w:space="0" w:color="1A171C"/>
            </w:tcBorders>
            <w:vAlign w:val="center"/>
          </w:tcPr>
          <w:p w14:paraId="7FE1D17A" w14:textId="77777777" w:rsidR="00534D9A" w:rsidRDefault="003243B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7B" w14:textId="4C1F1D53" w:rsidR="00534D9A" w:rsidRDefault="003243B2">
            <w:pPr>
              <w:pStyle w:val="P68B1DB1-TableParagraph73"/>
              <w:spacing w:before="108"/>
              <w:ind w:left="85"/>
              <w:jc w:val="both"/>
              <w:rPr>
                <w:bCs/>
              </w:rPr>
            </w:pPr>
            <w:r>
              <w:t xml:space="preserve">Għadd ta’ Tranżazzjonijiet Koperti  </w:t>
            </w:r>
          </w:p>
          <w:p w14:paraId="7FE1D17C" w14:textId="77777777" w:rsidR="00534D9A" w:rsidRDefault="003243B2">
            <w:pPr>
              <w:pStyle w:val="P68B1DB1-TableParagraph40"/>
              <w:spacing w:before="108"/>
              <w:ind w:left="85"/>
              <w:jc w:val="both"/>
            </w:pPr>
            <w:r>
              <w:t>Indika n-numru ta’ kuntratti individwali li huma inklużi fis-sett tan-netting tal-Ftehimiet Prinċipali.</w:t>
            </w:r>
          </w:p>
        </w:tc>
      </w:tr>
      <w:tr w:rsidR="00534D9A" w14:paraId="7FE1D181" w14:textId="77777777">
        <w:tc>
          <w:tcPr>
            <w:tcW w:w="1183" w:type="dxa"/>
            <w:tcBorders>
              <w:top w:val="single" w:sz="8" w:space="0" w:color="1A171C"/>
              <w:left w:val="nil"/>
              <w:bottom w:val="single" w:sz="8" w:space="0" w:color="1A171C"/>
              <w:right w:val="single" w:sz="8" w:space="0" w:color="1A171C"/>
            </w:tcBorders>
            <w:vAlign w:val="center"/>
          </w:tcPr>
          <w:p w14:paraId="7FE1D17E" w14:textId="77777777" w:rsidR="00534D9A" w:rsidRDefault="003243B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17F" w14:textId="60B4E8A5" w:rsidR="00534D9A" w:rsidRDefault="003243B2">
            <w:pPr>
              <w:pStyle w:val="P68B1DB1-TableParagraph73"/>
              <w:spacing w:before="108"/>
              <w:ind w:left="85"/>
              <w:jc w:val="both"/>
              <w:rPr>
                <w:bCs/>
              </w:rPr>
            </w:pPr>
            <w:r>
              <w:t xml:space="preserve">Valwazzjoni netta għall-valur tas-suq </w:t>
            </w:r>
          </w:p>
          <w:p w14:paraId="7FE1D180" w14:textId="229346B5" w:rsidR="00534D9A" w:rsidRDefault="003243B2">
            <w:pPr>
              <w:pStyle w:val="P68B1DB1-TableParagraph40"/>
              <w:spacing w:before="108"/>
              <w:ind w:left="85"/>
              <w:jc w:val="both"/>
            </w:pPr>
            <w:r>
              <w:t xml:space="preserve">Il-valur nett tas-suq tal-obbligazzjonijiet derivattivi għal kull sett ta’ netting kuntrattwali jekk wieħed jassumi l-għeluq tad-derivattivi fid-data ta’ referenza. </w:t>
            </w:r>
          </w:p>
        </w:tc>
      </w:tr>
      <w:tr w:rsidR="00534D9A" w14:paraId="7FE1D185" w14:textId="77777777">
        <w:tc>
          <w:tcPr>
            <w:tcW w:w="1183" w:type="dxa"/>
            <w:tcBorders>
              <w:top w:val="single" w:sz="8" w:space="0" w:color="1A171C"/>
              <w:left w:val="nil"/>
              <w:bottom w:val="single" w:sz="8" w:space="0" w:color="1A171C"/>
              <w:right w:val="single" w:sz="8" w:space="0" w:color="1A171C"/>
            </w:tcBorders>
            <w:vAlign w:val="center"/>
          </w:tcPr>
          <w:p w14:paraId="7FE1D182" w14:textId="77777777" w:rsidR="00534D9A" w:rsidRDefault="003243B2">
            <w:pPr>
              <w:pStyle w:val="P68B1DB1-Normal31"/>
            </w:pPr>
            <w:r>
              <w:t>0130</w:t>
            </w:r>
          </w:p>
        </w:tc>
        <w:tc>
          <w:tcPr>
            <w:tcW w:w="7832" w:type="dxa"/>
            <w:tcBorders>
              <w:top w:val="single" w:sz="8" w:space="0" w:color="1A171C"/>
              <w:left w:val="single" w:sz="8" w:space="0" w:color="1A171C"/>
              <w:bottom w:val="single" w:sz="8" w:space="0" w:color="1A171C"/>
              <w:right w:val="nil"/>
            </w:tcBorders>
            <w:vAlign w:val="bottom"/>
          </w:tcPr>
          <w:p w14:paraId="7FE1D183" w14:textId="070C552A" w:rsidR="00534D9A" w:rsidRDefault="003243B2">
            <w:pPr>
              <w:pStyle w:val="P68B1DB1-TableParagraph73"/>
              <w:spacing w:before="108"/>
              <w:ind w:left="85"/>
              <w:jc w:val="both"/>
              <w:rPr>
                <w:bCs/>
              </w:rPr>
            </w:pPr>
            <w:r>
              <w:t xml:space="preserve">Valur tal-kollateral nett depożitat </w:t>
            </w:r>
          </w:p>
          <w:p w14:paraId="7FE1D184" w14:textId="014CEFC4" w:rsidR="00534D9A" w:rsidRDefault="003243B2">
            <w:pPr>
              <w:pStyle w:val="P68B1DB1-TableParagraph40"/>
              <w:spacing w:before="108"/>
              <w:ind w:left="85"/>
              <w:jc w:val="both"/>
            </w:pPr>
            <w:r>
              <w:t>Il-valur nett tas-suq ta’ pożizzjonijiet ta’ kollateral taħt sett ta’ netting (jiġifieri kollateral depożitat imnaqqas bi kwalunkwe kollateral riċevut). Dan jinkludi kwalunkwe kont ta’ marġni skont l-arranġamenti ta’ netting. Irrapporta bħala valur pożittiv għall-kollateral nett depożitat lill-kontropartijiet.</w:t>
            </w:r>
          </w:p>
        </w:tc>
      </w:tr>
      <w:tr w:rsidR="00534D9A" w14:paraId="7FE1D189" w14:textId="77777777">
        <w:tc>
          <w:tcPr>
            <w:tcW w:w="1183" w:type="dxa"/>
            <w:tcBorders>
              <w:top w:val="single" w:sz="8" w:space="0" w:color="1A171C"/>
              <w:left w:val="nil"/>
              <w:bottom w:val="single" w:sz="8" w:space="0" w:color="1A171C"/>
              <w:right w:val="single" w:sz="8" w:space="0" w:color="1A171C"/>
            </w:tcBorders>
            <w:vAlign w:val="center"/>
          </w:tcPr>
          <w:p w14:paraId="7FE1D186" w14:textId="77777777" w:rsidR="00534D9A" w:rsidRDefault="003243B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187" w14:textId="77777777" w:rsidR="00534D9A" w:rsidRDefault="003243B2">
            <w:pPr>
              <w:pStyle w:val="P68B1DB1-TableParagraph40"/>
              <w:spacing w:before="108"/>
              <w:ind w:left="85"/>
              <w:jc w:val="both"/>
              <w:rPr>
                <w:b/>
                <w:bCs/>
              </w:rPr>
            </w:pPr>
            <w:r>
              <w:t xml:space="preserve"> </w:t>
            </w:r>
            <w:r>
              <w:rPr>
                <w:b/>
              </w:rPr>
              <w:t>Ammont ta’ Għeluq Stmat</w:t>
            </w:r>
          </w:p>
          <w:p w14:paraId="7FE1D188" w14:textId="63DBB8B6" w:rsidR="00534D9A" w:rsidRDefault="003243B2">
            <w:pPr>
              <w:pStyle w:val="P68B1DB1-TableParagraph40"/>
              <w:spacing w:before="108"/>
              <w:ind w:left="85"/>
              <w:jc w:val="both"/>
            </w:pPr>
            <w:r>
              <w:t>L-ammont ta’ close-out stimat li jkopri l-ammont ta’ telf jew kostijiet minn kontropartijiet ta’ derivattivi, jew qligħ realizzat minnhom, billi jiġu sostitwiti jew miksuba l-ekwivalenti ekonomiċi ta’ termini materjali tal-kuntratti tterminati u d-drittijiet ta’ opzjoni tal-partijiet fir-rigward ta’ dawk il-kuntratti. F’xi każijiet; l-istimi meħtieġa biex jiġi ddeterminat dan il-valur f’konformità mar-Regolament Delegat (UE) 2016/1401 huma diffiċli biex jiġu rrapportati fuq bażi individwali. Għalhekk, minfl</w:t>
            </w:r>
            <w:r>
              <w:t>ok għandhom jintużaw valuri alternattivi, ibbażati fuq data disponibbli bħar-rekwiżiti prudenzjali għar-riskju tas-suq. Valur pożittiv għall-ammont stmat ta’ għeluq jirriżulta f’żieda fl-ammont stmat ta’ terminazzjoni bikrija, filwaqt li sinjal negattiv inaqqas l-ammont stmat ta’ terminazzjoni bikrija.</w:t>
            </w:r>
          </w:p>
        </w:tc>
      </w:tr>
      <w:tr w:rsidR="00534D9A" w14:paraId="7FE1D18D" w14:textId="77777777">
        <w:tc>
          <w:tcPr>
            <w:tcW w:w="1183" w:type="dxa"/>
            <w:vMerge w:val="restart"/>
            <w:tcBorders>
              <w:top w:val="single" w:sz="8" w:space="0" w:color="1A171C"/>
              <w:left w:val="nil"/>
              <w:right w:val="single" w:sz="8" w:space="0" w:color="1A171C"/>
            </w:tcBorders>
            <w:vAlign w:val="center"/>
          </w:tcPr>
          <w:p w14:paraId="7FE1D18A" w14:textId="77777777" w:rsidR="00534D9A" w:rsidRDefault="003243B2">
            <w:pPr>
              <w:pStyle w:val="P68B1DB1-Normal31"/>
            </w:pPr>
            <w:r>
              <w:t>0150</w:t>
            </w:r>
          </w:p>
        </w:tc>
        <w:tc>
          <w:tcPr>
            <w:tcW w:w="7832" w:type="dxa"/>
            <w:tcBorders>
              <w:top w:val="single" w:sz="8" w:space="0" w:color="1A171C"/>
              <w:left w:val="single" w:sz="8" w:space="0" w:color="1A171C"/>
              <w:right w:val="nil"/>
            </w:tcBorders>
            <w:vAlign w:val="bottom"/>
          </w:tcPr>
          <w:p w14:paraId="7FE1D18B" w14:textId="77777777" w:rsidR="00534D9A" w:rsidRDefault="003243B2">
            <w:pPr>
              <w:pStyle w:val="P68B1DB1-TableParagraph40"/>
              <w:spacing w:before="108"/>
              <w:ind w:left="85"/>
              <w:jc w:val="both"/>
              <w:rPr>
                <w:b/>
                <w:bCs/>
              </w:rPr>
            </w:pPr>
            <w:r>
              <w:t xml:space="preserve"> </w:t>
            </w:r>
            <w:r>
              <w:rPr>
                <w:b/>
              </w:rPr>
              <w:t>Ammont stmat ta’ Terminazzjoni Bikrija</w:t>
            </w:r>
          </w:p>
          <w:p w14:paraId="7FE1D18C" w14:textId="77777777" w:rsidR="00534D9A" w:rsidRDefault="003243B2">
            <w:pPr>
              <w:pStyle w:val="P68B1DB1-TableParagraph40"/>
              <w:spacing w:before="108"/>
              <w:ind w:left="85"/>
              <w:jc w:val="both"/>
            </w:pPr>
            <w:r>
              <w:t>B’referenza għar-Regolament Delegat (UE) 2016/1401 dwar il-valwazzjoni tad-derivattivi skont l-Artikolu 49(4) tal-BRRD, dan l-ammont huwa ddeterminat kif ġej:</w:t>
            </w:r>
          </w:p>
        </w:tc>
      </w:tr>
      <w:tr w:rsidR="00534D9A" w14:paraId="7FE1D190" w14:textId="77777777">
        <w:tc>
          <w:tcPr>
            <w:tcW w:w="1183" w:type="dxa"/>
            <w:vMerge/>
            <w:tcBorders>
              <w:right w:val="single" w:sz="8" w:space="0" w:color="1A171C"/>
            </w:tcBorders>
            <w:vAlign w:val="center"/>
          </w:tcPr>
          <w:p w14:paraId="7FE1D18E" w14:textId="77777777" w:rsidR="00534D9A" w:rsidRDefault="00534D9A">
            <w:pPr>
              <w:rPr>
                <w:rFonts w:ascii="Times New Roman" w:hAnsi="Times New Roman" w:cs="Times New Roman"/>
              </w:rPr>
            </w:pPr>
          </w:p>
        </w:tc>
        <w:tc>
          <w:tcPr>
            <w:tcW w:w="7832" w:type="dxa"/>
            <w:tcBorders>
              <w:left w:val="single" w:sz="8" w:space="0" w:color="1A171C"/>
              <w:right w:val="nil"/>
            </w:tcBorders>
            <w:vAlign w:val="bottom"/>
          </w:tcPr>
          <w:p w14:paraId="7FE1D18F" w14:textId="77777777" w:rsidR="00534D9A" w:rsidRDefault="003243B2">
            <w:pPr>
              <w:pStyle w:val="P68B1DB1-TableParagraph40"/>
              <w:spacing w:before="108"/>
              <w:ind w:left="85"/>
              <w:jc w:val="both"/>
            </w:pPr>
            <w:r>
              <w:t xml:space="preserve"> “Il-valwatur għandu jiddetermina l-valur tal-obbligazzjonijiet li jirriżultaw minn kuntratti tad-derivattivi taħt sett ta’ netting bħala ammont ta’ terminazzjoni bikrija kkalkulat bħala s-somma ta’: </w:t>
            </w:r>
          </w:p>
        </w:tc>
      </w:tr>
      <w:tr w:rsidR="00534D9A" w14:paraId="7FE1D193" w14:textId="77777777">
        <w:tc>
          <w:tcPr>
            <w:tcW w:w="1183" w:type="dxa"/>
            <w:vMerge/>
            <w:tcBorders>
              <w:right w:val="single" w:sz="8" w:space="0" w:color="1A171C"/>
            </w:tcBorders>
            <w:vAlign w:val="center"/>
          </w:tcPr>
          <w:p w14:paraId="7FE1D191" w14:textId="77777777" w:rsidR="00534D9A" w:rsidRDefault="00534D9A">
            <w:pPr>
              <w:rPr>
                <w:rFonts w:ascii="Times New Roman" w:hAnsi="Times New Roman" w:cs="Times New Roman"/>
              </w:rPr>
            </w:pPr>
          </w:p>
        </w:tc>
        <w:tc>
          <w:tcPr>
            <w:tcW w:w="7832" w:type="dxa"/>
            <w:tcBorders>
              <w:left w:val="single" w:sz="8" w:space="0" w:color="1A171C"/>
              <w:right w:val="nil"/>
            </w:tcBorders>
            <w:vAlign w:val="bottom"/>
          </w:tcPr>
          <w:p w14:paraId="7FE1D192" w14:textId="77777777" w:rsidR="00534D9A" w:rsidRDefault="003243B2">
            <w:pPr>
              <w:pStyle w:val="P68B1DB1-TableParagraph40"/>
              <w:spacing w:before="108"/>
              <w:ind w:left="85"/>
              <w:jc w:val="both"/>
            </w:pPr>
            <w:r>
              <w:t xml:space="preserve"> · Ammonti mhux imħallsa, kollaterali jew ammonti oħra dovuti mill-istituzzjoni taħt riżoluzzjoni lill-kontroparti, bit-tnaqqis tal-ammonti mhux imħallsa, ammonti kollaterali u ammonti oħra dovuti mill-kontraparti lill-istituzzjoni taħt riżoluzzjoni fid-data tal-close-out; kif ukoll</w:t>
            </w:r>
          </w:p>
        </w:tc>
      </w:tr>
      <w:tr w:rsidR="00534D9A" w14:paraId="7FE1D196" w14:textId="77777777">
        <w:tc>
          <w:tcPr>
            <w:tcW w:w="1183" w:type="dxa"/>
            <w:vMerge/>
            <w:tcBorders>
              <w:right w:val="single" w:sz="8" w:space="0" w:color="1A171C"/>
            </w:tcBorders>
            <w:vAlign w:val="center"/>
          </w:tcPr>
          <w:p w14:paraId="7FE1D194" w14:textId="77777777" w:rsidR="00534D9A" w:rsidRDefault="00534D9A">
            <w:pPr>
              <w:rPr>
                <w:rFonts w:ascii="Times New Roman" w:hAnsi="Times New Roman" w:cs="Times New Roman"/>
              </w:rPr>
            </w:pPr>
          </w:p>
        </w:tc>
        <w:tc>
          <w:tcPr>
            <w:tcW w:w="7832" w:type="dxa"/>
            <w:tcBorders>
              <w:left w:val="single" w:sz="8" w:space="0" w:color="1A171C"/>
              <w:right w:val="nil"/>
            </w:tcBorders>
            <w:vAlign w:val="bottom"/>
          </w:tcPr>
          <w:p w14:paraId="7FE1D195" w14:textId="77777777" w:rsidR="00534D9A" w:rsidRDefault="003243B2">
            <w:pPr>
              <w:pStyle w:val="P68B1DB1-TableParagraph40"/>
              <w:spacing w:before="108"/>
              <w:ind w:left="85"/>
              <w:jc w:val="both"/>
            </w:pPr>
            <w:r>
              <w:t xml:space="preserve"> · Ammont ta’ close-out li jkopri l-ammont ta’ telf jew kostijiet minn kontropartijiet ta’ derivattivi, jew qligħ realizzat minnhom, billi jiġu sostitwiti jew miksuba l-ekwivalenti ekonomiċi ta’ termini materjali tal-kuntratti u d-drittijiet ta’ opzjoni tal-partijiet fir-rigward ta’ dawk il-kuntratti.</w:t>
            </w:r>
          </w:p>
        </w:tc>
      </w:tr>
      <w:tr w:rsidR="00534D9A" w14:paraId="7FE1D199" w14:textId="77777777">
        <w:tc>
          <w:tcPr>
            <w:tcW w:w="1183" w:type="dxa"/>
            <w:vMerge/>
            <w:tcBorders>
              <w:right w:val="single" w:sz="8" w:space="0" w:color="1A171C"/>
            </w:tcBorders>
            <w:vAlign w:val="center"/>
          </w:tcPr>
          <w:p w14:paraId="7FE1D197" w14:textId="77777777" w:rsidR="00534D9A" w:rsidRDefault="00534D9A">
            <w:pPr>
              <w:rPr>
                <w:rFonts w:ascii="Times New Roman" w:hAnsi="Times New Roman" w:cs="Times New Roman"/>
              </w:rPr>
            </w:pPr>
          </w:p>
        </w:tc>
        <w:tc>
          <w:tcPr>
            <w:tcW w:w="7832" w:type="dxa"/>
            <w:tcBorders>
              <w:left w:val="single" w:sz="8" w:space="0" w:color="1A171C"/>
              <w:bottom w:val="single" w:sz="8" w:space="0" w:color="1A171C"/>
              <w:right w:val="nil"/>
            </w:tcBorders>
            <w:vAlign w:val="bottom"/>
          </w:tcPr>
          <w:p w14:paraId="7FE1D198" w14:textId="77777777" w:rsidR="00534D9A" w:rsidRDefault="003243B2">
            <w:pPr>
              <w:pStyle w:val="P68B1DB1-TableParagraph40"/>
              <w:spacing w:before="108"/>
              <w:ind w:left="85"/>
              <w:jc w:val="both"/>
            </w:pPr>
            <w:r>
              <w:t xml:space="preserve"> Bħala tali, l-Ammont ta’ Terminazzjoni Bikrija Stmat irid ikun daqs il-Valur Nett skont is-Suq </w:t>
            </w:r>
            <w:r>
              <w:lastRenderedPageBreak/>
              <w:t>(c0120) — Valur ta’ Kollateral Nett Ppożizzjonat (c0130) + Ammont Miżmum Magħluq Stmat (c0140).</w:t>
            </w:r>
          </w:p>
        </w:tc>
      </w:tr>
    </w:tbl>
    <w:p w14:paraId="7FE1D19A" w14:textId="77777777" w:rsidR="00534D9A" w:rsidRDefault="00534D9A">
      <w:pPr>
        <w:pStyle w:val="Instructionsberschrift2"/>
        <w:ind w:left="357"/>
        <w:rPr>
          <w:rFonts w:ascii="Times New Roman" w:eastAsia="Calibri" w:hAnsi="Times New Roman" w:cs="Times New Roman"/>
          <w:szCs w:val="20"/>
        </w:rPr>
      </w:pPr>
      <w:bookmarkStart w:id="250" w:name="_Toc81454217"/>
    </w:p>
    <w:p w14:paraId="7FE1D19B" w14:textId="08247010" w:rsidR="00534D9A" w:rsidRDefault="003243B2">
      <w:pPr>
        <w:pStyle w:val="Instructionsberschrift2"/>
        <w:numPr>
          <w:ilvl w:val="1"/>
          <w:numId w:val="49"/>
        </w:numPr>
        <w:spacing w:before="0"/>
        <w:ind w:left="357" w:hanging="357"/>
        <w:rPr>
          <w:rFonts w:ascii="Times New Roman" w:hAnsi="Times New Roman" w:cs="Times New Roman"/>
        </w:rPr>
      </w:pPr>
      <w:bookmarkStart w:id="251" w:name="_Toc208245030"/>
      <w:r>
        <w:rPr>
          <w:rFonts w:ascii="Times New Roman" w:eastAsiaTheme="minorEastAsia" w:hAnsi="Times New Roman" w:cs="Times New Roman"/>
        </w:rPr>
        <w:t xml:space="preserve">Z 16.00 — Tranżazzjonijiet ta’ finanzjament garantit, minbarra intragrupp </w:t>
      </w:r>
      <w:r>
        <w:rPr>
          <w:rFonts w:ascii="Times New Roman" w:eastAsia="Calibri" w:hAnsi="Times New Roman" w:cs="Times New Roman"/>
          <w:szCs w:val="20"/>
        </w:rPr>
        <w:t>(LIAB-G-6)</w:t>
      </w:r>
      <w:bookmarkEnd w:id="251"/>
    </w:p>
    <w:p w14:paraId="7FE1D19C" w14:textId="07C13721" w:rsidR="00534D9A" w:rsidRDefault="003243B2">
      <w:pPr>
        <w:pStyle w:val="P68B1DB1-Instructionsberschrift289"/>
        <w:rPr>
          <w:rFonts w:eastAsiaTheme="minorEastAsia"/>
        </w:rPr>
      </w:pPr>
      <w:r>
        <w:t xml:space="preserve"> </w:t>
      </w:r>
      <w:bookmarkEnd w:id="250"/>
    </w:p>
    <w:p w14:paraId="7FE1D19D" w14:textId="77777777" w:rsidR="00534D9A" w:rsidRDefault="003243B2">
      <w:pPr>
        <w:pStyle w:val="P68B1DB1-Numberedtitlelevel388"/>
      </w:pPr>
      <w:r>
        <w:t>Kummenti ġenerali</w:t>
      </w:r>
    </w:p>
    <w:p w14:paraId="7FE1D19E" w14:textId="3901B7DB" w:rsidR="00534D9A" w:rsidRDefault="003243B2">
      <w:pPr>
        <w:pStyle w:val="P68B1DB1-InstructionsText286"/>
        <w:numPr>
          <w:ilvl w:val="2"/>
          <w:numId w:val="209"/>
        </w:numPr>
        <w:spacing w:before="0"/>
        <w:ind w:left="1276"/>
        <w:rPr>
          <w:rFonts w:eastAsiaTheme="majorEastAsia"/>
        </w:rPr>
      </w:pPr>
      <w:r>
        <w:t xml:space="preserve">Finanzjament garantit jinkludi l-arranġamenti kollha ta’ finanzjament li huma soġġetti għall-forniment ta’ kollateral, rahan jew rahan, esklużi, pereżempju, titoli li jridu jiġu rrapportati f’Z12.00. </w:t>
      </w:r>
    </w:p>
    <w:p w14:paraId="7FE1D19F" w14:textId="77777777" w:rsidR="00534D9A" w:rsidRDefault="003243B2">
      <w:pPr>
        <w:pStyle w:val="P68B1DB1-InstructionsText286"/>
        <w:numPr>
          <w:ilvl w:val="2"/>
          <w:numId w:val="209"/>
        </w:numPr>
        <w:spacing w:before="0"/>
        <w:ind w:left="1276"/>
      </w:pPr>
      <w:r>
        <w:t>Eżempji tipiċi ta’ arranġamenti bħal dawn huma ftehimiet ta’ finanzjament jew ta’ riakkwist tal-bank ċentrali.</w:t>
      </w:r>
    </w:p>
    <w:p w14:paraId="7FE1D1A0" w14:textId="77777777" w:rsidR="00534D9A" w:rsidRDefault="003243B2">
      <w:pPr>
        <w:pStyle w:val="P68B1DB1-InstructionsText286"/>
        <w:numPr>
          <w:ilvl w:val="2"/>
          <w:numId w:val="209"/>
        </w:numPr>
        <w:spacing w:before="0"/>
        <w:ind w:left="1276"/>
      </w:pPr>
      <w:r>
        <w:t>L-obbligazzjoni garantita għandha tiġi rrapportata, mhux il-kollateral innifsu.</w:t>
      </w:r>
    </w:p>
    <w:p w14:paraId="7FE1D1A1" w14:textId="437B0574" w:rsidR="00534D9A" w:rsidRDefault="003243B2">
      <w:pPr>
        <w:pStyle w:val="P68B1DB1-InstructionsText286"/>
        <w:numPr>
          <w:ilvl w:val="2"/>
          <w:numId w:val="209"/>
        </w:numPr>
        <w:spacing w:before="0"/>
        <w:ind w:left="1276"/>
      </w:pPr>
      <w:r>
        <w:t xml:space="preserve">Għall-finijiet ta’ din it-tabella, l-arranġamenti finanzjarji garantiti jridu jiġu rrapportati skont is-sett tan-netting, jiġifieri kull sett tan-netting irrapportat bħala entrata individwali tar-ringiela. Madankollu, il-porzjon iggarantit u l-porzjon mhux garantit tal-istess sett tan-netting iridu jiġu rrapportati f’entrati differenti tar-ringieli f’każ li jappartjenu għal klassifikazzjonijiet differenti tal-insolvenza. </w:t>
      </w:r>
    </w:p>
    <w:p w14:paraId="7FE1D1A2" w14:textId="77777777" w:rsidR="00534D9A" w:rsidRDefault="003243B2">
      <w:pPr>
        <w:pStyle w:val="P68B1DB1-InstructionsText286"/>
        <w:numPr>
          <w:ilvl w:val="2"/>
          <w:numId w:val="209"/>
        </w:numPr>
        <w:spacing w:before="0"/>
        <w:ind w:left="1276"/>
      </w:pPr>
      <w:r>
        <w:t>L-ebda limitu ta’ rapportar ma huwa applikabbli f’dan ir-rigward.</w:t>
      </w:r>
    </w:p>
    <w:p w14:paraId="7FE1D1A3" w14:textId="77777777" w:rsidR="00534D9A" w:rsidRDefault="003243B2">
      <w:pPr>
        <w:pStyle w:val="P68B1DB1-Numberedtitlelevel388"/>
      </w:pPr>
      <w:r>
        <w:t>Struzzjonijiet li jikkonċernaw pożizzjonijiet speċifiċi</w:t>
      </w:r>
    </w:p>
    <w:tbl>
      <w:tblPr>
        <w:tblW w:w="9015" w:type="dxa"/>
        <w:tblInd w:w="135" w:type="dxa"/>
        <w:tblLayout w:type="fixed"/>
        <w:tblLook w:val="04A0" w:firstRow="1" w:lastRow="0" w:firstColumn="1" w:lastColumn="0" w:noHBand="0" w:noVBand="1"/>
      </w:tblPr>
      <w:tblGrid>
        <w:gridCol w:w="1183"/>
        <w:gridCol w:w="7832"/>
      </w:tblGrid>
      <w:tr w:rsidR="00534D9A" w14:paraId="7FE1D1A6"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A4" w14:textId="77777777" w:rsidR="00534D9A" w:rsidRDefault="003243B2">
            <w:pPr>
              <w:pStyle w:val="P68B1DB1-Normal31"/>
            </w:pPr>
            <w:r>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A5" w14:textId="77777777" w:rsidR="00534D9A" w:rsidRDefault="003243B2">
            <w:pPr>
              <w:pStyle w:val="P68B1DB1-Normal31"/>
            </w:pPr>
            <w:r>
              <w:t xml:space="preserve">Struzzjonijiet </w:t>
            </w:r>
          </w:p>
        </w:tc>
      </w:tr>
      <w:tr w:rsidR="00534D9A" w14:paraId="7FE1D1AA" w14:textId="77777777">
        <w:tc>
          <w:tcPr>
            <w:tcW w:w="1183" w:type="dxa"/>
            <w:tcBorders>
              <w:top w:val="single" w:sz="8" w:space="0" w:color="1A171C"/>
              <w:left w:val="nil"/>
              <w:bottom w:val="single" w:sz="8" w:space="0" w:color="1A171C"/>
              <w:right w:val="single" w:sz="8" w:space="0" w:color="1A171C"/>
            </w:tcBorders>
            <w:vAlign w:val="center"/>
          </w:tcPr>
          <w:p w14:paraId="7FE1D1A7" w14:textId="77777777" w:rsidR="00534D9A" w:rsidRDefault="003243B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A8" w14:textId="77777777" w:rsidR="00534D9A" w:rsidRDefault="003243B2">
            <w:pPr>
              <w:pStyle w:val="P68B1DB1-TableParagraph40"/>
              <w:spacing w:before="108"/>
              <w:ind w:left="85"/>
              <w:jc w:val="both"/>
              <w:rPr>
                <w:b/>
                <w:bCs/>
              </w:rPr>
            </w:pPr>
            <w:r>
              <w:t xml:space="preserve"> </w:t>
            </w:r>
            <w:r>
              <w:rPr>
                <w:b/>
              </w:rPr>
              <w:t>NRU</w:t>
            </w:r>
          </w:p>
          <w:p w14:paraId="7FE1D1A9" w14:textId="7C09A169" w:rsidR="00534D9A" w:rsidRDefault="003243B2">
            <w:pPr>
              <w:pStyle w:val="P68B1DB1-TableParagraph40"/>
              <w:spacing w:before="108"/>
              <w:ind w:left="85"/>
              <w:jc w:val="both"/>
            </w:pPr>
            <w:r>
              <w:t>Numru uniku/ċavetta primarja biex jiġu identifikati l-oġġetti tar-ringiela.</w:t>
            </w:r>
          </w:p>
        </w:tc>
      </w:tr>
      <w:tr w:rsidR="00534D9A" w14:paraId="7FE1D1AE" w14:textId="77777777">
        <w:tc>
          <w:tcPr>
            <w:tcW w:w="1183" w:type="dxa"/>
            <w:tcBorders>
              <w:top w:val="single" w:sz="8" w:space="0" w:color="1A171C"/>
              <w:left w:val="nil"/>
              <w:bottom w:val="single" w:sz="8" w:space="0" w:color="1A171C"/>
              <w:right w:val="single" w:sz="8" w:space="0" w:color="1A171C"/>
            </w:tcBorders>
            <w:vAlign w:val="center"/>
          </w:tcPr>
          <w:p w14:paraId="7FE1D1AB" w14:textId="77777777" w:rsidR="00534D9A" w:rsidRDefault="003243B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AC" w14:textId="77777777" w:rsidR="00534D9A" w:rsidRDefault="003243B2">
            <w:pPr>
              <w:pStyle w:val="P68B1DB1-TableParagraph40"/>
              <w:spacing w:before="108"/>
              <w:ind w:left="85"/>
              <w:jc w:val="both"/>
              <w:rPr>
                <w:b/>
                <w:bCs/>
              </w:rPr>
            </w:pPr>
            <w:r>
              <w:t xml:space="preserve"> </w:t>
            </w:r>
            <w:r>
              <w:rPr>
                <w:b/>
              </w:rPr>
              <w:t>Kolonna</w:t>
            </w:r>
          </w:p>
          <w:p w14:paraId="7FE1D1AD" w14:textId="57B67374" w:rsidR="00534D9A" w:rsidRDefault="003243B2">
            <w:pPr>
              <w:pStyle w:val="P68B1DB1-TableParagraph40"/>
              <w:spacing w:before="108"/>
              <w:ind w:left="85"/>
              <w:jc w:val="both"/>
            </w:pPr>
            <w:r>
              <w:t>Għal kull sett tan-netting, trid tiġi pprovduta rikonċiljazzjoni mal-klassi tal-kontroparti f’Z02.00 li għaliha hija dovuta l-obbligazzjoni minn lista predefinita ta’ valuri.</w:t>
            </w:r>
          </w:p>
        </w:tc>
      </w:tr>
      <w:tr w:rsidR="00534D9A" w14:paraId="7FE1D1B2" w14:textId="77777777">
        <w:tc>
          <w:tcPr>
            <w:tcW w:w="1183" w:type="dxa"/>
            <w:tcBorders>
              <w:top w:val="single" w:sz="8" w:space="0" w:color="1A171C"/>
              <w:left w:val="nil"/>
              <w:bottom w:val="single" w:sz="8" w:space="0" w:color="1A171C"/>
              <w:right w:val="single" w:sz="8" w:space="0" w:color="1A171C"/>
            </w:tcBorders>
            <w:vAlign w:val="center"/>
          </w:tcPr>
          <w:p w14:paraId="7FE1D1AF" w14:textId="77777777" w:rsidR="00534D9A" w:rsidRDefault="003243B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B0" w14:textId="77777777" w:rsidR="00534D9A" w:rsidRDefault="003243B2">
            <w:pPr>
              <w:pStyle w:val="P68B1DB1-TableParagraph40"/>
              <w:spacing w:before="108"/>
              <w:ind w:left="85"/>
              <w:jc w:val="both"/>
              <w:rPr>
                <w:b/>
                <w:bCs/>
              </w:rPr>
            </w:pPr>
            <w:r>
              <w:t xml:space="preserve"> </w:t>
            </w:r>
            <w:r>
              <w:rPr>
                <w:b/>
              </w:rPr>
              <w:t>Klassifikazzjoni tal-Insolvenza</w:t>
            </w:r>
          </w:p>
          <w:p w14:paraId="7FE1D1B1" w14:textId="0D780E4C"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D1B6" w14:textId="77777777">
        <w:tc>
          <w:tcPr>
            <w:tcW w:w="1183" w:type="dxa"/>
            <w:tcBorders>
              <w:top w:val="single" w:sz="8" w:space="0" w:color="1A171C"/>
              <w:left w:val="nil"/>
              <w:bottom w:val="single" w:sz="8" w:space="0" w:color="1A171C"/>
              <w:right w:val="single" w:sz="8" w:space="0" w:color="1A171C"/>
            </w:tcBorders>
            <w:vAlign w:val="center"/>
          </w:tcPr>
          <w:p w14:paraId="7FE1D1B3" w14:textId="77777777" w:rsidR="00534D9A" w:rsidRDefault="003243B2">
            <w:pPr>
              <w:pStyle w:val="P68B1DB1-Normal31"/>
            </w:pPr>
            <w:r>
              <w:t>0040</w:t>
            </w:r>
          </w:p>
        </w:tc>
        <w:tc>
          <w:tcPr>
            <w:tcW w:w="7832" w:type="dxa"/>
            <w:tcBorders>
              <w:top w:val="single" w:sz="8" w:space="0" w:color="1A171C"/>
              <w:left w:val="single" w:sz="8" w:space="0" w:color="1A171C"/>
              <w:bottom w:val="single" w:sz="8" w:space="0" w:color="1A171C"/>
              <w:right w:val="nil"/>
            </w:tcBorders>
            <w:vAlign w:val="bottom"/>
          </w:tcPr>
          <w:p w14:paraId="7FE1D1B4" w14:textId="77777777" w:rsidR="00534D9A" w:rsidRDefault="003243B2">
            <w:pPr>
              <w:pStyle w:val="P68B1DB1-TableParagraph73"/>
              <w:spacing w:before="108"/>
              <w:ind w:left="85"/>
              <w:jc w:val="both"/>
              <w:rPr>
                <w:bCs/>
              </w:rPr>
            </w:pPr>
            <w:r>
              <w:t xml:space="preserve"> Id tal-Ftehim Prinċipali </w:t>
            </w:r>
          </w:p>
          <w:p w14:paraId="7FE1D1B5" w14:textId="77777777" w:rsidR="00534D9A" w:rsidRDefault="003243B2">
            <w:pPr>
              <w:pStyle w:val="P68B1DB1-TableParagraph40"/>
              <w:spacing w:before="108"/>
              <w:ind w:left="85"/>
              <w:jc w:val="both"/>
            </w:pPr>
            <w:r>
              <w:t>Identifikatur intern tal-ftehim prinċipali jew tal-kuntratt uniku.</w:t>
            </w:r>
          </w:p>
        </w:tc>
      </w:tr>
      <w:tr w:rsidR="00534D9A" w14:paraId="7FE1D1BA" w14:textId="77777777">
        <w:tc>
          <w:tcPr>
            <w:tcW w:w="1183" w:type="dxa"/>
            <w:tcBorders>
              <w:top w:val="single" w:sz="8" w:space="0" w:color="1A171C"/>
              <w:left w:val="nil"/>
              <w:bottom w:val="single" w:sz="8" w:space="0" w:color="1A171C"/>
              <w:right w:val="single" w:sz="8" w:space="0" w:color="1A171C"/>
            </w:tcBorders>
            <w:vAlign w:val="center"/>
          </w:tcPr>
          <w:p w14:paraId="7FE1D1B7" w14:textId="77777777" w:rsidR="00534D9A" w:rsidRDefault="003243B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B8" w14:textId="77777777" w:rsidR="00534D9A" w:rsidRDefault="003243B2">
            <w:pPr>
              <w:pStyle w:val="P68B1DB1-TableParagraph73"/>
              <w:spacing w:before="108"/>
              <w:ind w:left="85"/>
              <w:jc w:val="both"/>
              <w:rPr>
                <w:bCs/>
              </w:rPr>
            </w:pPr>
            <w:r>
              <w:t xml:space="preserve"> Tip ta’ MA (eż. GMRA) </w:t>
            </w:r>
          </w:p>
          <w:p w14:paraId="7FE1D1B9" w14:textId="7472E062" w:rsidR="00534D9A" w:rsidRDefault="003243B2">
            <w:pPr>
              <w:pStyle w:val="P68B1DB1-TableParagraph40"/>
              <w:spacing w:before="108"/>
              <w:ind w:left="85"/>
              <w:jc w:val="both"/>
            </w:pPr>
            <w:r>
              <w:t>Speċifika l-ftehim ewlieni, jew “ICMA 2011 Ftehimiet prinċipali globali ta’ riakkwist”, “ICMA 2000 Ftehimiet prinċipali globali ta’ riakkwist”, “ICMA 1995 Ftehimiet prinċipali globali ta’ riakkwist”, “ICMA 1992 Ftehimiet prinċipali globali ta’ riakkwist”, “Ftehimiet prinċipali oħra ta’ riakkwist Globali” jew “Kuntratt Uniku” minn lista predefinita.</w:t>
            </w:r>
          </w:p>
        </w:tc>
      </w:tr>
      <w:tr w:rsidR="00534D9A" w14:paraId="7FE1D1BE" w14:textId="77777777">
        <w:tc>
          <w:tcPr>
            <w:tcW w:w="1183" w:type="dxa"/>
            <w:tcBorders>
              <w:top w:val="single" w:sz="8" w:space="0" w:color="1A171C"/>
              <w:left w:val="nil"/>
              <w:bottom w:val="single" w:sz="8" w:space="0" w:color="1A171C"/>
              <w:right w:val="single" w:sz="8" w:space="0" w:color="1A171C"/>
            </w:tcBorders>
            <w:vAlign w:val="center"/>
          </w:tcPr>
          <w:p w14:paraId="7FE1D1BB" w14:textId="77777777" w:rsidR="00534D9A" w:rsidRDefault="003243B2">
            <w:pPr>
              <w:pStyle w:val="P68B1DB1-Normal31"/>
            </w:pPr>
            <w:r>
              <w:t>0055</w:t>
            </w:r>
          </w:p>
        </w:tc>
        <w:tc>
          <w:tcPr>
            <w:tcW w:w="7832" w:type="dxa"/>
            <w:tcBorders>
              <w:top w:val="single" w:sz="8" w:space="0" w:color="1A171C"/>
              <w:left w:val="single" w:sz="8" w:space="0" w:color="1A171C"/>
              <w:bottom w:val="single" w:sz="8" w:space="0" w:color="1A171C"/>
              <w:right w:val="nil"/>
            </w:tcBorders>
            <w:vAlign w:val="bottom"/>
          </w:tcPr>
          <w:p w14:paraId="7FE1D1BC" w14:textId="6A2B6D2B" w:rsidR="00534D9A" w:rsidRDefault="003243B2">
            <w:pPr>
              <w:pStyle w:val="P68B1DB1-TableParagraph73"/>
              <w:spacing w:before="108"/>
              <w:ind w:left="85"/>
              <w:jc w:val="both"/>
              <w:rPr>
                <w:bCs/>
              </w:rPr>
            </w:pPr>
            <w:bookmarkStart w:id="252" w:name="_Hlk189839338"/>
            <w:r>
              <w:t xml:space="preserve">Isem il-kontroparti </w:t>
            </w:r>
          </w:p>
          <w:bookmarkEnd w:id="252"/>
          <w:p w14:paraId="7FE1D1BD" w14:textId="0E71EEA1" w:rsidR="00534D9A" w:rsidRDefault="003243B2">
            <w:pPr>
              <w:pStyle w:val="P68B1DB1-TableParagraph40"/>
              <w:spacing w:before="108"/>
              <w:ind w:left="85"/>
              <w:jc w:val="both"/>
            </w:pPr>
            <w:r>
              <w:t>L-isem tal-entità tal-kontroparti.</w:t>
            </w:r>
          </w:p>
        </w:tc>
      </w:tr>
      <w:tr w:rsidR="00534D9A" w14:paraId="7FE1D1C2" w14:textId="77777777">
        <w:tc>
          <w:tcPr>
            <w:tcW w:w="1183" w:type="dxa"/>
            <w:tcBorders>
              <w:top w:val="single" w:sz="8" w:space="0" w:color="1A171C"/>
              <w:left w:val="nil"/>
              <w:bottom w:val="single" w:sz="8" w:space="0" w:color="1A171C"/>
              <w:right w:val="single" w:sz="8" w:space="0" w:color="1A171C"/>
            </w:tcBorders>
            <w:vAlign w:val="center"/>
          </w:tcPr>
          <w:p w14:paraId="7FE1D1BF" w14:textId="77777777" w:rsidR="00534D9A" w:rsidRDefault="003243B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C0" w14:textId="77777777" w:rsidR="00534D9A" w:rsidRDefault="003243B2">
            <w:pPr>
              <w:pStyle w:val="P68B1DB1-TableParagraph40"/>
              <w:spacing w:before="108"/>
              <w:ind w:left="85"/>
              <w:jc w:val="both"/>
              <w:rPr>
                <w:b/>
                <w:bCs/>
              </w:rPr>
            </w:pPr>
            <w:r>
              <w:t xml:space="preserve"> </w:t>
            </w:r>
            <w:r>
              <w:rPr>
                <w:b/>
              </w:rPr>
              <w:t>Kontroparti (LEI/MFI/Identifikatur Lokali)</w:t>
            </w:r>
          </w:p>
          <w:p w14:paraId="7FE1D1C1" w14:textId="5ADC0AB9" w:rsidR="00534D9A" w:rsidRDefault="003243B2">
            <w:pPr>
              <w:pStyle w:val="P68B1DB1-TableParagraph40"/>
              <w:spacing w:before="108"/>
              <w:ind w:left="85"/>
              <w:jc w:val="both"/>
            </w:pPr>
            <w:r>
              <w:t>Irrapporta l-kodiċi LEI tal-kreditur. Fin-nuqqas ta’ LEI, fil-każ tar-rapport tal-banek, l-</w:t>
            </w:r>
            <w:r>
              <w:lastRenderedPageBreak/>
              <w:t>identifikatur tal-Istituzzjonijiet Finanzjarji Monetarji tal-BĊE (MFI ID) użat fir-RIAD. Fin-nuqqas taż-żewġ identifikaturi, irrapporta identifikatur intern.</w:t>
            </w:r>
          </w:p>
        </w:tc>
      </w:tr>
      <w:tr w:rsidR="00534D9A" w14:paraId="7FE1D1C6" w14:textId="77777777">
        <w:tc>
          <w:tcPr>
            <w:tcW w:w="1183" w:type="dxa"/>
            <w:tcBorders>
              <w:top w:val="single" w:sz="8" w:space="0" w:color="1A171C"/>
              <w:left w:val="nil"/>
              <w:bottom w:val="single" w:sz="8" w:space="0" w:color="1A171C"/>
              <w:right w:val="single" w:sz="8" w:space="0" w:color="1A171C"/>
            </w:tcBorders>
            <w:vAlign w:val="center"/>
          </w:tcPr>
          <w:p w14:paraId="7FE1D1C3" w14:textId="77777777" w:rsidR="00534D9A" w:rsidRDefault="003243B2">
            <w:pPr>
              <w:pStyle w:val="P68B1DB1-Normal31"/>
            </w:pPr>
            <w:r>
              <w:lastRenderedPageBreak/>
              <w:t>0065</w:t>
            </w:r>
          </w:p>
        </w:tc>
        <w:tc>
          <w:tcPr>
            <w:tcW w:w="7832" w:type="dxa"/>
            <w:tcBorders>
              <w:top w:val="single" w:sz="8" w:space="0" w:color="1A171C"/>
              <w:left w:val="single" w:sz="8" w:space="0" w:color="1A171C"/>
              <w:bottom w:val="single" w:sz="8" w:space="0" w:color="1A171C"/>
              <w:right w:val="nil"/>
            </w:tcBorders>
            <w:vAlign w:val="bottom"/>
          </w:tcPr>
          <w:p w14:paraId="7FE1D1C4" w14:textId="77777777" w:rsidR="00534D9A" w:rsidRDefault="003243B2">
            <w:pPr>
              <w:pStyle w:val="P68B1DB1-TableParagraph73"/>
              <w:spacing w:before="108"/>
              <w:ind w:left="85"/>
              <w:jc w:val="both"/>
              <w:rPr>
                <w:bCs/>
              </w:rPr>
            </w:pPr>
            <w:r>
              <w:t xml:space="preserve">Tip ta’ Identifikatur </w:t>
            </w:r>
          </w:p>
          <w:p w14:paraId="7FE1D1C5"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D1CA" w14:textId="77777777">
        <w:tc>
          <w:tcPr>
            <w:tcW w:w="1183" w:type="dxa"/>
            <w:tcBorders>
              <w:top w:val="single" w:sz="8" w:space="0" w:color="1A171C"/>
              <w:left w:val="nil"/>
              <w:bottom w:val="single" w:sz="8" w:space="0" w:color="1A171C"/>
              <w:right w:val="single" w:sz="8" w:space="0" w:color="1A171C"/>
            </w:tcBorders>
            <w:vAlign w:val="center"/>
          </w:tcPr>
          <w:p w14:paraId="7FE1D1C7" w14:textId="77777777" w:rsidR="00534D9A" w:rsidRDefault="003243B2">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1C8" w14:textId="77777777" w:rsidR="00534D9A" w:rsidRDefault="003243B2">
            <w:pPr>
              <w:pStyle w:val="P68B1DB1-TableParagraph40"/>
              <w:spacing w:before="108"/>
              <w:ind w:left="85"/>
              <w:jc w:val="both"/>
              <w:rPr>
                <w:b/>
                <w:bCs/>
              </w:rPr>
            </w:pPr>
            <w:r>
              <w:t xml:space="preserve"> </w:t>
            </w:r>
            <w:r>
              <w:rPr>
                <w:b/>
              </w:rPr>
              <w:t>Pajjiż tal-Kontroparti</w:t>
            </w:r>
          </w:p>
          <w:p w14:paraId="7FE1D1C9" w14:textId="77777777" w:rsidR="00534D9A" w:rsidRDefault="003243B2">
            <w:pPr>
              <w:pStyle w:val="P68B1DB1-TableParagraph40"/>
              <w:spacing w:before="108"/>
              <w:ind w:left="85"/>
              <w:jc w:val="both"/>
            </w:pPr>
            <w:r>
              <w:t>L-isem tal-pajjiż fejn il-kontroparti hija inkorporata.</w:t>
            </w:r>
          </w:p>
        </w:tc>
      </w:tr>
      <w:tr w:rsidR="00534D9A" w14:paraId="7FE1D1CE" w14:textId="77777777">
        <w:tc>
          <w:tcPr>
            <w:tcW w:w="1183" w:type="dxa"/>
            <w:tcBorders>
              <w:top w:val="single" w:sz="8" w:space="0" w:color="1A171C"/>
              <w:left w:val="nil"/>
              <w:bottom w:val="single" w:sz="8" w:space="0" w:color="1A171C"/>
              <w:right w:val="single" w:sz="8" w:space="0" w:color="1A171C"/>
            </w:tcBorders>
            <w:vAlign w:val="center"/>
          </w:tcPr>
          <w:p w14:paraId="7FE1D1CB" w14:textId="77777777" w:rsidR="00534D9A" w:rsidRDefault="003243B2">
            <w:pPr>
              <w:pStyle w:val="P68B1DB1-Normal31"/>
            </w:pPr>
            <w:r>
              <w:t>0080</w:t>
            </w:r>
          </w:p>
        </w:tc>
        <w:tc>
          <w:tcPr>
            <w:tcW w:w="7832" w:type="dxa"/>
            <w:tcBorders>
              <w:top w:val="single" w:sz="8" w:space="0" w:color="1A171C"/>
              <w:left w:val="single" w:sz="8" w:space="0" w:color="1A171C"/>
              <w:bottom w:val="single" w:sz="8" w:space="0" w:color="1A171C"/>
              <w:right w:val="nil"/>
            </w:tcBorders>
            <w:vAlign w:val="bottom"/>
          </w:tcPr>
          <w:p w14:paraId="7FE1D1CC" w14:textId="77777777" w:rsidR="00534D9A" w:rsidRDefault="003243B2">
            <w:pPr>
              <w:pStyle w:val="P68B1DB1-TableParagraph40"/>
              <w:spacing w:before="108"/>
              <w:ind w:left="85"/>
              <w:jc w:val="both"/>
              <w:rPr>
                <w:b/>
                <w:bCs/>
              </w:rPr>
            </w:pPr>
            <w:r>
              <w:t xml:space="preserve"> </w:t>
            </w:r>
            <w:r>
              <w:rPr>
                <w:b/>
              </w:rPr>
              <w:t>Liġi li tirregola l-MA/ftehim uniku</w:t>
            </w:r>
          </w:p>
          <w:p w14:paraId="7FE1D1CD" w14:textId="77777777" w:rsidR="00534D9A" w:rsidRDefault="003243B2">
            <w:pPr>
              <w:pStyle w:val="P68B1DB1-TableParagraph40"/>
              <w:spacing w:before="108"/>
              <w:ind w:left="85"/>
              <w:jc w:val="both"/>
            </w:pPr>
            <w:r>
              <w:t xml:space="preserve">L-isem tal-pajjiż li l-liġi tiegħu tirregola l-MA/il-kuntratt uniku. Jekk il-kuntratt ikun irregolat mil-liġi ta’ aktar minn pajjiż wieħed, għandu jiġi rrapportat il-pajjiż li l-liġi tiegħu għandha l-ogħla rilevanza għar-rikonoxximent tas-setgħat ta’ valwazzjoni negattiva u konverżjoni.  </w:t>
            </w:r>
          </w:p>
        </w:tc>
      </w:tr>
      <w:tr w:rsidR="00534D9A" w14:paraId="7FE1D1D2" w14:textId="77777777">
        <w:tc>
          <w:tcPr>
            <w:tcW w:w="1183" w:type="dxa"/>
            <w:tcBorders>
              <w:top w:val="single" w:sz="8" w:space="0" w:color="1A171C"/>
              <w:left w:val="nil"/>
              <w:bottom w:val="single" w:sz="8" w:space="0" w:color="1A171C"/>
              <w:right w:val="single" w:sz="8" w:space="0" w:color="1A171C"/>
            </w:tcBorders>
            <w:vAlign w:val="center"/>
          </w:tcPr>
          <w:p w14:paraId="7FE1D1CF" w14:textId="77777777" w:rsidR="00534D9A" w:rsidRDefault="003243B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1D0" w14:textId="77777777" w:rsidR="00534D9A" w:rsidRDefault="003243B2">
            <w:pPr>
              <w:pStyle w:val="P68B1DB1-TableParagraph40"/>
              <w:spacing w:before="108"/>
              <w:ind w:left="85"/>
              <w:jc w:val="both"/>
              <w:rPr>
                <w:b/>
                <w:bCs/>
              </w:rPr>
            </w:pPr>
            <w:r>
              <w:t xml:space="preserve"> </w:t>
            </w:r>
            <w:r>
              <w:rPr>
                <w:b/>
              </w:rPr>
              <w:t>Għadd ta’ Tranżazzjonijiet Koperti</w:t>
            </w:r>
          </w:p>
          <w:p w14:paraId="7FE1D1D1" w14:textId="77777777" w:rsidR="00534D9A" w:rsidRDefault="003243B2">
            <w:pPr>
              <w:pStyle w:val="P68B1DB1-TableParagraph40"/>
              <w:spacing w:before="108"/>
              <w:ind w:left="85"/>
              <w:jc w:val="both"/>
            </w:pPr>
            <w:r>
              <w:t>Indika l-għadd ta’ kuntratti individwali li huma inklużi fis-sett tan-netting tal-MA.</w:t>
            </w:r>
          </w:p>
        </w:tc>
      </w:tr>
      <w:tr w:rsidR="00534D9A" w14:paraId="7FE1D1D6" w14:textId="77777777">
        <w:tc>
          <w:tcPr>
            <w:tcW w:w="1183" w:type="dxa"/>
            <w:tcBorders>
              <w:top w:val="single" w:sz="8" w:space="0" w:color="1A171C"/>
              <w:left w:val="nil"/>
              <w:bottom w:val="single" w:sz="8" w:space="0" w:color="1A171C"/>
              <w:right w:val="single" w:sz="8" w:space="0" w:color="1A171C"/>
            </w:tcBorders>
            <w:vAlign w:val="center"/>
          </w:tcPr>
          <w:p w14:paraId="7FE1D1D3" w14:textId="77777777" w:rsidR="00534D9A" w:rsidRDefault="003243B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1D4" w14:textId="77777777" w:rsidR="00534D9A" w:rsidRDefault="003243B2">
            <w:pPr>
              <w:pStyle w:val="P68B1DB1-TableParagraph40"/>
              <w:spacing w:before="108"/>
              <w:ind w:left="85"/>
              <w:jc w:val="both"/>
              <w:rPr>
                <w:b/>
                <w:bCs/>
              </w:rPr>
            </w:pPr>
            <w:r>
              <w:t xml:space="preserve"> </w:t>
            </w:r>
            <w:r>
              <w:rPr>
                <w:b/>
              </w:rPr>
              <w:t>Ammont Nett ta’ Finanzjament Riċevut</w:t>
            </w:r>
          </w:p>
          <w:p w14:paraId="7FE1D1D5" w14:textId="40508D2F" w:rsidR="00534D9A" w:rsidRDefault="003243B2">
            <w:pPr>
              <w:pStyle w:val="P68B1DB1-TableParagraph40"/>
              <w:spacing w:before="108"/>
              <w:ind w:left="85"/>
              <w:jc w:val="both"/>
            </w:pPr>
            <w:r>
              <w:t>Ipprovdi l-ammont nett ta’ finanzjament riċevut skont ftehimiet ta’ finanzjament garantit, filwaqt li tqis it-tranżazzjonijiet kollha soġġetti għall-arranġament ta’ netting. Innota li dan l-ammont ma jinkludix imgħax dovut, filwaqt li l-ammont relatat fir-ringiela 0120 ta’ Z02.00 jagħmel dan.</w:t>
            </w:r>
          </w:p>
        </w:tc>
      </w:tr>
      <w:tr w:rsidR="00534D9A" w14:paraId="7FE1D1DA" w14:textId="77777777">
        <w:tc>
          <w:tcPr>
            <w:tcW w:w="1183" w:type="dxa"/>
            <w:tcBorders>
              <w:top w:val="single" w:sz="8" w:space="0" w:color="1A171C"/>
              <w:left w:val="nil"/>
              <w:bottom w:val="single" w:sz="8" w:space="0" w:color="1A171C"/>
              <w:right w:val="single" w:sz="8" w:space="0" w:color="1A171C"/>
            </w:tcBorders>
            <w:vAlign w:val="center"/>
          </w:tcPr>
          <w:p w14:paraId="7FE1D1D7" w14:textId="77777777" w:rsidR="00534D9A" w:rsidRDefault="003243B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1D8" w14:textId="77777777" w:rsidR="00534D9A" w:rsidRDefault="003243B2">
            <w:pPr>
              <w:pStyle w:val="P68B1DB1-TableParagraph73"/>
              <w:spacing w:before="108"/>
              <w:ind w:left="85"/>
              <w:jc w:val="both"/>
              <w:rPr>
                <w:bCs/>
              </w:rPr>
            </w:pPr>
            <w:r>
              <w:t xml:space="preserve"> Ammont Nett tal-Kollateral Posted  </w:t>
            </w:r>
          </w:p>
          <w:p w14:paraId="7FE1D1D9" w14:textId="6D452434" w:rsidR="00534D9A" w:rsidRDefault="003243B2">
            <w:pPr>
              <w:pStyle w:val="P68B1DB1-TableParagraph40"/>
              <w:spacing w:before="108"/>
              <w:ind w:left="85"/>
              <w:jc w:val="both"/>
            </w:pPr>
            <w:r>
              <w:t>Għal kull sett ta’ netting, ipprovdi l-valur nett tal-kollateral depożitat biex ikopri t-tranżazzjonijiet ta’ finanzjament garantiti, filwaqt li tqis il-pożizzjonijiet kollaterali kollha kkunsidrati fl-arranġament ta’ netting. Dan jinkludi kwalunkwe ammont ta’ kollateral jew marġni li jiġi skambjat.</w:t>
            </w:r>
          </w:p>
        </w:tc>
      </w:tr>
    </w:tbl>
    <w:p w14:paraId="7FE1D1DB" w14:textId="77777777" w:rsidR="00534D9A" w:rsidRDefault="00534D9A">
      <w:pPr>
        <w:pStyle w:val="Instructionsberschrift2"/>
        <w:ind w:left="357"/>
        <w:rPr>
          <w:rFonts w:ascii="Times New Roman" w:eastAsia="Calibri" w:hAnsi="Times New Roman" w:cs="Times New Roman"/>
          <w:szCs w:val="20"/>
        </w:rPr>
      </w:pPr>
      <w:bookmarkStart w:id="253" w:name="_Toc81454218"/>
    </w:p>
    <w:p w14:paraId="7FE1D1DC" w14:textId="4F83132F" w:rsidR="00534D9A" w:rsidRDefault="003243B2">
      <w:pPr>
        <w:pStyle w:val="Instructionsberschrift2"/>
        <w:numPr>
          <w:ilvl w:val="1"/>
          <w:numId w:val="49"/>
        </w:numPr>
        <w:spacing w:before="0"/>
        <w:ind w:left="357" w:hanging="357"/>
        <w:rPr>
          <w:rFonts w:ascii="Times New Roman" w:hAnsi="Times New Roman" w:cs="Times New Roman"/>
        </w:rPr>
      </w:pPr>
      <w:bookmarkStart w:id="254" w:name="_Toc208245031"/>
      <w:r>
        <w:rPr>
          <w:rFonts w:ascii="Times New Roman" w:eastAsiaTheme="minorEastAsia" w:hAnsi="Times New Roman" w:cs="Times New Roman"/>
        </w:rPr>
        <w:t xml:space="preserve">Z 17.00 — </w:t>
      </w:r>
      <w:r>
        <w:rPr>
          <w:rFonts w:ascii="Times New Roman" w:hAnsi="Times New Roman" w:cs="Times New Roman"/>
          <w:color w:val="000000" w:themeColor="text1"/>
        </w:rPr>
        <w:t xml:space="preserve">Obbligazzjonijiet Mhux Finanzjarji Oħrajn (mhux inklużi f’tabs oħrajn, eskluż intragrupp) </w:t>
      </w:r>
      <w:r>
        <w:rPr>
          <w:rFonts w:ascii="Times New Roman" w:eastAsia="Calibri" w:hAnsi="Times New Roman" w:cs="Times New Roman"/>
          <w:szCs w:val="20"/>
        </w:rPr>
        <w:t>(LIAB-G-7)</w:t>
      </w:r>
      <w:bookmarkEnd w:id="254"/>
    </w:p>
    <w:bookmarkEnd w:id="253"/>
    <w:p w14:paraId="7FE1D1DD" w14:textId="28BEEC11" w:rsidR="00534D9A" w:rsidRDefault="00534D9A">
      <w:pPr>
        <w:pStyle w:val="Instructionsberschrift2"/>
        <w:ind w:left="357"/>
        <w:rPr>
          <w:rFonts w:ascii="Times New Roman" w:eastAsiaTheme="minorEastAsia" w:hAnsi="Times New Roman" w:cs="Times New Roman"/>
          <w:u w:val="none"/>
        </w:rPr>
      </w:pPr>
    </w:p>
    <w:p w14:paraId="7FE1D1DE" w14:textId="77777777" w:rsidR="00534D9A" w:rsidRDefault="003243B2">
      <w:pPr>
        <w:pStyle w:val="P68B1DB1-Numberedtitlelevel388"/>
      </w:pPr>
      <w:r>
        <w:t>Kummenti ġenerali</w:t>
      </w:r>
    </w:p>
    <w:p w14:paraId="7FE1D1DF" w14:textId="6152DD19" w:rsidR="00534D9A" w:rsidRDefault="003243B2">
      <w:pPr>
        <w:pStyle w:val="P68B1DB1-InstructionsText286"/>
        <w:numPr>
          <w:ilvl w:val="2"/>
          <w:numId w:val="209"/>
        </w:numPr>
        <w:spacing w:before="0"/>
        <w:ind w:left="1276"/>
        <w:rPr>
          <w:rFonts w:eastAsiaTheme="majorEastAsia"/>
        </w:rPr>
      </w:pPr>
      <w:r>
        <w:t>Din it-tabella tkopri obbligazzjonijiet mhux finanzjarji bħal provvedimenti, obbligazzjonijiet ta’ taxxa u introjtu differit.</w:t>
      </w:r>
    </w:p>
    <w:p w14:paraId="7FE1D1E0" w14:textId="6480C40E" w:rsidR="00534D9A" w:rsidRDefault="003243B2">
      <w:pPr>
        <w:pStyle w:val="P68B1DB1-InstructionsText286"/>
        <w:numPr>
          <w:ilvl w:val="2"/>
          <w:numId w:val="209"/>
        </w:numPr>
        <w:spacing w:before="0"/>
        <w:ind w:left="1276"/>
      </w:pPr>
      <w:r>
        <w:t>Dawn l-obbligazzjonijiet jiġu raggruppati skont it-tip ta’ obbligazzjoni mhux finanzjarja u l-klassifikazzjoni tal-insolvenza.</w:t>
      </w:r>
    </w:p>
    <w:p w14:paraId="7FE1D1E2" w14:textId="77777777" w:rsidR="00534D9A" w:rsidRDefault="003243B2">
      <w:pPr>
        <w:pStyle w:val="P68B1DB1-Numberedtitlelevel388"/>
      </w:pPr>
      <w:r>
        <w:t>Struzzjonijiet li jikkonċernaw pożizzjonijiet speċifiċi</w:t>
      </w:r>
    </w:p>
    <w:tbl>
      <w:tblPr>
        <w:tblW w:w="9015" w:type="dxa"/>
        <w:tblInd w:w="135" w:type="dxa"/>
        <w:tblLayout w:type="fixed"/>
        <w:tblLook w:val="04A0" w:firstRow="1" w:lastRow="0" w:firstColumn="1" w:lastColumn="0" w:noHBand="0" w:noVBand="1"/>
      </w:tblPr>
      <w:tblGrid>
        <w:gridCol w:w="1183"/>
        <w:gridCol w:w="7832"/>
      </w:tblGrid>
      <w:tr w:rsidR="00534D9A" w14:paraId="7FE1D1E5" w14:textId="77777777">
        <w:trPr>
          <w:tblHeader/>
        </w:trPr>
        <w:tc>
          <w:tcPr>
            <w:tcW w:w="1183" w:type="dxa"/>
            <w:tcBorders>
              <w:top w:val="single" w:sz="8" w:space="0" w:color="1A171C"/>
              <w:left w:val="nil"/>
              <w:bottom w:val="single" w:sz="8" w:space="0" w:color="1A171C"/>
              <w:right w:val="single" w:sz="8" w:space="0" w:color="1A171C"/>
            </w:tcBorders>
            <w:shd w:val="clear" w:color="auto" w:fill="D9D9D9" w:themeFill="background1" w:themeFillShade="D9"/>
          </w:tcPr>
          <w:p w14:paraId="7FE1D1E3" w14:textId="77777777" w:rsidR="00534D9A" w:rsidRDefault="003243B2">
            <w:pPr>
              <w:pStyle w:val="P68B1DB1-Normal31"/>
            </w:pPr>
            <w:r>
              <w:t xml:space="preserve">Kolonni </w:t>
            </w:r>
          </w:p>
        </w:tc>
        <w:tc>
          <w:tcPr>
            <w:tcW w:w="7832" w:type="dxa"/>
            <w:tcBorders>
              <w:top w:val="single" w:sz="8" w:space="0" w:color="1A171C"/>
              <w:left w:val="single" w:sz="8" w:space="0" w:color="1A171C"/>
              <w:bottom w:val="single" w:sz="8" w:space="0" w:color="1A171C"/>
              <w:right w:val="nil"/>
            </w:tcBorders>
            <w:shd w:val="clear" w:color="auto" w:fill="D9D9D9" w:themeFill="background1" w:themeFillShade="D9"/>
          </w:tcPr>
          <w:p w14:paraId="7FE1D1E4" w14:textId="77777777" w:rsidR="00534D9A" w:rsidRDefault="003243B2">
            <w:pPr>
              <w:pStyle w:val="P68B1DB1-Normal31"/>
            </w:pPr>
            <w:r>
              <w:t xml:space="preserve">Struzzjonijiet </w:t>
            </w:r>
          </w:p>
        </w:tc>
      </w:tr>
      <w:tr w:rsidR="00534D9A" w14:paraId="7FE1D1E9" w14:textId="77777777">
        <w:tc>
          <w:tcPr>
            <w:tcW w:w="1183" w:type="dxa"/>
            <w:tcBorders>
              <w:top w:val="single" w:sz="8" w:space="0" w:color="1A171C"/>
              <w:left w:val="nil"/>
              <w:bottom w:val="single" w:sz="8" w:space="0" w:color="1A171C"/>
              <w:right w:val="single" w:sz="8" w:space="0" w:color="1A171C"/>
            </w:tcBorders>
            <w:vAlign w:val="center"/>
          </w:tcPr>
          <w:p w14:paraId="7FE1D1E6" w14:textId="77777777" w:rsidR="00534D9A" w:rsidRDefault="003243B2">
            <w:pPr>
              <w:pStyle w:val="P68B1DB1-Normal31"/>
            </w:pPr>
            <w:r>
              <w:t>0010</w:t>
            </w:r>
          </w:p>
        </w:tc>
        <w:tc>
          <w:tcPr>
            <w:tcW w:w="7832" w:type="dxa"/>
            <w:tcBorders>
              <w:top w:val="single" w:sz="8" w:space="0" w:color="1A171C"/>
              <w:left w:val="single" w:sz="8" w:space="0" w:color="1A171C"/>
              <w:bottom w:val="single" w:sz="8" w:space="0" w:color="1A171C"/>
              <w:right w:val="nil"/>
            </w:tcBorders>
            <w:vAlign w:val="bottom"/>
          </w:tcPr>
          <w:p w14:paraId="7FE1D1E7" w14:textId="77777777" w:rsidR="00534D9A" w:rsidRDefault="003243B2">
            <w:pPr>
              <w:pStyle w:val="P68B1DB1-TableParagraph73"/>
              <w:spacing w:before="108"/>
              <w:ind w:left="85"/>
              <w:jc w:val="both"/>
              <w:rPr>
                <w:bCs/>
              </w:rPr>
            </w:pPr>
            <w:r>
              <w:t xml:space="preserve"> NRU </w:t>
            </w:r>
          </w:p>
          <w:p w14:paraId="7FE1D1E8" w14:textId="5AB7F74C" w:rsidR="00534D9A" w:rsidRDefault="003243B2">
            <w:pPr>
              <w:pStyle w:val="P68B1DB1-TableParagraph40"/>
              <w:spacing w:before="108"/>
              <w:ind w:left="85"/>
              <w:jc w:val="both"/>
            </w:pPr>
            <w:r>
              <w:t>Numru uniku/ċavetta primarja biex jiġu identifikati l-oġġetti tar-ringiela.</w:t>
            </w:r>
          </w:p>
        </w:tc>
      </w:tr>
      <w:tr w:rsidR="00534D9A" w14:paraId="7FE1D1ED" w14:textId="77777777">
        <w:tc>
          <w:tcPr>
            <w:tcW w:w="1183" w:type="dxa"/>
            <w:tcBorders>
              <w:top w:val="single" w:sz="8" w:space="0" w:color="1A171C"/>
              <w:left w:val="nil"/>
              <w:bottom w:val="single" w:sz="8" w:space="0" w:color="1A171C"/>
              <w:right w:val="single" w:sz="8" w:space="0" w:color="1A171C"/>
            </w:tcBorders>
            <w:vAlign w:val="center"/>
          </w:tcPr>
          <w:p w14:paraId="7FE1D1EA" w14:textId="77777777" w:rsidR="00534D9A" w:rsidRDefault="003243B2">
            <w:pPr>
              <w:pStyle w:val="P68B1DB1-Normal31"/>
            </w:pPr>
            <w:r>
              <w:t>0020</w:t>
            </w:r>
          </w:p>
        </w:tc>
        <w:tc>
          <w:tcPr>
            <w:tcW w:w="7832" w:type="dxa"/>
            <w:tcBorders>
              <w:top w:val="single" w:sz="8" w:space="0" w:color="1A171C"/>
              <w:left w:val="single" w:sz="8" w:space="0" w:color="1A171C"/>
              <w:bottom w:val="single" w:sz="8" w:space="0" w:color="1A171C"/>
              <w:right w:val="nil"/>
            </w:tcBorders>
            <w:vAlign w:val="bottom"/>
          </w:tcPr>
          <w:p w14:paraId="7FE1D1EB" w14:textId="632D49C6" w:rsidR="00534D9A" w:rsidRDefault="003243B2">
            <w:pPr>
              <w:pStyle w:val="P68B1DB1-TableParagraph73"/>
              <w:spacing w:before="108"/>
              <w:ind w:left="85"/>
              <w:jc w:val="both"/>
              <w:rPr>
                <w:bCs/>
              </w:rPr>
            </w:pPr>
            <w:r>
              <w:t xml:space="preserve"> Ringiela </w:t>
            </w:r>
          </w:p>
          <w:p w14:paraId="7FE1D1EC" w14:textId="31DF728D" w:rsidR="00534D9A" w:rsidRDefault="003243B2">
            <w:pPr>
              <w:pStyle w:val="P68B1DB1-TableParagraph40"/>
              <w:spacing w:before="108"/>
              <w:ind w:left="85"/>
              <w:jc w:val="both"/>
            </w:pPr>
            <w:r>
              <w:t>Għal kull obbligazzjoni, għandha tiġi pprovduta rikonċiljazzjoni mal-kategoriji ta’ obbligazzjonijiet tal-istruttura tal-obbligazzjonijiet f’Z02.00 fil-livell ta’ maturità minn lista predefinita ta’ valuri.</w:t>
            </w:r>
          </w:p>
        </w:tc>
      </w:tr>
      <w:tr w:rsidR="00534D9A" w14:paraId="7FE1D1F1" w14:textId="77777777">
        <w:tc>
          <w:tcPr>
            <w:tcW w:w="1183" w:type="dxa"/>
            <w:tcBorders>
              <w:top w:val="single" w:sz="8" w:space="0" w:color="1A171C"/>
              <w:left w:val="nil"/>
              <w:bottom w:val="single" w:sz="8" w:space="0" w:color="1A171C"/>
              <w:right w:val="single" w:sz="8" w:space="0" w:color="1A171C"/>
            </w:tcBorders>
            <w:vAlign w:val="center"/>
          </w:tcPr>
          <w:p w14:paraId="7FE1D1EE" w14:textId="77777777" w:rsidR="00534D9A" w:rsidRDefault="003243B2">
            <w:pPr>
              <w:pStyle w:val="P68B1DB1-Normal31"/>
            </w:pPr>
            <w:r>
              <w:t>0030</w:t>
            </w:r>
          </w:p>
        </w:tc>
        <w:tc>
          <w:tcPr>
            <w:tcW w:w="7832" w:type="dxa"/>
            <w:tcBorders>
              <w:top w:val="single" w:sz="8" w:space="0" w:color="1A171C"/>
              <w:left w:val="single" w:sz="8" w:space="0" w:color="1A171C"/>
              <w:bottom w:val="single" w:sz="8" w:space="0" w:color="1A171C"/>
              <w:right w:val="nil"/>
            </w:tcBorders>
            <w:vAlign w:val="bottom"/>
          </w:tcPr>
          <w:p w14:paraId="7FE1D1EF" w14:textId="77777777" w:rsidR="00534D9A" w:rsidRDefault="003243B2">
            <w:pPr>
              <w:pStyle w:val="P68B1DB1-TableParagraph40"/>
              <w:spacing w:before="108"/>
              <w:ind w:left="85"/>
              <w:jc w:val="both"/>
              <w:rPr>
                <w:b/>
                <w:bCs/>
              </w:rPr>
            </w:pPr>
            <w:r>
              <w:t xml:space="preserve"> </w:t>
            </w:r>
            <w:r>
              <w:rPr>
                <w:b/>
              </w:rPr>
              <w:t>Kolonna</w:t>
            </w:r>
          </w:p>
          <w:p w14:paraId="7FE1D1F0" w14:textId="2D865C88" w:rsidR="00534D9A" w:rsidRDefault="003243B2">
            <w:pPr>
              <w:pStyle w:val="P68B1DB1-TableParagraph40"/>
              <w:spacing w:before="108"/>
              <w:ind w:left="85"/>
              <w:jc w:val="both"/>
            </w:pPr>
            <w:r>
              <w:lastRenderedPageBreak/>
              <w:t>Għal kull obbligazzjoni, trid tiġi pprovduta rikonċiljazzjoni mal-klassi tal-kontroparti f’Z 02.00 li għaliha hija dovuta l-obbligazzjoni minn lista predefinita ta’ valuri.</w:t>
            </w:r>
          </w:p>
        </w:tc>
      </w:tr>
      <w:tr w:rsidR="00534D9A" w14:paraId="7FE1D1F5" w14:textId="77777777">
        <w:tc>
          <w:tcPr>
            <w:tcW w:w="1183" w:type="dxa"/>
            <w:tcBorders>
              <w:top w:val="single" w:sz="8" w:space="0" w:color="1A171C"/>
              <w:left w:val="nil"/>
              <w:bottom w:val="single" w:sz="8" w:space="0" w:color="1A171C"/>
              <w:right w:val="single" w:sz="8" w:space="0" w:color="1A171C"/>
            </w:tcBorders>
            <w:vAlign w:val="center"/>
          </w:tcPr>
          <w:p w14:paraId="7FE1D1F2" w14:textId="77777777" w:rsidR="00534D9A" w:rsidRDefault="003243B2">
            <w:pPr>
              <w:pStyle w:val="P68B1DB1-Normal31"/>
            </w:pPr>
            <w:r>
              <w:lastRenderedPageBreak/>
              <w:t>0040</w:t>
            </w:r>
          </w:p>
        </w:tc>
        <w:tc>
          <w:tcPr>
            <w:tcW w:w="7832" w:type="dxa"/>
            <w:tcBorders>
              <w:top w:val="single" w:sz="8" w:space="0" w:color="1A171C"/>
              <w:left w:val="single" w:sz="8" w:space="0" w:color="1A171C"/>
              <w:bottom w:val="single" w:sz="8" w:space="0" w:color="1A171C"/>
              <w:right w:val="nil"/>
            </w:tcBorders>
            <w:vAlign w:val="bottom"/>
          </w:tcPr>
          <w:p w14:paraId="7FE1D1F3" w14:textId="77777777" w:rsidR="00534D9A" w:rsidRDefault="003243B2">
            <w:pPr>
              <w:pStyle w:val="P68B1DB1-TableParagraph40"/>
              <w:spacing w:before="108"/>
              <w:ind w:left="85"/>
              <w:jc w:val="both"/>
              <w:rPr>
                <w:b/>
                <w:bCs/>
              </w:rPr>
            </w:pPr>
            <w:r>
              <w:t xml:space="preserve"> </w:t>
            </w:r>
            <w:r>
              <w:rPr>
                <w:b/>
              </w:rPr>
              <w:t>Klassifikazzjoni tal-Insolvenza</w:t>
            </w:r>
          </w:p>
          <w:p w14:paraId="7FE1D1F4" w14:textId="16989963" w:rsidR="00534D9A" w:rsidRDefault="003243B2">
            <w:pPr>
              <w:pStyle w:val="P68B1DB1-TableParagraph40"/>
              <w:spacing w:before="108"/>
              <w:ind w:left="85"/>
              <w:jc w:val="both"/>
            </w:pPr>
            <w:r>
              <w:t>Il-grad ta’ insolvenza għandu jkun wieħed mill-gradi inklużi fil-klassifikazzjonijiet tal-insolvenza ppubblikati mill-awtorità ta’ riżoluzzjoni ta’ dik il-ġuriżdizzjoni.</w:t>
            </w:r>
          </w:p>
        </w:tc>
      </w:tr>
      <w:tr w:rsidR="00534D9A" w14:paraId="7FE1D1F9" w14:textId="77777777">
        <w:tc>
          <w:tcPr>
            <w:tcW w:w="1183" w:type="dxa"/>
            <w:tcBorders>
              <w:top w:val="single" w:sz="8" w:space="0" w:color="1A171C"/>
              <w:left w:val="nil"/>
              <w:bottom w:val="single" w:sz="8" w:space="0" w:color="1A171C"/>
              <w:right w:val="single" w:sz="8" w:space="0" w:color="1A171C"/>
            </w:tcBorders>
            <w:vAlign w:val="center"/>
          </w:tcPr>
          <w:p w14:paraId="7FE1D1F6" w14:textId="77777777" w:rsidR="00534D9A" w:rsidRDefault="003243B2">
            <w:pPr>
              <w:pStyle w:val="P68B1DB1-Normal31"/>
            </w:pPr>
            <w:r>
              <w:t>0050</w:t>
            </w:r>
          </w:p>
        </w:tc>
        <w:tc>
          <w:tcPr>
            <w:tcW w:w="7832" w:type="dxa"/>
            <w:tcBorders>
              <w:top w:val="single" w:sz="8" w:space="0" w:color="1A171C"/>
              <w:left w:val="single" w:sz="8" w:space="0" w:color="1A171C"/>
              <w:bottom w:val="single" w:sz="8" w:space="0" w:color="1A171C"/>
              <w:right w:val="nil"/>
            </w:tcBorders>
            <w:vAlign w:val="bottom"/>
          </w:tcPr>
          <w:p w14:paraId="7FE1D1F7" w14:textId="77777777" w:rsidR="00534D9A" w:rsidRDefault="003243B2">
            <w:pPr>
              <w:pStyle w:val="P68B1DB1-TableParagraph73"/>
              <w:spacing w:before="108"/>
              <w:ind w:left="85"/>
              <w:jc w:val="both"/>
              <w:rPr>
                <w:bCs/>
              </w:rPr>
            </w:pPr>
            <w:r>
              <w:t xml:space="preserve">Identifikatur tal-kuntratt </w:t>
            </w:r>
          </w:p>
          <w:p w14:paraId="7FE1D1F8" w14:textId="77777777" w:rsidR="00534D9A" w:rsidRDefault="003243B2">
            <w:pPr>
              <w:pStyle w:val="P68B1DB1-TableParagraph40"/>
              <w:spacing w:before="108"/>
              <w:ind w:left="85"/>
              <w:jc w:val="both"/>
            </w:pPr>
            <w:r>
              <w:t>Identifikatur intern tal-kuntratt, bħala ekwivalenti għall-ISIN għat-titoli.</w:t>
            </w:r>
          </w:p>
        </w:tc>
      </w:tr>
      <w:tr w:rsidR="00534D9A" w14:paraId="7FE1D1FD" w14:textId="77777777">
        <w:tc>
          <w:tcPr>
            <w:tcW w:w="1183" w:type="dxa"/>
            <w:tcBorders>
              <w:top w:val="single" w:sz="8" w:space="0" w:color="1A171C"/>
              <w:left w:val="nil"/>
              <w:bottom w:val="single" w:sz="8" w:space="0" w:color="1A171C"/>
              <w:right w:val="single" w:sz="8" w:space="0" w:color="1A171C"/>
            </w:tcBorders>
            <w:vAlign w:val="center"/>
          </w:tcPr>
          <w:p w14:paraId="7FE1D1FA" w14:textId="77777777" w:rsidR="00534D9A" w:rsidRDefault="003243B2">
            <w:pPr>
              <w:pStyle w:val="P68B1DB1-Normal31"/>
            </w:pPr>
            <w:r>
              <w:t>0060</w:t>
            </w:r>
          </w:p>
        </w:tc>
        <w:tc>
          <w:tcPr>
            <w:tcW w:w="7832" w:type="dxa"/>
            <w:tcBorders>
              <w:top w:val="single" w:sz="8" w:space="0" w:color="1A171C"/>
              <w:left w:val="single" w:sz="8" w:space="0" w:color="1A171C"/>
              <w:bottom w:val="single" w:sz="8" w:space="0" w:color="1A171C"/>
              <w:right w:val="nil"/>
            </w:tcBorders>
            <w:vAlign w:val="bottom"/>
          </w:tcPr>
          <w:p w14:paraId="7FE1D1FB" w14:textId="7741257B" w:rsidR="00534D9A" w:rsidRDefault="003243B2">
            <w:pPr>
              <w:pStyle w:val="P68B1DB1-TableParagraph73"/>
              <w:spacing w:before="108"/>
              <w:ind w:left="85"/>
              <w:jc w:val="both"/>
              <w:rPr>
                <w:bCs/>
              </w:rPr>
            </w:pPr>
            <w:r>
              <w:t xml:space="preserve"> Identifikatur tal-kontroparti </w:t>
            </w:r>
          </w:p>
          <w:p w14:paraId="7FE1D1FC" w14:textId="3D6CB4CA" w:rsidR="00534D9A" w:rsidRDefault="003243B2">
            <w:pPr>
              <w:pStyle w:val="P68B1DB1-TableParagraph40"/>
              <w:spacing w:before="108"/>
              <w:ind w:left="85"/>
              <w:jc w:val="both"/>
            </w:pPr>
            <w:r>
              <w:t>Irrapporta l-kodiċi LEI tal-kreditur. Fin-nuqqas ta’ LEI, fil-każ tar-rapport tal-banek, l-identifikatur tal-Istituzzjonijiet Finanzjarji Monetarji tal-BĊE (MFI ID) użat fir-RIAD. Fin-nuqqas taż-żewġ identifikaturi, irrapporta identifikatur intern.</w:t>
            </w:r>
          </w:p>
        </w:tc>
      </w:tr>
      <w:tr w:rsidR="00534D9A" w14:paraId="7FE1D201" w14:textId="77777777">
        <w:tc>
          <w:tcPr>
            <w:tcW w:w="1183" w:type="dxa"/>
            <w:tcBorders>
              <w:top w:val="single" w:sz="8" w:space="0" w:color="1A171C"/>
              <w:left w:val="nil"/>
              <w:bottom w:val="single" w:sz="8" w:space="0" w:color="1A171C"/>
              <w:right w:val="single" w:sz="8" w:space="0" w:color="1A171C"/>
            </w:tcBorders>
            <w:vAlign w:val="center"/>
          </w:tcPr>
          <w:p w14:paraId="7FE1D1FE" w14:textId="77777777" w:rsidR="00534D9A" w:rsidRDefault="003243B2">
            <w:pPr>
              <w:pStyle w:val="P68B1DB1-Normal31"/>
            </w:pPr>
            <w:r>
              <w:t>0065</w:t>
            </w:r>
          </w:p>
        </w:tc>
        <w:tc>
          <w:tcPr>
            <w:tcW w:w="7832" w:type="dxa"/>
            <w:tcBorders>
              <w:top w:val="single" w:sz="8" w:space="0" w:color="1A171C"/>
              <w:left w:val="single" w:sz="8" w:space="0" w:color="1A171C"/>
              <w:bottom w:val="single" w:sz="8" w:space="0" w:color="1A171C"/>
              <w:right w:val="nil"/>
            </w:tcBorders>
            <w:vAlign w:val="bottom"/>
          </w:tcPr>
          <w:p w14:paraId="7FE1D1FF" w14:textId="77777777" w:rsidR="00534D9A" w:rsidRDefault="003243B2">
            <w:pPr>
              <w:pStyle w:val="P68B1DB1-TableParagraph73"/>
              <w:spacing w:before="108"/>
              <w:ind w:left="85"/>
              <w:jc w:val="both"/>
              <w:rPr>
                <w:bCs/>
              </w:rPr>
            </w:pPr>
            <w:r>
              <w:t xml:space="preserve">Tip ta’ Identifikatur </w:t>
            </w:r>
          </w:p>
          <w:p w14:paraId="7FE1D200" w14:textId="77777777" w:rsidR="00534D9A" w:rsidRDefault="003243B2">
            <w:pPr>
              <w:pStyle w:val="P68B1DB1-TableParagraph40"/>
              <w:spacing w:before="108"/>
              <w:ind w:left="85"/>
              <w:jc w:val="both"/>
            </w:pPr>
            <w:r>
              <w:t>Għandha tintgħażel fost l-għażliet li ġejjin: “Kodiċi LEI”, “kodiċi MFI” jew “Tip ta’ identifikatur, minbarra LEI jew kodiċi MFI”.</w:t>
            </w:r>
          </w:p>
        </w:tc>
      </w:tr>
      <w:tr w:rsidR="00534D9A" w14:paraId="7FE1D205" w14:textId="77777777">
        <w:tc>
          <w:tcPr>
            <w:tcW w:w="1183" w:type="dxa"/>
            <w:tcBorders>
              <w:top w:val="single" w:sz="8" w:space="0" w:color="1A171C"/>
              <w:left w:val="nil"/>
              <w:bottom w:val="single" w:sz="8" w:space="0" w:color="1A171C"/>
              <w:right w:val="single" w:sz="8" w:space="0" w:color="1A171C"/>
            </w:tcBorders>
            <w:vAlign w:val="center"/>
          </w:tcPr>
          <w:p w14:paraId="7FE1D202" w14:textId="0E607091" w:rsidR="00534D9A" w:rsidRDefault="003243B2">
            <w:pPr>
              <w:pStyle w:val="P68B1DB1-Normal31"/>
            </w:pPr>
            <w:r>
              <w:t>0070</w:t>
            </w:r>
          </w:p>
        </w:tc>
        <w:tc>
          <w:tcPr>
            <w:tcW w:w="7832" w:type="dxa"/>
            <w:tcBorders>
              <w:top w:val="single" w:sz="8" w:space="0" w:color="1A171C"/>
              <w:left w:val="single" w:sz="8" w:space="0" w:color="1A171C"/>
              <w:bottom w:val="single" w:sz="8" w:space="0" w:color="1A171C"/>
              <w:right w:val="nil"/>
            </w:tcBorders>
            <w:vAlign w:val="bottom"/>
          </w:tcPr>
          <w:p w14:paraId="7FE1D203" w14:textId="77777777" w:rsidR="00534D9A" w:rsidRDefault="003243B2">
            <w:pPr>
              <w:pStyle w:val="P68B1DB1-TableParagraph40"/>
              <w:spacing w:before="108"/>
              <w:ind w:left="85"/>
              <w:jc w:val="both"/>
              <w:rPr>
                <w:b/>
                <w:bCs/>
              </w:rPr>
            </w:pPr>
            <w:r>
              <w:t xml:space="preserve"> </w:t>
            </w:r>
            <w:r>
              <w:rPr>
                <w:b/>
              </w:rPr>
              <w:t>Liġi li Tirregola</w:t>
            </w:r>
          </w:p>
          <w:p w14:paraId="7FE1D204" w14:textId="24CB3395" w:rsidR="00534D9A" w:rsidRDefault="003243B2">
            <w:pPr>
              <w:pStyle w:val="P68B1DB1-TableParagraph40"/>
              <w:spacing w:before="108"/>
              <w:ind w:left="85"/>
              <w:jc w:val="both"/>
            </w:pPr>
            <w:r>
              <w:t xml:space="preserve">L-isem tal-pajjiż li l-liġi tiegħu tirregola r-responsabbiltà. Jekk il-kuntratt ikun irregolat mil-liġi ta’ aktar minn pajjiż wieħed, għandu jiġi rrapportat il-pajjiż li l-liġi tiegħu għandha l-ogħla rilevanza għar-rikonoxximent tas-setgħat ta’ valwazzjoni negattiva u konverżjoni.  </w:t>
            </w:r>
          </w:p>
        </w:tc>
      </w:tr>
      <w:tr w:rsidR="00534D9A" w14:paraId="7FE1D213" w14:textId="77777777">
        <w:trPr>
          <w:trHeight w:val="5139"/>
        </w:trPr>
        <w:tc>
          <w:tcPr>
            <w:tcW w:w="1183" w:type="dxa"/>
            <w:tcBorders>
              <w:top w:val="single" w:sz="8" w:space="0" w:color="1A171C"/>
              <w:left w:val="nil"/>
              <w:bottom w:val="single" w:sz="4" w:space="0" w:color="auto"/>
              <w:right w:val="single" w:sz="4" w:space="0" w:color="auto"/>
            </w:tcBorders>
            <w:vAlign w:val="center"/>
          </w:tcPr>
          <w:p w14:paraId="7FE1D206" w14:textId="2286AADB" w:rsidR="00534D9A" w:rsidRDefault="003243B2">
            <w:pPr>
              <w:pStyle w:val="P68B1DB1-Normal31"/>
            </w:pPr>
            <w:r>
              <w:t>0080</w:t>
            </w:r>
          </w:p>
        </w:tc>
        <w:tc>
          <w:tcPr>
            <w:tcW w:w="7832" w:type="dxa"/>
            <w:tcBorders>
              <w:top w:val="single" w:sz="8" w:space="0" w:color="1A171C"/>
              <w:left w:val="single" w:sz="4" w:space="0" w:color="auto"/>
              <w:right w:val="nil"/>
            </w:tcBorders>
            <w:vAlign w:val="bottom"/>
          </w:tcPr>
          <w:p w14:paraId="7FE1D207" w14:textId="77777777" w:rsidR="00534D9A" w:rsidRDefault="003243B2">
            <w:pPr>
              <w:pStyle w:val="P68B1DB1-TableParagraph40"/>
              <w:spacing w:before="108"/>
              <w:ind w:left="85"/>
              <w:jc w:val="both"/>
              <w:rPr>
                <w:b/>
                <w:bCs/>
              </w:rPr>
            </w:pPr>
            <w:r>
              <w:t xml:space="preserve"> </w:t>
            </w:r>
            <w:r>
              <w:rPr>
                <w:b/>
              </w:rPr>
              <w:t>Tip ta’ Obbligazzjonijiet Mhux Finanzjarji</w:t>
            </w:r>
          </w:p>
          <w:p w14:paraId="7FE1D208" w14:textId="234E81AF" w:rsidR="00534D9A" w:rsidRDefault="003243B2">
            <w:pPr>
              <w:pStyle w:val="P68B1DB1-TableParagraph40"/>
              <w:spacing w:before="108"/>
              <w:ind w:left="85"/>
              <w:jc w:val="both"/>
            </w:pPr>
            <w:r>
              <w:t>Għandha tintgħażel fost l-għażliet li ġejjin:</w:t>
            </w:r>
          </w:p>
          <w:p w14:paraId="7FE1D209" w14:textId="1B19E45B" w:rsidR="00534D9A" w:rsidRDefault="003243B2">
            <w:pPr>
              <w:pStyle w:val="P68B1DB1-TableParagraph40"/>
              <w:numPr>
                <w:ilvl w:val="0"/>
                <w:numId w:val="269"/>
              </w:numPr>
              <w:spacing w:before="108"/>
              <w:jc w:val="both"/>
            </w:pPr>
            <w:r>
              <w:t>Fondi għal riskju bankarju ġenerali</w:t>
            </w:r>
          </w:p>
          <w:p w14:paraId="7FE1D20A" w14:textId="5F4C425A" w:rsidR="00534D9A" w:rsidRDefault="003243B2">
            <w:pPr>
              <w:pStyle w:val="P68B1DB1-TableParagraph40"/>
              <w:numPr>
                <w:ilvl w:val="0"/>
                <w:numId w:val="269"/>
              </w:numPr>
              <w:spacing w:before="108"/>
              <w:jc w:val="both"/>
            </w:pPr>
            <w:r>
              <w:t>Il-pensjoni u l-obbligi ta’ benefiċċju definit oħra ta’ wara l-impjieg</w:t>
            </w:r>
          </w:p>
          <w:p w14:paraId="7FE1D20B" w14:textId="3AEADF9D" w:rsidR="00534D9A" w:rsidRDefault="003243B2">
            <w:pPr>
              <w:pStyle w:val="P68B1DB1-TableParagraph40"/>
              <w:numPr>
                <w:ilvl w:val="0"/>
                <w:numId w:val="269"/>
              </w:numPr>
              <w:spacing w:before="108"/>
              <w:jc w:val="both"/>
            </w:pPr>
            <w:r>
              <w:t>Benefiċċji tal-Impjegati Minbarra l-pensjoni u l-obbligi ta’ benefiċċju definit oħra ta’ wara l-impjieg</w:t>
            </w:r>
          </w:p>
          <w:p w14:paraId="7FE1D20C" w14:textId="66AEA5AF" w:rsidR="00534D9A" w:rsidRDefault="003243B2">
            <w:pPr>
              <w:pStyle w:val="P68B1DB1-TableParagraph40"/>
              <w:numPr>
                <w:ilvl w:val="0"/>
                <w:numId w:val="269"/>
              </w:numPr>
              <w:spacing w:before="108"/>
              <w:jc w:val="both"/>
            </w:pPr>
            <w:r>
              <w:t>Ristrutturar</w:t>
            </w:r>
          </w:p>
          <w:p w14:paraId="7FE1D20D" w14:textId="72D6FCB9" w:rsidR="00534D9A" w:rsidRDefault="003243B2">
            <w:pPr>
              <w:pStyle w:val="P68B1DB1-TableParagraph40"/>
              <w:numPr>
                <w:ilvl w:val="0"/>
                <w:numId w:val="269"/>
              </w:numPr>
              <w:spacing w:before="108"/>
              <w:jc w:val="both"/>
            </w:pPr>
            <w:r>
              <w:t>Kwistjonijiet legali pendenti u litigazzjoni fiskali</w:t>
            </w:r>
          </w:p>
          <w:p w14:paraId="7FE1D20E" w14:textId="6A9A65DF" w:rsidR="00534D9A" w:rsidRDefault="003243B2">
            <w:pPr>
              <w:pStyle w:val="P68B1DB1-TableParagraph40"/>
              <w:numPr>
                <w:ilvl w:val="0"/>
                <w:numId w:val="269"/>
              </w:numPr>
              <w:spacing w:before="108"/>
              <w:jc w:val="both"/>
            </w:pPr>
            <w:r>
              <w:t>Skoperturi lil hinn mill-karta bilanċjali soġġetti għal riskju ta’ kreditu</w:t>
            </w:r>
          </w:p>
          <w:p w14:paraId="7FE1D20F" w14:textId="69731D97" w:rsidR="00534D9A" w:rsidRDefault="003243B2">
            <w:pPr>
              <w:pStyle w:val="P68B1DB1-TableParagraph40"/>
              <w:numPr>
                <w:ilvl w:val="0"/>
                <w:numId w:val="269"/>
              </w:numPr>
              <w:spacing w:before="108"/>
              <w:jc w:val="both"/>
            </w:pPr>
            <w:r>
              <w:t>Għajr Benefiċċji tal-impjegati, Ristrutturar, Kwistjonijiet legali u litigazzjoni dwar taxxa pendenti, Entrati soġġetti għal riskju ta’ kreditu li ma jidhrux fuq il-karta bilanċjali</w:t>
            </w:r>
          </w:p>
          <w:p w14:paraId="7FE1D210" w14:textId="00431AB4" w:rsidR="00534D9A" w:rsidRDefault="003243B2">
            <w:pPr>
              <w:pStyle w:val="P68B1DB1-TableParagraph40"/>
              <w:numPr>
                <w:ilvl w:val="0"/>
                <w:numId w:val="269"/>
              </w:numPr>
              <w:spacing w:before="108"/>
              <w:jc w:val="both"/>
            </w:pPr>
            <w:r>
              <w:t>Obbligazzjonijiet ta’ taxxa</w:t>
            </w:r>
          </w:p>
          <w:p w14:paraId="7FE1D211" w14:textId="29640DA2" w:rsidR="00534D9A" w:rsidRDefault="003243B2">
            <w:pPr>
              <w:pStyle w:val="P68B1DB1-TableParagraph40"/>
              <w:numPr>
                <w:ilvl w:val="0"/>
                <w:numId w:val="269"/>
              </w:numPr>
              <w:spacing w:before="108"/>
              <w:jc w:val="both"/>
            </w:pPr>
            <w:r>
              <w:t>12 Dħul differit</w:t>
            </w:r>
          </w:p>
          <w:p w14:paraId="7FE1D212" w14:textId="7E6BDA10" w:rsidR="00534D9A" w:rsidRDefault="003243B2">
            <w:pPr>
              <w:pStyle w:val="P68B1DB1-TableParagraph40"/>
              <w:numPr>
                <w:ilvl w:val="0"/>
                <w:numId w:val="269"/>
              </w:numPr>
              <w:spacing w:before="108"/>
              <w:jc w:val="both"/>
            </w:pPr>
            <w:r>
              <w:t>Obbligazzjonijiet għajr obbligazzjonijiet finanzjarji, provvedimenti, obbligazzjonijiet ta’ taxxa, introjtu differit</w:t>
            </w:r>
          </w:p>
        </w:tc>
      </w:tr>
      <w:tr w:rsidR="00534D9A" w14:paraId="7FE1D217" w14:textId="77777777">
        <w:tc>
          <w:tcPr>
            <w:tcW w:w="1183" w:type="dxa"/>
            <w:tcBorders>
              <w:top w:val="single" w:sz="4" w:space="0" w:color="auto"/>
              <w:left w:val="nil"/>
              <w:bottom w:val="single" w:sz="8" w:space="0" w:color="1A171C"/>
              <w:right w:val="single" w:sz="8" w:space="0" w:color="1A171C"/>
            </w:tcBorders>
            <w:vAlign w:val="center"/>
          </w:tcPr>
          <w:p w14:paraId="7FE1D214" w14:textId="77777777" w:rsidR="00534D9A" w:rsidRDefault="003243B2">
            <w:pPr>
              <w:pStyle w:val="P68B1DB1-Normal31"/>
            </w:pPr>
            <w:r>
              <w:t>0090</w:t>
            </w:r>
          </w:p>
        </w:tc>
        <w:tc>
          <w:tcPr>
            <w:tcW w:w="7832" w:type="dxa"/>
            <w:tcBorders>
              <w:top w:val="single" w:sz="8" w:space="0" w:color="1A171C"/>
              <w:left w:val="single" w:sz="8" w:space="0" w:color="1A171C"/>
              <w:bottom w:val="single" w:sz="8" w:space="0" w:color="1A171C"/>
              <w:right w:val="nil"/>
            </w:tcBorders>
            <w:vAlign w:val="bottom"/>
          </w:tcPr>
          <w:p w14:paraId="7FE1D215" w14:textId="77777777" w:rsidR="00534D9A" w:rsidRDefault="003243B2">
            <w:pPr>
              <w:pStyle w:val="P68B1DB1-TableParagraph40"/>
              <w:spacing w:before="108"/>
              <w:ind w:left="85"/>
              <w:jc w:val="both"/>
              <w:rPr>
                <w:b/>
                <w:bCs/>
              </w:rPr>
            </w:pPr>
            <w:r>
              <w:t xml:space="preserve"> </w:t>
            </w:r>
            <w:r>
              <w:rPr>
                <w:b/>
              </w:rPr>
              <w:t>Ammont pendenti</w:t>
            </w:r>
          </w:p>
          <w:p w14:paraId="7FE1D216" w14:textId="41D11E8B" w:rsidR="00534D9A" w:rsidRDefault="003243B2">
            <w:pPr>
              <w:pStyle w:val="P68B1DB1-TableParagraph40"/>
              <w:spacing w:before="108"/>
              <w:ind w:left="85"/>
              <w:jc w:val="both"/>
            </w:pPr>
            <w:r>
              <w:t>L-ammont pendenti tal-obbligazzjoni.</w:t>
            </w:r>
          </w:p>
        </w:tc>
      </w:tr>
      <w:tr w:rsidR="00534D9A" w14:paraId="7FE1D21B" w14:textId="77777777">
        <w:tc>
          <w:tcPr>
            <w:tcW w:w="1183" w:type="dxa"/>
            <w:tcBorders>
              <w:top w:val="single" w:sz="8" w:space="0" w:color="1A171C"/>
              <w:left w:val="nil"/>
              <w:bottom w:val="single" w:sz="8" w:space="0" w:color="1A171C"/>
              <w:right w:val="single" w:sz="8" w:space="0" w:color="1A171C"/>
            </w:tcBorders>
            <w:vAlign w:val="center"/>
          </w:tcPr>
          <w:p w14:paraId="7FE1D218" w14:textId="77777777" w:rsidR="00534D9A" w:rsidRDefault="003243B2">
            <w:pPr>
              <w:pStyle w:val="P68B1DB1-Normal31"/>
            </w:pPr>
            <w:r>
              <w:t>0100</w:t>
            </w:r>
          </w:p>
        </w:tc>
        <w:tc>
          <w:tcPr>
            <w:tcW w:w="7832" w:type="dxa"/>
            <w:tcBorders>
              <w:top w:val="single" w:sz="8" w:space="0" w:color="1A171C"/>
              <w:left w:val="single" w:sz="8" w:space="0" w:color="1A171C"/>
              <w:bottom w:val="single" w:sz="8" w:space="0" w:color="1A171C"/>
              <w:right w:val="nil"/>
            </w:tcBorders>
            <w:vAlign w:val="bottom"/>
          </w:tcPr>
          <w:p w14:paraId="7FE1D219" w14:textId="77777777" w:rsidR="00534D9A" w:rsidRDefault="003243B2">
            <w:pPr>
              <w:pStyle w:val="P68B1DB1-TableParagraph73"/>
              <w:spacing w:before="108"/>
              <w:ind w:left="85"/>
              <w:jc w:val="both"/>
              <w:rPr>
                <w:bCs/>
              </w:rPr>
            </w:pPr>
            <w:r>
              <w:t xml:space="preserve">Munita  </w:t>
            </w:r>
          </w:p>
          <w:p w14:paraId="7FE1D21A" w14:textId="0E8D9FF4" w:rsidR="00534D9A" w:rsidRDefault="003243B2">
            <w:pPr>
              <w:pStyle w:val="P68B1DB1-TableParagraph40"/>
              <w:spacing w:before="108"/>
              <w:ind w:left="85"/>
              <w:jc w:val="both"/>
            </w:pPr>
            <w:r>
              <w:t>Il-munita tal-obbligazzjoni tinħareġ f’konformità mal-kodiċi ISO 4217 bi 3 ittri tagħha.</w:t>
            </w:r>
          </w:p>
        </w:tc>
      </w:tr>
      <w:tr w:rsidR="00534D9A" w14:paraId="7FE1D21F" w14:textId="77777777">
        <w:tc>
          <w:tcPr>
            <w:tcW w:w="1183" w:type="dxa"/>
            <w:tcBorders>
              <w:top w:val="single" w:sz="8" w:space="0" w:color="1A171C"/>
              <w:left w:val="nil"/>
              <w:bottom w:val="single" w:sz="8" w:space="0" w:color="1A171C"/>
              <w:right w:val="single" w:sz="8" w:space="0" w:color="1A171C"/>
            </w:tcBorders>
            <w:vAlign w:val="center"/>
          </w:tcPr>
          <w:p w14:paraId="7FE1D21C" w14:textId="77777777" w:rsidR="00534D9A" w:rsidRDefault="003243B2">
            <w:pPr>
              <w:pStyle w:val="P68B1DB1-Normal31"/>
            </w:pPr>
            <w:r>
              <w:t>0110</w:t>
            </w:r>
          </w:p>
        </w:tc>
        <w:tc>
          <w:tcPr>
            <w:tcW w:w="7832" w:type="dxa"/>
            <w:tcBorders>
              <w:top w:val="single" w:sz="8" w:space="0" w:color="1A171C"/>
              <w:left w:val="single" w:sz="8" w:space="0" w:color="1A171C"/>
              <w:bottom w:val="single" w:sz="8" w:space="0" w:color="1A171C"/>
              <w:right w:val="nil"/>
            </w:tcBorders>
            <w:vAlign w:val="bottom"/>
          </w:tcPr>
          <w:p w14:paraId="7FE1D21D" w14:textId="77777777" w:rsidR="00534D9A" w:rsidRDefault="003243B2">
            <w:pPr>
              <w:pStyle w:val="P68B1DB1-TableParagraph73"/>
              <w:spacing w:before="108"/>
              <w:ind w:left="85"/>
              <w:jc w:val="both"/>
              <w:rPr>
                <w:bCs/>
              </w:rPr>
            </w:pPr>
            <w:r>
              <w:t xml:space="preserve"> Data ta’ Rikonoxximent </w:t>
            </w:r>
          </w:p>
          <w:p w14:paraId="7FE1D21E" w14:textId="6A3E04DE" w:rsidR="00534D9A" w:rsidRDefault="003243B2">
            <w:pPr>
              <w:pStyle w:val="P68B1DB1-TableParagraph40"/>
              <w:spacing w:before="108"/>
              <w:ind w:left="85"/>
              <w:jc w:val="both"/>
            </w:pPr>
            <w:r>
              <w:t>Id-data li fiha l-obbligazzjoni ġiet rikonoxxuta fil-kontijiet finanzjarji, skont l-istandards kontabilistiċi applikabbli.</w:t>
            </w:r>
          </w:p>
        </w:tc>
      </w:tr>
      <w:tr w:rsidR="00534D9A" w14:paraId="7FE1D223" w14:textId="77777777">
        <w:tc>
          <w:tcPr>
            <w:tcW w:w="1183" w:type="dxa"/>
            <w:tcBorders>
              <w:top w:val="single" w:sz="8" w:space="0" w:color="1A171C"/>
              <w:left w:val="nil"/>
              <w:bottom w:val="single" w:sz="8" w:space="0" w:color="1A171C"/>
              <w:right w:val="single" w:sz="8" w:space="0" w:color="1A171C"/>
            </w:tcBorders>
            <w:vAlign w:val="center"/>
          </w:tcPr>
          <w:p w14:paraId="7FE1D220" w14:textId="77777777" w:rsidR="00534D9A" w:rsidRDefault="003243B2">
            <w:pPr>
              <w:pStyle w:val="P68B1DB1-Normal31"/>
            </w:pPr>
            <w:r>
              <w:t>0120</w:t>
            </w:r>
          </w:p>
        </w:tc>
        <w:tc>
          <w:tcPr>
            <w:tcW w:w="7832" w:type="dxa"/>
            <w:tcBorders>
              <w:top w:val="single" w:sz="8" w:space="0" w:color="1A171C"/>
              <w:left w:val="single" w:sz="8" w:space="0" w:color="1A171C"/>
              <w:bottom w:val="single" w:sz="8" w:space="0" w:color="1A171C"/>
              <w:right w:val="nil"/>
            </w:tcBorders>
            <w:vAlign w:val="bottom"/>
          </w:tcPr>
          <w:p w14:paraId="7FE1D221" w14:textId="77777777" w:rsidR="00534D9A" w:rsidRDefault="003243B2">
            <w:pPr>
              <w:pStyle w:val="P68B1DB1-TableParagraph73"/>
              <w:spacing w:before="108"/>
              <w:ind w:left="85"/>
              <w:jc w:val="both"/>
              <w:rPr>
                <w:bCs/>
              </w:rPr>
            </w:pPr>
            <w:r>
              <w:t xml:space="preserve">Data tal-Maturità </w:t>
            </w:r>
          </w:p>
          <w:p w14:paraId="7FE1D222" w14:textId="41BB691A" w:rsidR="00534D9A" w:rsidRDefault="003243B2">
            <w:pPr>
              <w:pStyle w:val="P68B1DB1-TableParagraph40"/>
              <w:spacing w:before="108"/>
              <w:ind w:left="85"/>
              <w:jc w:val="both"/>
            </w:pPr>
            <w:r>
              <w:lastRenderedPageBreak/>
              <w:t>Id-data tal-maturità legali u finali tal-obbligazzjoni. Għal obbligazzjonijiet perpetwi, uża “2099–01–31”.</w:t>
            </w:r>
          </w:p>
        </w:tc>
      </w:tr>
      <w:tr w:rsidR="00534D9A" w14:paraId="7FE1D228" w14:textId="77777777">
        <w:trPr>
          <w:trHeight w:val="2644"/>
        </w:trPr>
        <w:tc>
          <w:tcPr>
            <w:tcW w:w="1183" w:type="dxa"/>
            <w:tcBorders>
              <w:top w:val="single" w:sz="8" w:space="0" w:color="1A171C"/>
              <w:left w:val="nil"/>
              <w:bottom w:val="single" w:sz="8" w:space="0" w:color="1A171C"/>
              <w:right w:val="single" w:sz="8" w:space="0" w:color="1A171C"/>
            </w:tcBorders>
            <w:vAlign w:val="center"/>
          </w:tcPr>
          <w:p w14:paraId="7FE1D224" w14:textId="77777777" w:rsidR="00534D9A" w:rsidRDefault="003243B2">
            <w:pPr>
              <w:pStyle w:val="P68B1DB1-Normal31"/>
            </w:pPr>
            <w:r>
              <w:lastRenderedPageBreak/>
              <w:t>0130</w:t>
            </w:r>
          </w:p>
        </w:tc>
        <w:tc>
          <w:tcPr>
            <w:tcW w:w="7832" w:type="dxa"/>
            <w:tcBorders>
              <w:top w:val="single" w:sz="8" w:space="0" w:color="1A171C"/>
              <w:left w:val="single" w:sz="8" w:space="0" w:color="1A171C"/>
              <w:right w:val="nil"/>
            </w:tcBorders>
            <w:vAlign w:val="bottom"/>
          </w:tcPr>
          <w:p w14:paraId="7FE1D225" w14:textId="77777777" w:rsidR="00534D9A" w:rsidRDefault="003243B2">
            <w:pPr>
              <w:pStyle w:val="P68B1DB1-TableParagraph40"/>
              <w:spacing w:before="108"/>
              <w:ind w:left="85"/>
              <w:jc w:val="both"/>
              <w:rPr>
                <w:b/>
                <w:bCs/>
              </w:rPr>
            </w:pPr>
            <w:r>
              <w:t xml:space="preserve"> </w:t>
            </w:r>
            <w:r>
              <w:rPr>
                <w:b/>
              </w:rPr>
              <w:t>Li jikkwalifikaw bħala Fondi Proprji</w:t>
            </w:r>
          </w:p>
          <w:p w14:paraId="7FE1D226" w14:textId="3E6ABC96" w:rsidR="00534D9A" w:rsidRDefault="003243B2">
            <w:pPr>
              <w:pStyle w:val="P68B1DB1-TableParagraph40"/>
              <w:spacing w:before="108"/>
              <w:ind w:left="85"/>
              <w:jc w:val="both"/>
            </w:pPr>
            <w:r>
              <w:t xml:space="preserve">Indika jekk u f’liema livell l-istrument huwa inkluż fil-fondi proprji, flimkien ma’ informazzjoni dwar ir-reġim ta’ eliminazzjoni gradwali u l-arranġamenti ta’ anterjorità. Il-valur jista’ jkun “Le”, “Parzjalment AT1, T1 u T2”, “T2 fi tneħħija gradwali”, “Grandfathered T2”, “Konformità Sħiħa T2”, “AT1 anterjorat”, “Konformità Sħiħa AT1” jew “CET1” minn lista predefinita. </w:t>
            </w:r>
          </w:p>
          <w:p w14:paraId="7FE1D227" w14:textId="4662C12C" w:rsidR="00534D9A" w:rsidRDefault="003243B2">
            <w:pPr>
              <w:pStyle w:val="P68B1DB1-TableParagraph40"/>
              <w:spacing w:before="108"/>
              <w:ind w:left="85"/>
              <w:jc w:val="both"/>
            </w:pPr>
            <w:r>
              <w:t xml:space="preserve"> Fil-lista ta’ opzjonijiet it-terminu “eliminazzjoni gradwali” jirreferi għall-perjodu ta’ 5 snin qabel il-maturità ta’ kwalunkwe strument T2 partikolari, li matulu jkun hemm biss rikonoxximent proporzjonat ibbażat fuq iż-żmien li jifdal sal-maturità. “Anterjorità” tirreferi għal kwalunkwe miżura tranżizzjonali applikabbli għal strument T2, li ma tinkludix l- “eliminazzjoni gradwali”. Matul dan il- “anterjorità”, ir-rikonoxximent jista’ jkun sħiħ jew parzjali.</w:t>
            </w:r>
          </w:p>
        </w:tc>
      </w:tr>
      <w:tr w:rsidR="00534D9A" w14:paraId="7FE1D22C" w14:textId="77777777">
        <w:tc>
          <w:tcPr>
            <w:tcW w:w="1183" w:type="dxa"/>
            <w:tcBorders>
              <w:top w:val="nil"/>
              <w:left w:val="nil"/>
              <w:bottom w:val="single" w:sz="8" w:space="0" w:color="1A171C"/>
              <w:right w:val="single" w:sz="8" w:space="0" w:color="1A171C"/>
            </w:tcBorders>
            <w:vAlign w:val="center"/>
          </w:tcPr>
          <w:p w14:paraId="7FE1D229" w14:textId="77777777" w:rsidR="00534D9A" w:rsidRDefault="003243B2">
            <w:pPr>
              <w:pStyle w:val="P68B1DB1-Normal31"/>
            </w:pPr>
            <w:r>
              <w:t>0140</w:t>
            </w:r>
          </w:p>
        </w:tc>
        <w:tc>
          <w:tcPr>
            <w:tcW w:w="7832" w:type="dxa"/>
            <w:tcBorders>
              <w:top w:val="single" w:sz="8" w:space="0" w:color="1A171C"/>
              <w:left w:val="single" w:sz="8" w:space="0" w:color="1A171C"/>
              <w:bottom w:val="single" w:sz="8" w:space="0" w:color="1A171C"/>
              <w:right w:val="nil"/>
            </w:tcBorders>
            <w:vAlign w:val="bottom"/>
          </w:tcPr>
          <w:p w14:paraId="7FE1D22A" w14:textId="5599A05B" w:rsidR="00534D9A" w:rsidRDefault="003243B2">
            <w:pPr>
              <w:pStyle w:val="P68B1DB1-TableParagraph40"/>
              <w:spacing w:before="108"/>
              <w:ind w:left="85"/>
              <w:jc w:val="both"/>
              <w:rPr>
                <w:b/>
                <w:bCs/>
              </w:rPr>
            </w:pPr>
            <w:r>
              <w:t xml:space="preserve"> </w:t>
            </w:r>
            <w:r>
              <w:rPr>
                <w:b/>
              </w:rPr>
              <w:t>Ammont li jikkwalifika bħala Fondi Proprji</w:t>
            </w:r>
          </w:p>
          <w:p w14:paraId="7FE1D22B" w14:textId="01A9A811" w:rsidR="00534D9A" w:rsidRDefault="003243B2">
            <w:pPr>
              <w:pStyle w:val="P68B1DB1-TableParagraph40"/>
              <w:spacing w:before="108"/>
              <w:ind w:left="85"/>
              <w:jc w:val="both"/>
            </w:pPr>
            <w:r>
              <w:t>L-ammont tal-istrument li jikkwalifika bħala fondi proprji.</w:t>
            </w:r>
          </w:p>
        </w:tc>
      </w:tr>
    </w:tbl>
    <w:p w14:paraId="7FE1D22D" w14:textId="01F1CEAB" w:rsidR="00534D9A" w:rsidRDefault="00534D9A">
      <w:pPr>
        <w:pStyle w:val="body"/>
        <w:rPr>
          <w:rFonts w:ascii="Times New Roman" w:hAnsi="Times New Roman" w:cs="Times New Roman"/>
          <w:sz w:val="20"/>
          <w:szCs w:val="20"/>
        </w:rPr>
      </w:pPr>
    </w:p>
    <w:p w14:paraId="349218F7" w14:textId="77777777" w:rsidR="00534D9A" w:rsidRDefault="003243B2">
      <w:pPr>
        <w:pStyle w:val="P68B1DB1-Normal19"/>
        <w:spacing w:after="200" w:line="276" w:lineRule="auto"/>
      </w:pPr>
      <w:r>
        <w:br w:type="page"/>
      </w:r>
    </w:p>
    <w:p w14:paraId="42DED9B4" w14:textId="77777777" w:rsidR="00534D9A" w:rsidRDefault="00534D9A">
      <w:pPr>
        <w:pStyle w:val="Instructionsberschrift2"/>
        <w:ind w:left="357"/>
        <w:rPr>
          <w:rFonts w:ascii="Times New Roman" w:eastAsia="Calibri" w:hAnsi="Times New Roman" w:cs="Times New Roman"/>
          <w:szCs w:val="20"/>
        </w:rPr>
      </w:pPr>
    </w:p>
    <w:p w14:paraId="4BD624F8" w14:textId="77777777" w:rsidR="00534D9A" w:rsidRDefault="00534D9A">
      <w:pPr>
        <w:spacing w:after="200" w:line="276" w:lineRule="auto"/>
        <w:rPr>
          <w:rFonts w:ascii="Times New Roman" w:hAnsi="Times New Roman" w:cs="Times New Roman"/>
          <w:sz w:val="20"/>
          <w:szCs w:val="20"/>
        </w:rPr>
      </w:pPr>
    </w:p>
    <w:p w14:paraId="715529B0" w14:textId="64A141F4" w:rsidR="00534D9A" w:rsidRDefault="003243B2">
      <w:pPr>
        <w:pStyle w:val="P68B1DB1-Instructionsberschrift284"/>
        <w:numPr>
          <w:ilvl w:val="1"/>
          <w:numId w:val="49"/>
        </w:numPr>
        <w:spacing w:before="0"/>
        <w:ind w:left="357" w:hanging="357"/>
      </w:pPr>
      <w:bookmarkStart w:id="255" w:name="_Toc192248856"/>
      <w:bookmarkStart w:id="256" w:name="_Toc208245032"/>
      <w:r>
        <w:t>Anness I — Lista ta’ FMIs li għandhom jintużaw għal Z 09.01 — c0050</w:t>
      </w:r>
      <w:bookmarkEnd w:id="255"/>
      <w:bookmarkEnd w:id="256"/>
    </w:p>
    <w:p w14:paraId="31681B73" w14:textId="51FEAE08" w:rsidR="00534D9A" w:rsidRDefault="00534D9A">
      <w:pPr>
        <w:pStyle w:val="body"/>
        <w:rPr>
          <w:rFonts w:ascii="Times New Roman" w:hAnsi="Times New Roman" w:cs="Times New Roman"/>
          <w:sz w:val="20"/>
          <w:szCs w:val="20"/>
        </w:rPr>
      </w:pPr>
    </w:p>
    <w:tbl>
      <w:tblPr>
        <w:tblW w:w="9072" w:type="dxa"/>
        <w:tblLook w:val="04A0" w:firstRow="1" w:lastRow="0" w:firstColumn="1" w:lastColumn="0" w:noHBand="0" w:noVBand="1"/>
      </w:tblPr>
      <w:tblGrid>
        <w:gridCol w:w="9072"/>
      </w:tblGrid>
      <w:tr w:rsidR="00534D9A" w14:paraId="567BC9DC" w14:textId="77777777">
        <w:trPr>
          <w:trHeight w:val="80"/>
        </w:trPr>
        <w:tc>
          <w:tcPr>
            <w:tcW w:w="9072" w:type="dxa"/>
            <w:tcBorders>
              <w:top w:val="nil"/>
              <w:left w:val="nil"/>
              <w:bottom w:val="nil"/>
              <w:right w:val="nil"/>
            </w:tcBorders>
            <w:shd w:val="clear" w:color="auto" w:fill="EEECE1" w:themeFill="background2"/>
            <w:noWrap/>
            <w:vAlign w:val="bottom"/>
          </w:tcPr>
          <w:p w14:paraId="1C1E6E57" w14:textId="77777777" w:rsidR="00534D9A" w:rsidRDefault="003243B2">
            <w:pPr>
              <w:pStyle w:val="P68B1DB1-Normal90"/>
            </w:pPr>
            <w:r>
              <w:t>Entrata fil-lista li tinżel tal-FMIs</w:t>
            </w:r>
          </w:p>
        </w:tc>
      </w:tr>
      <w:tr w:rsidR="00534D9A" w14:paraId="09736821" w14:textId="77777777">
        <w:trPr>
          <w:trHeight w:val="300"/>
        </w:trPr>
        <w:tc>
          <w:tcPr>
            <w:tcW w:w="9072" w:type="dxa"/>
            <w:tcBorders>
              <w:top w:val="nil"/>
              <w:left w:val="nil"/>
              <w:bottom w:val="nil"/>
              <w:right w:val="nil"/>
            </w:tcBorders>
            <w:noWrap/>
            <w:vAlign w:val="bottom"/>
            <w:hideMark/>
          </w:tcPr>
          <w:p w14:paraId="65FBD6FC" w14:textId="77777777" w:rsidR="00534D9A" w:rsidRDefault="003243B2">
            <w:pPr>
              <w:pStyle w:val="P68B1DB1-Normal91"/>
            </w:pPr>
            <w:bookmarkStart w:id="257" w:name="RANGE!A3:A168"/>
            <w:r>
              <w:t>Uffiċċju tal-Ikklerjar ta’ Ateni (ACO)</w:t>
            </w:r>
            <w:bookmarkEnd w:id="257"/>
          </w:p>
        </w:tc>
      </w:tr>
      <w:tr w:rsidR="00534D9A" w14:paraId="447EB604" w14:textId="77777777">
        <w:trPr>
          <w:trHeight w:val="300"/>
        </w:trPr>
        <w:tc>
          <w:tcPr>
            <w:tcW w:w="9072" w:type="dxa"/>
            <w:tcBorders>
              <w:top w:val="nil"/>
              <w:left w:val="nil"/>
              <w:bottom w:val="nil"/>
              <w:right w:val="nil"/>
            </w:tcBorders>
            <w:noWrap/>
            <w:vAlign w:val="bottom"/>
            <w:hideMark/>
          </w:tcPr>
          <w:p w14:paraId="2B6E60A7" w14:textId="77777777" w:rsidR="00534D9A" w:rsidRDefault="003243B2">
            <w:pPr>
              <w:pStyle w:val="P68B1DB1-Normal91"/>
            </w:pPr>
            <w:r>
              <w:t>ATHEX (il-Borża ta’ Ateni)</w:t>
            </w:r>
          </w:p>
        </w:tc>
      </w:tr>
      <w:tr w:rsidR="00534D9A" w14:paraId="0DF5C441" w14:textId="77777777">
        <w:trPr>
          <w:trHeight w:val="300"/>
        </w:trPr>
        <w:tc>
          <w:tcPr>
            <w:tcW w:w="9072" w:type="dxa"/>
            <w:tcBorders>
              <w:top w:val="nil"/>
              <w:left w:val="nil"/>
              <w:bottom w:val="nil"/>
              <w:right w:val="nil"/>
            </w:tcBorders>
            <w:noWrap/>
            <w:vAlign w:val="bottom"/>
            <w:hideMark/>
          </w:tcPr>
          <w:p w14:paraId="4C199F01" w14:textId="77777777" w:rsidR="00534D9A" w:rsidRDefault="003243B2">
            <w:pPr>
              <w:pStyle w:val="P68B1DB1-Normal91"/>
            </w:pPr>
            <w:r>
              <w:t>CSD TA’ ATHEX</w:t>
            </w:r>
          </w:p>
        </w:tc>
      </w:tr>
      <w:tr w:rsidR="00534D9A" w14:paraId="6C8DFF2B" w14:textId="77777777">
        <w:trPr>
          <w:trHeight w:val="300"/>
        </w:trPr>
        <w:tc>
          <w:tcPr>
            <w:tcW w:w="9072" w:type="dxa"/>
            <w:tcBorders>
              <w:top w:val="nil"/>
              <w:left w:val="nil"/>
              <w:bottom w:val="nil"/>
              <w:right w:val="nil"/>
            </w:tcBorders>
            <w:noWrap/>
            <w:vAlign w:val="bottom"/>
            <w:hideMark/>
          </w:tcPr>
          <w:p w14:paraId="2876B1C1" w14:textId="77777777" w:rsidR="00534D9A" w:rsidRDefault="003243B2">
            <w:pPr>
              <w:pStyle w:val="P68B1DB1-Normal91"/>
            </w:pPr>
            <w:r>
              <w:t>ATHEXClear SA</w:t>
            </w:r>
          </w:p>
        </w:tc>
      </w:tr>
      <w:tr w:rsidR="00534D9A" w14:paraId="24CE5F78" w14:textId="77777777">
        <w:trPr>
          <w:trHeight w:val="300"/>
        </w:trPr>
        <w:tc>
          <w:tcPr>
            <w:tcW w:w="9072" w:type="dxa"/>
            <w:tcBorders>
              <w:top w:val="nil"/>
              <w:left w:val="nil"/>
              <w:bottom w:val="nil"/>
              <w:right w:val="nil"/>
            </w:tcBorders>
            <w:noWrap/>
            <w:vAlign w:val="bottom"/>
            <w:hideMark/>
          </w:tcPr>
          <w:p w14:paraId="1E830E75" w14:textId="77777777" w:rsidR="00534D9A" w:rsidRDefault="003243B2">
            <w:pPr>
              <w:pStyle w:val="P68B1DB1-Normal91"/>
            </w:pPr>
            <w:r>
              <w:t>Il-Clearing House ACH</w:t>
            </w:r>
          </w:p>
        </w:tc>
      </w:tr>
      <w:tr w:rsidR="00534D9A" w14:paraId="2920AE45" w14:textId="77777777">
        <w:trPr>
          <w:trHeight w:val="300"/>
        </w:trPr>
        <w:tc>
          <w:tcPr>
            <w:tcW w:w="9072" w:type="dxa"/>
            <w:tcBorders>
              <w:top w:val="nil"/>
              <w:left w:val="nil"/>
              <w:bottom w:val="nil"/>
              <w:right w:val="nil"/>
            </w:tcBorders>
            <w:noWrap/>
            <w:vAlign w:val="bottom"/>
            <w:hideMark/>
          </w:tcPr>
          <w:p w14:paraId="1C314494" w14:textId="77777777" w:rsidR="00534D9A" w:rsidRDefault="003243B2">
            <w:pPr>
              <w:pStyle w:val="P68B1DB1-Normal91"/>
            </w:pPr>
            <w:r>
              <w:t>Sistema awtomatizzata ta’ saldu ta’ kklerjar (ACSS)</w:t>
            </w:r>
          </w:p>
        </w:tc>
      </w:tr>
      <w:tr w:rsidR="00534D9A" w14:paraId="1DB8A80A" w14:textId="77777777">
        <w:trPr>
          <w:trHeight w:val="300"/>
        </w:trPr>
        <w:tc>
          <w:tcPr>
            <w:tcW w:w="9072" w:type="dxa"/>
            <w:tcBorders>
              <w:top w:val="nil"/>
              <w:left w:val="nil"/>
              <w:bottom w:val="nil"/>
              <w:right w:val="nil"/>
            </w:tcBorders>
            <w:noWrap/>
            <w:vAlign w:val="bottom"/>
            <w:hideMark/>
          </w:tcPr>
          <w:p w14:paraId="65CA5200" w14:textId="77777777" w:rsidR="00534D9A" w:rsidRDefault="003243B2">
            <w:pPr>
              <w:pStyle w:val="P68B1DB1-Normal91"/>
            </w:pPr>
            <w:r>
              <w:t>BACS (Servizzi ta’ Approvazzjoni Awtomatizzata tal-Bankiera)</w:t>
            </w:r>
          </w:p>
        </w:tc>
      </w:tr>
      <w:tr w:rsidR="00534D9A" w14:paraId="0C931590" w14:textId="77777777">
        <w:trPr>
          <w:trHeight w:val="300"/>
        </w:trPr>
        <w:tc>
          <w:tcPr>
            <w:tcW w:w="9072" w:type="dxa"/>
            <w:tcBorders>
              <w:top w:val="nil"/>
              <w:left w:val="nil"/>
              <w:bottom w:val="nil"/>
              <w:right w:val="nil"/>
            </w:tcBorders>
            <w:noWrap/>
            <w:vAlign w:val="bottom"/>
            <w:hideMark/>
          </w:tcPr>
          <w:p w14:paraId="50133989" w14:textId="77777777" w:rsidR="00534D9A" w:rsidRDefault="003243B2">
            <w:pPr>
              <w:pStyle w:val="P68B1DB1-Normal91"/>
            </w:pPr>
            <w:r>
              <w:t>Bankgirot (Bankgirocentralen BGC AB)</w:t>
            </w:r>
          </w:p>
        </w:tc>
      </w:tr>
      <w:tr w:rsidR="00534D9A" w14:paraId="2F8CAEE4" w14:textId="77777777">
        <w:trPr>
          <w:trHeight w:val="300"/>
        </w:trPr>
        <w:tc>
          <w:tcPr>
            <w:tcW w:w="9072" w:type="dxa"/>
            <w:tcBorders>
              <w:top w:val="nil"/>
              <w:left w:val="nil"/>
              <w:bottom w:val="nil"/>
              <w:right w:val="nil"/>
            </w:tcBorders>
            <w:noWrap/>
            <w:vAlign w:val="bottom"/>
            <w:hideMark/>
          </w:tcPr>
          <w:p w14:paraId="01AEF229" w14:textId="77777777" w:rsidR="00534D9A" w:rsidRDefault="003243B2">
            <w:pPr>
              <w:pStyle w:val="P68B1DB1-Normal91"/>
            </w:pPr>
            <w:r>
              <w:t>BI-COMP</w:t>
            </w:r>
          </w:p>
        </w:tc>
      </w:tr>
      <w:tr w:rsidR="00534D9A" w14:paraId="7736D7E4" w14:textId="77777777">
        <w:trPr>
          <w:trHeight w:val="300"/>
        </w:trPr>
        <w:tc>
          <w:tcPr>
            <w:tcW w:w="9072" w:type="dxa"/>
            <w:tcBorders>
              <w:top w:val="nil"/>
              <w:left w:val="nil"/>
              <w:bottom w:val="nil"/>
              <w:right w:val="nil"/>
            </w:tcBorders>
            <w:noWrap/>
            <w:vAlign w:val="bottom"/>
            <w:hideMark/>
          </w:tcPr>
          <w:p w14:paraId="431E29D0" w14:textId="77777777" w:rsidR="00534D9A" w:rsidRDefault="003243B2">
            <w:pPr>
              <w:pStyle w:val="P68B1DB1-Normal91"/>
            </w:pPr>
            <w:r>
              <w:t>Bisera (Sistema Integrata Bankarja għal Pagamenti Elettroniċi)</w:t>
            </w:r>
          </w:p>
        </w:tc>
      </w:tr>
      <w:tr w:rsidR="00534D9A" w14:paraId="7AE977D3" w14:textId="77777777">
        <w:trPr>
          <w:trHeight w:val="300"/>
        </w:trPr>
        <w:tc>
          <w:tcPr>
            <w:tcW w:w="9072" w:type="dxa"/>
            <w:tcBorders>
              <w:top w:val="nil"/>
              <w:left w:val="nil"/>
              <w:bottom w:val="nil"/>
              <w:right w:val="nil"/>
            </w:tcBorders>
            <w:noWrap/>
            <w:vAlign w:val="bottom"/>
            <w:hideMark/>
          </w:tcPr>
          <w:p w14:paraId="0E054309" w14:textId="77777777" w:rsidR="00534D9A" w:rsidRDefault="003243B2">
            <w:pPr>
              <w:pStyle w:val="P68B1DB1-Normal91"/>
            </w:pPr>
            <w:r>
              <w:t>Repożitorju tat-Tranżazzjonijiet ta’ Bloomberg Limited</w:t>
            </w:r>
          </w:p>
        </w:tc>
      </w:tr>
      <w:tr w:rsidR="00534D9A" w14:paraId="3DEFBBB0" w14:textId="77777777">
        <w:trPr>
          <w:trHeight w:val="300"/>
        </w:trPr>
        <w:tc>
          <w:tcPr>
            <w:tcW w:w="9072" w:type="dxa"/>
            <w:tcBorders>
              <w:top w:val="nil"/>
              <w:left w:val="nil"/>
              <w:bottom w:val="nil"/>
              <w:right w:val="nil"/>
            </w:tcBorders>
            <w:noWrap/>
            <w:vAlign w:val="bottom"/>
            <w:hideMark/>
          </w:tcPr>
          <w:p w14:paraId="69A6C566" w14:textId="77777777" w:rsidR="00534D9A" w:rsidRDefault="003243B2">
            <w:pPr>
              <w:pStyle w:val="P68B1DB1-Normal91"/>
            </w:pPr>
            <w:r>
              <w:t>BME</w:t>
            </w:r>
          </w:p>
        </w:tc>
      </w:tr>
      <w:tr w:rsidR="00534D9A" w14:paraId="6C4EE14D" w14:textId="77777777">
        <w:trPr>
          <w:trHeight w:val="300"/>
        </w:trPr>
        <w:tc>
          <w:tcPr>
            <w:tcW w:w="9072" w:type="dxa"/>
            <w:tcBorders>
              <w:top w:val="nil"/>
              <w:left w:val="nil"/>
              <w:bottom w:val="nil"/>
              <w:right w:val="nil"/>
            </w:tcBorders>
            <w:noWrap/>
            <w:vAlign w:val="bottom"/>
            <w:hideMark/>
          </w:tcPr>
          <w:p w14:paraId="31001C6A" w14:textId="77777777" w:rsidR="00534D9A" w:rsidRDefault="003243B2">
            <w:pPr>
              <w:pStyle w:val="P68B1DB1-Normal91"/>
            </w:pPr>
            <w:r>
              <w:t>Kklirjar tal-BME</w:t>
            </w:r>
          </w:p>
        </w:tc>
      </w:tr>
      <w:tr w:rsidR="00534D9A" w14:paraId="3ADECE08" w14:textId="77777777">
        <w:trPr>
          <w:trHeight w:val="300"/>
        </w:trPr>
        <w:tc>
          <w:tcPr>
            <w:tcW w:w="9072" w:type="dxa"/>
            <w:tcBorders>
              <w:top w:val="nil"/>
              <w:left w:val="nil"/>
              <w:bottom w:val="nil"/>
              <w:right w:val="nil"/>
            </w:tcBorders>
            <w:noWrap/>
            <w:vAlign w:val="bottom"/>
            <w:hideMark/>
          </w:tcPr>
          <w:p w14:paraId="29263C2A" w14:textId="77777777" w:rsidR="00534D9A" w:rsidRDefault="003243B2">
            <w:pPr>
              <w:pStyle w:val="P68B1DB1-Normal91"/>
            </w:pPr>
            <w:r>
              <w:t>Bogs (Sistema ta’ Saldu tat-Titoli tal-Bank tal-Greċja)</w:t>
            </w:r>
          </w:p>
        </w:tc>
      </w:tr>
      <w:tr w:rsidR="00534D9A" w14:paraId="6CCCB9AC" w14:textId="77777777">
        <w:trPr>
          <w:trHeight w:val="300"/>
        </w:trPr>
        <w:tc>
          <w:tcPr>
            <w:tcW w:w="9072" w:type="dxa"/>
            <w:tcBorders>
              <w:top w:val="nil"/>
              <w:left w:val="nil"/>
              <w:bottom w:val="nil"/>
              <w:right w:val="nil"/>
            </w:tcBorders>
            <w:noWrap/>
            <w:vAlign w:val="bottom"/>
            <w:hideMark/>
          </w:tcPr>
          <w:p w14:paraId="1092DA48" w14:textId="77777777" w:rsidR="00534D9A" w:rsidRDefault="003243B2">
            <w:pPr>
              <w:pStyle w:val="P68B1DB1-Normal91"/>
            </w:pPr>
            <w:r>
              <w:t>BOJ-NET</w:t>
            </w:r>
          </w:p>
        </w:tc>
      </w:tr>
      <w:tr w:rsidR="00534D9A" w14:paraId="4CEE7A6B" w14:textId="77777777">
        <w:trPr>
          <w:trHeight w:val="300"/>
        </w:trPr>
        <w:tc>
          <w:tcPr>
            <w:tcW w:w="9072" w:type="dxa"/>
            <w:tcBorders>
              <w:top w:val="nil"/>
              <w:left w:val="nil"/>
              <w:bottom w:val="nil"/>
              <w:right w:val="nil"/>
            </w:tcBorders>
            <w:noWrap/>
            <w:vAlign w:val="bottom"/>
            <w:hideMark/>
          </w:tcPr>
          <w:p w14:paraId="04FBDA33" w14:textId="77777777" w:rsidR="00534D9A" w:rsidRDefault="003243B2">
            <w:pPr>
              <w:pStyle w:val="P68B1DB1-Normal91"/>
            </w:pPr>
            <w:r>
              <w:t>BondSpot S.A.</w:t>
            </w:r>
          </w:p>
        </w:tc>
      </w:tr>
      <w:tr w:rsidR="00534D9A" w14:paraId="3B8A9B67" w14:textId="77777777">
        <w:trPr>
          <w:trHeight w:val="300"/>
        </w:trPr>
        <w:tc>
          <w:tcPr>
            <w:tcW w:w="9072" w:type="dxa"/>
            <w:tcBorders>
              <w:top w:val="nil"/>
              <w:left w:val="nil"/>
              <w:bottom w:val="nil"/>
              <w:right w:val="nil"/>
            </w:tcBorders>
            <w:noWrap/>
            <w:vAlign w:val="bottom"/>
            <w:hideMark/>
          </w:tcPr>
          <w:p w14:paraId="73DB34EF" w14:textId="77777777" w:rsidR="00534D9A" w:rsidRDefault="003243B2">
            <w:pPr>
              <w:pStyle w:val="P68B1DB1-Normal91"/>
            </w:pPr>
            <w:r>
              <w:t>BORICA</w:t>
            </w:r>
          </w:p>
        </w:tc>
      </w:tr>
      <w:tr w:rsidR="00534D9A" w14:paraId="5E8D43A2" w14:textId="77777777">
        <w:trPr>
          <w:trHeight w:val="300"/>
        </w:trPr>
        <w:tc>
          <w:tcPr>
            <w:tcW w:w="9072" w:type="dxa"/>
            <w:tcBorders>
              <w:top w:val="nil"/>
              <w:left w:val="nil"/>
              <w:bottom w:val="nil"/>
              <w:right w:val="nil"/>
            </w:tcBorders>
            <w:noWrap/>
            <w:vAlign w:val="bottom"/>
            <w:hideMark/>
          </w:tcPr>
          <w:p w14:paraId="4F788B85" w14:textId="77777777" w:rsidR="00534D9A" w:rsidRDefault="003243B2">
            <w:pPr>
              <w:pStyle w:val="P68B1DB1-Normal91"/>
            </w:pPr>
            <w:r>
              <w:t>Borsa Italiana SpA</w:t>
            </w:r>
          </w:p>
        </w:tc>
      </w:tr>
      <w:tr w:rsidR="00534D9A" w14:paraId="0034826C" w14:textId="77777777">
        <w:trPr>
          <w:trHeight w:val="300"/>
        </w:trPr>
        <w:tc>
          <w:tcPr>
            <w:tcW w:w="9072" w:type="dxa"/>
            <w:tcBorders>
              <w:top w:val="nil"/>
              <w:left w:val="nil"/>
              <w:bottom w:val="nil"/>
              <w:right w:val="nil"/>
            </w:tcBorders>
            <w:noWrap/>
            <w:vAlign w:val="bottom"/>
            <w:hideMark/>
          </w:tcPr>
          <w:p w14:paraId="6C688147" w14:textId="77777777" w:rsidR="00534D9A" w:rsidRDefault="003243B2">
            <w:pPr>
              <w:pStyle w:val="P68B1DB1-Normal91"/>
            </w:pPr>
            <w:r>
              <w:t>Bratislava Stock Exchange</w:t>
            </w:r>
          </w:p>
        </w:tc>
      </w:tr>
      <w:tr w:rsidR="00534D9A" w14:paraId="2ACAB3C1" w14:textId="77777777">
        <w:trPr>
          <w:trHeight w:val="300"/>
        </w:trPr>
        <w:tc>
          <w:tcPr>
            <w:tcW w:w="9072" w:type="dxa"/>
            <w:tcBorders>
              <w:top w:val="nil"/>
              <w:left w:val="nil"/>
              <w:bottom w:val="nil"/>
              <w:right w:val="nil"/>
            </w:tcBorders>
            <w:noWrap/>
            <w:vAlign w:val="bottom"/>
            <w:hideMark/>
          </w:tcPr>
          <w:p w14:paraId="797C25FF" w14:textId="77777777" w:rsidR="00534D9A" w:rsidRDefault="003243B2">
            <w:pPr>
              <w:pStyle w:val="P68B1DB1-Normal91"/>
            </w:pPr>
            <w:r>
              <w:t>Borża ta’ Budapest</w:t>
            </w:r>
          </w:p>
        </w:tc>
      </w:tr>
      <w:tr w:rsidR="00534D9A" w14:paraId="7928BB77" w14:textId="77777777">
        <w:trPr>
          <w:trHeight w:val="300"/>
        </w:trPr>
        <w:tc>
          <w:tcPr>
            <w:tcW w:w="9072" w:type="dxa"/>
            <w:tcBorders>
              <w:top w:val="nil"/>
              <w:left w:val="nil"/>
              <w:bottom w:val="nil"/>
              <w:right w:val="nil"/>
            </w:tcBorders>
            <w:noWrap/>
            <w:vAlign w:val="bottom"/>
            <w:hideMark/>
          </w:tcPr>
          <w:p w14:paraId="3D5ECE9A" w14:textId="77777777" w:rsidR="00534D9A" w:rsidRDefault="003243B2">
            <w:pPr>
              <w:pStyle w:val="P68B1DB1-Normal91"/>
            </w:pPr>
            <w:r>
              <w:t>Borża Bulgara</w:t>
            </w:r>
          </w:p>
        </w:tc>
      </w:tr>
      <w:tr w:rsidR="00534D9A" w14:paraId="3ED0C0E7" w14:textId="77777777">
        <w:trPr>
          <w:trHeight w:val="300"/>
        </w:trPr>
        <w:tc>
          <w:tcPr>
            <w:tcW w:w="9072" w:type="dxa"/>
            <w:tcBorders>
              <w:top w:val="nil"/>
              <w:left w:val="nil"/>
              <w:bottom w:val="nil"/>
              <w:right w:val="nil"/>
            </w:tcBorders>
            <w:noWrap/>
            <w:vAlign w:val="bottom"/>
            <w:hideMark/>
          </w:tcPr>
          <w:p w14:paraId="2AACB60C" w14:textId="77777777" w:rsidR="00534D9A" w:rsidRDefault="003243B2">
            <w:pPr>
              <w:pStyle w:val="P68B1DB1-Normal91"/>
            </w:pPr>
            <w:r>
              <w:t>Bursa de Valori Bucaresti</w:t>
            </w:r>
          </w:p>
        </w:tc>
      </w:tr>
      <w:tr w:rsidR="00534D9A" w14:paraId="358B0CBB" w14:textId="77777777">
        <w:trPr>
          <w:trHeight w:val="300"/>
        </w:trPr>
        <w:tc>
          <w:tcPr>
            <w:tcW w:w="9072" w:type="dxa"/>
            <w:tcBorders>
              <w:top w:val="nil"/>
              <w:left w:val="nil"/>
              <w:bottom w:val="nil"/>
              <w:right w:val="nil"/>
            </w:tcBorders>
            <w:noWrap/>
            <w:vAlign w:val="bottom"/>
            <w:hideMark/>
          </w:tcPr>
          <w:p w14:paraId="69852FE3" w14:textId="77777777" w:rsidR="00534D9A" w:rsidRDefault="003243B2">
            <w:pPr>
              <w:pStyle w:val="P68B1DB1-Normal91"/>
            </w:pPr>
            <w:r>
              <w:t>Burza cenných papírto Praha, a.s. (il-Borża ta’ Praga)</w:t>
            </w:r>
          </w:p>
        </w:tc>
      </w:tr>
      <w:tr w:rsidR="00534D9A" w14:paraId="2BEFFD1A" w14:textId="77777777">
        <w:trPr>
          <w:trHeight w:val="300"/>
        </w:trPr>
        <w:tc>
          <w:tcPr>
            <w:tcW w:w="9072" w:type="dxa"/>
            <w:tcBorders>
              <w:top w:val="nil"/>
              <w:left w:val="nil"/>
              <w:bottom w:val="nil"/>
              <w:right w:val="nil"/>
            </w:tcBorders>
            <w:noWrap/>
            <w:vAlign w:val="bottom"/>
            <w:hideMark/>
          </w:tcPr>
          <w:p w14:paraId="32741FAD" w14:textId="77777777" w:rsidR="00534D9A" w:rsidRDefault="003243B2">
            <w:pPr>
              <w:pStyle w:val="P68B1DB1-Normal91"/>
            </w:pPr>
            <w:r>
              <w:t>Depożitarju Kanadiż għat-titoli (CDS)</w:t>
            </w:r>
          </w:p>
        </w:tc>
      </w:tr>
      <w:tr w:rsidR="00534D9A" w14:paraId="588D9A6E" w14:textId="77777777">
        <w:trPr>
          <w:trHeight w:val="300"/>
        </w:trPr>
        <w:tc>
          <w:tcPr>
            <w:tcW w:w="9072" w:type="dxa"/>
            <w:tcBorders>
              <w:top w:val="nil"/>
              <w:left w:val="nil"/>
              <w:bottom w:val="nil"/>
              <w:right w:val="nil"/>
            </w:tcBorders>
            <w:noWrap/>
            <w:vAlign w:val="bottom"/>
            <w:hideMark/>
          </w:tcPr>
          <w:p w14:paraId="30CD8C56" w14:textId="77777777" w:rsidR="00534D9A" w:rsidRDefault="003243B2">
            <w:pPr>
              <w:pStyle w:val="P68B1DB1-Normal91"/>
            </w:pPr>
            <w:r>
              <w:t>Il-Korporazzjoni Kanadiża għall-Ikklerjar tad-Derivattivi</w:t>
            </w:r>
          </w:p>
        </w:tc>
      </w:tr>
      <w:tr w:rsidR="00534D9A" w14:paraId="47A4B165" w14:textId="77777777">
        <w:trPr>
          <w:trHeight w:val="300"/>
        </w:trPr>
        <w:tc>
          <w:tcPr>
            <w:tcW w:w="9072" w:type="dxa"/>
            <w:tcBorders>
              <w:top w:val="nil"/>
              <w:left w:val="nil"/>
              <w:bottom w:val="nil"/>
              <w:right w:val="nil"/>
            </w:tcBorders>
            <w:noWrap/>
            <w:vAlign w:val="bottom"/>
          </w:tcPr>
          <w:p w14:paraId="4B6A49F9" w14:textId="77777777" w:rsidR="00534D9A" w:rsidRDefault="003243B2">
            <w:pPr>
              <w:pStyle w:val="P68B1DB1-Normal91"/>
            </w:pPr>
            <w:r>
              <w:t>Cboe Clear Europe</w:t>
            </w:r>
          </w:p>
        </w:tc>
      </w:tr>
      <w:tr w:rsidR="00534D9A" w14:paraId="00F4E07D" w14:textId="77777777">
        <w:trPr>
          <w:trHeight w:val="300"/>
        </w:trPr>
        <w:tc>
          <w:tcPr>
            <w:tcW w:w="9072" w:type="dxa"/>
            <w:tcBorders>
              <w:top w:val="nil"/>
              <w:left w:val="nil"/>
              <w:bottom w:val="nil"/>
              <w:right w:val="nil"/>
            </w:tcBorders>
            <w:noWrap/>
            <w:vAlign w:val="bottom"/>
            <w:hideMark/>
          </w:tcPr>
          <w:p w14:paraId="143644AA" w14:textId="77777777" w:rsidR="00534D9A" w:rsidRDefault="003243B2">
            <w:pPr>
              <w:pStyle w:val="P68B1DB1-Normal91"/>
            </w:pPr>
            <w:r>
              <w:t>CCP tal-Awstrija</w:t>
            </w:r>
          </w:p>
        </w:tc>
      </w:tr>
      <w:tr w:rsidR="00534D9A" w14:paraId="49668E14" w14:textId="77777777">
        <w:trPr>
          <w:trHeight w:val="300"/>
        </w:trPr>
        <w:tc>
          <w:tcPr>
            <w:tcW w:w="9072" w:type="dxa"/>
            <w:tcBorders>
              <w:top w:val="nil"/>
              <w:left w:val="nil"/>
              <w:bottom w:val="nil"/>
              <w:right w:val="nil"/>
            </w:tcBorders>
            <w:noWrap/>
            <w:vAlign w:val="bottom"/>
            <w:hideMark/>
          </w:tcPr>
          <w:p w14:paraId="4D54CDC3" w14:textId="77777777" w:rsidR="00534D9A" w:rsidRDefault="003243B2">
            <w:pPr>
              <w:pStyle w:val="P68B1DB1-Normal91"/>
            </w:pPr>
            <w:r>
              <w:t>CEC/UCV</w:t>
            </w:r>
          </w:p>
        </w:tc>
      </w:tr>
      <w:tr w:rsidR="00534D9A" w14:paraId="13CEB735" w14:textId="77777777">
        <w:trPr>
          <w:trHeight w:val="300"/>
        </w:trPr>
        <w:tc>
          <w:tcPr>
            <w:tcW w:w="9072" w:type="dxa"/>
            <w:tcBorders>
              <w:top w:val="nil"/>
              <w:left w:val="nil"/>
              <w:bottom w:val="nil"/>
              <w:right w:val="nil"/>
            </w:tcBorders>
            <w:noWrap/>
            <w:vAlign w:val="bottom"/>
            <w:hideMark/>
          </w:tcPr>
          <w:p w14:paraId="7E656B34" w14:textId="77777777" w:rsidR="00534D9A" w:rsidRDefault="003243B2">
            <w:pPr>
              <w:pStyle w:val="P68B1DB1-Normal91"/>
            </w:pPr>
            <w:r>
              <w:t>CEESEG AG (Wiener Borse)</w:t>
            </w:r>
          </w:p>
        </w:tc>
      </w:tr>
      <w:tr w:rsidR="00534D9A" w14:paraId="38BBF453" w14:textId="77777777">
        <w:trPr>
          <w:trHeight w:val="300"/>
        </w:trPr>
        <w:tc>
          <w:tcPr>
            <w:tcW w:w="9072" w:type="dxa"/>
            <w:tcBorders>
              <w:top w:val="nil"/>
              <w:left w:val="nil"/>
              <w:bottom w:val="nil"/>
              <w:right w:val="nil"/>
            </w:tcBorders>
            <w:noWrap/>
            <w:vAlign w:val="bottom"/>
            <w:hideMark/>
          </w:tcPr>
          <w:p w14:paraId="7C5735E8" w14:textId="77777777" w:rsidR="00534D9A" w:rsidRDefault="003243B2">
            <w:pPr>
              <w:pStyle w:val="P68B1DB1-Normal91"/>
            </w:pPr>
            <w:r>
              <w:t>Kumpanija tal-Ikklerjar tad-Depożitorju Ċentrali</w:t>
            </w:r>
          </w:p>
        </w:tc>
      </w:tr>
      <w:tr w:rsidR="00534D9A" w14:paraId="100E6E04" w14:textId="77777777">
        <w:trPr>
          <w:trHeight w:val="300"/>
        </w:trPr>
        <w:tc>
          <w:tcPr>
            <w:tcW w:w="9072" w:type="dxa"/>
            <w:tcBorders>
              <w:top w:val="nil"/>
              <w:left w:val="nil"/>
              <w:bottom w:val="nil"/>
              <w:right w:val="nil"/>
            </w:tcBorders>
            <w:noWrap/>
            <w:vAlign w:val="bottom"/>
            <w:hideMark/>
          </w:tcPr>
          <w:p w14:paraId="1D98F57D" w14:textId="77777777" w:rsidR="00534D9A" w:rsidRDefault="003243B2">
            <w:pPr>
              <w:pStyle w:val="P68B1DB1-Normal91"/>
            </w:pPr>
            <w:r>
              <w:t>Depożitarju Ċentrali AD</w:t>
            </w:r>
          </w:p>
        </w:tc>
      </w:tr>
      <w:tr w:rsidR="00534D9A" w14:paraId="3E41A5D7" w14:textId="77777777">
        <w:trPr>
          <w:trHeight w:val="300"/>
        </w:trPr>
        <w:tc>
          <w:tcPr>
            <w:tcW w:w="9072" w:type="dxa"/>
            <w:tcBorders>
              <w:top w:val="nil"/>
              <w:left w:val="nil"/>
              <w:bottom w:val="nil"/>
              <w:right w:val="nil"/>
            </w:tcBorders>
            <w:noWrap/>
            <w:vAlign w:val="bottom"/>
            <w:hideMark/>
          </w:tcPr>
          <w:p w14:paraId="149F4C5F" w14:textId="77777777" w:rsidR="00534D9A" w:rsidRDefault="003243B2">
            <w:pPr>
              <w:pStyle w:val="P68B1DB1-Normal91"/>
            </w:pPr>
            <w:r>
              <w:t>Id-depożitarju Ċentrali u r-Reġistru Ċentrali</w:t>
            </w:r>
          </w:p>
        </w:tc>
      </w:tr>
      <w:tr w:rsidR="00534D9A" w14:paraId="1B4CF3CD" w14:textId="77777777">
        <w:trPr>
          <w:trHeight w:val="300"/>
        </w:trPr>
        <w:tc>
          <w:tcPr>
            <w:tcW w:w="9072" w:type="dxa"/>
            <w:tcBorders>
              <w:top w:val="nil"/>
              <w:left w:val="nil"/>
              <w:bottom w:val="nil"/>
              <w:right w:val="nil"/>
            </w:tcBorders>
            <w:noWrap/>
            <w:vAlign w:val="bottom"/>
            <w:hideMark/>
          </w:tcPr>
          <w:p w14:paraId="7783EDF6" w14:textId="77777777" w:rsidR="00534D9A" w:rsidRDefault="003243B2">
            <w:pPr>
              <w:pStyle w:val="P68B1DB1-Normal91"/>
            </w:pPr>
            <w:r>
              <w:t>Centralna klirinško depotna družba (KDD)</w:t>
            </w:r>
          </w:p>
        </w:tc>
      </w:tr>
      <w:tr w:rsidR="00534D9A" w14:paraId="7812614A" w14:textId="77777777">
        <w:trPr>
          <w:trHeight w:val="300"/>
        </w:trPr>
        <w:tc>
          <w:tcPr>
            <w:tcW w:w="9072" w:type="dxa"/>
            <w:tcBorders>
              <w:top w:val="nil"/>
              <w:left w:val="nil"/>
              <w:bottom w:val="nil"/>
              <w:right w:val="nil"/>
            </w:tcBorders>
            <w:noWrap/>
            <w:vAlign w:val="bottom"/>
            <w:hideMark/>
          </w:tcPr>
          <w:p w14:paraId="7231B5A5" w14:textId="77777777" w:rsidR="00534D9A" w:rsidRDefault="003243B2">
            <w:pPr>
              <w:pStyle w:val="P68B1DB1-Normal91"/>
            </w:pPr>
            <w:r>
              <w:t>Centrální depozitár cenných papíru SR a.s. (CDCP)/Depożitarju Ċentrali ta’ Praga tat-Titoli</w:t>
            </w:r>
          </w:p>
        </w:tc>
      </w:tr>
      <w:tr w:rsidR="00534D9A" w14:paraId="3DFD9976" w14:textId="77777777">
        <w:trPr>
          <w:trHeight w:val="300"/>
        </w:trPr>
        <w:tc>
          <w:tcPr>
            <w:tcW w:w="9072" w:type="dxa"/>
            <w:tcBorders>
              <w:top w:val="nil"/>
              <w:left w:val="nil"/>
              <w:bottom w:val="nil"/>
              <w:right w:val="nil"/>
            </w:tcBorders>
            <w:noWrap/>
            <w:vAlign w:val="bottom"/>
            <w:hideMark/>
          </w:tcPr>
          <w:p w14:paraId="742B58E1" w14:textId="77777777" w:rsidR="00534D9A" w:rsidRDefault="003243B2">
            <w:pPr>
              <w:pStyle w:val="P68B1DB1-Normal91"/>
            </w:pPr>
            <w:r>
              <w:t>SR ta’ Centrálny Depositár cenných Papierov (CDCP)</w:t>
            </w:r>
          </w:p>
        </w:tc>
      </w:tr>
      <w:tr w:rsidR="00534D9A" w14:paraId="0C3666C6" w14:textId="77777777">
        <w:trPr>
          <w:trHeight w:val="300"/>
        </w:trPr>
        <w:tc>
          <w:tcPr>
            <w:tcW w:w="9072" w:type="dxa"/>
            <w:tcBorders>
              <w:top w:val="nil"/>
              <w:left w:val="nil"/>
              <w:bottom w:val="nil"/>
              <w:right w:val="nil"/>
            </w:tcBorders>
            <w:noWrap/>
            <w:vAlign w:val="bottom"/>
            <w:hideMark/>
          </w:tcPr>
          <w:p w14:paraId="44F52918" w14:textId="77777777" w:rsidR="00534D9A" w:rsidRDefault="003243B2">
            <w:pPr>
              <w:pStyle w:val="P68B1DB1-Normal91"/>
            </w:pPr>
            <w:r>
              <w:t>CENTROlink</w:t>
            </w:r>
          </w:p>
        </w:tc>
      </w:tr>
      <w:tr w:rsidR="00534D9A" w14:paraId="1BAAD6F5" w14:textId="77777777">
        <w:trPr>
          <w:trHeight w:val="300"/>
        </w:trPr>
        <w:tc>
          <w:tcPr>
            <w:tcW w:w="9072" w:type="dxa"/>
            <w:tcBorders>
              <w:top w:val="nil"/>
              <w:left w:val="nil"/>
              <w:bottom w:val="nil"/>
              <w:right w:val="nil"/>
            </w:tcBorders>
            <w:noWrap/>
            <w:vAlign w:val="bottom"/>
            <w:hideMark/>
          </w:tcPr>
          <w:p w14:paraId="1E11605F" w14:textId="77777777" w:rsidR="00534D9A" w:rsidRDefault="003243B2">
            <w:pPr>
              <w:pStyle w:val="P68B1DB1-Normal91"/>
            </w:pPr>
            <w:r>
              <w:t>Certis (Sistema Ċeka ta’ Saldu Gross Interbankarju f’Ħin Reali Express)</w:t>
            </w:r>
          </w:p>
        </w:tc>
      </w:tr>
      <w:tr w:rsidR="00534D9A" w14:paraId="58D71B59" w14:textId="77777777">
        <w:trPr>
          <w:trHeight w:val="300"/>
        </w:trPr>
        <w:tc>
          <w:tcPr>
            <w:tcW w:w="9072" w:type="dxa"/>
            <w:tcBorders>
              <w:top w:val="nil"/>
              <w:left w:val="nil"/>
              <w:bottom w:val="nil"/>
              <w:right w:val="nil"/>
            </w:tcBorders>
            <w:noWrap/>
            <w:vAlign w:val="bottom"/>
            <w:hideMark/>
          </w:tcPr>
          <w:p w14:paraId="0405428F" w14:textId="77777777" w:rsidR="00534D9A" w:rsidRDefault="003243B2">
            <w:pPr>
              <w:pStyle w:val="P68B1DB1-Normal91"/>
            </w:pPr>
            <w:r>
              <w:t>Chaps (Sistema Awtomatizzata ta’ Pagament Ikklerjat)</w:t>
            </w:r>
          </w:p>
        </w:tc>
      </w:tr>
      <w:tr w:rsidR="00534D9A" w14:paraId="0F052492" w14:textId="77777777">
        <w:trPr>
          <w:trHeight w:val="300"/>
        </w:trPr>
        <w:tc>
          <w:tcPr>
            <w:tcW w:w="9072" w:type="dxa"/>
            <w:tcBorders>
              <w:top w:val="nil"/>
              <w:left w:val="nil"/>
              <w:bottom w:val="nil"/>
              <w:right w:val="nil"/>
            </w:tcBorders>
            <w:noWrap/>
            <w:vAlign w:val="bottom"/>
            <w:hideMark/>
          </w:tcPr>
          <w:p w14:paraId="4F411666" w14:textId="77777777" w:rsidR="00534D9A" w:rsidRDefault="003243B2">
            <w:pPr>
              <w:pStyle w:val="P68B1DB1-Normal91"/>
            </w:pPr>
            <w:r>
              <w:t>Ċekk &amp; ampSistema ta’ kklerjar ta’ kreditu Ltd.</w:t>
            </w:r>
          </w:p>
        </w:tc>
      </w:tr>
      <w:tr w:rsidR="00534D9A" w14:paraId="0979B652" w14:textId="77777777">
        <w:trPr>
          <w:trHeight w:val="300"/>
        </w:trPr>
        <w:tc>
          <w:tcPr>
            <w:tcW w:w="9072" w:type="dxa"/>
            <w:tcBorders>
              <w:top w:val="nil"/>
              <w:left w:val="nil"/>
              <w:bottom w:val="nil"/>
              <w:right w:val="nil"/>
            </w:tcBorders>
            <w:noWrap/>
            <w:vAlign w:val="bottom"/>
            <w:hideMark/>
          </w:tcPr>
          <w:p w14:paraId="53589C87" w14:textId="77777777" w:rsidR="00534D9A" w:rsidRDefault="003243B2">
            <w:pPr>
              <w:pStyle w:val="P68B1DB1-Normal91"/>
            </w:pPr>
            <w:r>
              <w:lastRenderedPageBreak/>
              <w:t>ĊIPEP</w:t>
            </w:r>
          </w:p>
        </w:tc>
      </w:tr>
      <w:tr w:rsidR="00534D9A" w14:paraId="3FA985BC" w14:textId="77777777">
        <w:trPr>
          <w:trHeight w:val="300"/>
        </w:trPr>
        <w:tc>
          <w:tcPr>
            <w:tcW w:w="9072" w:type="dxa"/>
            <w:tcBorders>
              <w:top w:val="nil"/>
              <w:left w:val="nil"/>
              <w:bottom w:val="nil"/>
              <w:right w:val="nil"/>
            </w:tcBorders>
            <w:noWrap/>
            <w:vAlign w:val="bottom"/>
            <w:hideMark/>
          </w:tcPr>
          <w:p w14:paraId="1D542203" w14:textId="77777777" w:rsidR="00534D9A" w:rsidRDefault="003243B2">
            <w:pPr>
              <w:pStyle w:val="P68B1DB1-Normal91"/>
            </w:pPr>
            <w:r>
              <w:t>Servizz ta’ kklerjar tal-Awstrija (CSA)</w:t>
            </w:r>
          </w:p>
        </w:tc>
      </w:tr>
      <w:tr w:rsidR="00534D9A" w14:paraId="6FFF162D" w14:textId="77777777">
        <w:trPr>
          <w:trHeight w:val="300"/>
        </w:trPr>
        <w:tc>
          <w:tcPr>
            <w:tcW w:w="9072" w:type="dxa"/>
            <w:tcBorders>
              <w:top w:val="nil"/>
              <w:left w:val="nil"/>
              <w:bottom w:val="nil"/>
              <w:right w:val="nil"/>
            </w:tcBorders>
            <w:noWrap/>
            <w:vAlign w:val="bottom"/>
            <w:hideMark/>
          </w:tcPr>
          <w:p w14:paraId="657C636C" w14:textId="77777777" w:rsidR="00534D9A" w:rsidRDefault="003243B2">
            <w:pPr>
              <w:pStyle w:val="P68B1DB1-Normal91"/>
            </w:pPr>
            <w:r>
              <w:t>Servizz ta’ Approvazzjoni Internazzjonali (CSI)</w:t>
            </w:r>
          </w:p>
        </w:tc>
      </w:tr>
      <w:tr w:rsidR="00534D9A" w14:paraId="086AA89E" w14:textId="77777777">
        <w:trPr>
          <w:trHeight w:val="300"/>
        </w:trPr>
        <w:tc>
          <w:tcPr>
            <w:tcW w:w="9072" w:type="dxa"/>
            <w:tcBorders>
              <w:top w:val="nil"/>
              <w:left w:val="nil"/>
              <w:bottom w:val="nil"/>
              <w:right w:val="nil"/>
            </w:tcBorders>
            <w:noWrap/>
            <w:vAlign w:val="bottom"/>
            <w:hideMark/>
          </w:tcPr>
          <w:p w14:paraId="2802A46D" w14:textId="77777777" w:rsidR="00534D9A" w:rsidRDefault="003243B2">
            <w:pPr>
              <w:pStyle w:val="P68B1DB1-Normal91"/>
            </w:pPr>
            <w:r>
              <w:t>Clearstream Banking AG</w:t>
            </w:r>
          </w:p>
        </w:tc>
      </w:tr>
      <w:tr w:rsidR="00534D9A" w14:paraId="0E099AF5" w14:textId="77777777">
        <w:trPr>
          <w:trHeight w:val="300"/>
        </w:trPr>
        <w:tc>
          <w:tcPr>
            <w:tcW w:w="9072" w:type="dxa"/>
            <w:tcBorders>
              <w:top w:val="nil"/>
              <w:left w:val="nil"/>
              <w:bottom w:val="nil"/>
              <w:right w:val="nil"/>
            </w:tcBorders>
            <w:noWrap/>
            <w:vAlign w:val="bottom"/>
            <w:hideMark/>
          </w:tcPr>
          <w:p w14:paraId="7ED35FA8" w14:textId="77777777" w:rsidR="00534D9A" w:rsidRDefault="003243B2">
            <w:pPr>
              <w:pStyle w:val="P68B1DB1-Normal91"/>
            </w:pPr>
            <w:r>
              <w:t>Clearstream Banking Lussemburgu</w:t>
            </w:r>
          </w:p>
        </w:tc>
      </w:tr>
      <w:tr w:rsidR="00534D9A" w14:paraId="55359EE8" w14:textId="77777777">
        <w:trPr>
          <w:trHeight w:val="300"/>
        </w:trPr>
        <w:tc>
          <w:tcPr>
            <w:tcW w:w="9072" w:type="dxa"/>
            <w:tcBorders>
              <w:top w:val="nil"/>
              <w:left w:val="nil"/>
              <w:bottom w:val="nil"/>
              <w:right w:val="nil"/>
            </w:tcBorders>
            <w:noWrap/>
            <w:vAlign w:val="bottom"/>
            <w:hideMark/>
          </w:tcPr>
          <w:p w14:paraId="218A6446" w14:textId="77777777" w:rsidR="00534D9A" w:rsidRDefault="003243B2">
            <w:pPr>
              <w:pStyle w:val="P68B1DB1-Normal91"/>
            </w:pPr>
            <w:r>
              <w:t>CLB</w:t>
            </w:r>
          </w:p>
        </w:tc>
      </w:tr>
      <w:tr w:rsidR="00534D9A" w14:paraId="6A82B717" w14:textId="77777777">
        <w:trPr>
          <w:trHeight w:val="300"/>
        </w:trPr>
        <w:tc>
          <w:tcPr>
            <w:tcW w:w="9072" w:type="dxa"/>
            <w:tcBorders>
              <w:top w:val="nil"/>
              <w:left w:val="nil"/>
              <w:bottom w:val="nil"/>
              <w:right w:val="nil"/>
            </w:tcBorders>
            <w:noWrap/>
            <w:vAlign w:val="bottom"/>
            <w:hideMark/>
          </w:tcPr>
          <w:p w14:paraId="051DFD15" w14:textId="77777777" w:rsidR="00534D9A" w:rsidRDefault="003243B2">
            <w:pPr>
              <w:pStyle w:val="P68B1DB1-Normal91"/>
            </w:pPr>
            <w:r>
              <w:t>CME Repożitorju tat-Tranżazzjonijiet Ltd (CME TR)</w:t>
            </w:r>
          </w:p>
        </w:tc>
      </w:tr>
      <w:tr w:rsidR="00534D9A" w14:paraId="06831526" w14:textId="77777777">
        <w:trPr>
          <w:trHeight w:val="300"/>
        </w:trPr>
        <w:tc>
          <w:tcPr>
            <w:tcW w:w="9072" w:type="dxa"/>
            <w:tcBorders>
              <w:top w:val="nil"/>
              <w:left w:val="nil"/>
              <w:bottom w:val="nil"/>
              <w:right w:val="nil"/>
            </w:tcBorders>
            <w:noWrap/>
            <w:vAlign w:val="bottom"/>
            <w:hideMark/>
          </w:tcPr>
          <w:p w14:paraId="33B6CA7E" w14:textId="77777777" w:rsidR="00534D9A" w:rsidRDefault="003243B2">
            <w:pPr>
              <w:pStyle w:val="P68B1DB1-Normal91"/>
            </w:pPr>
            <w:r>
              <w:t>Ċentru għall-Ikklerjar ta’ Ċipru</w:t>
            </w:r>
          </w:p>
        </w:tc>
      </w:tr>
      <w:tr w:rsidR="00534D9A" w14:paraId="3BB1F880" w14:textId="77777777">
        <w:trPr>
          <w:trHeight w:val="300"/>
        </w:trPr>
        <w:tc>
          <w:tcPr>
            <w:tcW w:w="9072" w:type="dxa"/>
            <w:tcBorders>
              <w:top w:val="nil"/>
              <w:left w:val="nil"/>
              <w:bottom w:val="nil"/>
              <w:right w:val="nil"/>
            </w:tcBorders>
            <w:noWrap/>
            <w:vAlign w:val="bottom"/>
            <w:hideMark/>
          </w:tcPr>
          <w:p w14:paraId="6DCF1051" w14:textId="77777777" w:rsidR="00534D9A" w:rsidRDefault="003243B2">
            <w:pPr>
              <w:pStyle w:val="P68B1DB1-Normal91"/>
            </w:pPr>
            <w:r>
              <w:t>Cyprus Stock Exchange</w:t>
            </w:r>
          </w:p>
        </w:tc>
      </w:tr>
      <w:tr w:rsidR="00534D9A" w14:paraId="7F6A962C" w14:textId="77777777">
        <w:trPr>
          <w:trHeight w:val="300"/>
        </w:trPr>
        <w:tc>
          <w:tcPr>
            <w:tcW w:w="9072" w:type="dxa"/>
            <w:tcBorders>
              <w:top w:val="nil"/>
              <w:left w:val="nil"/>
              <w:bottom w:val="nil"/>
              <w:right w:val="nil"/>
            </w:tcBorders>
            <w:noWrap/>
            <w:vAlign w:val="bottom"/>
            <w:hideMark/>
          </w:tcPr>
          <w:p w14:paraId="359710C1" w14:textId="77777777" w:rsidR="00534D9A" w:rsidRDefault="003243B2">
            <w:pPr>
              <w:pStyle w:val="P68B1DB1-Normal91"/>
            </w:pPr>
            <w:r>
              <w:t>Ikklerjar ta’ data</w:t>
            </w:r>
          </w:p>
        </w:tc>
      </w:tr>
      <w:tr w:rsidR="00534D9A" w14:paraId="0118AB34" w14:textId="77777777">
        <w:trPr>
          <w:trHeight w:val="300"/>
        </w:trPr>
        <w:tc>
          <w:tcPr>
            <w:tcW w:w="9072" w:type="dxa"/>
            <w:tcBorders>
              <w:top w:val="nil"/>
              <w:left w:val="nil"/>
              <w:bottom w:val="nil"/>
              <w:right w:val="nil"/>
            </w:tcBorders>
            <w:noWrap/>
            <w:vAlign w:val="bottom"/>
            <w:hideMark/>
          </w:tcPr>
          <w:p w14:paraId="371022ED" w14:textId="77777777" w:rsidR="00534D9A" w:rsidRDefault="003243B2">
            <w:pPr>
              <w:pStyle w:val="P68B1DB1-Normal91"/>
            </w:pPr>
            <w:r>
              <w:t>Depozitarul Central S.A.</w:t>
            </w:r>
          </w:p>
        </w:tc>
      </w:tr>
      <w:tr w:rsidR="00534D9A" w14:paraId="2356D6E7" w14:textId="77777777">
        <w:trPr>
          <w:trHeight w:val="300"/>
        </w:trPr>
        <w:tc>
          <w:tcPr>
            <w:tcW w:w="9072" w:type="dxa"/>
            <w:tcBorders>
              <w:top w:val="nil"/>
              <w:left w:val="nil"/>
              <w:bottom w:val="nil"/>
              <w:right w:val="nil"/>
            </w:tcBorders>
            <w:noWrap/>
            <w:vAlign w:val="bottom"/>
            <w:hideMark/>
          </w:tcPr>
          <w:p w14:paraId="2A6C99D9" w14:textId="77777777" w:rsidR="00534D9A" w:rsidRDefault="003243B2">
            <w:pPr>
              <w:pStyle w:val="P68B1DB1-Normal91"/>
            </w:pPr>
            <w:r>
              <w:t>Deutsche Börse AG</w:t>
            </w:r>
          </w:p>
        </w:tc>
      </w:tr>
      <w:tr w:rsidR="00534D9A" w14:paraId="086E410F" w14:textId="77777777">
        <w:trPr>
          <w:trHeight w:val="300"/>
        </w:trPr>
        <w:tc>
          <w:tcPr>
            <w:tcW w:w="9072" w:type="dxa"/>
            <w:tcBorders>
              <w:top w:val="nil"/>
              <w:left w:val="nil"/>
              <w:bottom w:val="nil"/>
              <w:right w:val="nil"/>
            </w:tcBorders>
            <w:noWrap/>
            <w:vAlign w:val="bottom"/>
            <w:hideMark/>
          </w:tcPr>
          <w:p w14:paraId="557F1C51" w14:textId="77777777" w:rsidR="00534D9A" w:rsidRDefault="003243B2">
            <w:pPr>
              <w:pStyle w:val="P68B1DB1-Normal91"/>
            </w:pPr>
            <w:r>
              <w:t>Dias (Interbanking Systems S.A.)</w:t>
            </w:r>
          </w:p>
        </w:tc>
      </w:tr>
      <w:tr w:rsidR="00534D9A" w14:paraId="2ADBEB7D" w14:textId="77777777">
        <w:trPr>
          <w:trHeight w:val="300"/>
        </w:trPr>
        <w:tc>
          <w:tcPr>
            <w:tcW w:w="9072" w:type="dxa"/>
            <w:tcBorders>
              <w:top w:val="nil"/>
              <w:left w:val="nil"/>
              <w:bottom w:val="nil"/>
              <w:right w:val="nil"/>
            </w:tcBorders>
            <w:noWrap/>
            <w:vAlign w:val="bottom"/>
            <w:hideMark/>
          </w:tcPr>
          <w:p w14:paraId="08C28E5B" w14:textId="77777777" w:rsidR="00534D9A" w:rsidRDefault="003243B2">
            <w:pPr>
              <w:pStyle w:val="P68B1DB1-Normal91"/>
            </w:pPr>
            <w:r>
              <w:t>DTC (Kumpanija Fiduċjarja Depożitarja)</w:t>
            </w:r>
          </w:p>
        </w:tc>
      </w:tr>
      <w:tr w:rsidR="00534D9A" w14:paraId="797F9EF8" w14:textId="77777777">
        <w:trPr>
          <w:trHeight w:val="300"/>
        </w:trPr>
        <w:tc>
          <w:tcPr>
            <w:tcW w:w="9072" w:type="dxa"/>
            <w:tcBorders>
              <w:top w:val="nil"/>
              <w:left w:val="nil"/>
              <w:bottom w:val="nil"/>
              <w:right w:val="nil"/>
            </w:tcBorders>
            <w:noWrap/>
            <w:vAlign w:val="bottom"/>
            <w:hideMark/>
          </w:tcPr>
          <w:p w14:paraId="51E5D740" w14:textId="77777777" w:rsidR="00534D9A" w:rsidRDefault="003243B2">
            <w:pPr>
              <w:pStyle w:val="P68B1DB1-Normal91"/>
            </w:pPr>
            <w:r>
              <w:t>Pjattaforma tar-Repożitorju tad-Derivattivi tad-DTCC</w:t>
            </w:r>
          </w:p>
        </w:tc>
      </w:tr>
      <w:tr w:rsidR="00534D9A" w14:paraId="6ADFC287" w14:textId="77777777">
        <w:trPr>
          <w:trHeight w:val="300"/>
        </w:trPr>
        <w:tc>
          <w:tcPr>
            <w:tcW w:w="9072" w:type="dxa"/>
            <w:tcBorders>
              <w:top w:val="nil"/>
              <w:left w:val="nil"/>
              <w:bottom w:val="nil"/>
              <w:right w:val="nil"/>
            </w:tcBorders>
            <w:noWrap/>
            <w:vAlign w:val="bottom"/>
            <w:hideMark/>
          </w:tcPr>
          <w:p w14:paraId="30027F70" w14:textId="77777777" w:rsidR="00534D9A" w:rsidRDefault="003243B2">
            <w:pPr>
              <w:pStyle w:val="P68B1DB1-Normal91"/>
            </w:pPr>
            <w:r>
              <w:t>Sistema elettronika ta’ kklerjar (EKS)</w:t>
            </w:r>
          </w:p>
        </w:tc>
      </w:tr>
      <w:tr w:rsidR="00534D9A" w14:paraId="3C13C365" w14:textId="77777777">
        <w:trPr>
          <w:trHeight w:val="300"/>
        </w:trPr>
        <w:tc>
          <w:tcPr>
            <w:tcW w:w="9072" w:type="dxa"/>
            <w:tcBorders>
              <w:top w:val="nil"/>
              <w:left w:val="nil"/>
              <w:bottom w:val="nil"/>
              <w:right w:val="nil"/>
            </w:tcBorders>
            <w:noWrap/>
            <w:vAlign w:val="bottom"/>
            <w:hideMark/>
          </w:tcPr>
          <w:p w14:paraId="2536A2E4" w14:textId="77777777" w:rsidR="00534D9A" w:rsidRDefault="003243B2">
            <w:pPr>
              <w:pStyle w:val="P68B1DB1-Normal91"/>
            </w:pPr>
            <w:r>
              <w:t>ELIXIR</w:t>
            </w:r>
          </w:p>
        </w:tc>
      </w:tr>
      <w:tr w:rsidR="00534D9A" w14:paraId="59490FEF" w14:textId="77777777">
        <w:trPr>
          <w:trHeight w:val="300"/>
        </w:trPr>
        <w:tc>
          <w:tcPr>
            <w:tcW w:w="9072" w:type="dxa"/>
            <w:tcBorders>
              <w:top w:val="nil"/>
              <w:left w:val="nil"/>
              <w:bottom w:val="nil"/>
              <w:right w:val="nil"/>
            </w:tcBorders>
            <w:noWrap/>
            <w:vAlign w:val="bottom"/>
            <w:hideMark/>
          </w:tcPr>
          <w:p w14:paraId="5D3BC6DE" w14:textId="77777777" w:rsidR="00534D9A" w:rsidRDefault="003243B2">
            <w:pPr>
              <w:pStyle w:val="P68B1DB1-Normal91"/>
            </w:pPr>
            <w:r>
              <w:t>Ekwini</w:t>
            </w:r>
          </w:p>
        </w:tc>
      </w:tr>
      <w:tr w:rsidR="00534D9A" w14:paraId="7151AAFC" w14:textId="77777777">
        <w:trPr>
          <w:trHeight w:val="300"/>
        </w:trPr>
        <w:tc>
          <w:tcPr>
            <w:tcW w:w="9072" w:type="dxa"/>
            <w:tcBorders>
              <w:top w:val="nil"/>
              <w:left w:val="nil"/>
              <w:bottom w:val="nil"/>
              <w:right w:val="nil"/>
            </w:tcBorders>
            <w:noWrap/>
            <w:vAlign w:val="bottom"/>
            <w:hideMark/>
          </w:tcPr>
          <w:p w14:paraId="62F52322" w14:textId="77777777" w:rsidR="00534D9A" w:rsidRDefault="003243B2">
            <w:pPr>
              <w:pStyle w:val="P68B1DB1-Normal91"/>
            </w:pPr>
            <w:r>
              <w:t>Eurex Clearing AG</w:t>
            </w:r>
          </w:p>
        </w:tc>
      </w:tr>
      <w:tr w:rsidR="00534D9A" w14:paraId="20047EE0" w14:textId="77777777">
        <w:trPr>
          <w:trHeight w:val="300"/>
        </w:trPr>
        <w:tc>
          <w:tcPr>
            <w:tcW w:w="9072" w:type="dxa"/>
            <w:tcBorders>
              <w:top w:val="nil"/>
              <w:left w:val="nil"/>
              <w:bottom w:val="nil"/>
              <w:right w:val="nil"/>
            </w:tcBorders>
            <w:noWrap/>
            <w:vAlign w:val="bottom"/>
            <w:hideMark/>
          </w:tcPr>
          <w:p w14:paraId="65198B5E" w14:textId="77777777" w:rsidR="00534D9A" w:rsidRDefault="003243B2">
            <w:pPr>
              <w:pStyle w:val="P68B1DB1-Normal91"/>
            </w:pPr>
            <w:r>
              <w:t>EUR 1</w:t>
            </w:r>
          </w:p>
        </w:tc>
      </w:tr>
      <w:tr w:rsidR="00534D9A" w14:paraId="51532B57" w14:textId="77777777">
        <w:trPr>
          <w:trHeight w:val="300"/>
        </w:trPr>
        <w:tc>
          <w:tcPr>
            <w:tcW w:w="9072" w:type="dxa"/>
            <w:tcBorders>
              <w:top w:val="nil"/>
              <w:left w:val="nil"/>
              <w:bottom w:val="nil"/>
              <w:right w:val="nil"/>
            </w:tcBorders>
            <w:noWrap/>
            <w:vAlign w:val="bottom"/>
            <w:hideMark/>
          </w:tcPr>
          <w:p w14:paraId="6784162A" w14:textId="77777777" w:rsidR="00534D9A" w:rsidRDefault="003243B2">
            <w:pPr>
              <w:pStyle w:val="P68B1DB1-Normal91"/>
            </w:pPr>
            <w:r>
              <w:t>Euroclear Bank</w:t>
            </w:r>
          </w:p>
        </w:tc>
      </w:tr>
      <w:tr w:rsidR="00534D9A" w14:paraId="1FED107A" w14:textId="77777777">
        <w:trPr>
          <w:trHeight w:val="300"/>
        </w:trPr>
        <w:tc>
          <w:tcPr>
            <w:tcW w:w="9072" w:type="dxa"/>
            <w:tcBorders>
              <w:top w:val="nil"/>
              <w:left w:val="nil"/>
              <w:bottom w:val="nil"/>
              <w:right w:val="nil"/>
            </w:tcBorders>
            <w:noWrap/>
            <w:vAlign w:val="bottom"/>
            <w:hideMark/>
          </w:tcPr>
          <w:p w14:paraId="7EB27986" w14:textId="77777777" w:rsidR="00534D9A" w:rsidRDefault="003243B2">
            <w:pPr>
              <w:pStyle w:val="P68B1DB1-Normal91"/>
            </w:pPr>
            <w:r>
              <w:t>Euroclear Belgium (ESES)</w:t>
            </w:r>
          </w:p>
        </w:tc>
      </w:tr>
      <w:tr w:rsidR="00534D9A" w14:paraId="19126F92" w14:textId="77777777">
        <w:trPr>
          <w:trHeight w:val="300"/>
        </w:trPr>
        <w:tc>
          <w:tcPr>
            <w:tcW w:w="9072" w:type="dxa"/>
            <w:tcBorders>
              <w:top w:val="nil"/>
              <w:left w:val="nil"/>
              <w:bottom w:val="nil"/>
              <w:right w:val="nil"/>
            </w:tcBorders>
            <w:noWrap/>
            <w:vAlign w:val="bottom"/>
            <w:hideMark/>
          </w:tcPr>
          <w:p w14:paraId="649DE977" w14:textId="77777777" w:rsidR="00534D9A" w:rsidRDefault="003243B2">
            <w:pPr>
              <w:pStyle w:val="P68B1DB1-Normal91"/>
            </w:pPr>
            <w:r>
              <w:t>Euroclear Finland</w:t>
            </w:r>
          </w:p>
        </w:tc>
      </w:tr>
      <w:tr w:rsidR="00534D9A" w14:paraId="37A9A6E1" w14:textId="77777777">
        <w:trPr>
          <w:trHeight w:val="300"/>
        </w:trPr>
        <w:tc>
          <w:tcPr>
            <w:tcW w:w="9072" w:type="dxa"/>
            <w:tcBorders>
              <w:top w:val="nil"/>
              <w:left w:val="nil"/>
              <w:bottom w:val="nil"/>
              <w:right w:val="nil"/>
            </w:tcBorders>
            <w:noWrap/>
            <w:vAlign w:val="bottom"/>
            <w:hideMark/>
          </w:tcPr>
          <w:p w14:paraId="734EF8BF" w14:textId="77777777" w:rsidR="00534D9A" w:rsidRDefault="003243B2">
            <w:pPr>
              <w:pStyle w:val="P68B1DB1-Normal91"/>
            </w:pPr>
            <w:r>
              <w:t>Euroclear France (ESES)</w:t>
            </w:r>
          </w:p>
        </w:tc>
      </w:tr>
      <w:tr w:rsidR="00534D9A" w14:paraId="33F2EFD1" w14:textId="77777777">
        <w:trPr>
          <w:trHeight w:val="300"/>
        </w:trPr>
        <w:tc>
          <w:tcPr>
            <w:tcW w:w="9072" w:type="dxa"/>
            <w:tcBorders>
              <w:top w:val="nil"/>
              <w:left w:val="nil"/>
              <w:bottom w:val="nil"/>
              <w:right w:val="nil"/>
            </w:tcBorders>
            <w:noWrap/>
            <w:vAlign w:val="bottom"/>
            <w:hideMark/>
          </w:tcPr>
          <w:p w14:paraId="0273EA5F" w14:textId="77777777" w:rsidR="00534D9A" w:rsidRDefault="003243B2">
            <w:pPr>
              <w:pStyle w:val="P68B1DB1-Normal91"/>
            </w:pPr>
            <w:r>
              <w:t>Euroclear Netherlands (ESES)</w:t>
            </w:r>
          </w:p>
        </w:tc>
      </w:tr>
      <w:tr w:rsidR="00534D9A" w14:paraId="7B056DB0" w14:textId="77777777">
        <w:trPr>
          <w:trHeight w:val="300"/>
        </w:trPr>
        <w:tc>
          <w:tcPr>
            <w:tcW w:w="9072" w:type="dxa"/>
            <w:tcBorders>
              <w:top w:val="nil"/>
              <w:left w:val="nil"/>
              <w:bottom w:val="nil"/>
              <w:right w:val="nil"/>
            </w:tcBorders>
            <w:noWrap/>
            <w:vAlign w:val="bottom"/>
            <w:hideMark/>
          </w:tcPr>
          <w:p w14:paraId="09E6EC57" w14:textId="77777777" w:rsidR="00534D9A" w:rsidRDefault="003243B2">
            <w:pPr>
              <w:pStyle w:val="P68B1DB1-Normal91"/>
            </w:pPr>
            <w:r>
              <w:t>Euroclear Sweden AB (Sistemet tal-VPC)</w:t>
            </w:r>
          </w:p>
        </w:tc>
      </w:tr>
      <w:tr w:rsidR="00534D9A" w14:paraId="3D614022" w14:textId="77777777">
        <w:trPr>
          <w:trHeight w:val="300"/>
        </w:trPr>
        <w:tc>
          <w:tcPr>
            <w:tcW w:w="9072" w:type="dxa"/>
            <w:tcBorders>
              <w:top w:val="nil"/>
              <w:left w:val="nil"/>
              <w:bottom w:val="nil"/>
              <w:right w:val="nil"/>
            </w:tcBorders>
            <w:noWrap/>
            <w:vAlign w:val="bottom"/>
            <w:hideMark/>
          </w:tcPr>
          <w:p w14:paraId="1A4DFFF6" w14:textId="77777777" w:rsidR="00534D9A" w:rsidRDefault="003243B2">
            <w:pPr>
              <w:pStyle w:val="P68B1DB1-Normal91"/>
            </w:pPr>
            <w:r>
              <w:t>Euroclear UK &amp; ampIreland Limited (EUI) (CREST)</w:t>
            </w:r>
          </w:p>
        </w:tc>
      </w:tr>
      <w:tr w:rsidR="00534D9A" w14:paraId="55B08F89" w14:textId="77777777">
        <w:trPr>
          <w:trHeight w:val="300"/>
        </w:trPr>
        <w:tc>
          <w:tcPr>
            <w:tcW w:w="9072" w:type="dxa"/>
            <w:tcBorders>
              <w:top w:val="nil"/>
              <w:left w:val="nil"/>
              <w:bottom w:val="nil"/>
              <w:right w:val="nil"/>
            </w:tcBorders>
            <w:noWrap/>
            <w:vAlign w:val="bottom"/>
            <w:hideMark/>
          </w:tcPr>
          <w:p w14:paraId="56E621EE" w14:textId="77777777" w:rsidR="00534D9A" w:rsidRDefault="003243B2">
            <w:pPr>
              <w:pStyle w:val="P68B1DB1-Normal91"/>
            </w:pPr>
            <w:r>
              <w:t>Is-suq tal-Flus Euronext Amsterdam</w:t>
            </w:r>
          </w:p>
        </w:tc>
      </w:tr>
      <w:tr w:rsidR="00534D9A" w14:paraId="08BE70B5" w14:textId="77777777">
        <w:trPr>
          <w:trHeight w:val="300"/>
        </w:trPr>
        <w:tc>
          <w:tcPr>
            <w:tcW w:w="9072" w:type="dxa"/>
            <w:tcBorders>
              <w:top w:val="nil"/>
              <w:left w:val="nil"/>
              <w:bottom w:val="nil"/>
              <w:right w:val="nil"/>
            </w:tcBorders>
            <w:noWrap/>
            <w:vAlign w:val="bottom"/>
            <w:hideMark/>
          </w:tcPr>
          <w:p w14:paraId="717F6012" w14:textId="77777777" w:rsidR="00534D9A" w:rsidRDefault="003243B2">
            <w:pPr>
              <w:pStyle w:val="P68B1DB1-Normal91"/>
            </w:pPr>
            <w:r>
              <w:t>Euronext Brussels SA</w:t>
            </w:r>
          </w:p>
          <w:p w14:paraId="3E95828F" w14:textId="77777777" w:rsidR="00534D9A" w:rsidRDefault="003243B2">
            <w:pPr>
              <w:rPr>
                <w:rFonts w:eastAsia="Times New Roman" w:cs="Calibri"/>
                <w:color w:val="000000"/>
                <w:sz w:val="18"/>
                <w:szCs w:val="18"/>
              </w:rPr>
            </w:pPr>
            <w:r>
              <w:rPr>
                <w:rFonts w:eastAsia="Times New Roman" w:cs="Calibri"/>
                <w:color w:val="000000"/>
                <w:sz w:val="18"/>
                <w:szCs w:val="18"/>
              </w:rPr>
              <w:t>Ikklerjar tal-Euronext</w:t>
            </w:r>
            <w:r>
              <w:rPr>
                <w:rStyle w:val="FootnoteReference"/>
                <w:rFonts w:eastAsia="Times New Roman" w:cs="Calibri"/>
                <w:color w:val="000000"/>
                <w:sz w:val="18"/>
              </w:rPr>
              <w:footnoteReference w:id="37"/>
            </w:r>
          </w:p>
        </w:tc>
      </w:tr>
      <w:tr w:rsidR="00534D9A" w14:paraId="6A3A4767" w14:textId="77777777">
        <w:trPr>
          <w:trHeight w:val="300"/>
        </w:trPr>
        <w:tc>
          <w:tcPr>
            <w:tcW w:w="9072" w:type="dxa"/>
            <w:tcBorders>
              <w:top w:val="nil"/>
              <w:left w:val="nil"/>
              <w:bottom w:val="nil"/>
              <w:right w:val="nil"/>
            </w:tcBorders>
            <w:noWrap/>
            <w:vAlign w:val="bottom"/>
            <w:hideMark/>
          </w:tcPr>
          <w:p w14:paraId="0CF6918B" w14:textId="77777777" w:rsidR="00534D9A" w:rsidRDefault="003243B2">
            <w:pPr>
              <w:pStyle w:val="P68B1DB1-Normal91"/>
            </w:pPr>
            <w:r>
              <w:t>Euronext ta’ Liżbona SA</w:t>
            </w:r>
          </w:p>
        </w:tc>
      </w:tr>
      <w:tr w:rsidR="00534D9A" w14:paraId="1114BA7C" w14:textId="77777777">
        <w:trPr>
          <w:trHeight w:val="300"/>
        </w:trPr>
        <w:tc>
          <w:tcPr>
            <w:tcW w:w="9072" w:type="dxa"/>
            <w:tcBorders>
              <w:top w:val="nil"/>
              <w:left w:val="nil"/>
              <w:bottom w:val="nil"/>
              <w:right w:val="nil"/>
            </w:tcBorders>
            <w:noWrap/>
            <w:vAlign w:val="bottom"/>
            <w:hideMark/>
          </w:tcPr>
          <w:p w14:paraId="58D22650" w14:textId="77777777" w:rsidR="00534D9A" w:rsidRDefault="003243B2">
            <w:pPr>
              <w:pStyle w:val="P68B1DB1-Normal91"/>
            </w:pPr>
            <w:r>
              <w:t>CCP Ewropew NV</w:t>
            </w:r>
          </w:p>
        </w:tc>
      </w:tr>
      <w:tr w:rsidR="00534D9A" w14:paraId="1758B1C2" w14:textId="77777777">
        <w:trPr>
          <w:trHeight w:val="300"/>
        </w:trPr>
        <w:tc>
          <w:tcPr>
            <w:tcW w:w="9072" w:type="dxa"/>
            <w:tcBorders>
              <w:top w:val="nil"/>
              <w:left w:val="nil"/>
              <w:bottom w:val="nil"/>
              <w:right w:val="nil"/>
            </w:tcBorders>
            <w:noWrap/>
            <w:vAlign w:val="bottom"/>
            <w:hideMark/>
          </w:tcPr>
          <w:p w14:paraId="6342DE58" w14:textId="77777777" w:rsidR="00534D9A" w:rsidRDefault="003243B2">
            <w:pPr>
              <w:pStyle w:val="P68B1DB1-Normal91"/>
            </w:pPr>
            <w:r>
              <w:t>L-ikklerjar Ewropew tal-Prodotti (ECC)</w:t>
            </w:r>
          </w:p>
        </w:tc>
      </w:tr>
      <w:tr w:rsidR="00534D9A" w14:paraId="0DDA2A90" w14:textId="77777777">
        <w:trPr>
          <w:trHeight w:val="300"/>
        </w:trPr>
        <w:tc>
          <w:tcPr>
            <w:tcW w:w="9072" w:type="dxa"/>
            <w:tcBorders>
              <w:top w:val="nil"/>
              <w:left w:val="nil"/>
              <w:bottom w:val="nil"/>
              <w:right w:val="nil"/>
            </w:tcBorders>
            <w:noWrap/>
            <w:vAlign w:val="bottom"/>
            <w:hideMark/>
          </w:tcPr>
          <w:p w14:paraId="40A82682" w14:textId="77777777" w:rsidR="00534D9A" w:rsidRDefault="003243B2">
            <w:pPr>
              <w:pStyle w:val="P68B1DB1-Normal91"/>
            </w:pPr>
            <w:r>
              <w:t>Express Elixir</w:t>
            </w:r>
          </w:p>
        </w:tc>
      </w:tr>
      <w:tr w:rsidR="00534D9A" w14:paraId="542DFF49" w14:textId="77777777">
        <w:trPr>
          <w:trHeight w:val="300"/>
        </w:trPr>
        <w:tc>
          <w:tcPr>
            <w:tcW w:w="9072" w:type="dxa"/>
            <w:tcBorders>
              <w:top w:val="nil"/>
              <w:left w:val="nil"/>
              <w:bottom w:val="nil"/>
              <w:right w:val="nil"/>
            </w:tcBorders>
            <w:noWrap/>
            <w:vAlign w:val="bottom"/>
            <w:hideMark/>
          </w:tcPr>
          <w:p w14:paraId="059F87EB" w14:textId="77777777" w:rsidR="00534D9A" w:rsidRDefault="003243B2">
            <w:pPr>
              <w:pStyle w:val="P68B1DB1-Normal91"/>
            </w:pPr>
            <w:r>
              <w:t>Servizz ta’ Pagamenti Aktar Rapidu (FPS)</w:t>
            </w:r>
          </w:p>
        </w:tc>
      </w:tr>
      <w:tr w:rsidR="00534D9A" w14:paraId="4CFAE77A" w14:textId="77777777">
        <w:trPr>
          <w:trHeight w:val="300"/>
        </w:trPr>
        <w:tc>
          <w:tcPr>
            <w:tcW w:w="9072" w:type="dxa"/>
            <w:tcBorders>
              <w:top w:val="nil"/>
              <w:left w:val="nil"/>
              <w:bottom w:val="nil"/>
              <w:right w:val="nil"/>
            </w:tcBorders>
            <w:noWrap/>
            <w:vAlign w:val="bottom"/>
            <w:hideMark/>
          </w:tcPr>
          <w:p w14:paraId="03A78736" w14:textId="77777777" w:rsidR="00534D9A" w:rsidRDefault="003243B2">
            <w:pPr>
              <w:pStyle w:val="P68B1DB1-Normal91"/>
            </w:pPr>
            <w:r>
              <w:t>Servizzi ta’ FedACH</w:t>
            </w:r>
          </w:p>
        </w:tc>
      </w:tr>
      <w:tr w:rsidR="00534D9A" w14:paraId="1A8E545B" w14:textId="77777777">
        <w:trPr>
          <w:trHeight w:val="300"/>
        </w:trPr>
        <w:tc>
          <w:tcPr>
            <w:tcW w:w="9072" w:type="dxa"/>
            <w:tcBorders>
              <w:top w:val="nil"/>
              <w:left w:val="nil"/>
              <w:bottom w:val="nil"/>
              <w:right w:val="nil"/>
            </w:tcBorders>
            <w:noWrap/>
            <w:vAlign w:val="bottom"/>
            <w:hideMark/>
          </w:tcPr>
          <w:p w14:paraId="508F0A63" w14:textId="77777777" w:rsidR="00534D9A" w:rsidRDefault="003243B2">
            <w:pPr>
              <w:pStyle w:val="P68B1DB1-Normal91"/>
            </w:pPr>
            <w:r>
              <w:t>Servizz ta’ Fondi ta’ Fedwire</w:t>
            </w:r>
          </w:p>
        </w:tc>
      </w:tr>
      <w:tr w:rsidR="00534D9A" w14:paraId="7603EDE5" w14:textId="77777777">
        <w:trPr>
          <w:trHeight w:val="300"/>
        </w:trPr>
        <w:tc>
          <w:tcPr>
            <w:tcW w:w="9072" w:type="dxa"/>
            <w:tcBorders>
              <w:top w:val="nil"/>
              <w:left w:val="nil"/>
              <w:bottom w:val="nil"/>
              <w:right w:val="nil"/>
            </w:tcBorders>
            <w:noWrap/>
            <w:vAlign w:val="bottom"/>
            <w:hideMark/>
          </w:tcPr>
          <w:p w14:paraId="6146D91C" w14:textId="77777777" w:rsidR="00534D9A" w:rsidRDefault="003243B2">
            <w:pPr>
              <w:pStyle w:val="P68B1DB1-Normal91"/>
            </w:pPr>
            <w:r>
              <w:t>Servizzi ta’ Titoli ta’ Fedwire</w:t>
            </w:r>
          </w:p>
        </w:tc>
      </w:tr>
      <w:tr w:rsidR="00534D9A" w14:paraId="638B9492" w14:textId="77777777">
        <w:trPr>
          <w:trHeight w:val="300"/>
        </w:trPr>
        <w:tc>
          <w:tcPr>
            <w:tcW w:w="9072" w:type="dxa"/>
            <w:tcBorders>
              <w:top w:val="nil"/>
              <w:left w:val="nil"/>
              <w:bottom w:val="nil"/>
              <w:right w:val="nil"/>
            </w:tcBorders>
            <w:noWrap/>
            <w:vAlign w:val="bottom"/>
            <w:hideMark/>
          </w:tcPr>
          <w:p w14:paraId="0FCA6B85" w14:textId="77777777" w:rsidR="00534D9A" w:rsidRDefault="003243B2">
            <w:pPr>
              <w:pStyle w:val="P68B1DB1-Normal91"/>
            </w:pPr>
            <w:r>
              <w:t>Corp tal-Ikklerjar tad-Dħul fiss (FICC)</w:t>
            </w:r>
          </w:p>
        </w:tc>
      </w:tr>
      <w:tr w:rsidR="00534D9A" w14:paraId="4384BE65" w14:textId="77777777">
        <w:trPr>
          <w:trHeight w:val="300"/>
        </w:trPr>
        <w:tc>
          <w:tcPr>
            <w:tcW w:w="9072" w:type="dxa"/>
            <w:tcBorders>
              <w:top w:val="nil"/>
              <w:left w:val="nil"/>
              <w:bottom w:val="nil"/>
              <w:right w:val="nil"/>
            </w:tcBorders>
            <w:noWrap/>
            <w:vAlign w:val="bottom"/>
            <w:hideMark/>
          </w:tcPr>
          <w:p w14:paraId="7CCF9B46" w14:textId="77777777" w:rsidR="00534D9A" w:rsidRDefault="003243B2">
            <w:pPr>
              <w:pStyle w:val="P68B1DB1-Normal91"/>
            </w:pPr>
            <w:r>
              <w:t>Gielda Papierow Wartosciowych w Warszawie (il-Borża ta’ Varsavja)</w:t>
            </w:r>
          </w:p>
        </w:tc>
      </w:tr>
      <w:tr w:rsidR="00534D9A" w14:paraId="62CB1AB6" w14:textId="77777777">
        <w:trPr>
          <w:trHeight w:val="300"/>
        </w:trPr>
        <w:tc>
          <w:tcPr>
            <w:tcW w:w="9072" w:type="dxa"/>
            <w:tcBorders>
              <w:top w:val="nil"/>
              <w:left w:val="nil"/>
              <w:bottom w:val="nil"/>
              <w:right w:val="nil"/>
            </w:tcBorders>
            <w:noWrap/>
            <w:vAlign w:val="bottom"/>
            <w:hideMark/>
          </w:tcPr>
          <w:p w14:paraId="56890D2B" w14:textId="77777777" w:rsidR="00534D9A" w:rsidRDefault="003243B2">
            <w:pPr>
              <w:pStyle w:val="P68B1DB1-Normal91"/>
            </w:pPr>
            <w:r>
              <w:t>Depożitarju tat-Titoli tal-Gvern (GSD)</w:t>
            </w:r>
          </w:p>
        </w:tc>
      </w:tr>
      <w:tr w:rsidR="00534D9A" w14:paraId="5B41050C" w14:textId="77777777">
        <w:trPr>
          <w:trHeight w:val="300"/>
        </w:trPr>
        <w:tc>
          <w:tcPr>
            <w:tcW w:w="9072" w:type="dxa"/>
            <w:tcBorders>
              <w:top w:val="nil"/>
              <w:left w:val="nil"/>
              <w:bottom w:val="nil"/>
              <w:right w:val="nil"/>
            </w:tcBorders>
            <w:noWrap/>
            <w:vAlign w:val="bottom"/>
            <w:hideMark/>
          </w:tcPr>
          <w:p w14:paraId="24CCAE22" w14:textId="77777777" w:rsidR="00534D9A" w:rsidRDefault="003243B2">
            <w:pPr>
              <w:pStyle w:val="P68B1DB1-Normal91"/>
            </w:pPr>
            <w:r>
              <w:t>HSVP (RTGS)</w:t>
            </w:r>
          </w:p>
        </w:tc>
      </w:tr>
      <w:tr w:rsidR="00534D9A" w14:paraId="013849A1" w14:textId="77777777">
        <w:trPr>
          <w:trHeight w:val="300"/>
        </w:trPr>
        <w:tc>
          <w:tcPr>
            <w:tcW w:w="9072" w:type="dxa"/>
            <w:tcBorders>
              <w:top w:val="nil"/>
              <w:left w:val="nil"/>
              <w:bottom w:val="nil"/>
              <w:right w:val="nil"/>
            </w:tcBorders>
            <w:noWrap/>
            <w:vAlign w:val="bottom"/>
            <w:hideMark/>
          </w:tcPr>
          <w:p w14:paraId="686B8E20" w14:textId="77777777" w:rsidR="00534D9A" w:rsidRDefault="003243B2">
            <w:pPr>
              <w:pStyle w:val="P68B1DB1-Normal91"/>
            </w:pPr>
            <w:r>
              <w:t>Iberclear</w:t>
            </w:r>
          </w:p>
        </w:tc>
      </w:tr>
      <w:tr w:rsidR="00534D9A" w14:paraId="69A745A4" w14:textId="77777777">
        <w:trPr>
          <w:trHeight w:val="300"/>
        </w:trPr>
        <w:tc>
          <w:tcPr>
            <w:tcW w:w="9072" w:type="dxa"/>
            <w:tcBorders>
              <w:top w:val="nil"/>
              <w:left w:val="nil"/>
              <w:bottom w:val="nil"/>
              <w:right w:val="nil"/>
            </w:tcBorders>
            <w:noWrap/>
            <w:vAlign w:val="bottom"/>
            <w:hideMark/>
          </w:tcPr>
          <w:p w14:paraId="676D5D75" w14:textId="77777777" w:rsidR="00534D9A" w:rsidRDefault="003243B2">
            <w:pPr>
              <w:pStyle w:val="P68B1DB1-Normal91"/>
            </w:pPr>
            <w:r>
              <w:t>Clear tas-silġ</w:t>
            </w:r>
          </w:p>
        </w:tc>
      </w:tr>
      <w:tr w:rsidR="00534D9A" w14:paraId="780088CD" w14:textId="77777777">
        <w:trPr>
          <w:trHeight w:val="300"/>
        </w:trPr>
        <w:tc>
          <w:tcPr>
            <w:tcW w:w="9072" w:type="dxa"/>
            <w:tcBorders>
              <w:top w:val="nil"/>
              <w:left w:val="nil"/>
              <w:bottom w:val="nil"/>
              <w:right w:val="nil"/>
            </w:tcBorders>
            <w:noWrap/>
            <w:vAlign w:val="bottom"/>
            <w:hideMark/>
          </w:tcPr>
          <w:p w14:paraId="51279EB6" w14:textId="77777777" w:rsidR="00534D9A" w:rsidRDefault="003243B2">
            <w:pPr>
              <w:pStyle w:val="P68B1DB1-Normal91"/>
            </w:pPr>
            <w:r>
              <w:lastRenderedPageBreak/>
              <w:t>Ice Clear Europe Limited</w:t>
            </w:r>
          </w:p>
        </w:tc>
      </w:tr>
      <w:tr w:rsidR="00534D9A" w14:paraId="0A625316" w14:textId="77777777">
        <w:trPr>
          <w:trHeight w:val="300"/>
        </w:trPr>
        <w:tc>
          <w:tcPr>
            <w:tcW w:w="9072" w:type="dxa"/>
            <w:tcBorders>
              <w:top w:val="nil"/>
              <w:left w:val="nil"/>
              <w:bottom w:val="nil"/>
              <w:right w:val="nil"/>
            </w:tcBorders>
            <w:noWrap/>
            <w:vAlign w:val="bottom"/>
            <w:hideMark/>
          </w:tcPr>
          <w:p w14:paraId="478D14C3" w14:textId="77777777" w:rsidR="00534D9A" w:rsidRDefault="003243B2">
            <w:pPr>
              <w:pStyle w:val="P68B1DB1-Normal91"/>
            </w:pPr>
            <w:r>
              <w:t>Ice Clear Netherlands</w:t>
            </w:r>
          </w:p>
        </w:tc>
      </w:tr>
      <w:tr w:rsidR="00534D9A" w14:paraId="7BA736BC" w14:textId="77777777">
        <w:trPr>
          <w:trHeight w:val="300"/>
        </w:trPr>
        <w:tc>
          <w:tcPr>
            <w:tcW w:w="9072" w:type="dxa"/>
            <w:tcBorders>
              <w:top w:val="nil"/>
              <w:left w:val="nil"/>
              <w:bottom w:val="nil"/>
              <w:right w:val="nil"/>
            </w:tcBorders>
            <w:noWrap/>
            <w:vAlign w:val="bottom"/>
            <w:hideMark/>
          </w:tcPr>
          <w:p w14:paraId="791A2916" w14:textId="77777777" w:rsidR="00534D9A" w:rsidRDefault="003243B2">
            <w:pPr>
              <w:pStyle w:val="P68B1DB1-Normal91"/>
            </w:pPr>
            <w:r>
              <w:t>Ice Trade Vault Europe Limited (ICE TVEL)</w:t>
            </w:r>
          </w:p>
        </w:tc>
      </w:tr>
      <w:tr w:rsidR="00534D9A" w14:paraId="6A1792FC" w14:textId="77777777">
        <w:trPr>
          <w:trHeight w:val="300"/>
        </w:trPr>
        <w:tc>
          <w:tcPr>
            <w:tcW w:w="9072" w:type="dxa"/>
            <w:tcBorders>
              <w:top w:val="nil"/>
              <w:left w:val="nil"/>
              <w:bottom w:val="nil"/>
              <w:right w:val="nil"/>
            </w:tcBorders>
            <w:noWrap/>
            <w:vAlign w:val="bottom"/>
            <w:hideMark/>
          </w:tcPr>
          <w:p w14:paraId="58EBD357" w14:textId="77777777" w:rsidR="00534D9A" w:rsidRDefault="003243B2">
            <w:pPr>
              <w:pStyle w:val="P68B1DB1-Normal91"/>
            </w:pPr>
            <w:r>
              <w:t>ID2S/RSSS</w:t>
            </w:r>
          </w:p>
        </w:tc>
      </w:tr>
      <w:tr w:rsidR="00534D9A" w14:paraId="23EF91EB" w14:textId="77777777">
        <w:trPr>
          <w:trHeight w:val="300"/>
        </w:trPr>
        <w:tc>
          <w:tcPr>
            <w:tcW w:w="9072" w:type="dxa"/>
            <w:tcBorders>
              <w:top w:val="nil"/>
              <w:left w:val="nil"/>
              <w:bottom w:val="nil"/>
              <w:right w:val="nil"/>
            </w:tcBorders>
            <w:noWrap/>
            <w:vAlign w:val="bottom"/>
            <w:hideMark/>
          </w:tcPr>
          <w:p w14:paraId="256EBA58" w14:textId="77777777" w:rsidR="00534D9A" w:rsidRDefault="003243B2">
            <w:pPr>
              <w:pStyle w:val="P68B1DB1-Normal91"/>
            </w:pPr>
            <w:r>
              <w:t>Sistema ta’ kklerjar interbankarju (ICS)</w:t>
            </w:r>
          </w:p>
        </w:tc>
      </w:tr>
      <w:tr w:rsidR="00534D9A" w14:paraId="61201BD5" w14:textId="77777777">
        <w:trPr>
          <w:trHeight w:val="300"/>
        </w:trPr>
        <w:tc>
          <w:tcPr>
            <w:tcW w:w="9072" w:type="dxa"/>
            <w:tcBorders>
              <w:top w:val="nil"/>
              <w:left w:val="nil"/>
              <w:bottom w:val="nil"/>
              <w:right w:val="nil"/>
            </w:tcBorders>
            <w:noWrap/>
            <w:vAlign w:val="bottom"/>
            <w:hideMark/>
          </w:tcPr>
          <w:p w14:paraId="38BDB6F1" w14:textId="77777777" w:rsidR="00534D9A" w:rsidRDefault="003243B2">
            <w:pPr>
              <w:pStyle w:val="P68B1DB1-Normal91"/>
            </w:pPr>
            <w:r>
              <w:t>INTERBOLSA</w:t>
            </w:r>
          </w:p>
        </w:tc>
      </w:tr>
      <w:tr w:rsidR="00534D9A" w14:paraId="3D13BEFD" w14:textId="77777777">
        <w:trPr>
          <w:trHeight w:val="300"/>
        </w:trPr>
        <w:tc>
          <w:tcPr>
            <w:tcW w:w="9072" w:type="dxa"/>
            <w:tcBorders>
              <w:top w:val="nil"/>
              <w:left w:val="nil"/>
              <w:bottom w:val="nil"/>
              <w:right w:val="nil"/>
            </w:tcBorders>
            <w:noWrap/>
            <w:vAlign w:val="bottom"/>
            <w:hideMark/>
          </w:tcPr>
          <w:p w14:paraId="27D8A3E1" w14:textId="77777777" w:rsidR="00534D9A" w:rsidRDefault="003243B2">
            <w:pPr>
              <w:pStyle w:val="P68B1DB1-Normal91"/>
            </w:pPr>
            <w:r>
              <w:t>IntradagClearing</w:t>
            </w:r>
          </w:p>
        </w:tc>
      </w:tr>
      <w:tr w:rsidR="00534D9A" w14:paraId="4CA95B12" w14:textId="77777777">
        <w:trPr>
          <w:trHeight w:val="300"/>
        </w:trPr>
        <w:tc>
          <w:tcPr>
            <w:tcW w:w="9072" w:type="dxa"/>
            <w:tcBorders>
              <w:top w:val="nil"/>
              <w:left w:val="nil"/>
              <w:bottom w:val="nil"/>
              <w:right w:val="nil"/>
            </w:tcBorders>
            <w:noWrap/>
            <w:vAlign w:val="bottom"/>
            <w:hideMark/>
          </w:tcPr>
          <w:p w14:paraId="3992B7FE" w14:textId="77777777" w:rsidR="00534D9A" w:rsidRDefault="003243B2">
            <w:pPr>
              <w:pStyle w:val="P68B1DB1-Normal91"/>
            </w:pPr>
            <w:r>
              <w:t>IRGiT Izba Rozliczeniowa Giełd Towarowych S.A (Ċentru għall-Ikklerjar tal-Komoditajiet</w:t>
            </w:r>
          </w:p>
        </w:tc>
      </w:tr>
      <w:tr w:rsidR="00534D9A" w14:paraId="5F42EC4B" w14:textId="77777777">
        <w:trPr>
          <w:trHeight w:val="300"/>
        </w:trPr>
        <w:tc>
          <w:tcPr>
            <w:tcW w:w="9072" w:type="dxa"/>
            <w:tcBorders>
              <w:top w:val="nil"/>
              <w:left w:val="nil"/>
              <w:bottom w:val="nil"/>
              <w:right w:val="nil"/>
            </w:tcBorders>
            <w:noWrap/>
            <w:vAlign w:val="bottom"/>
            <w:hideMark/>
          </w:tcPr>
          <w:p w14:paraId="1817AC8A" w14:textId="77777777" w:rsidR="00534D9A" w:rsidRDefault="003243B2">
            <w:pPr>
              <w:pStyle w:val="P68B1DB1-Normal91"/>
            </w:pPr>
            <w:r>
              <w:t>Irish Paper Clearing Company (IPCC)</w:t>
            </w:r>
          </w:p>
        </w:tc>
      </w:tr>
      <w:tr w:rsidR="00534D9A" w14:paraId="503DCAED" w14:textId="77777777">
        <w:trPr>
          <w:trHeight w:val="300"/>
        </w:trPr>
        <w:tc>
          <w:tcPr>
            <w:tcW w:w="9072" w:type="dxa"/>
            <w:tcBorders>
              <w:top w:val="nil"/>
              <w:left w:val="nil"/>
              <w:bottom w:val="nil"/>
              <w:right w:val="nil"/>
            </w:tcBorders>
            <w:noWrap/>
            <w:vAlign w:val="bottom"/>
            <w:hideMark/>
          </w:tcPr>
          <w:p w14:paraId="256FE1FF" w14:textId="77777777" w:rsidR="00534D9A" w:rsidRDefault="003243B2">
            <w:pPr>
              <w:pStyle w:val="P68B1DB1-Normal91"/>
            </w:pPr>
            <w:r>
              <w:t>Il-Borża Irlandiża Ltd.</w:t>
            </w:r>
          </w:p>
        </w:tc>
      </w:tr>
      <w:tr w:rsidR="00534D9A" w14:paraId="01B9E362" w14:textId="77777777">
        <w:trPr>
          <w:trHeight w:val="300"/>
        </w:trPr>
        <w:tc>
          <w:tcPr>
            <w:tcW w:w="9072" w:type="dxa"/>
            <w:tcBorders>
              <w:top w:val="nil"/>
              <w:left w:val="nil"/>
              <w:bottom w:val="nil"/>
              <w:right w:val="nil"/>
            </w:tcBorders>
            <w:noWrap/>
            <w:vAlign w:val="bottom"/>
            <w:hideMark/>
          </w:tcPr>
          <w:p w14:paraId="6D9ED763" w14:textId="77777777" w:rsidR="00534D9A" w:rsidRDefault="003243B2">
            <w:pPr>
              <w:pStyle w:val="P68B1DB1-Normal91"/>
            </w:pPr>
            <w:r>
              <w:t>Il-Korporazzjoni għall-Ikklerjar tat-Titoli tal-Ġappun</w:t>
            </w:r>
          </w:p>
        </w:tc>
      </w:tr>
      <w:tr w:rsidR="00534D9A" w14:paraId="7B5B6AA0" w14:textId="77777777">
        <w:trPr>
          <w:trHeight w:val="300"/>
        </w:trPr>
        <w:tc>
          <w:tcPr>
            <w:tcW w:w="9072" w:type="dxa"/>
            <w:tcBorders>
              <w:top w:val="nil"/>
              <w:left w:val="nil"/>
              <w:bottom w:val="nil"/>
              <w:right w:val="nil"/>
            </w:tcBorders>
            <w:noWrap/>
            <w:vAlign w:val="bottom"/>
            <w:hideMark/>
          </w:tcPr>
          <w:p w14:paraId="5354E82A" w14:textId="77777777" w:rsidR="00534D9A" w:rsidRDefault="003243B2">
            <w:pPr>
              <w:pStyle w:val="P68B1DB1-Normal91"/>
            </w:pPr>
            <w:r>
              <w:t>JASDEC</w:t>
            </w:r>
          </w:p>
        </w:tc>
      </w:tr>
      <w:tr w:rsidR="00534D9A" w14:paraId="5F2E7C68" w14:textId="77777777">
        <w:trPr>
          <w:trHeight w:val="300"/>
        </w:trPr>
        <w:tc>
          <w:tcPr>
            <w:tcW w:w="9072" w:type="dxa"/>
            <w:tcBorders>
              <w:top w:val="nil"/>
              <w:left w:val="nil"/>
              <w:bottom w:val="nil"/>
              <w:right w:val="nil"/>
            </w:tcBorders>
            <w:noWrap/>
            <w:vAlign w:val="bottom"/>
            <w:hideMark/>
          </w:tcPr>
          <w:p w14:paraId="7D166505" w14:textId="77777777" w:rsidR="00534D9A" w:rsidRDefault="003243B2">
            <w:pPr>
              <w:pStyle w:val="P68B1DB1-Normal91"/>
            </w:pPr>
            <w:r>
              <w:t>JASDEC DVP</w:t>
            </w:r>
          </w:p>
        </w:tc>
      </w:tr>
      <w:tr w:rsidR="00534D9A" w14:paraId="4048BA0D" w14:textId="77777777">
        <w:trPr>
          <w:trHeight w:val="300"/>
        </w:trPr>
        <w:tc>
          <w:tcPr>
            <w:tcW w:w="9072" w:type="dxa"/>
            <w:tcBorders>
              <w:top w:val="nil"/>
              <w:left w:val="nil"/>
              <w:bottom w:val="nil"/>
              <w:right w:val="nil"/>
            </w:tcBorders>
            <w:noWrap/>
            <w:vAlign w:val="bottom"/>
            <w:hideMark/>
          </w:tcPr>
          <w:p w14:paraId="15678AE9" w14:textId="77777777" w:rsidR="00534D9A" w:rsidRDefault="003243B2">
            <w:pPr>
              <w:pStyle w:val="P68B1DB1-Normal91"/>
            </w:pPr>
            <w:r>
              <w:t>KUMITAT KONSULTATTIV KONĠUNT</w:t>
            </w:r>
          </w:p>
        </w:tc>
      </w:tr>
      <w:tr w:rsidR="00534D9A" w14:paraId="12A3C713" w14:textId="77777777">
        <w:trPr>
          <w:trHeight w:val="300"/>
        </w:trPr>
        <w:tc>
          <w:tcPr>
            <w:tcW w:w="9072" w:type="dxa"/>
            <w:tcBorders>
              <w:top w:val="nil"/>
              <w:left w:val="nil"/>
              <w:bottom w:val="nil"/>
              <w:right w:val="nil"/>
            </w:tcBorders>
            <w:noWrap/>
            <w:vAlign w:val="bottom"/>
            <w:hideMark/>
          </w:tcPr>
          <w:p w14:paraId="41166169" w14:textId="77777777" w:rsidR="00534D9A" w:rsidRDefault="003243B2">
            <w:pPr>
              <w:pStyle w:val="P68B1DB1-Normal91"/>
            </w:pPr>
            <w:r>
              <w:t>KDPW S.A.</w:t>
            </w:r>
          </w:p>
        </w:tc>
      </w:tr>
      <w:tr w:rsidR="00534D9A" w14:paraId="43817C1E" w14:textId="77777777">
        <w:trPr>
          <w:trHeight w:val="300"/>
        </w:trPr>
        <w:tc>
          <w:tcPr>
            <w:tcW w:w="9072" w:type="dxa"/>
            <w:tcBorders>
              <w:top w:val="nil"/>
              <w:left w:val="nil"/>
              <w:bottom w:val="nil"/>
              <w:right w:val="nil"/>
            </w:tcBorders>
            <w:noWrap/>
            <w:vAlign w:val="bottom"/>
            <w:hideMark/>
          </w:tcPr>
          <w:p w14:paraId="3018D3C8" w14:textId="77777777" w:rsidR="00534D9A" w:rsidRDefault="003243B2">
            <w:pPr>
              <w:pStyle w:val="P68B1DB1-Normal91"/>
            </w:pPr>
            <w:r>
              <w:t>KDPW_CCP S.A.</w:t>
            </w:r>
          </w:p>
        </w:tc>
      </w:tr>
      <w:tr w:rsidR="00534D9A" w14:paraId="21912EC4" w14:textId="77777777">
        <w:trPr>
          <w:trHeight w:val="300"/>
        </w:trPr>
        <w:tc>
          <w:tcPr>
            <w:tcW w:w="9072" w:type="dxa"/>
            <w:tcBorders>
              <w:top w:val="nil"/>
              <w:left w:val="nil"/>
              <w:bottom w:val="nil"/>
              <w:right w:val="nil"/>
            </w:tcBorders>
            <w:noWrap/>
            <w:vAlign w:val="bottom"/>
            <w:hideMark/>
          </w:tcPr>
          <w:p w14:paraId="59836A48" w14:textId="77777777" w:rsidR="00534D9A" w:rsidRDefault="003243B2">
            <w:pPr>
              <w:pStyle w:val="P68B1DB1-Normal91"/>
            </w:pPr>
            <w:r>
              <w:t>KDPW-TR</w:t>
            </w:r>
          </w:p>
        </w:tc>
      </w:tr>
      <w:tr w:rsidR="00534D9A" w14:paraId="14480A4D" w14:textId="77777777">
        <w:trPr>
          <w:trHeight w:val="300"/>
        </w:trPr>
        <w:tc>
          <w:tcPr>
            <w:tcW w:w="9072" w:type="dxa"/>
            <w:tcBorders>
              <w:top w:val="nil"/>
              <w:left w:val="nil"/>
              <w:bottom w:val="nil"/>
              <w:right w:val="nil"/>
            </w:tcBorders>
            <w:noWrap/>
            <w:vAlign w:val="bottom"/>
            <w:hideMark/>
          </w:tcPr>
          <w:p w14:paraId="59BBCA2D" w14:textId="77777777" w:rsidR="00534D9A" w:rsidRDefault="003243B2">
            <w:pPr>
              <w:pStyle w:val="P68B1DB1-Normal91"/>
            </w:pPr>
            <w:r>
              <w:t>CCP KELER</w:t>
            </w:r>
          </w:p>
        </w:tc>
      </w:tr>
      <w:tr w:rsidR="00534D9A" w14:paraId="1D005B0E" w14:textId="77777777">
        <w:trPr>
          <w:trHeight w:val="300"/>
        </w:trPr>
        <w:tc>
          <w:tcPr>
            <w:tcW w:w="9072" w:type="dxa"/>
            <w:tcBorders>
              <w:top w:val="nil"/>
              <w:left w:val="nil"/>
              <w:bottom w:val="nil"/>
              <w:right w:val="nil"/>
            </w:tcBorders>
            <w:noWrap/>
            <w:vAlign w:val="bottom"/>
            <w:hideMark/>
          </w:tcPr>
          <w:p w14:paraId="2ABFD94E" w14:textId="77777777" w:rsidR="00534D9A" w:rsidRDefault="003243B2">
            <w:pPr>
              <w:pStyle w:val="P68B1DB1-Normal91"/>
            </w:pPr>
            <w:r>
              <w:t>CSD KELER</w:t>
            </w:r>
          </w:p>
        </w:tc>
      </w:tr>
      <w:tr w:rsidR="00534D9A" w14:paraId="13D5C039" w14:textId="77777777">
        <w:trPr>
          <w:trHeight w:val="300"/>
        </w:trPr>
        <w:tc>
          <w:tcPr>
            <w:tcW w:w="9072" w:type="dxa"/>
            <w:tcBorders>
              <w:top w:val="nil"/>
              <w:left w:val="nil"/>
              <w:bottom w:val="nil"/>
              <w:right w:val="nil"/>
            </w:tcBorders>
            <w:noWrap/>
            <w:vAlign w:val="bottom"/>
            <w:hideMark/>
          </w:tcPr>
          <w:p w14:paraId="31B1FA22" w14:textId="77777777" w:rsidR="00534D9A" w:rsidRDefault="003243B2">
            <w:pPr>
              <w:pStyle w:val="P68B1DB1-Normal91"/>
            </w:pPr>
            <w:r>
              <w:t>KRONOS</w:t>
            </w:r>
          </w:p>
        </w:tc>
      </w:tr>
      <w:tr w:rsidR="00534D9A" w14:paraId="3B7ED824" w14:textId="77777777">
        <w:trPr>
          <w:trHeight w:val="300"/>
        </w:trPr>
        <w:tc>
          <w:tcPr>
            <w:tcW w:w="9072" w:type="dxa"/>
            <w:tcBorders>
              <w:top w:val="nil"/>
              <w:left w:val="nil"/>
              <w:bottom w:val="nil"/>
              <w:right w:val="nil"/>
            </w:tcBorders>
            <w:noWrap/>
            <w:vAlign w:val="bottom"/>
            <w:hideMark/>
          </w:tcPr>
          <w:p w14:paraId="0A3C0455" w14:textId="77777777" w:rsidR="00534D9A" w:rsidRDefault="003243B2">
            <w:pPr>
              <w:pStyle w:val="P68B1DB1-Normal91"/>
            </w:pPr>
            <w:r>
              <w:t>KUBAS</w:t>
            </w:r>
          </w:p>
        </w:tc>
      </w:tr>
      <w:tr w:rsidR="00534D9A" w14:paraId="2B1C9B26" w14:textId="77777777">
        <w:trPr>
          <w:trHeight w:val="300"/>
        </w:trPr>
        <w:tc>
          <w:tcPr>
            <w:tcW w:w="9072" w:type="dxa"/>
            <w:tcBorders>
              <w:top w:val="nil"/>
              <w:left w:val="nil"/>
              <w:bottom w:val="nil"/>
              <w:right w:val="nil"/>
            </w:tcBorders>
            <w:noWrap/>
            <w:vAlign w:val="bottom"/>
            <w:hideMark/>
          </w:tcPr>
          <w:p w14:paraId="0C36BDD0" w14:textId="77777777" w:rsidR="00534D9A" w:rsidRDefault="003243B2">
            <w:pPr>
              <w:pStyle w:val="P68B1DB1-Normal91"/>
            </w:pPr>
            <w:r>
              <w:t>Sistema ta’ Trasferiment ta’ Valur Kbir (LVTS)</w:t>
            </w:r>
          </w:p>
        </w:tc>
      </w:tr>
      <w:tr w:rsidR="00534D9A" w14:paraId="494438D8" w14:textId="77777777">
        <w:trPr>
          <w:trHeight w:val="300"/>
        </w:trPr>
        <w:tc>
          <w:tcPr>
            <w:tcW w:w="9072" w:type="dxa"/>
            <w:tcBorders>
              <w:top w:val="nil"/>
              <w:left w:val="nil"/>
              <w:bottom w:val="nil"/>
              <w:right w:val="nil"/>
            </w:tcBorders>
            <w:noWrap/>
            <w:vAlign w:val="bottom"/>
            <w:hideMark/>
          </w:tcPr>
          <w:p w14:paraId="0378B855" w14:textId="77777777" w:rsidR="00534D9A" w:rsidRDefault="003243B2">
            <w:pPr>
              <w:pStyle w:val="P68B1DB1-Normal91"/>
            </w:pPr>
            <w:r>
              <w:t>LCH Ltd</w:t>
            </w:r>
          </w:p>
        </w:tc>
      </w:tr>
      <w:tr w:rsidR="00534D9A" w14:paraId="5DD1EBF4" w14:textId="77777777">
        <w:trPr>
          <w:trHeight w:val="300"/>
        </w:trPr>
        <w:tc>
          <w:tcPr>
            <w:tcW w:w="9072" w:type="dxa"/>
            <w:tcBorders>
              <w:top w:val="nil"/>
              <w:left w:val="nil"/>
              <w:bottom w:val="nil"/>
              <w:right w:val="nil"/>
            </w:tcBorders>
            <w:noWrap/>
            <w:vAlign w:val="bottom"/>
            <w:hideMark/>
          </w:tcPr>
          <w:p w14:paraId="59459780" w14:textId="77777777" w:rsidR="00534D9A" w:rsidRDefault="003243B2">
            <w:pPr>
              <w:pStyle w:val="P68B1DB1-Normal91"/>
            </w:pPr>
            <w:r>
              <w:t>LCH SA</w:t>
            </w:r>
          </w:p>
        </w:tc>
      </w:tr>
      <w:tr w:rsidR="00534D9A" w14:paraId="4F01D89C" w14:textId="77777777">
        <w:trPr>
          <w:trHeight w:val="300"/>
        </w:trPr>
        <w:tc>
          <w:tcPr>
            <w:tcW w:w="9072" w:type="dxa"/>
            <w:tcBorders>
              <w:top w:val="nil"/>
              <w:left w:val="nil"/>
              <w:bottom w:val="nil"/>
              <w:right w:val="nil"/>
            </w:tcBorders>
            <w:noWrap/>
            <w:vAlign w:val="bottom"/>
            <w:hideMark/>
          </w:tcPr>
          <w:p w14:paraId="5955E367" w14:textId="77777777" w:rsidR="00534D9A" w:rsidRDefault="003243B2">
            <w:pPr>
              <w:pStyle w:val="P68B1DB1-Normal91"/>
            </w:pPr>
            <w:r>
              <w:t>Borża ta’ Ljubljana</w:t>
            </w:r>
          </w:p>
        </w:tc>
      </w:tr>
      <w:tr w:rsidR="00534D9A" w14:paraId="63C7A928" w14:textId="77777777">
        <w:trPr>
          <w:trHeight w:val="300"/>
        </w:trPr>
        <w:tc>
          <w:tcPr>
            <w:tcW w:w="9072" w:type="dxa"/>
            <w:tcBorders>
              <w:top w:val="nil"/>
              <w:left w:val="nil"/>
              <w:bottom w:val="nil"/>
              <w:right w:val="nil"/>
            </w:tcBorders>
            <w:noWrap/>
            <w:vAlign w:val="bottom"/>
            <w:hideMark/>
          </w:tcPr>
          <w:p w14:paraId="14DFAB9F" w14:textId="77777777" w:rsidR="00534D9A" w:rsidRDefault="003243B2">
            <w:pPr>
              <w:pStyle w:val="P68B1DB1-Normal91"/>
            </w:pPr>
            <w:r>
              <w:t>LME Clear Limited</w:t>
            </w:r>
          </w:p>
        </w:tc>
      </w:tr>
      <w:tr w:rsidR="00534D9A" w14:paraId="188E3D82" w14:textId="77777777">
        <w:trPr>
          <w:trHeight w:val="300"/>
        </w:trPr>
        <w:tc>
          <w:tcPr>
            <w:tcW w:w="9072" w:type="dxa"/>
            <w:tcBorders>
              <w:top w:val="nil"/>
              <w:left w:val="nil"/>
              <w:bottom w:val="nil"/>
              <w:right w:val="nil"/>
            </w:tcBorders>
            <w:noWrap/>
            <w:vAlign w:val="bottom"/>
            <w:hideMark/>
          </w:tcPr>
          <w:p w14:paraId="7DB15EC9" w14:textId="77777777" w:rsidR="00534D9A" w:rsidRDefault="003243B2">
            <w:pPr>
              <w:pStyle w:val="P68B1DB1-Normal91"/>
            </w:pPr>
            <w:r>
              <w:t>Borża ta’ Londra Ltd (LSE)</w:t>
            </w:r>
          </w:p>
        </w:tc>
      </w:tr>
      <w:tr w:rsidR="00534D9A" w14:paraId="0AD660E5" w14:textId="77777777">
        <w:trPr>
          <w:trHeight w:val="300"/>
        </w:trPr>
        <w:tc>
          <w:tcPr>
            <w:tcW w:w="9072" w:type="dxa"/>
            <w:tcBorders>
              <w:top w:val="nil"/>
              <w:left w:val="nil"/>
              <w:bottom w:val="nil"/>
              <w:right w:val="nil"/>
            </w:tcBorders>
            <w:noWrap/>
            <w:vAlign w:val="bottom"/>
            <w:hideMark/>
          </w:tcPr>
          <w:p w14:paraId="23DA5AB4" w14:textId="77777777" w:rsidR="00534D9A" w:rsidRDefault="003243B2">
            <w:pPr>
              <w:pStyle w:val="P68B1DB1-Normal91"/>
            </w:pPr>
            <w:r>
              <w:t>CSD LUX</w:t>
            </w:r>
          </w:p>
        </w:tc>
      </w:tr>
      <w:tr w:rsidR="00534D9A" w14:paraId="5B3E1A3A" w14:textId="77777777">
        <w:trPr>
          <w:trHeight w:val="300"/>
        </w:trPr>
        <w:tc>
          <w:tcPr>
            <w:tcW w:w="9072" w:type="dxa"/>
            <w:tcBorders>
              <w:top w:val="nil"/>
              <w:left w:val="nil"/>
              <w:bottom w:val="nil"/>
              <w:right w:val="nil"/>
            </w:tcBorders>
            <w:noWrap/>
            <w:vAlign w:val="bottom"/>
            <w:hideMark/>
          </w:tcPr>
          <w:p w14:paraId="5D4FD8D4" w14:textId="77777777" w:rsidR="00534D9A" w:rsidRDefault="003243B2">
            <w:pPr>
              <w:pStyle w:val="P68B1DB1-Normal91"/>
            </w:pPr>
            <w:r>
              <w:t>Ċentru għall-Ikklerjar ta’ Malta</w:t>
            </w:r>
          </w:p>
        </w:tc>
      </w:tr>
      <w:tr w:rsidR="00534D9A" w14:paraId="0739CAE8" w14:textId="77777777">
        <w:trPr>
          <w:trHeight w:val="300"/>
        </w:trPr>
        <w:tc>
          <w:tcPr>
            <w:tcW w:w="9072" w:type="dxa"/>
            <w:tcBorders>
              <w:top w:val="nil"/>
              <w:left w:val="nil"/>
              <w:bottom w:val="nil"/>
              <w:right w:val="nil"/>
            </w:tcBorders>
            <w:noWrap/>
            <w:vAlign w:val="bottom"/>
            <w:hideMark/>
          </w:tcPr>
          <w:p w14:paraId="7880FB68" w14:textId="77777777" w:rsidR="00534D9A" w:rsidRDefault="003243B2">
            <w:pPr>
              <w:pStyle w:val="P68B1DB1-Normal91"/>
            </w:pPr>
            <w:r>
              <w:t>Malta Stock Exchange (Il-Borża ta’ Malta)</w:t>
            </w:r>
          </w:p>
        </w:tc>
      </w:tr>
      <w:tr w:rsidR="00534D9A" w14:paraId="1462AFD7" w14:textId="77777777">
        <w:trPr>
          <w:trHeight w:val="300"/>
        </w:trPr>
        <w:tc>
          <w:tcPr>
            <w:tcW w:w="9072" w:type="dxa"/>
            <w:tcBorders>
              <w:top w:val="nil"/>
              <w:left w:val="nil"/>
              <w:bottom w:val="nil"/>
              <w:right w:val="nil"/>
            </w:tcBorders>
            <w:noWrap/>
            <w:vAlign w:val="bottom"/>
            <w:hideMark/>
          </w:tcPr>
          <w:p w14:paraId="4F29DF27" w14:textId="77777777" w:rsidR="00534D9A" w:rsidRDefault="003243B2">
            <w:pPr>
              <w:pStyle w:val="P68B1DB1-Normal91"/>
            </w:pPr>
            <w:r>
              <w:t>CSD tal-Borża ta’ Malta</w:t>
            </w:r>
          </w:p>
        </w:tc>
      </w:tr>
      <w:tr w:rsidR="00534D9A" w14:paraId="147A9AFE" w14:textId="77777777">
        <w:trPr>
          <w:trHeight w:val="300"/>
        </w:trPr>
        <w:tc>
          <w:tcPr>
            <w:tcW w:w="9072" w:type="dxa"/>
            <w:tcBorders>
              <w:top w:val="nil"/>
              <w:left w:val="nil"/>
              <w:bottom w:val="nil"/>
              <w:right w:val="nil"/>
            </w:tcBorders>
            <w:noWrap/>
            <w:vAlign w:val="bottom"/>
            <w:hideMark/>
          </w:tcPr>
          <w:p w14:paraId="29008853" w14:textId="77777777" w:rsidR="00534D9A" w:rsidRDefault="003243B2">
            <w:pPr>
              <w:pStyle w:val="P68B1DB1-Normal91"/>
            </w:pPr>
            <w:r>
              <w:t>MEFF Sociedad Rectora de Productos Derivados S. A.</w:t>
            </w:r>
          </w:p>
        </w:tc>
      </w:tr>
      <w:tr w:rsidR="00534D9A" w14:paraId="03A3D6E0" w14:textId="77777777">
        <w:trPr>
          <w:trHeight w:val="300"/>
        </w:trPr>
        <w:tc>
          <w:tcPr>
            <w:tcW w:w="9072" w:type="dxa"/>
            <w:tcBorders>
              <w:top w:val="nil"/>
              <w:left w:val="nil"/>
              <w:bottom w:val="nil"/>
              <w:right w:val="nil"/>
            </w:tcBorders>
            <w:noWrap/>
            <w:vAlign w:val="bottom"/>
            <w:hideMark/>
          </w:tcPr>
          <w:p w14:paraId="3E98B6A6" w14:textId="77777777" w:rsidR="00534D9A" w:rsidRDefault="003243B2">
            <w:pPr>
              <w:pStyle w:val="P68B1DB1-Normal91"/>
            </w:pPr>
            <w:r>
              <w:t>Mercados de Deuda Pública en Anotaciones</w:t>
            </w:r>
          </w:p>
        </w:tc>
      </w:tr>
      <w:tr w:rsidR="00534D9A" w14:paraId="51FA8AC8" w14:textId="77777777">
        <w:trPr>
          <w:trHeight w:val="300"/>
        </w:trPr>
        <w:tc>
          <w:tcPr>
            <w:tcW w:w="9072" w:type="dxa"/>
            <w:tcBorders>
              <w:top w:val="nil"/>
              <w:left w:val="nil"/>
              <w:bottom w:val="nil"/>
              <w:right w:val="nil"/>
            </w:tcBorders>
            <w:noWrap/>
            <w:vAlign w:val="bottom"/>
            <w:hideMark/>
          </w:tcPr>
          <w:p w14:paraId="3F76F750" w14:textId="77777777" w:rsidR="00534D9A" w:rsidRDefault="003243B2">
            <w:pPr>
              <w:pStyle w:val="P68B1DB1-Normal91"/>
            </w:pPr>
            <w:r>
              <w:t>Monte Titoli</w:t>
            </w:r>
          </w:p>
        </w:tc>
      </w:tr>
      <w:tr w:rsidR="00534D9A" w14:paraId="23805AA2" w14:textId="77777777">
        <w:trPr>
          <w:trHeight w:val="300"/>
        </w:trPr>
        <w:tc>
          <w:tcPr>
            <w:tcW w:w="9072" w:type="dxa"/>
            <w:tcBorders>
              <w:top w:val="nil"/>
              <w:left w:val="nil"/>
              <w:bottom w:val="nil"/>
              <w:right w:val="nil"/>
            </w:tcBorders>
            <w:noWrap/>
            <w:vAlign w:val="bottom"/>
            <w:hideMark/>
          </w:tcPr>
          <w:p w14:paraId="13AB08E1" w14:textId="77777777" w:rsidR="00534D9A" w:rsidRDefault="003243B2">
            <w:pPr>
              <w:pStyle w:val="P68B1DB1-Normal91"/>
            </w:pPr>
            <w:r>
              <w:t>MTS</w:t>
            </w:r>
          </w:p>
        </w:tc>
      </w:tr>
      <w:tr w:rsidR="00534D9A" w14:paraId="4149713C" w14:textId="77777777">
        <w:trPr>
          <w:trHeight w:val="300"/>
        </w:trPr>
        <w:tc>
          <w:tcPr>
            <w:tcW w:w="9072" w:type="dxa"/>
            <w:tcBorders>
              <w:top w:val="nil"/>
              <w:left w:val="nil"/>
              <w:bottom w:val="nil"/>
              <w:right w:val="nil"/>
            </w:tcBorders>
            <w:noWrap/>
            <w:vAlign w:val="bottom"/>
            <w:hideMark/>
          </w:tcPr>
          <w:p w14:paraId="0E21C9DA" w14:textId="77777777" w:rsidR="00534D9A" w:rsidRDefault="003243B2">
            <w:pPr>
              <w:pStyle w:val="P68B1DB1-Normal91"/>
            </w:pPr>
            <w:r>
              <w:t>Národný Centralny Depositar Cennych Papierov (nCDCP) bħala</w:t>
            </w:r>
          </w:p>
        </w:tc>
      </w:tr>
      <w:tr w:rsidR="00534D9A" w14:paraId="7826A921" w14:textId="77777777">
        <w:trPr>
          <w:trHeight w:val="300"/>
        </w:trPr>
        <w:tc>
          <w:tcPr>
            <w:tcW w:w="9072" w:type="dxa"/>
            <w:tcBorders>
              <w:top w:val="nil"/>
              <w:left w:val="nil"/>
              <w:bottom w:val="nil"/>
              <w:right w:val="nil"/>
            </w:tcBorders>
            <w:noWrap/>
            <w:vAlign w:val="bottom"/>
            <w:hideMark/>
          </w:tcPr>
          <w:p w14:paraId="3989D7C0" w14:textId="77777777" w:rsidR="00534D9A" w:rsidRDefault="003243B2">
            <w:pPr>
              <w:pStyle w:val="P68B1DB1-Normal91"/>
            </w:pPr>
            <w:r>
              <w:t>CSD ta’ Nasdaq SE</w:t>
            </w:r>
          </w:p>
        </w:tc>
      </w:tr>
      <w:tr w:rsidR="00534D9A" w14:paraId="0F9127FC" w14:textId="77777777">
        <w:trPr>
          <w:trHeight w:val="300"/>
        </w:trPr>
        <w:tc>
          <w:tcPr>
            <w:tcW w:w="9072" w:type="dxa"/>
            <w:tcBorders>
              <w:top w:val="nil"/>
              <w:left w:val="nil"/>
              <w:bottom w:val="nil"/>
              <w:right w:val="nil"/>
            </w:tcBorders>
            <w:noWrap/>
            <w:vAlign w:val="bottom"/>
            <w:hideMark/>
          </w:tcPr>
          <w:p w14:paraId="7E3342A8" w14:textId="77777777" w:rsidR="00534D9A" w:rsidRDefault="003243B2">
            <w:pPr>
              <w:pStyle w:val="P68B1DB1-Normal91"/>
            </w:pPr>
            <w:r>
              <w:t>Nasdaq Helsinki</w:t>
            </w:r>
          </w:p>
        </w:tc>
      </w:tr>
      <w:tr w:rsidR="00534D9A" w14:paraId="794AA9C2" w14:textId="77777777">
        <w:trPr>
          <w:trHeight w:val="300"/>
        </w:trPr>
        <w:tc>
          <w:tcPr>
            <w:tcW w:w="9072" w:type="dxa"/>
            <w:tcBorders>
              <w:top w:val="nil"/>
              <w:left w:val="nil"/>
              <w:bottom w:val="nil"/>
              <w:right w:val="nil"/>
            </w:tcBorders>
            <w:noWrap/>
            <w:vAlign w:val="bottom"/>
            <w:hideMark/>
          </w:tcPr>
          <w:p w14:paraId="4EB7B940" w14:textId="77777777" w:rsidR="00534D9A" w:rsidRDefault="003243B2">
            <w:pPr>
              <w:pStyle w:val="P68B1DB1-Normal91"/>
            </w:pPr>
            <w:r>
              <w:t>L-ikklerjar ta’ Nasdaq OMX</w:t>
            </w:r>
          </w:p>
        </w:tc>
      </w:tr>
      <w:tr w:rsidR="00534D9A" w14:paraId="27B334A7" w14:textId="77777777">
        <w:trPr>
          <w:trHeight w:val="300"/>
        </w:trPr>
        <w:tc>
          <w:tcPr>
            <w:tcW w:w="9072" w:type="dxa"/>
            <w:tcBorders>
              <w:top w:val="nil"/>
              <w:left w:val="nil"/>
              <w:bottom w:val="nil"/>
              <w:right w:val="nil"/>
            </w:tcBorders>
            <w:noWrap/>
            <w:vAlign w:val="bottom"/>
            <w:hideMark/>
          </w:tcPr>
          <w:p w14:paraId="405F6BB1" w14:textId="77777777" w:rsidR="00534D9A" w:rsidRDefault="003243B2">
            <w:pPr>
              <w:pStyle w:val="P68B1DB1-Normal91"/>
            </w:pPr>
            <w:r>
              <w:t>Nasdaq OMX Stokkolma</w:t>
            </w:r>
          </w:p>
        </w:tc>
      </w:tr>
      <w:tr w:rsidR="00534D9A" w14:paraId="5888CB72" w14:textId="77777777">
        <w:trPr>
          <w:trHeight w:val="300"/>
        </w:trPr>
        <w:tc>
          <w:tcPr>
            <w:tcW w:w="9072" w:type="dxa"/>
            <w:tcBorders>
              <w:top w:val="nil"/>
              <w:left w:val="nil"/>
              <w:bottom w:val="nil"/>
              <w:right w:val="nil"/>
            </w:tcBorders>
            <w:noWrap/>
            <w:vAlign w:val="bottom"/>
            <w:hideMark/>
          </w:tcPr>
          <w:p w14:paraId="20F7ABDC" w14:textId="77777777" w:rsidR="00534D9A" w:rsidRDefault="003243B2">
            <w:pPr>
              <w:pStyle w:val="P68B1DB1-Normal91"/>
            </w:pPr>
            <w:r>
              <w:t>Clearing Corp. Nazzjonali tat-Titoli (NSCC)</w:t>
            </w:r>
          </w:p>
        </w:tc>
      </w:tr>
      <w:tr w:rsidR="00534D9A" w14:paraId="5E9C8F6D" w14:textId="77777777">
        <w:trPr>
          <w:trHeight w:val="300"/>
        </w:trPr>
        <w:tc>
          <w:tcPr>
            <w:tcW w:w="9072" w:type="dxa"/>
            <w:tcBorders>
              <w:top w:val="nil"/>
              <w:left w:val="nil"/>
              <w:bottom w:val="nil"/>
              <w:right w:val="nil"/>
            </w:tcBorders>
            <w:noWrap/>
            <w:vAlign w:val="bottom"/>
            <w:hideMark/>
          </w:tcPr>
          <w:p w14:paraId="12F1BAEB" w14:textId="77777777" w:rsidR="00534D9A" w:rsidRDefault="003243B2">
            <w:pPr>
              <w:pStyle w:val="P68B1DB1-Normal91"/>
            </w:pPr>
            <w:r>
              <w:t>NBB SSS</w:t>
            </w:r>
          </w:p>
        </w:tc>
      </w:tr>
      <w:tr w:rsidR="00534D9A" w14:paraId="5DFC5D23" w14:textId="77777777">
        <w:trPr>
          <w:trHeight w:val="300"/>
        </w:trPr>
        <w:tc>
          <w:tcPr>
            <w:tcW w:w="9072" w:type="dxa"/>
            <w:tcBorders>
              <w:top w:val="nil"/>
              <w:left w:val="nil"/>
              <w:bottom w:val="nil"/>
              <w:right w:val="nil"/>
            </w:tcBorders>
            <w:noWrap/>
            <w:vAlign w:val="bottom"/>
            <w:hideMark/>
          </w:tcPr>
          <w:p w14:paraId="3737426F" w14:textId="77777777" w:rsidR="00534D9A" w:rsidRDefault="003243B2">
            <w:pPr>
              <w:pStyle w:val="P68B1DB1-Normal91"/>
            </w:pPr>
            <w:r>
              <w:t>Reġistru tal-kambjali u l-kambjali tat-teżor tal-NBP</w:t>
            </w:r>
          </w:p>
        </w:tc>
      </w:tr>
      <w:tr w:rsidR="00534D9A" w14:paraId="1FC22E5F" w14:textId="77777777">
        <w:trPr>
          <w:trHeight w:val="300"/>
        </w:trPr>
        <w:tc>
          <w:tcPr>
            <w:tcW w:w="9072" w:type="dxa"/>
            <w:tcBorders>
              <w:top w:val="nil"/>
              <w:left w:val="nil"/>
              <w:bottom w:val="nil"/>
              <w:right w:val="nil"/>
            </w:tcBorders>
            <w:noWrap/>
            <w:vAlign w:val="bottom"/>
            <w:hideMark/>
          </w:tcPr>
          <w:p w14:paraId="358DE620" w14:textId="77777777" w:rsidR="00534D9A" w:rsidRDefault="003243B2">
            <w:pPr>
              <w:pStyle w:val="P68B1DB1-Normal91"/>
            </w:pPr>
            <w:r>
              <w:t>NEX Repożitorju tat-Tranżazzjonijiet Abide AB</w:t>
            </w:r>
          </w:p>
        </w:tc>
      </w:tr>
      <w:tr w:rsidR="00534D9A" w14:paraId="1362AFBF" w14:textId="77777777">
        <w:trPr>
          <w:trHeight w:val="300"/>
        </w:trPr>
        <w:tc>
          <w:tcPr>
            <w:tcW w:w="9072" w:type="dxa"/>
            <w:tcBorders>
              <w:top w:val="nil"/>
              <w:left w:val="nil"/>
              <w:bottom w:val="nil"/>
              <w:right w:val="nil"/>
            </w:tcBorders>
            <w:noWrap/>
            <w:vAlign w:val="bottom"/>
            <w:hideMark/>
          </w:tcPr>
          <w:p w14:paraId="7779B6B2" w14:textId="77777777" w:rsidR="00534D9A" w:rsidRDefault="003243B2">
            <w:pPr>
              <w:pStyle w:val="P68B1DB1-Normal91"/>
            </w:pPr>
            <w:r>
              <w:t>NICs (Sistema Norveġiża għall-Ikklerjar Inter Bank)</w:t>
            </w:r>
          </w:p>
        </w:tc>
      </w:tr>
      <w:tr w:rsidR="00534D9A" w14:paraId="403EDEA1" w14:textId="77777777">
        <w:trPr>
          <w:trHeight w:val="300"/>
        </w:trPr>
        <w:tc>
          <w:tcPr>
            <w:tcW w:w="9072" w:type="dxa"/>
            <w:tcBorders>
              <w:top w:val="nil"/>
              <w:left w:val="nil"/>
              <w:bottom w:val="nil"/>
              <w:right w:val="nil"/>
            </w:tcBorders>
            <w:noWrap/>
            <w:vAlign w:val="bottom"/>
            <w:hideMark/>
          </w:tcPr>
          <w:p w14:paraId="4BFCE736" w14:textId="77777777" w:rsidR="00534D9A" w:rsidRDefault="003243B2">
            <w:pPr>
              <w:pStyle w:val="P68B1DB1-Normal91"/>
            </w:pPr>
            <w:r>
              <w:lastRenderedPageBreak/>
              <w:t>NKS (Sistema Nazzjonali tal-Ikklerjar)/EuroNKS</w:t>
            </w:r>
          </w:p>
        </w:tc>
      </w:tr>
      <w:tr w:rsidR="00534D9A" w14:paraId="72370490" w14:textId="77777777">
        <w:trPr>
          <w:trHeight w:val="300"/>
        </w:trPr>
        <w:tc>
          <w:tcPr>
            <w:tcW w:w="9072" w:type="dxa"/>
            <w:tcBorders>
              <w:top w:val="nil"/>
              <w:left w:val="nil"/>
              <w:bottom w:val="nil"/>
              <w:right w:val="nil"/>
            </w:tcBorders>
            <w:noWrap/>
            <w:vAlign w:val="bottom"/>
            <w:hideMark/>
          </w:tcPr>
          <w:p w14:paraId="46EFA26D" w14:textId="77777777" w:rsidR="00534D9A" w:rsidRDefault="003243B2">
            <w:pPr>
              <w:pStyle w:val="P68B1DB1-Normal91"/>
            </w:pPr>
            <w:r>
              <w:t>NYSE Euronext Pariġi</w:t>
            </w:r>
          </w:p>
        </w:tc>
      </w:tr>
      <w:tr w:rsidR="00534D9A" w14:paraId="5FB1C2FE" w14:textId="77777777">
        <w:trPr>
          <w:trHeight w:val="300"/>
        </w:trPr>
        <w:tc>
          <w:tcPr>
            <w:tcW w:w="9072" w:type="dxa"/>
            <w:tcBorders>
              <w:top w:val="nil"/>
              <w:left w:val="nil"/>
              <w:bottom w:val="nil"/>
              <w:right w:val="nil"/>
            </w:tcBorders>
            <w:noWrap/>
            <w:vAlign w:val="bottom"/>
            <w:hideMark/>
          </w:tcPr>
          <w:p w14:paraId="43B707C4" w14:textId="77777777" w:rsidR="00534D9A" w:rsidRDefault="003243B2">
            <w:pPr>
              <w:pStyle w:val="P68B1DB1-Normal91"/>
            </w:pPr>
            <w:r>
              <w:t>OeKB CSD GmbH (Sistema WSB)</w:t>
            </w:r>
          </w:p>
        </w:tc>
      </w:tr>
      <w:tr w:rsidR="00534D9A" w14:paraId="297ECE0B" w14:textId="77777777">
        <w:trPr>
          <w:trHeight w:val="300"/>
        </w:trPr>
        <w:tc>
          <w:tcPr>
            <w:tcW w:w="9072" w:type="dxa"/>
            <w:tcBorders>
              <w:top w:val="nil"/>
              <w:left w:val="nil"/>
              <w:bottom w:val="nil"/>
              <w:right w:val="nil"/>
            </w:tcBorders>
            <w:noWrap/>
            <w:vAlign w:val="bottom"/>
            <w:hideMark/>
          </w:tcPr>
          <w:p w14:paraId="41926D7B" w14:textId="77777777" w:rsidR="00534D9A" w:rsidRDefault="003243B2">
            <w:pPr>
              <w:pStyle w:val="P68B1DB1-Normal91"/>
            </w:pPr>
            <w:r>
              <w:t>OMI Clear</w:t>
            </w:r>
          </w:p>
        </w:tc>
      </w:tr>
      <w:tr w:rsidR="00534D9A" w14:paraId="786A0182" w14:textId="77777777">
        <w:trPr>
          <w:trHeight w:val="300"/>
        </w:trPr>
        <w:tc>
          <w:tcPr>
            <w:tcW w:w="9072" w:type="dxa"/>
            <w:tcBorders>
              <w:top w:val="nil"/>
              <w:left w:val="nil"/>
              <w:bottom w:val="nil"/>
              <w:right w:val="nil"/>
            </w:tcBorders>
            <w:noWrap/>
            <w:vAlign w:val="bottom"/>
            <w:hideMark/>
          </w:tcPr>
          <w:p w14:paraId="00B344FB" w14:textId="77777777" w:rsidR="00534D9A" w:rsidRDefault="003243B2">
            <w:pPr>
              <w:pStyle w:val="P68B1DB1-Normal91"/>
            </w:pPr>
            <w:r>
              <w:t>POPS</w:t>
            </w:r>
          </w:p>
        </w:tc>
      </w:tr>
      <w:tr w:rsidR="00534D9A" w14:paraId="560CA6B2" w14:textId="77777777">
        <w:trPr>
          <w:trHeight w:val="300"/>
        </w:trPr>
        <w:tc>
          <w:tcPr>
            <w:tcW w:w="9072" w:type="dxa"/>
            <w:tcBorders>
              <w:top w:val="nil"/>
              <w:left w:val="nil"/>
              <w:bottom w:val="nil"/>
              <w:right w:val="nil"/>
            </w:tcBorders>
            <w:noWrap/>
            <w:vAlign w:val="bottom"/>
            <w:hideMark/>
          </w:tcPr>
          <w:p w14:paraId="15C8DE81" w14:textId="77777777" w:rsidR="00534D9A" w:rsidRDefault="003243B2">
            <w:pPr>
              <w:pStyle w:val="P68B1DB1-Normal91"/>
            </w:pPr>
            <w:r>
              <w:t>REGIS</w:t>
            </w:r>
          </w:p>
        </w:tc>
      </w:tr>
      <w:tr w:rsidR="00534D9A" w14:paraId="185A7956" w14:textId="77777777">
        <w:trPr>
          <w:trHeight w:val="300"/>
        </w:trPr>
        <w:tc>
          <w:tcPr>
            <w:tcW w:w="9072" w:type="dxa"/>
            <w:tcBorders>
              <w:top w:val="nil"/>
              <w:left w:val="nil"/>
              <w:bottom w:val="nil"/>
              <w:right w:val="nil"/>
            </w:tcBorders>
            <w:noWrap/>
            <w:vAlign w:val="bottom"/>
            <w:hideMark/>
          </w:tcPr>
          <w:p w14:paraId="3E63DE78" w14:textId="77777777" w:rsidR="00534D9A" w:rsidRDefault="003243B2">
            <w:pPr>
              <w:pStyle w:val="P68B1DB1-Normal91"/>
            </w:pPr>
            <w:r>
              <w:t>Regis-TR</w:t>
            </w:r>
          </w:p>
        </w:tc>
      </w:tr>
      <w:tr w:rsidR="00534D9A" w14:paraId="751DD516" w14:textId="77777777">
        <w:trPr>
          <w:trHeight w:val="300"/>
        </w:trPr>
        <w:tc>
          <w:tcPr>
            <w:tcW w:w="9072" w:type="dxa"/>
            <w:tcBorders>
              <w:top w:val="nil"/>
              <w:left w:val="nil"/>
              <w:bottom w:val="nil"/>
              <w:right w:val="nil"/>
            </w:tcBorders>
            <w:noWrap/>
            <w:vAlign w:val="bottom"/>
            <w:hideMark/>
          </w:tcPr>
          <w:p w14:paraId="61EDA69E" w14:textId="77777777" w:rsidR="00534D9A" w:rsidRDefault="003243B2">
            <w:pPr>
              <w:pStyle w:val="P68B1DB1-Normal91"/>
            </w:pPr>
            <w:r>
              <w:t>Ċrieki (Sistema ta’ saldu gross interbankarju f’ħin reali)</w:t>
            </w:r>
          </w:p>
        </w:tc>
      </w:tr>
      <w:tr w:rsidR="00534D9A" w14:paraId="3DA52EFD" w14:textId="77777777">
        <w:trPr>
          <w:trHeight w:val="300"/>
        </w:trPr>
        <w:tc>
          <w:tcPr>
            <w:tcW w:w="9072" w:type="dxa"/>
            <w:tcBorders>
              <w:top w:val="nil"/>
              <w:left w:val="nil"/>
              <w:bottom w:val="nil"/>
              <w:right w:val="nil"/>
            </w:tcBorders>
            <w:noWrap/>
            <w:vAlign w:val="bottom"/>
            <w:hideMark/>
          </w:tcPr>
          <w:p w14:paraId="14849718" w14:textId="77777777" w:rsidR="00534D9A" w:rsidRDefault="003243B2">
            <w:pPr>
              <w:pStyle w:val="P68B1DB1-Normal91"/>
            </w:pPr>
            <w:r>
              <w:t>RIX</w:t>
            </w:r>
          </w:p>
        </w:tc>
      </w:tr>
      <w:tr w:rsidR="00534D9A" w14:paraId="2F5941C3" w14:textId="77777777">
        <w:trPr>
          <w:trHeight w:val="300"/>
        </w:trPr>
        <w:tc>
          <w:tcPr>
            <w:tcW w:w="9072" w:type="dxa"/>
            <w:tcBorders>
              <w:top w:val="nil"/>
              <w:left w:val="nil"/>
              <w:bottom w:val="nil"/>
              <w:right w:val="nil"/>
            </w:tcBorders>
            <w:noWrap/>
            <w:vAlign w:val="bottom"/>
            <w:hideMark/>
          </w:tcPr>
          <w:p w14:paraId="05086D64" w14:textId="77777777" w:rsidR="00534D9A" w:rsidRDefault="003243B2">
            <w:pPr>
              <w:pStyle w:val="P68B1DB1-Normal91"/>
            </w:pPr>
            <w:r>
              <w:t>RM-SYSTEM Il-Borża Ċeka</w:t>
            </w:r>
          </w:p>
        </w:tc>
      </w:tr>
      <w:tr w:rsidR="00534D9A" w14:paraId="4785EAE5" w14:textId="77777777">
        <w:trPr>
          <w:trHeight w:val="300"/>
        </w:trPr>
        <w:tc>
          <w:tcPr>
            <w:tcW w:w="9072" w:type="dxa"/>
            <w:tcBorders>
              <w:top w:val="nil"/>
              <w:left w:val="nil"/>
              <w:bottom w:val="nil"/>
              <w:right w:val="nil"/>
            </w:tcBorders>
            <w:noWrap/>
            <w:vAlign w:val="bottom"/>
            <w:hideMark/>
          </w:tcPr>
          <w:p w14:paraId="0E3CA4AB" w14:textId="77777777" w:rsidR="00534D9A" w:rsidRDefault="003243B2">
            <w:pPr>
              <w:pStyle w:val="P68B1DB1-Normal91"/>
            </w:pPr>
            <w:r>
              <w:t>RoClear</w:t>
            </w:r>
          </w:p>
        </w:tc>
      </w:tr>
      <w:tr w:rsidR="00534D9A" w14:paraId="16348C32" w14:textId="77777777">
        <w:trPr>
          <w:trHeight w:val="300"/>
        </w:trPr>
        <w:tc>
          <w:tcPr>
            <w:tcW w:w="9072" w:type="dxa"/>
            <w:tcBorders>
              <w:top w:val="nil"/>
              <w:left w:val="nil"/>
              <w:bottom w:val="nil"/>
              <w:right w:val="nil"/>
            </w:tcBorders>
            <w:noWrap/>
            <w:vAlign w:val="bottom"/>
            <w:hideMark/>
          </w:tcPr>
          <w:p w14:paraId="7791248F" w14:textId="77777777" w:rsidR="00534D9A" w:rsidRDefault="003243B2">
            <w:pPr>
              <w:pStyle w:val="P68B1DB1-Normal91"/>
            </w:pPr>
            <w:r>
              <w:t>RPS</w:t>
            </w:r>
          </w:p>
        </w:tc>
      </w:tr>
      <w:tr w:rsidR="00534D9A" w14:paraId="201CD5B7" w14:textId="77777777">
        <w:trPr>
          <w:trHeight w:val="300"/>
        </w:trPr>
        <w:tc>
          <w:tcPr>
            <w:tcW w:w="9072" w:type="dxa"/>
            <w:tcBorders>
              <w:top w:val="nil"/>
              <w:left w:val="nil"/>
              <w:bottom w:val="nil"/>
              <w:right w:val="nil"/>
            </w:tcBorders>
            <w:noWrap/>
            <w:vAlign w:val="bottom"/>
            <w:hideMark/>
          </w:tcPr>
          <w:p w14:paraId="78F31295" w14:textId="77777777" w:rsidR="00534D9A" w:rsidRDefault="003243B2">
            <w:pPr>
              <w:pStyle w:val="P68B1DB1-Normal91"/>
            </w:pPr>
            <w:r>
              <w:t>RT1</w:t>
            </w:r>
          </w:p>
        </w:tc>
      </w:tr>
      <w:tr w:rsidR="00534D9A" w14:paraId="5D6D4D2F" w14:textId="77777777">
        <w:trPr>
          <w:trHeight w:val="300"/>
        </w:trPr>
        <w:tc>
          <w:tcPr>
            <w:tcW w:w="9072" w:type="dxa"/>
            <w:tcBorders>
              <w:top w:val="nil"/>
              <w:left w:val="nil"/>
              <w:bottom w:val="nil"/>
              <w:right w:val="nil"/>
            </w:tcBorders>
            <w:noWrap/>
            <w:vAlign w:val="bottom"/>
            <w:hideMark/>
          </w:tcPr>
          <w:p w14:paraId="0D3FA36D" w14:textId="77777777" w:rsidR="00534D9A" w:rsidRDefault="003243B2">
            <w:pPr>
              <w:pStyle w:val="P68B1DB1-Normal91"/>
            </w:pPr>
            <w:r>
              <w:t>SAFIR</w:t>
            </w:r>
          </w:p>
        </w:tc>
      </w:tr>
      <w:tr w:rsidR="00534D9A" w14:paraId="683945A8" w14:textId="77777777">
        <w:trPr>
          <w:trHeight w:val="300"/>
        </w:trPr>
        <w:tc>
          <w:tcPr>
            <w:tcW w:w="9072" w:type="dxa"/>
            <w:tcBorders>
              <w:top w:val="nil"/>
              <w:left w:val="nil"/>
              <w:bottom w:val="nil"/>
              <w:right w:val="nil"/>
            </w:tcBorders>
            <w:noWrap/>
            <w:vAlign w:val="bottom"/>
            <w:hideMark/>
          </w:tcPr>
          <w:p w14:paraId="4536F3F1" w14:textId="77777777" w:rsidR="00534D9A" w:rsidRDefault="003243B2">
            <w:pPr>
              <w:pStyle w:val="P68B1DB1-Normal91"/>
            </w:pPr>
            <w:r>
              <w:t>MIBGĦUTA</w:t>
            </w:r>
          </w:p>
        </w:tc>
      </w:tr>
      <w:tr w:rsidR="00534D9A" w14:paraId="37207CC9" w14:textId="77777777">
        <w:trPr>
          <w:trHeight w:val="300"/>
        </w:trPr>
        <w:tc>
          <w:tcPr>
            <w:tcW w:w="9072" w:type="dxa"/>
            <w:tcBorders>
              <w:top w:val="nil"/>
              <w:left w:val="nil"/>
              <w:bottom w:val="nil"/>
              <w:right w:val="nil"/>
            </w:tcBorders>
            <w:noWrap/>
            <w:vAlign w:val="bottom"/>
            <w:hideMark/>
          </w:tcPr>
          <w:p w14:paraId="78322774" w14:textId="77777777" w:rsidR="00534D9A" w:rsidRDefault="003243B2">
            <w:pPr>
              <w:pStyle w:val="P68B1DB1-Normal91"/>
            </w:pPr>
            <w:r>
              <w:t>SICOI</w:t>
            </w:r>
          </w:p>
        </w:tc>
      </w:tr>
      <w:tr w:rsidR="00534D9A" w14:paraId="20A1D4E0" w14:textId="77777777">
        <w:trPr>
          <w:trHeight w:val="300"/>
        </w:trPr>
        <w:tc>
          <w:tcPr>
            <w:tcW w:w="9072" w:type="dxa"/>
            <w:tcBorders>
              <w:top w:val="nil"/>
              <w:left w:val="nil"/>
              <w:bottom w:val="nil"/>
              <w:right w:val="nil"/>
            </w:tcBorders>
            <w:noWrap/>
            <w:vAlign w:val="bottom"/>
            <w:hideMark/>
          </w:tcPr>
          <w:p w14:paraId="745FF75E" w14:textId="77777777" w:rsidR="00534D9A" w:rsidRDefault="003243B2">
            <w:pPr>
              <w:pStyle w:val="P68B1DB1-Normal91"/>
            </w:pPr>
            <w:r>
              <w:t>SIMP — PS</w:t>
            </w:r>
          </w:p>
        </w:tc>
      </w:tr>
      <w:tr w:rsidR="00534D9A" w14:paraId="1F8A8F25" w14:textId="77777777">
        <w:trPr>
          <w:trHeight w:val="300"/>
        </w:trPr>
        <w:tc>
          <w:tcPr>
            <w:tcW w:w="9072" w:type="dxa"/>
            <w:tcBorders>
              <w:top w:val="nil"/>
              <w:left w:val="nil"/>
              <w:bottom w:val="nil"/>
              <w:right w:val="nil"/>
            </w:tcBorders>
            <w:noWrap/>
            <w:vAlign w:val="bottom"/>
            <w:hideMark/>
          </w:tcPr>
          <w:p w14:paraId="7B70556F" w14:textId="77777777" w:rsidR="00534D9A" w:rsidRDefault="003243B2">
            <w:pPr>
              <w:pStyle w:val="P68B1DB1-Normal91"/>
            </w:pPr>
            <w:r>
              <w:t>SIP SPlatobný systém</w:t>
            </w:r>
          </w:p>
        </w:tc>
      </w:tr>
      <w:tr w:rsidR="00534D9A" w14:paraId="661159A9" w14:textId="77777777">
        <w:trPr>
          <w:trHeight w:val="300"/>
        </w:trPr>
        <w:tc>
          <w:tcPr>
            <w:tcW w:w="9072" w:type="dxa"/>
            <w:tcBorders>
              <w:top w:val="nil"/>
              <w:left w:val="nil"/>
              <w:bottom w:val="nil"/>
              <w:right w:val="nil"/>
            </w:tcBorders>
            <w:noWrap/>
            <w:vAlign w:val="bottom"/>
            <w:hideMark/>
          </w:tcPr>
          <w:p w14:paraId="21A22FD2" w14:textId="77777777" w:rsidR="00534D9A" w:rsidRDefault="003243B2">
            <w:pPr>
              <w:pStyle w:val="P68B1DB1-Normal91"/>
            </w:pPr>
            <w:r>
              <w:t>PIA</w:t>
            </w:r>
          </w:p>
        </w:tc>
      </w:tr>
      <w:tr w:rsidR="00534D9A" w14:paraId="01B00784" w14:textId="77777777">
        <w:trPr>
          <w:trHeight w:val="300"/>
        </w:trPr>
        <w:tc>
          <w:tcPr>
            <w:tcW w:w="9072" w:type="dxa"/>
            <w:tcBorders>
              <w:top w:val="nil"/>
              <w:left w:val="nil"/>
              <w:bottom w:val="nil"/>
              <w:right w:val="nil"/>
            </w:tcBorders>
            <w:noWrap/>
            <w:vAlign w:val="bottom"/>
            <w:hideMark/>
          </w:tcPr>
          <w:p w14:paraId="42A9A872" w14:textId="77777777" w:rsidR="00534D9A" w:rsidRDefault="003243B2">
            <w:pPr>
              <w:pStyle w:val="P68B1DB1-Normal91"/>
            </w:pPr>
            <w:r>
              <w:t>Sitt InterbankClearing (SIC)/EuroSIC</w:t>
            </w:r>
          </w:p>
        </w:tc>
      </w:tr>
      <w:tr w:rsidR="00534D9A" w14:paraId="4AB76E2F" w14:textId="77777777">
        <w:trPr>
          <w:trHeight w:val="300"/>
        </w:trPr>
        <w:tc>
          <w:tcPr>
            <w:tcW w:w="9072" w:type="dxa"/>
            <w:tcBorders>
              <w:top w:val="nil"/>
              <w:left w:val="nil"/>
              <w:bottom w:val="nil"/>
              <w:right w:val="nil"/>
            </w:tcBorders>
            <w:noWrap/>
            <w:vAlign w:val="bottom"/>
            <w:hideMark/>
          </w:tcPr>
          <w:p w14:paraId="591D0E38" w14:textId="77777777" w:rsidR="00534D9A" w:rsidRDefault="003243B2">
            <w:pPr>
              <w:pStyle w:val="P68B1DB1-Normal91"/>
            </w:pPr>
            <w:r>
              <w:t>Sitt Skambju Żvizzeru</w:t>
            </w:r>
          </w:p>
        </w:tc>
      </w:tr>
      <w:tr w:rsidR="00534D9A" w14:paraId="0FE15923" w14:textId="77777777">
        <w:trPr>
          <w:trHeight w:val="300"/>
        </w:trPr>
        <w:tc>
          <w:tcPr>
            <w:tcW w:w="9072" w:type="dxa"/>
            <w:tcBorders>
              <w:top w:val="nil"/>
              <w:left w:val="nil"/>
              <w:bottom w:val="nil"/>
              <w:right w:val="nil"/>
            </w:tcBorders>
            <w:noWrap/>
            <w:vAlign w:val="bottom"/>
            <w:hideMark/>
          </w:tcPr>
          <w:p w14:paraId="7A0AEADF" w14:textId="77777777" w:rsidR="00534D9A" w:rsidRDefault="003243B2">
            <w:pPr>
              <w:pStyle w:val="P68B1DB1-Normal91"/>
            </w:pPr>
            <w:r>
              <w:t>Sitt x ċar</w:t>
            </w:r>
          </w:p>
        </w:tc>
      </w:tr>
      <w:tr w:rsidR="00534D9A" w14:paraId="58C9ED3B" w14:textId="77777777">
        <w:trPr>
          <w:trHeight w:val="300"/>
        </w:trPr>
        <w:tc>
          <w:tcPr>
            <w:tcW w:w="9072" w:type="dxa"/>
            <w:tcBorders>
              <w:top w:val="nil"/>
              <w:left w:val="nil"/>
              <w:bottom w:val="nil"/>
              <w:right w:val="nil"/>
            </w:tcBorders>
            <w:noWrap/>
            <w:vAlign w:val="bottom"/>
            <w:hideMark/>
          </w:tcPr>
          <w:p w14:paraId="53254B63" w14:textId="77777777" w:rsidR="00534D9A" w:rsidRDefault="003243B2">
            <w:pPr>
              <w:pStyle w:val="P68B1DB1-Normal91"/>
            </w:pPr>
            <w:r>
              <w:t>SKD (Sistema ta’ Bonds fuq Terminu Qasir)</w:t>
            </w:r>
          </w:p>
        </w:tc>
      </w:tr>
      <w:tr w:rsidR="00534D9A" w14:paraId="479A72E9" w14:textId="77777777">
        <w:trPr>
          <w:trHeight w:val="300"/>
        </w:trPr>
        <w:tc>
          <w:tcPr>
            <w:tcW w:w="9072" w:type="dxa"/>
            <w:tcBorders>
              <w:top w:val="nil"/>
              <w:left w:val="nil"/>
              <w:bottom w:val="nil"/>
              <w:right w:val="nil"/>
            </w:tcBorders>
            <w:noWrap/>
            <w:vAlign w:val="bottom"/>
            <w:hideMark/>
          </w:tcPr>
          <w:p w14:paraId="559EC939" w14:textId="77777777" w:rsidR="00534D9A" w:rsidRDefault="003243B2">
            <w:pPr>
              <w:pStyle w:val="P68B1DB1-Normal91"/>
            </w:pPr>
            <w:r>
              <w:t>SNCE (Sistema Nacional de Compensación Electrónica)</w:t>
            </w:r>
          </w:p>
        </w:tc>
      </w:tr>
      <w:tr w:rsidR="00534D9A" w14:paraId="61D37C20" w14:textId="77777777">
        <w:trPr>
          <w:trHeight w:val="300"/>
        </w:trPr>
        <w:tc>
          <w:tcPr>
            <w:tcW w:w="9072" w:type="dxa"/>
            <w:tcBorders>
              <w:top w:val="nil"/>
              <w:left w:val="nil"/>
              <w:bottom w:val="nil"/>
              <w:right w:val="nil"/>
            </w:tcBorders>
            <w:noWrap/>
            <w:vAlign w:val="bottom"/>
            <w:hideMark/>
          </w:tcPr>
          <w:p w14:paraId="0B37415E" w14:textId="77777777" w:rsidR="00534D9A" w:rsidRDefault="003243B2">
            <w:pPr>
              <w:pStyle w:val="P68B1DB1-Normal91"/>
            </w:pPr>
            <w:r>
              <w:t>Is-Société de la Bourse du Luxembourg SA</w:t>
            </w:r>
          </w:p>
        </w:tc>
      </w:tr>
      <w:tr w:rsidR="00534D9A" w14:paraId="09E4F71F" w14:textId="77777777">
        <w:trPr>
          <w:trHeight w:val="300"/>
        </w:trPr>
        <w:tc>
          <w:tcPr>
            <w:tcW w:w="9072" w:type="dxa"/>
            <w:tcBorders>
              <w:top w:val="nil"/>
              <w:left w:val="nil"/>
              <w:bottom w:val="nil"/>
              <w:right w:val="nil"/>
            </w:tcBorders>
            <w:noWrap/>
            <w:vAlign w:val="bottom"/>
            <w:hideMark/>
          </w:tcPr>
          <w:p w14:paraId="094DD4AF" w14:textId="77777777" w:rsidR="00534D9A" w:rsidRDefault="003243B2">
            <w:pPr>
              <w:pStyle w:val="P68B1DB1-Normal91"/>
            </w:pPr>
            <w:r>
              <w:t>SORBNET2</w:t>
            </w:r>
          </w:p>
        </w:tc>
      </w:tr>
      <w:tr w:rsidR="00534D9A" w14:paraId="1E86EA3A" w14:textId="77777777">
        <w:trPr>
          <w:trHeight w:val="300"/>
        </w:trPr>
        <w:tc>
          <w:tcPr>
            <w:tcW w:w="9072" w:type="dxa"/>
            <w:tcBorders>
              <w:top w:val="nil"/>
              <w:left w:val="nil"/>
              <w:bottom w:val="nil"/>
              <w:right w:val="nil"/>
            </w:tcBorders>
            <w:noWrap/>
            <w:vAlign w:val="bottom"/>
            <w:hideMark/>
          </w:tcPr>
          <w:p w14:paraId="2FE926EC" w14:textId="77777777" w:rsidR="00534D9A" w:rsidRDefault="003243B2">
            <w:pPr>
              <w:pStyle w:val="P68B1DB1-Normal91"/>
            </w:pPr>
            <w:r>
              <w:t>PASS 1</w:t>
            </w:r>
          </w:p>
        </w:tc>
      </w:tr>
      <w:tr w:rsidR="00534D9A" w14:paraId="4A3D7A33" w14:textId="77777777">
        <w:trPr>
          <w:trHeight w:val="300"/>
        </w:trPr>
        <w:tc>
          <w:tcPr>
            <w:tcW w:w="9072" w:type="dxa"/>
            <w:tcBorders>
              <w:top w:val="nil"/>
              <w:left w:val="nil"/>
              <w:bottom w:val="nil"/>
              <w:right w:val="nil"/>
            </w:tcBorders>
            <w:noWrap/>
            <w:vAlign w:val="bottom"/>
            <w:hideMark/>
          </w:tcPr>
          <w:p w14:paraId="38D47947" w14:textId="77777777" w:rsidR="00534D9A" w:rsidRDefault="003243B2">
            <w:pPr>
              <w:pStyle w:val="P68B1DB1-Normal91"/>
            </w:pPr>
            <w:r>
              <w:t>PASS 2</w:t>
            </w:r>
          </w:p>
        </w:tc>
      </w:tr>
      <w:tr w:rsidR="00534D9A" w14:paraId="305AEF07" w14:textId="77777777">
        <w:trPr>
          <w:trHeight w:val="300"/>
        </w:trPr>
        <w:tc>
          <w:tcPr>
            <w:tcW w:w="9072" w:type="dxa"/>
            <w:tcBorders>
              <w:top w:val="nil"/>
              <w:left w:val="nil"/>
              <w:bottom w:val="nil"/>
              <w:right w:val="nil"/>
            </w:tcBorders>
            <w:noWrap/>
            <w:vAlign w:val="bottom"/>
            <w:hideMark/>
          </w:tcPr>
          <w:p w14:paraId="3385D576" w14:textId="77777777" w:rsidR="00534D9A" w:rsidRDefault="003243B2">
            <w:pPr>
              <w:pStyle w:val="P68B1DB1-Normal91"/>
            </w:pPr>
            <w:r>
              <w:t>STET/QALBA</w:t>
            </w:r>
          </w:p>
        </w:tc>
      </w:tr>
      <w:tr w:rsidR="00534D9A" w14:paraId="68530B39" w14:textId="77777777">
        <w:trPr>
          <w:trHeight w:val="300"/>
        </w:trPr>
        <w:tc>
          <w:tcPr>
            <w:tcW w:w="9072" w:type="dxa"/>
            <w:tcBorders>
              <w:top w:val="nil"/>
              <w:left w:val="nil"/>
              <w:bottom w:val="nil"/>
              <w:right w:val="nil"/>
            </w:tcBorders>
            <w:noWrap/>
            <w:vAlign w:val="bottom"/>
            <w:hideMark/>
          </w:tcPr>
          <w:p w14:paraId="2B90AD3F" w14:textId="77777777" w:rsidR="00534D9A" w:rsidRDefault="003243B2">
            <w:pPr>
              <w:pStyle w:val="P68B1DB1-Normal91"/>
            </w:pPr>
            <w:r>
              <w:t>Straksclearingen</w:t>
            </w:r>
          </w:p>
        </w:tc>
      </w:tr>
      <w:tr w:rsidR="00534D9A" w14:paraId="0E50A9AB" w14:textId="77777777">
        <w:trPr>
          <w:trHeight w:val="300"/>
        </w:trPr>
        <w:tc>
          <w:tcPr>
            <w:tcW w:w="9072" w:type="dxa"/>
            <w:tcBorders>
              <w:top w:val="nil"/>
              <w:left w:val="nil"/>
              <w:bottom w:val="nil"/>
              <w:right w:val="nil"/>
            </w:tcBorders>
            <w:noWrap/>
            <w:vAlign w:val="bottom"/>
            <w:hideMark/>
          </w:tcPr>
          <w:p w14:paraId="54E27288" w14:textId="77777777" w:rsidR="00534D9A" w:rsidRDefault="003243B2">
            <w:pPr>
              <w:pStyle w:val="P68B1DB1-Normal91"/>
            </w:pPr>
            <w:r>
              <w:t>Sumclearingen</w:t>
            </w:r>
          </w:p>
        </w:tc>
      </w:tr>
      <w:tr w:rsidR="00534D9A" w14:paraId="0C6135E4" w14:textId="77777777">
        <w:trPr>
          <w:trHeight w:val="300"/>
        </w:trPr>
        <w:tc>
          <w:tcPr>
            <w:tcW w:w="9072" w:type="dxa"/>
            <w:tcBorders>
              <w:top w:val="nil"/>
              <w:left w:val="nil"/>
              <w:bottom w:val="nil"/>
              <w:right w:val="nil"/>
            </w:tcBorders>
            <w:noWrap/>
            <w:vAlign w:val="bottom"/>
            <w:hideMark/>
          </w:tcPr>
          <w:p w14:paraId="4789CBEE" w14:textId="77777777" w:rsidR="00534D9A" w:rsidRDefault="003243B2">
            <w:pPr>
              <w:pStyle w:val="P68B1DB1-Normal91"/>
            </w:pPr>
            <w:r>
              <w:t>T2S (SSS — għall-konnettività diretta biss)</w:t>
            </w:r>
          </w:p>
        </w:tc>
      </w:tr>
      <w:tr w:rsidR="00534D9A" w14:paraId="791932E6" w14:textId="77777777">
        <w:trPr>
          <w:trHeight w:val="300"/>
        </w:trPr>
        <w:tc>
          <w:tcPr>
            <w:tcW w:w="9072" w:type="dxa"/>
            <w:tcBorders>
              <w:top w:val="nil"/>
              <w:left w:val="nil"/>
              <w:bottom w:val="nil"/>
              <w:right w:val="nil"/>
            </w:tcBorders>
            <w:noWrap/>
            <w:vAlign w:val="bottom"/>
            <w:hideMark/>
          </w:tcPr>
          <w:p w14:paraId="085D29CC" w14:textId="77777777" w:rsidR="00534D9A" w:rsidRDefault="003243B2">
            <w:pPr>
              <w:pStyle w:val="P68B1DB1-Normal91"/>
            </w:pPr>
            <w:r>
              <w:t>TARGET2</w:t>
            </w:r>
          </w:p>
        </w:tc>
      </w:tr>
      <w:tr w:rsidR="00534D9A" w14:paraId="0379A497" w14:textId="77777777">
        <w:trPr>
          <w:trHeight w:val="300"/>
        </w:trPr>
        <w:tc>
          <w:tcPr>
            <w:tcW w:w="9072" w:type="dxa"/>
            <w:tcBorders>
              <w:top w:val="nil"/>
              <w:left w:val="nil"/>
              <w:bottom w:val="nil"/>
              <w:right w:val="nil"/>
            </w:tcBorders>
            <w:noWrap/>
            <w:vAlign w:val="bottom"/>
            <w:hideMark/>
          </w:tcPr>
          <w:p w14:paraId="56C29FCF" w14:textId="77777777" w:rsidR="00534D9A" w:rsidRDefault="003243B2">
            <w:pPr>
              <w:pStyle w:val="P68B1DB1-Normal91"/>
            </w:pPr>
            <w:r>
              <w:t>PARIRI</w:t>
            </w:r>
          </w:p>
        </w:tc>
      </w:tr>
      <w:tr w:rsidR="00534D9A" w14:paraId="19C63903" w14:textId="77777777">
        <w:trPr>
          <w:trHeight w:val="300"/>
        </w:trPr>
        <w:tc>
          <w:tcPr>
            <w:tcW w:w="9072" w:type="dxa"/>
            <w:tcBorders>
              <w:top w:val="nil"/>
              <w:left w:val="nil"/>
              <w:bottom w:val="nil"/>
              <w:right w:val="nil"/>
            </w:tcBorders>
            <w:noWrap/>
            <w:vAlign w:val="bottom"/>
            <w:hideMark/>
          </w:tcPr>
          <w:p w14:paraId="6CABE6E8" w14:textId="77777777" w:rsidR="00534D9A" w:rsidRDefault="003243B2">
            <w:pPr>
              <w:pStyle w:val="P68B1DB1-Normal91"/>
            </w:pPr>
            <w:r>
              <w:t>UnaVista Limited</w:t>
            </w:r>
          </w:p>
        </w:tc>
      </w:tr>
      <w:tr w:rsidR="00534D9A" w14:paraId="7E731946" w14:textId="77777777">
        <w:trPr>
          <w:trHeight w:val="300"/>
        </w:trPr>
        <w:tc>
          <w:tcPr>
            <w:tcW w:w="9072" w:type="dxa"/>
            <w:tcBorders>
              <w:top w:val="nil"/>
              <w:left w:val="nil"/>
              <w:bottom w:val="nil"/>
              <w:right w:val="nil"/>
            </w:tcBorders>
            <w:noWrap/>
            <w:vAlign w:val="bottom"/>
            <w:hideMark/>
          </w:tcPr>
          <w:p w14:paraId="6485DCC3" w14:textId="77777777" w:rsidR="00534D9A" w:rsidRDefault="003243B2">
            <w:pPr>
              <w:pStyle w:val="P68B1DB1-Normal91"/>
            </w:pPr>
            <w:r>
              <w:t>Verdipapirsentralen (VPS)</w:t>
            </w:r>
          </w:p>
        </w:tc>
      </w:tr>
      <w:tr w:rsidR="00534D9A" w14:paraId="599BD0C0" w14:textId="77777777">
        <w:trPr>
          <w:trHeight w:val="300"/>
        </w:trPr>
        <w:tc>
          <w:tcPr>
            <w:tcW w:w="9072" w:type="dxa"/>
            <w:tcBorders>
              <w:top w:val="nil"/>
              <w:left w:val="nil"/>
              <w:bottom w:val="nil"/>
              <w:right w:val="nil"/>
            </w:tcBorders>
            <w:noWrap/>
            <w:vAlign w:val="bottom"/>
            <w:hideMark/>
          </w:tcPr>
          <w:p w14:paraId="209D9CF9" w14:textId="77777777" w:rsidR="00534D9A" w:rsidRDefault="003243B2">
            <w:pPr>
              <w:pStyle w:val="P68B1DB1-Normal91"/>
            </w:pPr>
            <w:r>
              <w:t>VIBER</w:t>
            </w:r>
          </w:p>
        </w:tc>
      </w:tr>
      <w:tr w:rsidR="00534D9A" w14:paraId="3CBF4EA3" w14:textId="77777777">
        <w:trPr>
          <w:trHeight w:val="300"/>
        </w:trPr>
        <w:tc>
          <w:tcPr>
            <w:tcW w:w="9072" w:type="dxa"/>
            <w:tcBorders>
              <w:top w:val="nil"/>
              <w:left w:val="nil"/>
              <w:bottom w:val="nil"/>
              <w:right w:val="nil"/>
            </w:tcBorders>
            <w:noWrap/>
            <w:vAlign w:val="bottom"/>
            <w:hideMark/>
          </w:tcPr>
          <w:p w14:paraId="49A43CDA" w14:textId="77777777" w:rsidR="00534D9A" w:rsidRDefault="003243B2">
            <w:pPr>
              <w:pStyle w:val="P68B1DB1-Normal91"/>
            </w:pPr>
            <w:r>
              <w:t>VP Lux</w:t>
            </w:r>
          </w:p>
        </w:tc>
      </w:tr>
      <w:tr w:rsidR="00534D9A" w14:paraId="20C89571" w14:textId="77777777">
        <w:trPr>
          <w:trHeight w:val="300"/>
        </w:trPr>
        <w:tc>
          <w:tcPr>
            <w:tcW w:w="9072" w:type="dxa"/>
            <w:tcBorders>
              <w:top w:val="nil"/>
              <w:left w:val="nil"/>
              <w:bottom w:val="nil"/>
              <w:right w:val="nil"/>
            </w:tcBorders>
            <w:noWrap/>
            <w:vAlign w:val="bottom"/>
            <w:hideMark/>
          </w:tcPr>
          <w:p w14:paraId="12389C15" w14:textId="77777777" w:rsidR="00534D9A" w:rsidRDefault="003243B2">
            <w:pPr>
              <w:pStyle w:val="P68B1DB1-Normal91"/>
            </w:pPr>
            <w:r>
              <w:t>Titoli A/S tal-VP</w:t>
            </w:r>
          </w:p>
        </w:tc>
      </w:tr>
    </w:tbl>
    <w:p w14:paraId="1E4D7216" w14:textId="77777777" w:rsidR="00534D9A" w:rsidRDefault="00534D9A">
      <w:pPr>
        <w:pStyle w:val="body"/>
        <w:rPr>
          <w:rFonts w:ascii="Times New Roman" w:hAnsi="Times New Roman" w:cs="Times New Roman"/>
          <w:sz w:val="20"/>
          <w:szCs w:val="20"/>
        </w:rPr>
      </w:pPr>
    </w:p>
    <w:sectPr w:rsidR="00534D9A">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2DC5" w14:textId="77777777" w:rsidR="00534D9A" w:rsidRDefault="003243B2">
      <w:r>
        <w:separator/>
      </w:r>
    </w:p>
  </w:endnote>
  <w:endnote w:type="continuationSeparator" w:id="0">
    <w:p w14:paraId="6597FB1C" w14:textId="77777777" w:rsidR="00534D9A" w:rsidRDefault="003243B2">
      <w:r>
        <w:continuationSeparator/>
      </w:r>
    </w:p>
  </w:endnote>
  <w:endnote w:type="continuationNotice" w:id="1">
    <w:p w14:paraId="3A49FE7B" w14:textId="77777777" w:rsidR="00534D9A" w:rsidRDefault="00534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105955"/>
      <w:docPartObj>
        <w:docPartGallery w:val="Page Numbers (Bottom of Page)"/>
        <w:docPartUnique/>
      </w:docPartObj>
    </w:sdtPr>
    <w:sdtEndPr>
      <w:rPr>
        <w:noProof/>
      </w:rPr>
    </w:sdtEndPr>
    <w:sdtContent>
      <w:p w14:paraId="7FE1D24E" w14:textId="77777777" w:rsidR="00534D9A" w:rsidRDefault="003243B2">
        <w:pPr>
          <w:pStyle w:val="body"/>
          <w:jc w:val="right"/>
        </w:pPr>
        <w:r>
          <w:fldChar w:fldCharType="begin"/>
        </w:r>
        <w:r>
          <w:instrText xml:space="preserve"> PAGE   \* MERGEFORMAT </w:instrText>
        </w:r>
        <w:r>
          <w:fldChar w:fldCharType="separate"/>
        </w:r>
        <w:r>
          <w:t>8</w:t>
        </w:r>
        <w:r>
          <w:t>9</w:t>
        </w:r>
        <w:r>
          <w:fldChar w:fldCharType="end"/>
        </w:r>
      </w:p>
    </w:sdtContent>
  </w:sdt>
  <w:p w14:paraId="7FE1D24F" w14:textId="77777777" w:rsidR="00534D9A" w:rsidRDefault="00534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EADD" w14:textId="740A5FB6" w:rsidR="00534D9A" w:rsidRDefault="003243B2">
    <w:pPr>
      <w:pStyle w:val="Footer"/>
    </w:pPr>
    <w:r>
      <w:rPr>
        <w:noProof/>
      </w:rPr>
      <w:drawing>
        <wp:anchor distT="0" distB="0" distL="114300" distR="114300" simplePos="0" relativeHeight="251659266" behindDoc="0" locked="0" layoutInCell="1" allowOverlap="1" wp14:anchorId="7D4B7297" wp14:editId="3C7A4C7A">
          <wp:simplePos x="0" y="0"/>
          <wp:positionH relativeFrom="margin">
            <wp:align>left</wp:align>
          </wp:positionH>
          <wp:positionV relativeFrom="paragraph">
            <wp:posOffset>-89067</wp:posOffset>
          </wp:positionV>
          <wp:extent cx="5587466" cy="351322"/>
          <wp:effectExtent l="0" t="0" r="13335" b="10795"/>
          <wp:wrapNone/>
          <wp:docPr id="978482222" name="Kaxxa għall-Kitba 5"/>
          <wp:cNvGraphicFramePr/>
          <a:graphic xmlns:a="http://schemas.openxmlformats.org/drawingml/2006/main">
            <a:graphicData uri="http://schemas.microsoft.com/office/word/2010/wordprocessingShape">
              <wps:wsp>
                <wps:cNvSpPr txBox="1"/>
                <wps:spPr>
                  <a:xfrm>
                    <a:off x="0" y="0"/>
                    <a:ext cx="5587466" cy="351322"/>
                  </a:xfrm>
                  <a:prstGeom prst="rect">
                    <a:avLst/>
                  </a:prstGeom>
                  <a:solidFill>
                    <a:schemeClr val="lt1"/>
                  </a:solidFill>
                  <a:ln w="6350">
                    <a:solidFill>
                      <a:prstClr val="black"/>
                    </a:solidFill>
                  </a:ln>
                </wps:spPr>
                <wps:txbx>
                  <w:txbxContent>
                    <w:p w14:paraId="59008DEE" w14:textId="3CBD8109" w:rsidR="00534D9A" w:rsidRDefault="003243B2">
                      <w:pPr>
                        <w:pStyle w:val="P68B1DB1-Normal92"/>
                        <w:rPr>
                          <w:bCs/>
                        </w:rPr>
                      </w:pPr>
                      <w:r>
                        <w:t>Dawn l-istruzzjonijiet kienu oriġinarjament abbozzati bl-Ingliż. It-traduzzjoni tagħhom fil-lingwi uffiċjali l-oħra tal-UE ssir permezz tal-eTranslation — is-servizz tat-traduzzjoni awtomatika tal-Kummissjoni Ewropea fuq bażi tal-aħjar sforz.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3C608" w14:textId="77777777" w:rsidR="00534D9A" w:rsidRDefault="003243B2">
      <w:r>
        <w:separator/>
      </w:r>
    </w:p>
  </w:footnote>
  <w:footnote w:type="continuationSeparator" w:id="0">
    <w:p w14:paraId="1BFD6958" w14:textId="77777777" w:rsidR="00534D9A" w:rsidRDefault="003243B2">
      <w:r>
        <w:continuationSeparator/>
      </w:r>
    </w:p>
  </w:footnote>
  <w:footnote w:type="continuationNotice" w:id="1">
    <w:p w14:paraId="34EA159C" w14:textId="77777777" w:rsidR="00534D9A" w:rsidRDefault="00534D9A"/>
  </w:footnote>
  <w:footnote w:id="2">
    <w:p w14:paraId="0A3F5404" w14:textId="77777777" w:rsidR="00534D9A" w:rsidRDefault="003243B2">
      <w:pPr>
        <w:pStyle w:val="FootnoteText"/>
      </w:pPr>
      <w:r>
        <w:rPr>
          <w:rStyle w:val="FootnoteReference"/>
        </w:rPr>
        <w:footnoteRef/>
      </w:r>
      <w:r>
        <w:t xml:space="preserve"> Ir-Regolament ta’ Implimentazzjoni tal-Kummissjoni (UE) 2024/3117 tad-29 ta’ Novembru 2024 li jistabbilixxi standards tekniċi ta’ implimentazzjoni għall-applikazzjoni tar-Regolament (UE) Nru 575/2013 tal-Parlament Ewropew u tal-Kunsill fir-rigward tar-rapportar superviżorju tal-istituzzjonijiet u li jħassar ir-Regolament ta’ Implimentazzjoni tal-Kummissjoni (UE) 2021/451 (</w:t>
      </w:r>
      <w:r>
        <w:rPr>
          <w:i/>
        </w:rPr>
        <w:t>Ġ</w:t>
      </w:r>
      <w:r>
        <w:rPr>
          <w:i/>
        </w:rPr>
        <w:t>U L, 2024/3117, 27.12.2024, ELI: </w:t>
      </w:r>
      <w:hyperlink r:id="rId1" w:tgtFrame="_blank" w:tooltip="Gives access to this document through its ELI URI." w:history="1">
        <w:r>
          <w:rPr>
            <w:rStyle w:val="Hyperlink"/>
            <w:i/>
          </w:rPr>
          <w:t>https://eur-lex.europa.eu/eli/reg_impl/2024/3117/oj?locale=mt</w:t>
        </w:r>
      </w:hyperlink>
      <w:r>
        <w:t>).</w:t>
      </w:r>
    </w:p>
  </w:footnote>
  <w:footnote w:id="3">
    <w:p w14:paraId="7FE1D258" w14:textId="77777777" w:rsidR="00534D9A" w:rsidRDefault="003243B2">
      <w:pPr>
        <w:pStyle w:val="FootnoteText"/>
      </w:pPr>
      <w:r>
        <w:rPr>
          <w:rStyle w:val="FootnoteReference"/>
          <w:rFonts w:ascii="Times New Roman" w:hAnsi="Times New Roman"/>
        </w:rPr>
        <w:footnoteRef/>
      </w:r>
      <w:r>
        <w:t xml:space="preserve"> Ir-Regolament (KE) Nru 1606/2002 tal-Parlament Ewropew u tal-Kunsill tad-19 ta’ Lulju 2002 rigward l-applikazzjoni ta’ standards internazzjonali tal-kontabilità (ĠU L 243, 11.9.2002, p. 1).</w:t>
      </w:r>
    </w:p>
  </w:footnote>
  <w:footnote w:id="4">
    <w:p w14:paraId="7FE1D259" w14:textId="77777777" w:rsidR="00534D9A" w:rsidRDefault="003243B2">
      <w:pPr>
        <w:pStyle w:val="FootnoteText"/>
      </w:pPr>
      <w:r>
        <w:rPr>
          <w:rStyle w:val="FootnoteReference"/>
          <w:rFonts w:ascii="Times New Roman" w:hAnsi="Times New Roman"/>
        </w:rPr>
        <w:footnoteRef/>
      </w:r>
      <w:r>
        <w:t xml:space="preserve"> Ir-Regolament (KE) Nru 1606/2002 tal-Parlament Ewropew u tal-Kunsill tad-19 ta’ Lulju 2002 rigward l-applikazzjoni ta’ standards internazzjonali tal-kontabilità (ĠU L 243, 11.9.2002, p. 1).</w:t>
      </w:r>
    </w:p>
  </w:footnote>
  <w:footnote w:id="5">
    <w:p w14:paraId="7FE1D25A" w14:textId="77777777" w:rsidR="00534D9A" w:rsidRDefault="003243B2">
      <w:pPr>
        <w:pStyle w:val="FootnoteText"/>
      </w:pPr>
      <w:r>
        <w:rPr>
          <w:rStyle w:val="FootnoteReference"/>
          <w:rFonts w:ascii="Times New Roman" w:hAnsi="Times New Roman"/>
        </w:rPr>
        <w:footnoteRef/>
      </w:r>
      <w:r>
        <w:t xml:space="preserve"> Id-Direttiva tal-Kunsill 86/635/KEE tat-8 ta’ Diċembru 1986 dwar il-kontijiet annwali u l-kontijiet konsolidati ta’ banek u istituzzjonijiet finanzjarji oħrajn (ĠU L 372, 31.12.1986, p. 1).</w:t>
      </w:r>
    </w:p>
  </w:footnote>
  <w:footnote w:id="6">
    <w:p w14:paraId="06EB0A65" w14:textId="77777777" w:rsidR="00534D9A" w:rsidRDefault="003243B2">
      <w:pPr>
        <w:pStyle w:val="FootnoteText"/>
      </w:pPr>
      <w:r>
        <w:rPr>
          <w:rStyle w:val="FootnoteReference"/>
          <w:rFonts w:ascii="Times New Roman" w:hAnsi="Times New Roman"/>
        </w:rPr>
        <w:footnoteRef/>
      </w:r>
      <w:r>
        <w:t xml:space="preserve"> Ir-Regolament (UE) Nru 575/2013 tal-Parlament Ewropew u tal-Kunsill tas-26 ta’ Ġunju 2013 dwar ir-rekwiżiti prudenzjali għall-istituzzjonijiet ta’ kreditu u d-ditti tal-investiment u li jemenda r-Regolament (UE) Nru 648/2012 (ĠU L 176, 27.6.2013, p. 1).</w:t>
      </w:r>
    </w:p>
  </w:footnote>
  <w:footnote w:id="7">
    <w:p w14:paraId="7FE1D25C" w14:textId="77777777" w:rsidR="00534D9A" w:rsidRDefault="003243B2">
      <w:pPr>
        <w:pStyle w:val="FootnoteText"/>
      </w:pPr>
      <w:r>
        <w:rPr>
          <w:rStyle w:val="FootnoteReference"/>
        </w:rPr>
        <w:footnoteRef/>
      </w:r>
      <w:r>
        <w:t xml:space="preserve"> Direttiva 2013/36/UE tal-Parlament Ewropew u tal-Kunsill tas-26 ta’ Ġunju 2013 dwar l-aċċess għall-attività tal-istituzzjonijiet ta’ kreditu u s-superviżjoni prudenzjali tal-istituzzjonijiet ta’ kreditu u tad-ditti tal-investiment, li temenda d-Direttiva 2002/87/KE u li tħassar id-Direttivi 2006/48/KE u 2006/49/KE (ĠU L 176, 27.6.2013, p. 338).</w:t>
      </w:r>
    </w:p>
  </w:footnote>
  <w:footnote w:id="8">
    <w:p w14:paraId="7FE1D25D" w14:textId="77777777" w:rsidR="00534D9A" w:rsidRDefault="003243B2">
      <w:pPr>
        <w:pStyle w:val="FootnoteText"/>
      </w:pPr>
      <w:r>
        <w:rPr>
          <w:rStyle w:val="FootnoteReference"/>
        </w:rPr>
        <w:footnoteRef/>
      </w:r>
      <w:r>
        <w:t xml:space="preserve"> Ir-Regolament (UE) 2019/2033 tal-Parlament Ewropew u tal-Kunsill tas-27 ta’ Novembru 2019 dwar ir-rekwiżiti prudenzjali għall-istituzzjonijiet ta’ kreditu u li jemenda r-Regolamenti (UE) Nru 1093/2010, (UE) Nru 575/2013, (UE) Nru 600/2014 u (UE) Nru 806/2014 (ĠU L 314, 5.12.2019, p. 1).</w:t>
      </w:r>
    </w:p>
  </w:footnote>
  <w:footnote w:id="9">
    <w:p w14:paraId="7FE1D25E" w14:textId="77777777" w:rsidR="00534D9A" w:rsidRDefault="003243B2">
      <w:pPr>
        <w:pStyle w:val="FootnoteText"/>
      </w:pPr>
      <w:r>
        <w:rPr>
          <w:rStyle w:val="FootnoteReference"/>
        </w:rPr>
        <w:footnoteRef/>
      </w:r>
      <w:r>
        <w:t xml:space="preserve"> Id-Direttiva (UE) 2019/2034 tal-Parlament Ewropew u tal-Kunsill tas-27 ta’ Novembru 2019 dwar is-superviżjoni prudenzjali tad-ditti tal-investiment u li temenda d-Direttivi 2002/87/KE, 2009/65/KE, 2011/61/UE, 2013/36/UE, 2014/59/UE u 2014/65/UE (ĠU L 314, 5.12.2019, p. 64)</w:t>
      </w:r>
    </w:p>
  </w:footnote>
  <w:footnote w:id="10">
    <w:p w14:paraId="7FE1D25F" w14:textId="77777777" w:rsidR="00534D9A" w:rsidRDefault="003243B2">
      <w:pPr>
        <w:pStyle w:val="FootnoteText"/>
      </w:pPr>
      <w:r>
        <w:rPr>
          <w:rStyle w:val="FootnoteReference"/>
          <w:rFonts w:ascii="Times New Roman" w:hAnsi="Times New Roman"/>
        </w:rPr>
        <w:footnoteRef/>
      </w:r>
      <w:r>
        <w:t xml:space="preserve"> Id-Direttiva 2009/138/KE tal-Parlament Ewropew u tal-Kunsill tal-25 ta’ Novembru 2009 dwar il-bidu u l-eżerċizzju tan-negozju tal-assigurazzjoni u tar-riassigurazzjoni (Solvenza II) (Test b’rilevanza għaż-ŻEE) (ĠU L 335, 17.12.2009, p. 1).</w:t>
      </w:r>
    </w:p>
  </w:footnote>
  <w:footnote w:id="11">
    <w:p w14:paraId="7FE1D260" w14:textId="2ADC4F18" w:rsidR="00534D9A" w:rsidRDefault="003243B2">
      <w:pPr>
        <w:pStyle w:val="FootnoteText"/>
      </w:pPr>
      <w:r>
        <w:rPr>
          <w:rStyle w:val="FootnoteReference"/>
          <w:rFonts w:ascii="Times New Roman" w:hAnsi="Times New Roman"/>
        </w:rPr>
        <w:footnoteRef/>
      </w:r>
      <w:r>
        <w:t xml:space="preserve"> Ir-Regolament (UE) 2021/379 tal-Bank Ċentrali Ewropew tal-24 ta’ Settembru 2013 dwar il-karta tal-bilanċ ikkonsolidata tas-settur tal-istituzzjonijiet finanzjarji monetarji (riformulazzjoni) (ĠU L 297 , 7.11.2013, p. 1).</w:t>
      </w:r>
    </w:p>
  </w:footnote>
  <w:footnote w:id="12">
    <w:p w14:paraId="7FE1D261" w14:textId="77777777" w:rsidR="00534D9A" w:rsidRDefault="003243B2">
      <w:pPr>
        <w:pStyle w:val="FootnoteText"/>
      </w:pPr>
      <w:r>
        <w:rPr>
          <w:rStyle w:val="FootnoteReference"/>
          <w:rFonts w:ascii="Times New Roman" w:hAnsi="Times New Roman"/>
        </w:rPr>
        <w:footnoteRef/>
      </w:r>
      <w:r>
        <w:t xml:space="preserve"> Ir-Rakkomandazzjoni tal-Kummissjoni tas-6 ta’ Mejju 2003 dwar id-definizzjoni ta’ intrapriżi mikro, żgħar u ta’ daqs medju (notifikata taħt in-numru tad-dokument C(2003) 1422) (ĠU L 124, 20.5.2003, p. 36).</w:t>
      </w:r>
    </w:p>
  </w:footnote>
  <w:footnote w:id="13">
    <w:p w14:paraId="74BC1C09" w14:textId="2C5E1052" w:rsidR="00534D9A" w:rsidRDefault="003243B2">
      <w:pPr>
        <w:pStyle w:val="FootnoteText"/>
      </w:pPr>
      <w:r>
        <w:rPr>
          <w:rStyle w:val="FootnoteReference"/>
        </w:rPr>
        <w:footnoteRef/>
      </w:r>
      <w:r>
        <w:t xml:space="preserve"> Id-Direttiva 2014/65/UE tal-Parlament Ewropew u tal-Kunsill tal-15 ta’ Mejju 2014 dwar is-swieq fl- </w:t>
      </w:r>
      <w:r>
        <w:rPr>
          <w:rFonts w:hint="eastAsia"/>
        </w:rPr>
        <w:t>istrumenti finanzjarji (ĠU L 173, 12.6.2014, p. 349)</w:t>
      </w:r>
      <w:r>
        <w:t>.</w:t>
      </w:r>
    </w:p>
  </w:footnote>
  <w:footnote w:id="14">
    <w:p w14:paraId="7FE1D263" w14:textId="77777777" w:rsidR="00534D9A" w:rsidRDefault="003243B2">
      <w:pPr>
        <w:pStyle w:val="FootnoteText"/>
      </w:pPr>
      <w:r>
        <w:rPr>
          <w:rStyle w:val="FootnoteReference"/>
        </w:rPr>
        <w:footnoteRef/>
      </w:r>
      <w:r>
        <w:t xml:space="preserve"> Direttiva 2014/59/UE tal-Parlament Ewropew u tal-Kunsill tal-15 ta’ Mejju 2014 li tistabbilixxi qafas għall-irkupru u r-riżoluzzjoni ta’ istituzzjonijiet ta’ kreditu u ditti ta’ investiment u li temenda d-Direttiva tal-Kunsill 82/891/KEE, u d-Direttivi 2001/24/KE, 2002/47/KE, 2004/25/KE, 2005/56/KE, 2007/36/KE, 2011/35/UE, 2012/30/UE u 2013/36/UE, u r-Regolamenti (UE) Nru 1093/2010 u (UE) Nru 648/2012, tal-Parlament Ewropew u tal-Kunsill (ĠU L 173, 12.6.2014, p. 190).</w:t>
      </w:r>
    </w:p>
  </w:footnote>
  <w:footnote w:id="15">
    <w:p w14:paraId="7FE1D264" w14:textId="77777777" w:rsidR="00534D9A" w:rsidRDefault="003243B2">
      <w:pPr>
        <w:pStyle w:val="FootnoteText"/>
      </w:pPr>
      <w:r>
        <w:rPr>
          <w:rStyle w:val="FootnoteReference"/>
        </w:rPr>
        <w:footnoteRef/>
      </w:r>
      <w:r>
        <w:t xml:space="preserve"> Direttiva 2014/49/EU tal-Parlament Ewropew u tal-Kunsill tas-16 ta’ April 2014 dwar skemi ta’garanzija tad-depożiti (ĠU L 173, 2014/6/12, p. 149).</w:t>
      </w:r>
    </w:p>
  </w:footnote>
  <w:footnote w:id="16">
    <w:p w14:paraId="7FE1D267" w14:textId="77777777" w:rsidR="00534D9A" w:rsidRDefault="003243B2">
      <w:pPr>
        <w:pStyle w:val="FootnoteText"/>
      </w:pPr>
      <w:r>
        <w:rPr>
          <w:rStyle w:val="FootnoteReference"/>
        </w:rPr>
        <w:footnoteRef/>
      </w:r>
      <w:r>
        <w:t xml:space="preserve"> Ir-Regolament Delegat tal-Kummissjoni (UE) 2016/1401 tat-23 ta’ Mejju 2016 li jissupplimenta d-Direttiva 2014/59/UE tal-Parlament Ewropew u tal-Kunsill li tistabbilixxi qafas għall-irkupru u r-riżoluzzjoni ta’ istituzzjonijiet ta’ kreditu u ditti ta’ investiment fir-rigward ta’ standards tekniċi regolatorji għal metodoloġiji u prinċipji dwar il-valwazzjoni tal-obbligazzjonijiet li jirriżultaw minn derivattivi (ĠU L 228, 23.8.2016, p. 7).</w:t>
      </w:r>
    </w:p>
  </w:footnote>
  <w:footnote w:id="17">
    <w:p w14:paraId="7FE1D268" w14:textId="77777777" w:rsidR="00534D9A" w:rsidRDefault="003243B2">
      <w:pPr>
        <w:pStyle w:val="FootnoteText"/>
      </w:pPr>
      <w:r>
        <w:rPr>
          <w:rStyle w:val="FootnoteReference"/>
        </w:rPr>
        <w:footnoteRef/>
      </w:r>
      <w:r>
        <w:t xml:space="preserve"> Il-livell tal-bafer ta’ konservazzjoni tal-kapital stipulat fl-Artikolu 129 tad-Direttiva 2013/36/UE;</w:t>
      </w:r>
    </w:p>
  </w:footnote>
  <w:footnote w:id="18">
    <w:p w14:paraId="7FE1D269" w14:textId="77777777" w:rsidR="00534D9A" w:rsidRDefault="003243B2">
      <w:pPr>
        <w:pStyle w:val="FootnoteText"/>
      </w:pPr>
      <w:r>
        <w:rPr>
          <w:rStyle w:val="FootnoteReference"/>
        </w:rPr>
        <w:footnoteRef/>
      </w:r>
      <w:r>
        <w:t xml:space="preserve"> Ir-Regolament Delegat tal-Kummissjoni (UE) 2016/778 tat-2 ta’ Frar 2016 li jissupplimenta d-Direttiva 2014/59/UE tal-Parlament Ewropew u tal-Kunsill fir-rigward taċ-ċirkustanzi u l-kondizzjonijiet li taħthom il-ħlas ta’ kontribuzzjonijiet straordinarji ex post jista’ jkun parzjalment jew kompletament differit, u l-kriterji għad-determinazzjoni tal-attivitajiet, is-servizzi u l-operazzjonijiet fir-rigward ta’ funzjonijiet kritiċi, u għad-determinazzjoni tal-linji ta’ negozju u servizzi assoċjati fir-rigward</w:t>
      </w:r>
      <w:r>
        <w:t xml:space="preserve"> tal-linji tan-negozju ewlenin (ĠU L 131, 20.5.2016, p. 41).</w:t>
      </w:r>
    </w:p>
  </w:footnote>
  <w:footnote w:id="19">
    <w:p w14:paraId="7FE1D26D" w14:textId="77777777" w:rsidR="00534D9A" w:rsidRDefault="003243B2">
      <w:pPr>
        <w:pStyle w:val="FootnoteText"/>
      </w:pPr>
      <w:r>
        <w:rPr>
          <w:rStyle w:val="FootnoteReference"/>
        </w:rPr>
        <w:footnoteRef/>
      </w:r>
      <w:r>
        <w:t xml:space="preserve"> Id-Direttiva (UE) 2015/2366 tal-Parlament Ewropew u tal-Kunsill tal-25 ta’ Novembru 2015 dwar is-servizzi ta’ pagament fis-suq intern, li temenda d-Direttivi 2002/65/KE, 2009/110/KE u 2013/36/UE u r-Regolament (UE) Nru 1093/2010, u li tħassar id-Direttiva 2007/64/KE (ĠU L 337, 23.12.2015, p. 35).</w:t>
      </w:r>
    </w:p>
  </w:footnote>
  <w:footnote w:id="20">
    <w:p w14:paraId="7FE1D26E" w14:textId="77777777" w:rsidR="00534D9A" w:rsidRDefault="003243B2">
      <w:pPr>
        <w:pStyle w:val="FootnoteText"/>
      </w:pPr>
      <w:r>
        <w:rPr>
          <w:rStyle w:val="FootnoteReference"/>
        </w:rPr>
        <w:footnoteRef/>
      </w:r>
      <w:r>
        <w:t xml:space="preserve"> Regolament (UE) Nru 648/2012 tal-Parlament Ewropew u tal-Kunsill tal-4 ta’ Lulju 2012 dwar derivati OTC, kontropartijiet ċentrali u repożitorji tad-data dwar it-tranżazzjonijiet (ĠU L 201, 27.7.2012, p. 1).</w:t>
      </w:r>
    </w:p>
  </w:footnote>
  <w:footnote w:id="21">
    <w:p w14:paraId="4F37B111" w14:textId="77777777" w:rsidR="00534D9A" w:rsidRDefault="003243B2">
      <w:pPr>
        <w:pStyle w:val="FootnoteText"/>
      </w:pPr>
      <w:r>
        <w:rPr>
          <w:rStyle w:val="FootnoteReference"/>
        </w:rPr>
        <w:footnoteRef/>
      </w:r>
      <w:r>
        <w:t xml:space="preserve"> Skont l-Artikolu 1(2) tal-Linja Gwida (UE) 2021/835 tal-Bank Ċentrali Ewropew tas-26 ta’ Marzu 2021 li tħassar il-Linja Gwida ECB/2014/15 dwar statistika monetarja u finanzjarja (ECB/2021/16), ir-referenzi għal-Linja Gwida mħassra għandhom jinftiehmu bħala referenzi għal-Linja Gwida (UE) 2021/830 (ECB/2021/11), il-Linja Gwida (UE) 2021/831 (ECB/2021/12), il-Linja Gwida (UE) 2021/833 (ECB/2021/14), il-Linja Gwida (UE) 2021/832 (ECB/2021/13) u l-Linja Gwida (UE) 2021/834 (ECB/2021/15) kif xieraq u f’konformi</w:t>
      </w:r>
      <w:r>
        <w:t>tà mat-tabelli ta’ korrelazzjoni fl-Annessi II sa VI.</w:t>
      </w:r>
    </w:p>
    <w:p w14:paraId="2690BEDB" w14:textId="77777777" w:rsidR="00534D9A" w:rsidRDefault="00534D9A">
      <w:pPr>
        <w:pStyle w:val="FootnoteText"/>
      </w:pPr>
    </w:p>
  </w:footnote>
  <w:footnote w:id="22">
    <w:p w14:paraId="7FE1D272" w14:textId="77777777" w:rsidR="00534D9A" w:rsidRDefault="003243B2">
      <w:pPr>
        <w:pStyle w:val="FootnoteText"/>
      </w:pPr>
      <w:r>
        <w:footnoteRef/>
      </w:r>
      <w:r>
        <w:t xml:space="preserve"> Kif definit fil-paragrafu 13 tal-Linji Gwida tal-EBA dwar ir-Riżolvibbiltà</w:t>
      </w:r>
    </w:p>
  </w:footnote>
  <w:footnote w:id="23">
    <w:p w14:paraId="7FE1D273" w14:textId="60D312AD" w:rsidR="00534D9A" w:rsidRDefault="003243B2">
      <w:pPr>
        <w:pStyle w:val="FootnoteText"/>
      </w:pPr>
      <w:r>
        <w:rPr>
          <w:rStyle w:val="FootnoteReference"/>
          <w:rFonts w:ascii="Verdana" w:hAnsi="Verdana"/>
          <w:sz w:val="16"/>
          <w:szCs w:val="16"/>
        </w:rPr>
        <w:footnoteRef/>
      </w:r>
      <w:r>
        <w:t xml:space="preserve"> Ir-Regolament Delegat tal-Kummissjoni (UE) 2016/778, l-Artikolu 6 l-premessa (8).</w:t>
      </w:r>
    </w:p>
  </w:footnote>
  <w:footnote w:id="24">
    <w:p w14:paraId="7FE1D274" w14:textId="1C805137" w:rsidR="00534D9A" w:rsidRDefault="003243B2">
      <w:pPr>
        <w:pStyle w:val="FootnoteText"/>
      </w:pPr>
      <w:r>
        <w:rPr>
          <w:rStyle w:val="FootnoteReference"/>
          <w:rFonts w:ascii="Verdana" w:hAnsi="Verdana"/>
          <w:sz w:val="16"/>
          <w:szCs w:val="16"/>
        </w:rPr>
        <w:footnoteRef/>
      </w:r>
      <w:r>
        <w:t xml:space="preserve"> Ir-Regolament Delegat tal-Kummissjoni (UE) 2016/778, l-Artikolu 7. </w:t>
      </w:r>
    </w:p>
  </w:footnote>
  <w:footnote w:id="25">
    <w:p w14:paraId="7FE1D275" w14:textId="77777777" w:rsidR="00534D9A" w:rsidRDefault="003243B2">
      <w:pPr>
        <w:pStyle w:val="FootnoteText"/>
      </w:pPr>
      <w:r>
        <w:footnoteRef/>
      </w:r>
      <w:r>
        <w:t xml:space="preserve"> The continuity of essential services may be necessary to achieve resolution objectives other than the maintenance of critical functions (e.g. financial stability by ensuring viability of the post-resolution entity). </w:t>
      </w:r>
    </w:p>
    <w:p w14:paraId="7FE1D276" w14:textId="77777777" w:rsidR="00534D9A" w:rsidRDefault="00534D9A">
      <w:pPr>
        <w:pStyle w:val="FootnoteText"/>
      </w:pPr>
    </w:p>
  </w:footnote>
  <w:footnote w:id="26">
    <w:p w14:paraId="7FE1D27C" w14:textId="77777777" w:rsidR="00534D9A" w:rsidRDefault="003243B2">
      <w:pPr>
        <w:pStyle w:val="FootnoteText"/>
        <w:rPr>
          <w:rFonts w:ascii="Segoe UI" w:hAnsi="Segoe UI" w:cs="Segoe UI"/>
        </w:rPr>
      </w:pPr>
      <w:r>
        <w:footnoteRef/>
      </w:r>
      <w:r>
        <w:t xml:space="preserve"> Id-dispożizzjonijiet tal-Kapitolu VI tat-Titolu IV tal-BRRD jipprevedu reżiljenza għar-riżoluzzjoni b’mod partikolari fil-kuntest tal-eżerċizzju tas-setgħat mill-awtorità ta’ riżoluzzjoni, ħlief għall-implimentazzjoni tal-pjanijiet ta’ riorganizzazzjoni tan-negozju (BRPs).</w:t>
      </w:r>
    </w:p>
  </w:footnote>
  <w:footnote w:id="27">
    <w:p w14:paraId="3F998E2E" w14:textId="7BDE8075" w:rsidR="00534D9A" w:rsidRDefault="003243B2">
      <w:pPr>
        <w:pStyle w:val="FootnoteText"/>
      </w:pPr>
      <w:r>
        <w:rPr>
          <w:rStyle w:val="FootnoteReference"/>
        </w:rPr>
        <w:footnoteRef/>
      </w:r>
      <w:r>
        <w:t xml:space="preserve"> Ir-Regolament (UE) 2022/2554 tal-Parlament Ewropew u tal-Kunsill tal-14 ta’ Diċembru 2022 dwar ir-reżiljenza operazzjonali diġitali għas-settur finanzjarju u li jemenda r-Regolamenti (KE) Nru 1060/2009, (UE) Nru 648/2012, (UE) Nru 600/2014, (UE) Nru 909/2014 u (UE) 2016/1011.</w:t>
      </w:r>
    </w:p>
    <w:p w14:paraId="3A2C28B9" w14:textId="00F04738" w:rsidR="00534D9A" w:rsidRDefault="00534D9A">
      <w:pPr>
        <w:pStyle w:val="FootnoteText"/>
      </w:pPr>
    </w:p>
  </w:footnote>
  <w:footnote w:id="28">
    <w:p w14:paraId="7FE1D27F" w14:textId="77777777" w:rsidR="00534D9A" w:rsidRDefault="003243B2">
      <w:pPr>
        <w:pStyle w:val="FootnoteText"/>
        <w:rPr>
          <w:rFonts w:ascii="Segoe UI" w:hAnsi="Segoe UI" w:cs="Segoe UI"/>
        </w:rPr>
      </w:pPr>
      <w:r>
        <w:footnoteRef/>
      </w:r>
      <w:r>
        <w:t xml:space="preserve"> Id-dispożizzjonijiet tal-Kapitolu VI tat-Titolu IV tal-BRRD jipprevedu reżiljenza għar-riżoluzzjoni b’mod partikolari fil-kuntest tal-eżerċizzju tas-setgħat mill-awtorità ta’ riżoluzzjoni, ħlief għall-implimentazzjoni tal-pjanijiet ta’ riorganizzazzjoni tan-negozju (BRPs).</w:t>
      </w:r>
    </w:p>
  </w:footnote>
  <w:footnote w:id="29">
    <w:p w14:paraId="7FE1D280" w14:textId="77777777" w:rsidR="00534D9A" w:rsidRDefault="003243B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Titoli ta’ dejn, ekwitajiet u titoli oħrajn, repo.</w:t>
      </w:r>
    </w:p>
  </w:footnote>
  <w:footnote w:id="30">
    <w:p w14:paraId="7FE1D281" w14:textId="77777777" w:rsidR="00534D9A" w:rsidRDefault="003243B2">
      <w:pPr>
        <w:pStyle w:val="TableParagraph"/>
        <w:spacing w:before="108"/>
        <w:ind w:left="85"/>
        <w:jc w:val="both"/>
      </w:pPr>
      <w:r>
        <w:rPr>
          <w:rStyle w:val="FootnoteReference"/>
        </w:rPr>
        <w:footnoteRef/>
      </w:r>
      <w:r>
        <w:rPr>
          <w:rStyle w:val="FootnoteReference"/>
        </w:rPr>
        <w:t xml:space="preserve"> </w:t>
      </w:r>
      <w:r>
        <w:rPr>
          <w:rFonts w:ascii="Times New Roman" w:eastAsiaTheme="minorEastAsia" w:hAnsi="Times New Roman" w:cs="Times New Roman"/>
          <w:sz w:val="18"/>
          <w:szCs w:val="18"/>
        </w:rPr>
        <w:t>Sistemi jew faċilitajiet multilaterali li fihom interessi kummerċjali multipli ta’ xiri u bejgħ ta’ partijiet terzi fi strumenti finanzjarji jistgħu jinteraġixxu fis-sistema. Għal sistemi li jinsabu fiż-ŻEE, din id-definizzjoni tkopri Swieq Regolati, MTF u OTF.</w:t>
      </w:r>
    </w:p>
  </w:footnote>
  <w:footnote w:id="31">
    <w:p w14:paraId="7FE1D282" w14:textId="77777777" w:rsidR="00534D9A" w:rsidRDefault="003243B2">
      <w:pPr>
        <w:pStyle w:val="TableParagraph"/>
        <w:spacing w:before="108"/>
        <w:ind w:left="85"/>
        <w:jc w:val="both"/>
      </w:pPr>
      <w:r>
        <w:rPr>
          <w:rStyle w:val="FootnoteReference"/>
        </w:rPr>
        <w:footnoteRef/>
      </w:r>
      <w:r>
        <w:t xml:space="preserve"> </w:t>
      </w:r>
      <w:r>
        <w:rPr>
          <w:rFonts w:ascii="Times New Roman" w:eastAsiaTheme="minorEastAsia" w:hAnsi="Times New Roman" w:cs="Times New Roman"/>
          <w:sz w:val="18"/>
          <w:szCs w:val="18"/>
        </w:rPr>
        <w:t>Ara Glossarju tal-Pagamenti u s-swieq tal-BĊE: Parteċipant dirett: “parteċipant f’sistema [...] li jista’ jwettaq l-attivitajiet kollha permessi fis-sistema mingħajr ma juża intermedjarju (inkluż, b’mod partikolari, id-dħul dirett ta’ ordnijiet fis-sistema u t-twettiq ta’ operazzjonijiet ta’ saldu).”; Parteċipant indirett: “parteċipant f’sistema [...] b’arranġament ta’ gradazzjoni li juża parteċipant dirett bħala intermedjarju sabiex iwettaq xi wħud mill-attivitajiet permessi fis-sistema (b’mod partikolari</w:t>
      </w:r>
      <w:r>
        <w:rPr>
          <w:rFonts w:ascii="Times New Roman" w:eastAsiaTheme="minorEastAsia" w:hAnsi="Times New Roman" w:cs="Times New Roman"/>
          <w:sz w:val="18"/>
          <w:szCs w:val="18"/>
        </w:rPr>
        <w:t xml:space="preserve"> saldu)”.</w:t>
      </w:r>
    </w:p>
    <w:p w14:paraId="7FE1D283" w14:textId="77777777" w:rsidR="00534D9A" w:rsidRDefault="00534D9A">
      <w:pPr>
        <w:pStyle w:val="FootnoteText"/>
      </w:pPr>
    </w:p>
  </w:footnote>
  <w:footnote w:id="32">
    <w:p w14:paraId="7FE1D284" w14:textId="77777777" w:rsidR="00534D9A" w:rsidRDefault="003243B2">
      <w:pPr>
        <w:pStyle w:val="FootnoteText"/>
      </w:pPr>
      <w:r>
        <w:rPr>
          <w:rStyle w:val="FootnoteReference"/>
        </w:rPr>
        <w:footnoteRef/>
      </w:r>
      <w:r>
        <w:t xml:space="preserve"> Għad-definizzjoni tar-reżiljenza tar-riżoluzzjoni għall-finijiet ta’ dan ir-rapport, irreferi għal Z.08.01 kolonna 150.</w:t>
      </w:r>
    </w:p>
  </w:footnote>
  <w:footnote w:id="33">
    <w:p w14:paraId="7FE1D285" w14:textId="50A26E27" w:rsidR="00534D9A" w:rsidRDefault="003243B2">
      <w:pPr>
        <w:pStyle w:val="FootnoteText"/>
      </w:pPr>
      <w:r>
        <w:rPr>
          <w:rStyle w:val="FootnoteReference"/>
        </w:rPr>
        <w:footnoteRef/>
      </w:r>
      <w:r>
        <w:t xml:space="preserve"> Għall-finijiet tal-metriċi rilevanti għar-rapportar, “Skemi tal-Kard” huma assimilati ma’ “Servizzi ta’ Pagament”; “NA” huma assimilati ma’ “Depożitarji Ċentrali tat-Titoli” jekk jittrattaw titoli u “Sistemi ta’ Pagament” jekk jittrattaw servizzi ta’ flus kontanti.</w:t>
      </w:r>
    </w:p>
  </w:footnote>
  <w:footnote w:id="34">
    <w:p w14:paraId="7FE1D286" w14:textId="77777777" w:rsidR="00534D9A" w:rsidRDefault="003243B2">
      <w:pPr>
        <w:pStyle w:val="TableParagraph"/>
        <w:spacing w:before="108"/>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heme="minorEastAsia" w:hAnsi="Times New Roman" w:cs="Times New Roman"/>
          <w:sz w:val="18"/>
          <w:szCs w:val="18"/>
        </w:rPr>
        <w:t>Għall-finijiet ta’ dan ir-rapport, it-tifsira tat-tipi ta’ kontijiet jenħtieġ li tiġi interpretata f’konformità mal-Artikolu 39 (4) u (5) tal-EMIR. It-tifsira tal-pożizzjoni għandha tiġi interpretata skont l-Artikoli 2 (3), 39 (4) u 39 (5) tal-EMIR. Kontijiet tal-klijenti: irrapporta biss fejn l-Entità Legali tipprovdi aċċess indirett għall-FMI.</w:t>
      </w:r>
    </w:p>
  </w:footnote>
  <w:footnote w:id="35">
    <w:p w14:paraId="7FE1D287" w14:textId="21F2F8F9" w:rsidR="00534D9A" w:rsidRDefault="003243B2">
      <w:pPr>
        <w:pStyle w:val="FootnoteText"/>
      </w:pPr>
      <w:r>
        <w:rPr>
          <w:rStyle w:val="FootnoteReference"/>
        </w:rPr>
        <w:footnoteRef/>
      </w:r>
      <w:r>
        <w:t xml:space="preserve"> Ara In-noti metodoloġiċi tal-BĊE dwar l-istatistika dwar in-negozjar, l-ikklerjar u s-saldu tat-titoli.</w:t>
      </w:r>
    </w:p>
  </w:footnote>
  <w:footnote w:id="36">
    <w:p w14:paraId="7FE1D289" w14:textId="77777777" w:rsidR="00534D9A" w:rsidRDefault="003243B2">
      <w:pPr>
        <w:pStyle w:val="FootnoteText"/>
      </w:pPr>
      <w:r>
        <w:rPr>
          <w:rStyle w:val="FootnoteReference"/>
        </w:rPr>
        <w:footnoteRef/>
      </w:r>
      <w:r>
        <w:t xml:space="preserve"> Ċerti strumenti ta’ ekwità, bħal parteċipazzjonijiet kooperattivi, ma jaqgħux taħt id-definizzjoni ta’ titoli, iżda xorta għandhom jiġu rrapportati hawnhekk.</w:t>
      </w:r>
    </w:p>
  </w:footnote>
  <w:footnote w:id="37">
    <w:p w14:paraId="4A19D249" w14:textId="77777777" w:rsidR="00534D9A" w:rsidRDefault="003243B2">
      <w:pPr>
        <w:pStyle w:val="FootnoteText"/>
        <w:rPr>
          <w:rFonts w:ascii="Verdana" w:hAnsi="Verdana"/>
        </w:rPr>
      </w:pPr>
      <w:r>
        <w:rPr>
          <w:rStyle w:val="FootnoteReference"/>
          <w:rFonts w:ascii="Verdana" w:hAnsi="Verdana"/>
          <w:sz w:val="16"/>
        </w:rPr>
        <w:footnoteRef/>
      </w:r>
      <w:r>
        <w:rPr>
          <w:rFonts w:ascii="Verdana" w:hAnsi="Verdana"/>
          <w:sz w:val="16"/>
        </w:rPr>
        <w:t xml:space="preserve"> Euronext Clearing huwa l-isem kummerċjali l-ġdid ta’ Cassa Compensazione e Garanzia (CC &amp; ampG).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B" w14:textId="77777777" w:rsidR="00534D9A" w:rsidRDefault="003243B2">
    <w:pPr>
      <w:pStyle w:val="Header"/>
    </w:pPr>
    <w:r>
      <w:rPr>
        <w:noProof/>
      </w:rPr>
      <w:drawing>
        <wp:anchor distT="0" distB="0" distL="0" distR="0" simplePos="0" relativeHeight="251658241" behindDoc="0" locked="0" layoutInCell="1" allowOverlap="1" wp14:anchorId="7FE1D251" wp14:editId="7FE1D252">
          <wp:simplePos x="635" y="635"/>
          <wp:positionH relativeFrom="leftMargin">
            <wp:align>left</wp:align>
          </wp:positionH>
          <wp:positionV relativeFrom="paragraph">
            <wp:posOffset>635</wp:posOffset>
          </wp:positionV>
          <wp:extent cx="443865" cy="443865"/>
          <wp:effectExtent l="0" t="0" r="3175" b="4445"/>
          <wp:wrapSquare wrapText="bothSides"/>
          <wp:docPr id="2" name="Kaxxa għall-Kitba 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A" w14:textId="77777777" w:rsidR="00534D9A" w:rsidRDefault="003243B2">
                      <w:pPr>
                        <w:pStyle w:val="P68B1DB1-Normal93"/>
                      </w:pPr>
                      <w:r>
                        <w:t>Użu Regolari tal-EBA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4C" w14:textId="77777777" w:rsidR="00534D9A" w:rsidRDefault="003243B2">
    <w:pPr>
      <w:pStyle w:val="P68B1DB1-Header94"/>
      <w:jc w:val="center"/>
    </w:pPr>
    <w:r>
      <w:rPr>
        <w:noProof/>
      </w:rPr>
      <w:drawing>
        <wp:anchor distT="0" distB="0" distL="0" distR="0" simplePos="0" relativeHeight="251658242" behindDoc="0" locked="0" layoutInCell="1" allowOverlap="1" wp14:anchorId="7FE1D253" wp14:editId="7FE1D254">
          <wp:simplePos x="914400" y="447675"/>
          <wp:positionH relativeFrom="leftMargin">
            <wp:align>left</wp:align>
          </wp:positionH>
          <wp:positionV relativeFrom="paragraph">
            <wp:posOffset>635</wp:posOffset>
          </wp:positionV>
          <wp:extent cx="443865" cy="443865"/>
          <wp:effectExtent l="0" t="0" r="3175" b="4445"/>
          <wp:wrapSquare wrapText="bothSides"/>
          <wp:docPr id="3" name="Kaxxa għall-Kitba 3"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B" w14:textId="43485C18" w:rsidR="00534D9A" w:rsidRDefault="00534D9A">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r>
      <w:t>MT</w:t>
    </w:r>
  </w:p>
  <w:p w14:paraId="7FE1D24D" w14:textId="77777777" w:rsidR="00534D9A" w:rsidRDefault="003243B2">
    <w:pPr>
      <w:pStyle w:val="P68B1DB1-Header94"/>
      <w:jc w:val="center"/>
    </w:pPr>
    <w:r>
      <w:t>ANNESS II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D250" w14:textId="77777777" w:rsidR="00534D9A" w:rsidRDefault="003243B2">
    <w:pPr>
      <w:pStyle w:val="Header"/>
    </w:pPr>
    <w:r>
      <w:rPr>
        <w:noProof/>
      </w:rPr>
      <w:drawing>
        <wp:anchor distT="0" distB="0" distL="0" distR="0" simplePos="0" relativeHeight="251658240" behindDoc="0" locked="0" layoutInCell="1" allowOverlap="1" wp14:anchorId="7FE1D255" wp14:editId="7FE1D256">
          <wp:simplePos x="635" y="635"/>
          <wp:positionH relativeFrom="leftMargin">
            <wp:align>left</wp:align>
          </wp:positionH>
          <wp:positionV relativeFrom="paragraph">
            <wp:posOffset>635</wp:posOffset>
          </wp:positionV>
          <wp:extent cx="443865" cy="443865"/>
          <wp:effectExtent l="0" t="0" r="3175" b="4445"/>
          <wp:wrapSquare wrapText="bothSides"/>
          <wp:docPr id="1" name="Kaxxa għall-Kitba 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E1D28C" w14:textId="15FD35FB" w:rsidR="00534D9A" w:rsidRDefault="00534D9A">
                      <w:pPr>
                        <w:rPr>
                          <w:rFonts w:ascii="Calibri" w:eastAsia="Calibri" w:hAnsi="Calibri" w:cs="Calibri"/>
                          <w:color w:val="000000"/>
                          <w:sz w:val="24"/>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067A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C50DE"/>
    <w:multiLevelType w:val="hybridMultilevel"/>
    <w:tmpl w:val="FFFFFFFF"/>
    <w:lvl w:ilvl="0" w:tplc="34341322">
      <w:start w:val="1"/>
      <w:numFmt w:val="bullet"/>
      <w:lvlText w:val="·"/>
      <w:lvlJc w:val="left"/>
      <w:pPr>
        <w:ind w:left="720" w:hanging="360"/>
      </w:pPr>
      <w:rPr>
        <w:rFonts w:ascii="Symbol" w:hAnsi="Symbol" w:hint="default"/>
      </w:rPr>
    </w:lvl>
    <w:lvl w:ilvl="1" w:tplc="74E4A804">
      <w:start w:val="1"/>
      <w:numFmt w:val="decimal"/>
      <w:lvlText w:val="%2."/>
      <w:lvlJc w:val="left"/>
      <w:pPr>
        <w:ind w:left="1440" w:hanging="360"/>
      </w:pPr>
      <w:rPr>
        <w:rFonts w:hint="default"/>
      </w:rPr>
    </w:lvl>
    <w:lvl w:ilvl="2" w:tplc="40649D5A">
      <w:start w:val="1"/>
      <w:numFmt w:val="bullet"/>
      <w:lvlText w:val=""/>
      <w:lvlJc w:val="left"/>
      <w:pPr>
        <w:ind w:left="2160" w:hanging="360"/>
      </w:pPr>
      <w:rPr>
        <w:rFonts w:ascii="Wingdings" w:hAnsi="Wingdings" w:hint="default"/>
      </w:rPr>
    </w:lvl>
    <w:lvl w:ilvl="3" w:tplc="00287E08">
      <w:start w:val="1"/>
      <w:numFmt w:val="bullet"/>
      <w:lvlText w:val=""/>
      <w:lvlJc w:val="left"/>
      <w:pPr>
        <w:ind w:left="2880" w:hanging="360"/>
      </w:pPr>
      <w:rPr>
        <w:rFonts w:ascii="Symbol" w:hAnsi="Symbol" w:hint="default"/>
      </w:rPr>
    </w:lvl>
    <w:lvl w:ilvl="4" w:tplc="5F280878">
      <w:start w:val="1"/>
      <w:numFmt w:val="bullet"/>
      <w:lvlText w:val="o"/>
      <w:lvlJc w:val="left"/>
      <w:pPr>
        <w:ind w:left="3600" w:hanging="360"/>
      </w:pPr>
      <w:rPr>
        <w:rFonts w:ascii="Courier New" w:hAnsi="Courier New" w:hint="default"/>
      </w:rPr>
    </w:lvl>
    <w:lvl w:ilvl="5" w:tplc="396C2F7A">
      <w:start w:val="1"/>
      <w:numFmt w:val="bullet"/>
      <w:lvlText w:val=""/>
      <w:lvlJc w:val="left"/>
      <w:pPr>
        <w:ind w:left="4320" w:hanging="360"/>
      </w:pPr>
      <w:rPr>
        <w:rFonts w:ascii="Wingdings" w:hAnsi="Wingdings" w:hint="default"/>
      </w:rPr>
    </w:lvl>
    <w:lvl w:ilvl="6" w:tplc="CA969B6A">
      <w:start w:val="1"/>
      <w:numFmt w:val="bullet"/>
      <w:lvlText w:val=""/>
      <w:lvlJc w:val="left"/>
      <w:pPr>
        <w:ind w:left="5040" w:hanging="360"/>
      </w:pPr>
      <w:rPr>
        <w:rFonts w:ascii="Symbol" w:hAnsi="Symbol" w:hint="default"/>
      </w:rPr>
    </w:lvl>
    <w:lvl w:ilvl="7" w:tplc="B854FFFA">
      <w:start w:val="1"/>
      <w:numFmt w:val="bullet"/>
      <w:lvlText w:val="o"/>
      <w:lvlJc w:val="left"/>
      <w:pPr>
        <w:ind w:left="5760" w:hanging="360"/>
      </w:pPr>
      <w:rPr>
        <w:rFonts w:ascii="Courier New" w:hAnsi="Courier New" w:hint="default"/>
      </w:rPr>
    </w:lvl>
    <w:lvl w:ilvl="8" w:tplc="E5707972">
      <w:start w:val="1"/>
      <w:numFmt w:val="bullet"/>
      <w:lvlText w:val=""/>
      <w:lvlJc w:val="left"/>
      <w:pPr>
        <w:ind w:left="6480" w:hanging="360"/>
      </w:pPr>
      <w:rPr>
        <w:rFonts w:ascii="Wingdings" w:hAnsi="Wingdings" w:hint="default"/>
      </w:rPr>
    </w:lvl>
  </w:abstractNum>
  <w:abstractNum w:abstractNumId="2" w15:restartNumberingAfterBreak="0">
    <w:nsid w:val="005C0289"/>
    <w:multiLevelType w:val="hybridMultilevel"/>
    <w:tmpl w:val="FFFFFFFF"/>
    <w:lvl w:ilvl="0" w:tplc="F1FCE380">
      <w:start w:val="52"/>
      <w:numFmt w:val="decimal"/>
      <w:lvlText w:val="%1."/>
      <w:lvlJc w:val="left"/>
      <w:pPr>
        <w:ind w:left="720" w:hanging="360"/>
      </w:pPr>
    </w:lvl>
    <w:lvl w:ilvl="1" w:tplc="24A2D92E">
      <w:start w:val="1"/>
      <w:numFmt w:val="lowerLetter"/>
      <w:lvlText w:val="%2."/>
      <w:lvlJc w:val="left"/>
      <w:pPr>
        <w:ind w:left="1440" w:hanging="360"/>
      </w:pPr>
    </w:lvl>
    <w:lvl w:ilvl="2" w:tplc="46D02270">
      <w:start w:val="1"/>
      <w:numFmt w:val="lowerRoman"/>
      <w:lvlText w:val="%3."/>
      <w:lvlJc w:val="right"/>
      <w:pPr>
        <w:ind w:left="2160" w:hanging="180"/>
      </w:pPr>
    </w:lvl>
    <w:lvl w:ilvl="3" w:tplc="A10CD14E">
      <w:start w:val="1"/>
      <w:numFmt w:val="decimal"/>
      <w:lvlText w:val="%4."/>
      <w:lvlJc w:val="left"/>
      <w:pPr>
        <w:ind w:left="2880" w:hanging="360"/>
      </w:pPr>
    </w:lvl>
    <w:lvl w:ilvl="4" w:tplc="533EF154">
      <w:start w:val="1"/>
      <w:numFmt w:val="lowerLetter"/>
      <w:lvlText w:val="%5."/>
      <w:lvlJc w:val="left"/>
      <w:pPr>
        <w:ind w:left="3600" w:hanging="360"/>
      </w:pPr>
    </w:lvl>
    <w:lvl w:ilvl="5" w:tplc="E196BB68">
      <w:start w:val="1"/>
      <w:numFmt w:val="lowerRoman"/>
      <w:lvlText w:val="%6."/>
      <w:lvlJc w:val="right"/>
      <w:pPr>
        <w:ind w:left="4320" w:hanging="180"/>
      </w:pPr>
    </w:lvl>
    <w:lvl w:ilvl="6" w:tplc="F59AB4D2">
      <w:start w:val="1"/>
      <w:numFmt w:val="decimal"/>
      <w:lvlText w:val="%7."/>
      <w:lvlJc w:val="left"/>
      <w:pPr>
        <w:ind w:left="5040" w:hanging="360"/>
      </w:pPr>
    </w:lvl>
    <w:lvl w:ilvl="7" w:tplc="6AD009EC">
      <w:start w:val="1"/>
      <w:numFmt w:val="lowerLetter"/>
      <w:lvlText w:val="%8."/>
      <w:lvlJc w:val="left"/>
      <w:pPr>
        <w:ind w:left="5760" w:hanging="360"/>
      </w:pPr>
    </w:lvl>
    <w:lvl w:ilvl="8" w:tplc="20BC22BA">
      <w:start w:val="1"/>
      <w:numFmt w:val="lowerRoman"/>
      <w:lvlText w:val="%9."/>
      <w:lvlJc w:val="right"/>
      <w:pPr>
        <w:ind w:left="6480" w:hanging="180"/>
      </w:pPr>
    </w:lvl>
  </w:abstractNum>
  <w:abstractNum w:abstractNumId="3"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734EE9"/>
    <w:multiLevelType w:val="hybridMultilevel"/>
    <w:tmpl w:val="0C0A2588"/>
    <w:lvl w:ilvl="0" w:tplc="594AD1D0">
      <w:start w:val="1"/>
      <w:numFmt w:val="decimal"/>
      <w:lvlText w:val="%1."/>
      <w:lvlJc w:val="left"/>
      <w:pPr>
        <w:ind w:left="720" w:hanging="360"/>
      </w:pPr>
    </w:lvl>
    <w:lvl w:ilvl="1" w:tplc="916E9DC8">
      <w:start w:val="1"/>
      <w:numFmt w:val="lowerLetter"/>
      <w:lvlText w:val="%2."/>
      <w:lvlJc w:val="left"/>
      <w:pPr>
        <w:ind w:left="1440" w:hanging="360"/>
      </w:pPr>
    </w:lvl>
    <w:lvl w:ilvl="2" w:tplc="6F1041A2">
      <w:start w:val="1"/>
      <w:numFmt w:val="lowerRoman"/>
      <w:lvlText w:val="%3."/>
      <w:lvlJc w:val="right"/>
      <w:pPr>
        <w:ind w:left="2160" w:hanging="180"/>
      </w:pPr>
    </w:lvl>
    <w:lvl w:ilvl="3" w:tplc="6AFA64C2">
      <w:start w:val="1"/>
      <w:numFmt w:val="decimal"/>
      <w:lvlText w:val="%4."/>
      <w:lvlJc w:val="left"/>
      <w:pPr>
        <w:ind w:left="2880" w:hanging="360"/>
      </w:pPr>
    </w:lvl>
    <w:lvl w:ilvl="4" w:tplc="C158F274">
      <w:start w:val="1"/>
      <w:numFmt w:val="lowerLetter"/>
      <w:lvlText w:val="%5."/>
      <w:lvlJc w:val="left"/>
      <w:pPr>
        <w:ind w:left="3600" w:hanging="360"/>
      </w:pPr>
    </w:lvl>
    <w:lvl w:ilvl="5" w:tplc="0486DEC2">
      <w:start w:val="1"/>
      <w:numFmt w:val="lowerRoman"/>
      <w:lvlText w:val="%6."/>
      <w:lvlJc w:val="right"/>
      <w:pPr>
        <w:ind w:left="4320" w:hanging="180"/>
      </w:pPr>
    </w:lvl>
    <w:lvl w:ilvl="6" w:tplc="40B6D0A6">
      <w:start w:val="1"/>
      <w:numFmt w:val="decimal"/>
      <w:lvlText w:val="%7."/>
      <w:lvlJc w:val="left"/>
      <w:pPr>
        <w:ind w:left="5040" w:hanging="360"/>
      </w:pPr>
    </w:lvl>
    <w:lvl w:ilvl="7" w:tplc="17EAE1E8">
      <w:start w:val="1"/>
      <w:numFmt w:val="lowerLetter"/>
      <w:lvlText w:val="%8."/>
      <w:lvlJc w:val="left"/>
      <w:pPr>
        <w:ind w:left="5760" w:hanging="360"/>
      </w:pPr>
    </w:lvl>
    <w:lvl w:ilvl="8" w:tplc="0938F600">
      <w:start w:val="1"/>
      <w:numFmt w:val="lowerRoman"/>
      <w:lvlText w:val="%9."/>
      <w:lvlJc w:val="right"/>
      <w:pPr>
        <w:ind w:left="6480" w:hanging="180"/>
      </w:pPr>
    </w:lvl>
  </w:abstractNum>
  <w:abstractNum w:abstractNumId="5" w15:restartNumberingAfterBreak="0">
    <w:nsid w:val="01BB04D2"/>
    <w:multiLevelType w:val="hybridMultilevel"/>
    <w:tmpl w:val="396406E6"/>
    <w:lvl w:ilvl="0" w:tplc="7C94C3FA">
      <w:start w:val="1"/>
      <w:numFmt w:val="lowerRoman"/>
      <w:lvlText w:val="%1."/>
      <w:lvlJc w:val="righ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3395E66"/>
    <w:multiLevelType w:val="hybridMultilevel"/>
    <w:tmpl w:val="FFFFFFFF"/>
    <w:lvl w:ilvl="0" w:tplc="5198840A">
      <w:start w:val="1"/>
      <w:numFmt w:val="bullet"/>
      <w:lvlText w:val="·"/>
      <w:lvlJc w:val="left"/>
      <w:pPr>
        <w:ind w:left="720" w:hanging="360"/>
      </w:pPr>
    </w:lvl>
    <w:lvl w:ilvl="1" w:tplc="1B307686">
      <w:start w:val="1"/>
      <w:numFmt w:val="decimal"/>
      <w:lvlText w:val="%2."/>
      <w:lvlJc w:val="left"/>
      <w:pPr>
        <w:ind w:left="1440" w:hanging="360"/>
      </w:pPr>
    </w:lvl>
    <w:lvl w:ilvl="2" w:tplc="5A38A0C2">
      <w:start w:val="1"/>
      <w:numFmt w:val="lowerRoman"/>
      <w:lvlText w:val="%3."/>
      <w:lvlJc w:val="right"/>
      <w:pPr>
        <w:ind w:left="2160" w:hanging="180"/>
      </w:pPr>
    </w:lvl>
    <w:lvl w:ilvl="3" w:tplc="A1907878">
      <w:start w:val="1"/>
      <w:numFmt w:val="decimal"/>
      <w:lvlText w:val="%4."/>
      <w:lvlJc w:val="left"/>
      <w:pPr>
        <w:ind w:left="2880" w:hanging="360"/>
      </w:pPr>
    </w:lvl>
    <w:lvl w:ilvl="4" w:tplc="1474FB6C">
      <w:start w:val="1"/>
      <w:numFmt w:val="lowerLetter"/>
      <w:lvlText w:val="%5."/>
      <w:lvlJc w:val="left"/>
      <w:pPr>
        <w:ind w:left="3600" w:hanging="360"/>
      </w:pPr>
    </w:lvl>
    <w:lvl w:ilvl="5" w:tplc="066EFAD2">
      <w:start w:val="1"/>
      <w:numFmt w:val="lowerRoman"/>
      <w:lvlText w:val="%6."/>
      <w:lvlJc w:val="right"/>
      <w:pPr>
        <w:ind w:left="4320" w:hanging="180"/>
      </w:pPr>
    </w:lvl>
    <w:lvl w:ilvl="6" w:tplc="1602912E">
      <w:start w:val="1"/>
      <w:numFmt w:val="decimal"/>
      <w:lvlText w:val="%7."/>
      <w:lvlJc w:val="left"/>
      <w:pPr>
        <w:ind w:left="5040" w:hanging="360"/>
      </w:pPr>
    </w:lvl>
    <w:lvl w:ilvl="7" w:tplc="0EB0C000">
      <w:start w:val="1"/>
      <w:numFmt w:val="lowerLetter"/>
      <w:lvlText w:val="%8."/>
      <w:lvlJc w:val="left"/>
      <w:pPr>
        <w:ind w:left="5760" w:hanging="360"/>
      </w:pPr>
    </w:lvl>
    <w:lvl w:ilvl="8" w:tplc="5A8ADDFC">
      <w:start w:val="1"/>
      <w:numFmt w:val="lowerRoman"/>
      <w:lvlText w:val="%9."/>
      <w:lvlJc w:val="right"/>
      <w:pPr>
        <w:ind w:left="6480" w:hanging="180"/>
      </w:pPr>
    </w:lvl>
  </w:abstractNum>
  <w:abstractNum w:abstractNumId="7" w15:restartNumberingAfterBreak="0">
    <w:nsid w:val="03A345ED"/>
    <w:multiLevelType w:val="hybridMultilevel"/>
    <w:tmpl w:val="C888B01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8" w15:restartNumberingAfterBreak="0">
    <w:nsid w:val="05217617"/>
    <w:multiLevelType w:val="hybridMultilevel"/>
    <w:tmpl w:val="4CBC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316AAE"/>
    <w:multiLevelType w:val="hybridMultilevel"/>
    <w:tmpl w:val="FFFFFFFF"/>
    <w:lvl w:ilvl="0" w:tplc="C8CE4312">
      <w:start w:val="1"/>
      <w:numFmt w:val="bullet"/>
      <w:lvlText w:val="·"/>
      <w:lvlJc w:val="left"/>
      <w:pPr>
        <w:ind w:left="720" w:hanging="360"/>
      </w:pPr>
      <w:rPr>
        <w:rFonts w:ascii="Symbol" w:hAnsi="Symbol" w:hint="default"/>
      </w:rPr>
    </w:lvl>
    <w:lvl w:ilvl="1" w:tplc="8D1E319C">
      <w:start w:val="1"/>
      <w:numFmt w:val="decimal"/>
      <w:lvlText w:val="%2."/>
      <w:lvlJc w:val="left"/>
      <w:pPr>
        <w:ind w:left="1440" w:hanging="360"/>
      </w:pPr>
      <w:rPr>
        <w:rFonts w:hint="default"/>
      </w:rPr>
    </w:lvl>
    <w:lvl w:ilvl="2" w:tplc="BBB6CAD0">
      <w:start w:val="1"/>
      <w:numFmt w:val="bullet"/>
      <w:lvlText w:val=""/>
      <w:lvlJc w:val="left"/>
      <w:pPr>
        <w:ind w:left="2160" w:hanging="360"/>
      </w:pPr>
      <w:rPr>
        <w:rFonts w:ascii="Wingdings" w:hAnsi="Wingdings" w:hint="default"/>
      </w:rPr>
    </w:lvl>
    <w:lvl w:ilvl="3" w:tplc="1C96FFC8">
      <w:start w:val="1"/>
      <w:numFmt w:val="bullet"/>
      <w:lvlText w:val=""/>
      <w:lvlJc w:val="left"/>
      <w:pPr>
        <w:ind w:left="2880" w:hanging="360"/>
      </w:pPr>
      <w:rPr>
        <w:rFonts w:ascii="Symbol" w:hAnsi="Symbol" w:hint="default"/>
      </w:rPr>
    </w:lvl>
    <w:lvl w:ilvl="4" w:tplc="5B46E9C2">
      <w:start w:val="1"/>
      <w:numFmt w:val="bullet"/>
      <w:lvlText w:val="o"/>
      <w:lvlJc w:val="left"/>
      <w:pPr>
        <w:ind w:left="3600" w:hanging="360"/>
      </w:pPr>
      <w:rPr>
        <w:rFonts w:ascii="Courier New" w:hAnsi="Courier New" w:hint="default"/>
      </w:rPr>
    </w:lvl>
    <w:lvl w:ilvl="5" w:tplc="74AEAE9A">
      <w:start w:val="1"/>
      <w:numFmt w:val="bullet"/>
      <w:lvlText w:val=""/>
      <w:lvlJc w:val="left"/>
      <w:pPr>
        <w:ind w:left="4320" w:hanging="360"/>
      </w:pPr>
      <w:rPr>
        <w:rFonts w:ascii="Wingdings" w:hAnsi="Wingdings" w:hint="default"/>
      </w:rPr>
    </w:lvl>
    <w:lvl w:ilvl="6" w:tplc="FD4AB4C2">
      <w:start w:val="1"/>
      <w:numFmt w:val="bullet"/>
      <w:lvlText w:val=""/>
      <w:lvlJc w:val="left"/>
      <w:pPr>
        <w:ind w:left="5040" w:hanging="360"/>
      </w:pPr>
      <w:rPr>
        <w:rFonts w:ascii="Symbol" w:hAnsi="Symbol" w:hint="default"/>
      </w:rPr>
    </w:lvl>
    <w:lvl w:ilvl="7" w:tplc="F5D8E16E">
      <w:start w:val="1"/>
      <w:numFmt w:val="bullet"/>
      <w:lvlText w:val="o"/>
      <w:lvlJc w:val="left"/>
      <w:pPr>
        <w:ind w:left="5760" w:hanging="360"/>
      </w:pPr>
      <w:rPr>
        <w:rFonts w:ascii="Courier New" w:hAnsi="Courier New" w:hint="default"/>
      </w:rPr>
    </w:lvl>
    <w:lvl w:ilvl="8" w:tplc="F704D86A">
      <w:start w:val="1"/>
      <w:numFmt w:val="bullet"/>
      <w:lvlText w:val=""/>
      <w:lvlJc w:val="left"/>
      <w:pPr>
        <w:ind w:left="6480" w:hanging="360"/>
      </w:pPr>
      <w:rPr>
        <w:rFonts w:ascii="Wingdings" w:hAnsi="Wingdings" w:hint="default"/>
      </w:rPr>
    </w:lvl>
  </w:abstractNum>
  <w:abstractNum w:abstractNumId="10" w15:restartNumberingAfterBreak="0">
    <w:nsid w:val="05732DEE"/>
    <w:multiLevelType w:val="hybridMultilevel"/>
    <w:tmpl w:val="877047DC"/>
    <w:lvl w:ilvl="0" w:tplc="B60A0A72">
      <w:start w:val="51"/>
      <w:numFmt w:val="decimal"/>
      <w:lvlText w:val="%1)"/>
      <w:lvlJc w:val="left"/>
      <w:pPr>
        <w:ind w:left="269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C715B"/>
    <w:multiLevelType w:val="hybridMultilevel"/>
    <w:tmpl w:val="EF2C1C0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3" w15:restartNumberingAfterBreak="0">
    <w:nsid w:val="0613374F"/>
    <w:multiLevelType w:val="hybridMultilevel"/>
    <w:tmpl w:val="0130041C"/>
    <w:lvl w:ilvl="0" w:tplc="F9281620">
      <w:start w:val="1"/>
      <w:numFmt w:val="bullet"/>
      <w:lvlText w:val="·"/>
      <w:lvlJc w:val="left"/>
      <w:pPr>
        <w:ind w:left="720" w:hanging="360"/>
      </w:pPr>
      <w:rPr>
        <w:rFonts w:ascii="Symbol" w:hAnsi="Symbol" w:hint="default"/>
      </w:rPr>
    </w:lvl>
    <w:lvl w:ilvl="1" w:tplc="10084822">
      <w:start w:val="1"/>
      <w:numFmt w:val="decimal"/>
      <w:lvlText w:val="%2."/>
      <w:lvlJc w:val="left"/>
      <w:pPr>
        <w:ind w:left="1440" w:hanging="360"/>
      </w:pPr>
      <w:rPr>
        <w:rFonts w:hint="default"/>
      </w:rPr>
    </w:lvl>
    <w:lvl w:ilvl="2" w:tplc="A60A5B38">
      <w:start w:val="1"/>
      <w:numFmt w:val="bullet"/>
      <w:lvlText w:val=""/>
      <w:lvlJc w:val="left"/>
      <w:pPr>
        <w:ind w:left="2160" w:hanging="360"/>
      </w:pPr>
      <w:rPr>
        <w:rFonts w:ascii="Wingdings" w:hAnsi="Wingdings" w:hint="default"/>
      </w:rPr>
    </w:lvl>
    <w:lvl w:ilvl="3" w:tplc="EB36116E">
      <w:start w:val="1"/>
      <w:numFmt w:val="bullet"/>
      <w:lvlText w:val=""/>
      <w:lvlJc w:val="left"/>
      <w:pPr>
        <w:ind w:left="2880" w:hanging="360"/>
      </w:pPr>
      <w:rPr>
        <w:rFonts w:ascii="Symbol" w:hAnsi="Symbol" w:hint="default"/>
      </w:rPr>
    </w:lvl>
    <w:lvl w:ilvl="4" w:tplc="258A963C">
      <w:start w:val="1"/>
      <w:numFmt w:val="bullet"/>
      <w:lvlText w:val="o"/>
      <w:lvlJc w:val="left"/>
      <w:pPr>
        <w:ind w:left="3600" w:hanging="360"/>
      </w:pPr>
      <w:rPr>
        <w:rFonts w:ascii="Courier New" w:hAnsi="Courier New" w:hint="default"/>
      </w:rPr>
    </w:lvl>
    <w:lvl w:ilvl="5" w:tplc="20E44A92">
      <w:start w:val="1"/>
      <w:numFmt w:val="bullet"/>
      <w:lvlText w:val=""/>
      <w:lvlJc w:val="left"/>
      <w:pPr>
        <w:ind w:left="4320" w:hanging="360"/>
      </w:pPr>
      <w:rPr>
        <w:rFonts w:ascii="Wingdings" w:hAnsi="Wingdings" w:hint="default"/>
      </w:rPr>
    </w:lvl>
    <w:lvl w:ilvl="6" w:tplc="452622CE">
      <w:start w:val="1"/>
      <w:numFmt w:val="bullet"/>
      <w:lvlText w:val=""/>
      <w:lvlJc w:val="left"/>
      <w:pPr>
        <w:ind w:left="5040" w:hanging="360"/>
      </w:pPr>
      <w:rPr>
        <w:rFonts w:ascii="Symbol" w:hAnsi="Symbol" w:hint="default"/>
      </w:rPr>
    </w:lvl>
    <w:lvl w:ilvl="7" w:tplc="925E9D6E">
      <w:start w:val="1"/>
      <w:numFmt w:val="bullet"/>
      <w:lvlText w:val="o"/>
      <w:lvlJc w:val="left"/>
      <w:pPr>
        <w:ind w:left="5760" w:hanging="360"/>
      </w:pPr>
      <w:rPr>
        <w:rFonts w:ascii="Courier New" w:hAnsi="Courier New" w:hint="default"/>
      </w:rPr>
    </w:lvl>
    <w:lvl w:ilvl="8" w:tplc="2460FF78">
      <w:start w:val="1"/>
      <w:numFmt w:val="bullet"/>
      <w:lvlText w:val=""/>
      <w:lvlJc w:val="left"/>
      <w:pPr>
        <w:ind w:left="6480" w:hanging="360"/>
      </w:pPr>
      <w:rPr>
        <w:rFonts w:ascii="Wingdings" w:hAnsi="Wingdings" w:hint="default"/>
      </w:rPr>
    </w:lvl>
  </w:abstractNum>
  <w:abstractNum w:abstractNumId="14" w15:restartNumberingAfterBreak="0">
    <w:nsid w:val="06D66125"/>
    <w:multiLevelType w:val="hybridMultilevel"/>
    <w:tmpl w:val="9C841C50"/>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792C2A5C">
      <w:start w:val="814"/>
      <w:numFmt w:val="decimal"/>
      <w:lvlText w:val="%3)"/>
      <w:lvlJc w:val="left"/>
      <w:pPr>
        <w:ind w:left="2778" w:hanging="444"/>
      </w:pPr>
      <w:rPr>
        <w:rFonts w:hint="default"/>
        <w:sz w:val="22"/>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5" w15:restartNumberingAfterBreak="0">
    <w:nsid w:val="071C7C61"/>
    <w:multiLevelType w:val="hybridMultilevel"/>
    <w:tmpl w:val="C4C43FF0"/>
    <w:lvl w:ilvl="0" w:tplc="2F6A85A6">
      <w:start w:val="1"/>
      <w:numFmt w:val="decimal"/>
      <w:lvlText w:val="%1."/>
      <w:lvlJc w:val="left"/>
      <w:pPr>
        <w:ind w:left="720" w:hanging="360"/>
      </w:pPr>
    </w:lvl>
    <w:lvl w:ilvl="1" w:tplc="CEBCA70C">
      <w:start w:val="1"/>
      <w:numFmt w:val="decimal"/>
      <w:lvlText w:val="%2."/>
      <w:lvlJc w:val="left"/>
      <w:pPr>
        <w:ind w:left="1440" w:hanging="360"/>
      </w:pPr>
    </w:lvl>
    <w:lvl w:ilvl="2" w:tplc="F8FEDC56">
      <w:start w:val="1"/>
      <w:numFmt w:val="lowerRoman"/>
      <w:lvlText w:val="%3."/>
      <w:lvlJc w:val="right"/>
      <w:pPr>
        <w:ind w:left="2160" w:hanging="180"/>
      </w:pPr>
    </w:lvl>
    <w:lvl w:ilvl="3" w:tplc="77009DE4">
      <w:start w:val="1"/>
      <w:numFmt w:val="decimal"/>
      <w:lvlText w:val="%4."/>
      <w:lvlJc w:val="left"/>
      <w:pPr>
        <w:ind w:left="2880" w:hanging="360"/>
      </w:pPr>
    </w:lvl>
    <w:lvl w:ilvl="4" w:tplc="BC720108">
      <w:start w:val="1"/>
      <w:numFmt w:val="lowerLetter"/>
      <w:lvlText w:val="%5."/>
      <w:lvlJc w:val="left"/>
      <w:pPr>
        <w:ind w:left="3600" w:hanging="360"/>
      </w:pPr>
    </w:lvl>
    <w:lvl w:ilvl="5" w:tplc="F7FE8374">
      <w:start w:val="1"/>
      <w:numFmt w:val="lowerRoman"/>
      <w:lvlText w:val="%6."/>
      <w:lvlJc w:val="right"/>
      <w:pPr>
        <w:ind w:left="4320" w:hanging="180"/>
      </w:pPr>
    </w:lvl>
    <w:lvl w:ilvl="6" w:tplc="73CCB8F0">
      <w:start w:val="1"/>
      <w:numFmt w:val="decimal"/>
      <w:lvlText w:val="%7."/>
      <w:lvlJc w:val="left"/>
      <w:pPr>
        <w:ind w:left="5040" w:hanging="360"/>
      </w:pPr>
    </w:lvl>
    <w:lvl w:ilvl="7" w:tplc="7D5EDB44">
      <w:start w:val="1"/>
      <w:numFmt w:val="lowerLetter"/>
      <w:lvlText w:val="%8."/>
      <w:lvlJc w:val="left"/>
      <w:pPr>
        <w:ind w:left="5760" w:hanging="360"/>
      </w:pPr>
    </w:lvl>
    <w:lvl w:ilvl="8" w:tplc="65C6F4E6">
      <w:start w:val="1"/>
      <w:numFmt w:val="lowerRoman"/>
      <w:lvlText w:val="%9."/>
      <w:lvlJc w:val="right"/>
      <w:pPr>
        <w:ind w:left="6480" w:hanging="180"/>
      </w:pPr>
    </w:lvl>
  </w:abstractNum>
  <w:abstractNum w:abstractNumId="16" w15:restartNumberingAfterBreak="0">
    <w:nsid w:val="072B3779"/>
    <w:multiLevelType w:val="hybridMultilevel"/>
    <w:tmpl w:val="CFA2108A"/>
    <w:lvl w:ilvl="0" w:tplc="08160001">
      <w:start w:val="1"/>
      <w:numFmt w:val="bullet"/>
      <w:lvlText w:val=""/>
      <w:lvlJc w:val="left"/>
      <w:pPr>
        <w:ind w:left="1077" w:hanging="360"/>
      </w:pPr>
      <w:rPr>
        <w:rFonts w:ascii="Symbol" w:hAnsi="Symbol"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17" w15:restartNumberingAfterBreak="0">
    <w:nsid w:val="07446092"/>
    <w:multiLevelType w:val="hybridMultilevel"/>
    <w:tmpl w:val="FFFFFFFF"/>
    <w:lvl w:ilvl="0" w:tplc="21900F9A">
      <w:start w:val="1"/>
      <w:numFmt w:val="decimal"/>
      <w:lvlText w:val="%1."/>
      <w:lvlJc w:val="left"/>
      <w:pPr>
        <w:ind w:left="720" w:hanging="360"/>
      </w:pPr>
    </w:lvl>
    <w:lvl w:ilvl="1" w:tplc="D324CBCE">
      <w:start w:val="1"/>
      <w:numFmt w:val="lowerLetter"/>
      <w:lvlText w:val="%2."/>
      <w:lvlJc w:val="left"/>
      <w:pPr>
        <w:ind w:left="1440" w:hanging="360"/>
      </w:pPr>
    </w:lvl>
    <w:lvl w:ilvl="2" w:tplc="3F807C20">
      <w:start w:val="1"/>
      <w:numFmt w:val="lowerRoman"/>
      <w:lvlText w:val="%3."/>
      <w:lvlJc w:val="right"/>
      <w:pPr>
        <w:ind w:left="2160" w:hanging="180"/>
      </w:pPr>
    </w:lvl>
    <w:lvl w:ilvl="3" w:tplc="41B8AEF4">
      <w:start w:val="1"/>
      <w:numFmt w:val="decimal"/>
      <w:lvlText w:val="%4."/>
      <w:lvlJc w:val="left"/>
      <w:pPr>
        <w:ind w:left="2880" w:hanging="360"/>
      </w:pPr>
    </w:lvl>
    <w:lvl w:ilvl="4" w:tplc="4748FBF4">
      <w:start w:val="1"/>
      <w:numFmt w:val="lowerLetter"/>
      <w:lvlText w:val="%5."/>
      <w:lvlJc w:val="left"/>
      <w:pPr>
        <w:ind w:left="3600" w:hanging="360"/>
      </w:pPr>
    </w:lvl>
    <w:lvl w:ilvl="5" w:tplc="45FE81DA">
      <w:start w:val="1"/>
      <w:numFmt w:val="lowerRoman"/>
      <w:lvlText w:val="%6."/>
      <w:lvlJc w:val="right"/>
      <w:pPr>
        <w:ind w:left="4320" w:hanging="180"/>
      </w:pPr>
    </w:lvl>
    <w:lvl w:ilvl="6" w:tplc="1CF0929E">
      <w:start w:val="1"/>
      <w:numFmt w:val="decimal"/>
      <w:lvlText w:val="%7."/>
      <w:lvlJc w:val="left"/>
      <w:pPr>
        <w:ind w:left="5040" w:hanging="360"/>
      </w:pPr>
    </w:lvl>
    <w:lvl w:ilvl="7" w:tplc="265845C0">
      <w:start w:val="1"/>
      <w:numFmt w:val="lowerLetter"/>
      <w:lvlText w:val="%8."/>
      <w:lvlJc w:val="left"/>
      <w:pPr>
        <w:ind w:left="5760" w:hanging="360"/>
      </w:pPr>
    </w:lvl>
    <w:lvl w:ilvl="8" w:tplc="46405998">
      <w:start w:val="1"/>
      <w:numFmt w:val="lowerRoman"/>
      <w:lvlText w:val="%9."/>
      <w:lvlJc w:val="right"/>
      <w:pPr>
        <w:ind w:left="6480" w:hanging="180"/>
      </w:pPr>
    </w:lvl>
  </w:abstractNum>
  <w:abstractNum w:abstractNumId="18" w15:restartNumberingAfterBreak="0">
    <w:nsid w:val="07904F11"/>
    <w:multiLevelType w:val="hybridMultilevel"/>
    <w:tmpl w:val="9C1A1CC0"/>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9" w15:restartNumberingAfterBreak="0">
    <w:nsid w:val="08E02B53"/>
    <w:multiLevelType w:val="hybridMultilevel"/>
    <w:tmpl w:val="7F30E024"/>
    <w:lvl w:ilvl="0" w:tplc="08090011">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09343885"/>
    <w:multiLevelType w:val="hybridMultilevel"/>
    <w:tmpl w:val="FFFFFFFF"/>
    <w:lvl w:ilvl="0" w:tplc="272299A4">
      <w:start w:val="1"/>
      <w:numFmt w:val="bullet"/>
      <w:lvlText w:val="·"/>
      <w:lvlJc w:val="left"/>
      <w:pPr>
        <w:ind w:left="720" w:hanging="360"/>
      </w:pPr>
      <w:rPr>
        <w:rFonts w:ascii="Symbol" w:hAnsi="Symbol" w:hint="default"/>
      </w:rPr>
    </w:lvl>
    <w:lvl w:ilvl="1" w:tplc="A1A4B09A">
      <w:start w:val="1"/>
      <w:numFmt w:val="decimal"/>
      <w:lvlText w:val="%2."/>
      <w:lvlJc w:val="left"/>
      <w:pPr>
        <w:ind w:left="1440" w:hanging="360"/>
      </w:pPr>
      <w:rPr>
        <w:rFonts w:hint="default"/>
      </w:rPr>
    </w:lvl>
    <w:lvl w:ilvl="2" w:tplc="97F41B04">
      <w:start w:val="1"/>
      <w:numFmt w:val="bullet"/>
      <w:lvlText w:val=""/>
      <w:lvlJc w:val="left"/>
      <w:pPr>
        <w:ind w:left="2160" w:hanging="360"/>
      </w:pPr>
      <w:rPr>
        <w:rFonts w:ascii="Wingdings" w:hAnsi="Wingdings" w:hint="default"/>
      </w:rPr>
    </w:lvl>
    <w:lvl w:ilvl="3" w:tplc="D206E90C">
      <w:start w:val="1"/>
      <w:numFmt w:val="bullet"/>
      <w:lvlText w:val=""/>
      <w:lvlJc w:val="left"/>
      <w:pPr>
        <w:ind w:left="2880" w:hanging="360"/>
      </w:pPr>
      <w:rPr>
        <w:rFonts w:ascii="Symbol" w:hAnsi="Symbol" w:hint="default"/>
      </w:rPr>
    </w:lvl>
    <w:lvl w:ilvl="4" w:tplc="32A078BC">
      <w:start w:val="1"/>
      <w:numFmt w:val="bullet"/>
      <w:lvlText w:val="o"/>
      <w:lvlJc w:val="left"/>
      <w:pPr>
        <w:ind w:left="3600" w:hanging="360"/>
      </w:pPr>
      <w:rPr>
        <w:rFonts w:ascii="Courier New" w:hAnsi="Courier New" w:hint="default"/>
      </w:rPr>
    </w:lvl>
    <w:lvl w:ilvl="5" w:tplc="227687D6">
      <w:start w:val="1"/>
      <w:numFmt w:val="bullet"/>
      <w:lvlText w:val=""/>
      <w:lvlJc w:val="left"/>
      <w:pPr>
        <w:ind w:left="4320" w:hanging="360"/>
      </w:pPr>
      <w:rPr>
        <w:rFonts w:ascii="Wingdings" w:hAnsi="Wingdings" w:hint="default"/>
      </w:rPr>
    </w:lvl>
    <w:lvl w:ilvl="6" w:tplc="9B50B20E">
      <w:start w:val="1"/>
      <w:numFmt w:val="bullet"/>
      <w:lvlText w:val=""/>
      <w:lvlJc w:val="left"/>
      <w:pPr>
        <w:ind w:left="5040" w:hanging="360"/>
      </w:pPr>
      <w:rPr>
        <w:rFonts w:ascii="Symbol" w:hAnsi="Symbol" w:hint="default"/>
      </w:rPr>
    </w:lvl>
    <w:lvl w:ilvl="7" w:tplc="38B4B430">
      <w:start w:val="1"/>
      <w:numFmt w:val="bullet"/>
      <w:lvlText w:val="o"/>
      <w:lvlJc w:val="left"/>
      <w:pPr>
        <w:ind w:left="5760" w:hanging="360"/>
      </w:pPr>
      <w:rPr>
        <w:rFonts w:ascii="Courier New" w:hAnsi="Courier New" w:hint="default"/>
      </w:rPr>
    </w:lvl>
    <w:lvl w:ilvl="8" w:tplc="4962ACE2">
      <w:start w:val="1"/>
      <w:numFmt w:val="bullet"/>
      <w:lvlText w:val=""/>
      <w:lvlJc w:val="left"/>
      <w:pPr>
        <w:ind w:left="6480" w:hanging="360"/>
      </w:pPr>
      <w:rPr>
        <w:rFonts w:ascii="Wingdings" w:hAnsi="Wingdings" w:hint="default"/>
      </w:rPr>
    </w:lvl>
  </w:abstractNum>
  <w:abstractNum w:abstractNumId="21" w15:restartNumberingAfterBreak="0">
    <w:nsid w:val="096470A1"/>
    <w:multiLevelType w:val="hybridMultilevel"/>
    <w:tmpl w:val="7C7AE198"/>
    <w:lvl w:ilvl="0" w:tplc="BA2CC71E">
      <w:start w:val="44"/>
      <w:numFmt w:val="bullet"/>
      <w:lvlText w:val="-"/>
      <w:lvlJc w:val="left"/>
      <w:pPr>
        <w:ind w:left="805" w:hanging="360"/>
      </w:pPr>
      <w:rPr>
        <w:rFonts w:ascii="Cambria" w:eastAsiaTheme="minorHAnsi" w:hAnsi="Cambria" w:cs="EUAlbertin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22" w15:restartNumberingAfterBreak="0">
    <w:nsid w:val="09B87F1E"/>
    <w:multiLevelType w:val="hybridMultilevel"/>
    <w:tmpl w:val="3BD2620A"/>
    <w:lvl w:ilvl="0" w:tplc="7E0ADF18">
      <w:start w:val="1"/>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A150AB2"/>
    <w:multiLevelType w:val="hybridMultilevel"/>
    <w:tmpl w:val="FFFFFFFF"/>
    <w:lvl w:ilvl="0" w:tplc="DFCEA6E2">
      <w:start w:val="1"/>
      <w:numFmt w:val="decimal"/>
      <w:lvlText w:val="%1."/>
      <w:lvlJc w:val="left"/>
      <w:pPr>
        <w:ind w:left="720" w:hanging="360"/>
      </w:pPr>
    </w:lvl>
    <w:lvl w:ilvl="1" w:tplc="BC00EFEA">
      <w:start w:val="1"/>
      <w:numFmt w:val="lowerLetter"/>
      <w:lvlText w:val="%2."/>
      <w:lvlJc w:val="left"/>
      <w:pPr>
        <w:ind w:left="1440" w:hanging="360"/>
      </w:pPr>
    </w:lvl>
    <w:lvl w:ilvl="2" w:tplc="6AD63000">
      <w:start w:val="1"/>
      <w:numFmt w:val="lowerRoman"/>
      <w:lvlText w:val="%3."/>
      <w:lvlJc w:val="right"/>
      <w:pPr>
        <w:ind w:left="2160" w:hanging="180"/>
      </w:pPr>
    </w:lvl>
    <w:lvl w:ilvl="3" w:tplc="E7B83BE2">
      <w:start w:val="1"/>
      <w:numFmt w:val="decimal"/>
      <w:lvlText w:val="%4."/>
      <w:lvlJc w:val="left"/>
      <w:pPr>
        <w:ind w:left="2880" w:hanging="360"/>
      </w:pPr>
    </w:lvl>
    <w:lvl w:ilvl="4" w:tplc="99D88C2A">
      <w:start w:val="1"/>
      <w:numFmt w:val="lowerLetter"/>
      <w:lvlText w:val="%5."/>
      <w:lvlJc w:val="left"/>
      <w:pPr>
        <w:ind w:left="3600" w:hanging="360"/>
      </w:pPr>
    </w:lvl>
    <w:lvl w:ilvl="5" w:tplc="CD642A86">
      <w:start w:val="1"/>
      <w:numFmt w:val="lowerRoman"/>
      <w:lvlText w:val="%6."/>
      <w:lvlJc w:val="right"/>
      <w:pPr>
        <w:ind w:left="4320" w:hanging="180"/>
      </w:pPr>
    </w:lvl>
    <w:lvl w:ilvl="6" w:tplc="C4DA7404">
      <w:start w:val="1"/>
      <w:numFmt w:val="decimal"/>
      <w:lvlText w:val="%7."/>
      <w:lvlJc w:val="left"/>
      <w:pPr>
        <w:ind w:left="5040" w:hanging="360"/>
      </w:pPr>
    </w:lvl>
    <w:lvl w:ilvl="7" w:tplc="1AF6C94A">
      <w:start w:val="1"/>
      <w:numFmt w:val="lowerLetter"/>
      <w:lvlText w:val="%8."/>
      <w:lvlJc w:val="left"/>
      <w:pPr>
        <w:ind w:left="5760" w:hanging="360"/>
      </w:pPr>
    </w:lvl>
    <w:lvl w:ilvl="8" w:tplc="BEAA3690">
      <w:start w:val="1"/>
      <w:numFmt w:val="lowerRoman"/>
      <w:lvlText w:val="%9."/>
      <w:lvlJc w:val="right"/>
      <w:pPr>
        <w:ind w:left="6480" w:hanging="180"/>
      </w:pPr>
    </w:lvl>
  </w:abstractNum>
  <w:abstractNum w:abstractNumId="24" w15:restartNumberingAfterBreak="0">
    <w:nsid w:val="0ACB3BB5"/>
    <w:multiLevelType w:val="hybridMultilevel"/>
    <w:tmpl w:val="7E0E5784"/>
    <w:lvl w:ilvl="0" w:tplc="F2485612">
      <w:start w:val="1"/>
      <w:numFmt w:val="bullet"/>
      <w:lvlText w:val="·"/>
      <w:lvlJc w:val="left"/>
      <w:pPr>
        <w:ind w:left="720" w:hanging="360"/>
      </w:pPr>
      <w:rPr>
        <w:rFonts w:ascii="Symbol" w:hAnsi="Symbol" w:hint="default"/>
      </w:rPr>
    </w:lvl>
    <w:lvl w:ilvl="1" w:tplc="5DE0D462">
      <w:start w:val="1"/>
      <w:numFmt w:val="bullet"/>
      <w:lvlText w:val="o"/>
      <w:lvlJc w:val="left"/>
      <w:pPr>
        <w:ind w:left="1440" w:hanging="360"/>
      </w:pPr>
      <w:rPr>
        <w:rFonts w:ascii="Courier New" w:hAnsi="Courier New" w:hint="default"/>
      </w:rPr>
    </w:lvl>
    <w:lvl w:ilvl="2" w:tplc="3A205332">
      <w:start w:val="1"/>
      <w:numFmt w:val="bullet"/>
      <w:lvlText w:val=""/>
      <w:lvlJc w:val="left"/>
      <w:pPr>
        <w:ind w:left="2160" w:hanging="360"/>
      </w:pPr>
      <w:rPr>
        <w:rFonts w:ascii="Wingdings" w:hAnsi="Wingdings" w:hint="default"/>
      </w:rPr>
    </w:lvl>
    <w:lvl w:ilvl="3" w:tplc="3E2C7C82">
      <w:start w:val="1"/>
      <w:numFmt w:val="bullet"/>
      <w:lvlText w:val=""/>
      <w:lvlJc w:val="left"/>
      <w:pPr>
        <w:ind w:left="2880" w:hanging="360"/>
      </w:pPr>
      <w:rPr>
        <w:rFonts w:ascii="Symbol" w:hAnsi="Symbol" w:hint="default"/>
      </w:rPr>
    </w:lvl>
    <w:lvl w:ilvl="4" w:tplc="FEBE78CE">
      <w:start w:val="1"/>
      <w:numFmt w:val="bullet"/>
      <w:lvlText w:val="o"/>
      <w:lvlJc w:val="left"/>
      <w:pPr>
        <w:ind w:left="3600" w:hanging="360"/>
      </w:pPr>
      <w:rPr>
        <w:rFonts w:ascii="Courier New" w:hAnsi="Courier New" w:hint="default"/>
      </w:rPr>
    </w:lvl>
    <w:lvl w:ilvl="5" w:tplc="F15A9038">
      <w:start w:val="1"/>
      <w:numFmt w:val="bullet"/>
      <w:lvlText w:val=""/>
      <w:lvlJc w:val="left"/>
      <w:pPr>
        <w:ind w:left="4320" w:hanging="360"/>
      </w:pPr>
      <w:rPr>
        <w:rFonts w:ascii="Wingdings" w:hAnsi="Wingdings" w:hint="default"/>
      </w:rPr>
    </w:lvl>
    <w:lvl w:ilvl="6" w:tplc="24F4297C">
      <w:start w:val="1"/>
      <w:numFmt w:val="bullet"/>
      <w:lvlText w:val=""/>
      <w:lvlJc w:val="left"/>
      <w:pPr>
        <w:ind w:left="5040" w:hanging="360"/>
      </w:pPr>
      <w:rPr>
        <w:rFonts w:ascii="Symbol" w:hAnsi="Symbol" w:hint="default"/>
      </w:rPr>
    </w:lvl>
    <w:lvl w:ilvl="7" w:tplc="F2508BD4">
      <w:start w:val="1"/>
      <w:numFmt w:val="bullet"/>
      <w:lvlText w:val="o"/>
      <w:lvlJc w:val="left"/>
      <w:pPr>
        <w:ind w:left="5760" w:hanging="360"/>
      </w:pPr>
      <w:rPr>
        <w:rFonts w:ascii="Courier New" w:hAnsi="Courier New" w:hint="default"/>
      </w:rPr>
    </w:lvl>
    <w:lvl w:ilvl="8" w:tplc="E6F87978">
      <w:start w:val="1"/>
      <w:numFmt w:val="bullet"/>
      <w:lvlText w:val=""/>
      <w:lvlJc w:val="left"/>
      <w:pPr>
        <w:ind w:left="6480" w:hanging="360"/>
      </w:pPr>
      <w:rPr>
        <w:rFonts w:ascii="Wingdings" w:hAnsi="Wingdings" w:hint="default"/>
      </w:rPr>
    </w:lvl>
  </w:abstractNum>
  <w:abstractNum w:abstractNumId="25" w15:restartNumberingAfterBreak="0">
    <w:nsid w:val="0B404176"/>
    <w:multiLevelType w:val="hybridMultilevel"/>
    <w:tmpl w:val="FFFFFFFF"/>
    <w:lvl w:ilvl="0" w:tplc="FEF0EB64">
      <w:start w:val="1"/>
      <w:numFmt w:val="bullet"/>
      <w:lvlText w:val="·"/>
      <w:lvlJc w:val="left"/>
      <w:pPr>
        <w:ind w:left="720" w:hanging="360"/>
      </w:pPr>
      <w:rPr>
        <w:rFonts w:ascii="Symbol" w:hAnsi="Symbol" w:hint="default"/>
      </w:rPr>
    </w:lvl>
    <w:lvl w:ilvl="1" w:tplc="EA124254">
      <w:start w:val="1"/>
      <w:numFmt w:val="bullet"/>
      <w:lvlText w:val="o"/>
      <w:lvlJc w:val="left"/>
      <w:pPr>
        <w:ind w:left="1440" w:hanging="360"/>
      </w:pPr>
      <w:rPr>
        <w:rFonts w:ascii="Courier New" w:hAnsi="Courier New" w:hint="default"/>
      </w:rPr>
    </w:lvl>
    <w:lvl w:ilvl="2" w:tplc="2654F1F6">
      <w:start w:val="1"/>
      <w:numFmt w:val="bullet"/>
      <w:lvlText w:val=""/>
      <w:lvlJc w:val="left"/>
      <w:pPr>
        <w:ind w:left="2160" w:hanging="360"/>
      </w:pPr>
      <w:rPr>
        <w:rFonts w:ascii="Wingdings" w:hAnsi="Wingdings" w:hint="default"/>
      </w:rPr>
    </w:lvl>
    <w:lvl w:ilvl="3" w:tplc="FEC6870E">
      <w:start w:val="1"/>
      <w:numFmt w:val="bullet"/>
      <w:lvlText w:val=""/>
      <w:lvlJc w:val="left"/>
      <w:pPr>
        <w:ind w:left="2880" w:hanging="360"/>
      </w:pPr>
      <w:rPr>
        <w:rFonts w:ascii="Symbol" w:hAnsi="Symbol" w:hint="default"/>
      </w:rPr>
    </w:lvl>
    <w:lvl w:ilvl="4" w:tplc="CC2EBE6C">
      <w:start w:val="1"/>
      <w:numFmt w:val="bullet"/>
      <w:lvlText w:val="o"/>
      <w:lvlJc w:val="left"/>
      <w:pPr>
        <w:ind w:left="3600" w:hanging="360"/>
      </w:pPr>
      <w:rPr>
        <w:rFonts w:ascii="Courier New" w:hAnsi="Courier New" w:hint="default"/>
      </w:rPr>
    </w:lvl>
    <w:lvl w:ilvl="5" w:tplc="BD00317E">
      <w:start w:val="1"/>
      <w:numFmt w:val="bullet"/>
      <w:lvlText w:val=""/>
      <w:lvlJc w:val="left"/>
      <w:pPr>
        <w:ind w:left="4320" w:hanging="360"/>
      </w:pPr>
      <w:rPr>
        <w:rFonts w:ascii="Wingdings" w:hAnsi="Wingdings" w:hint="default"/>
      </w:rPr>
    </w:lvl>
    <w:lvl w:ilvl="6" w:tplc="3F6C9D0C">
      <w:start w:val="1"/>
      <w:numFmt w:val="bullet"/>
      <w:lvlText w:val=""/>
      <w:lvlJc w:val="left"/>
      <w:pPr>
        <w:ind w:left="5040" w:hanging="360"/>
      </w:pPr>
      <w:rPr>
        <w:rFonts w:ascii="Symbol" w:hAnsi="Symbol" w:hint="default"/>
      </w:rPr>
    </w:lvl>
    <w:lvl w:ilvl="7" w:tplc="7882880A">
      <w:start w:val="1"/>
      <w:numFmt w:val="bullet"/>
      <w:lvlText w:val="o"/>
      <w:lvlJc w:val="left"/>
      <w:pPr>
        <w:ind w:left="5760" w:hanging="360"/>
      </w:pPr>
      <w:rPr>
        <w:rFonts w:ascii="Courier New" w:hAnsi="Courier New" w:hint="default"/>
      </w:rPr>
    </w:lvl>
    <w:lvl w:ilvl="8" w:tplc="9188834C">
      <w:start w:val="1"/>
      <w:numFmt w:val="bullet"/>
      <w:lvlText w:val=""/>
      <w:lvlJc w:val="left"/>
      <w:pPr>
        <w:ind w:left="6480" w:hanging="360"/>
      </w:pPr>
      <w:rPr>
        <w:rFonts w:ascii="Wingdings" w:hAnsi="Wingdings" w:hint="default"/>
      </w:rPr>
    </w:lvl>
  </w:abstractNum>
  <w:abstractNum w:abstractNumId="26" w15:restartNumberingAfterBreak="0">
    <w:nsid w:val="0BAC0539"/>
    <w:multiLevelType w:val="hybridMultilevel"/>
    <w:tmpl w:val="06A64D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BAE42A1"/>
    <w:multiLevelType w:val="hybridMultilevel"/>
    <w:tmpl w:val="D2DCD4C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0BD519EB"/>
    <w:multiLevelType w:val="hybridMultilevel"/>
    <w:tmpl w:val="285E2AD2"/>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640644"/>
    <w:multiLevelType w:val="hybridMultilevel"/>
    <w:tmpl w:val="0F882124"/>
    <w:lvl w:ilvl="0" w:tplc="EB4A34E8">
      <w:start w:val="1"/>
      <w:numFmt w:val="decimal"/>
      <w:lvlText w:val="%1."/>
      <w:lvlJc w:val="left"/>
      <w:pPr>
        <w:ind w:left="720" w:hanging="360"/>
      </w:pPr>
    </w:lvl>
    <w:lvl w:ilvl="1" w:tplc="F30EFE10">
      <w:start w:val="1"/>
      <w:numFmt w:val="lowerLetter"/>
      <w:lvlText w:val="%2."/>
      <w:lvlJc w:val="left"/>
      <w:pPr>
        <w:ind w:left="1440" w:hanging="360"/>
      </w:pPr>
    </w:lvl>
    <w:lvl w:ilvl="2" w:tplc="6B6C8294">
      <w:start w:val="1"/>
      <w:numFmt w:val="lowerRoman"/>
      <w:lvlText w:val="%3."/>
      <w:lvlJc w:val="right"/>
      <w:pPr>
        <w:ind w:left="2160" w:hanging="180"/>
      </w:pPr>
    </w:lvl>
    <w:lvl w:ilvl="3" w:tplc="E83A9D48">
      <w:start w:val="1"/>
      <w:numFmt w:val="decimal"/>
      <w:lvlText w:val="%4."/>
      <w:lvlJc w:val="left"/>
      <w:pPr>
        <w:ind w:left="2880" w:hanging="360"/>
      </w:pPr>
    </w:lvl>
    <w:lvl w:ilvl="4" w:tplc="683059B4">
      <w:start w:val="1"/>
      <w:numFmt w:val="lowerLetter"/>
      <w:lvlText w:val="%5."/>
      <w:lvlJc w:val="left"/>
      <w:pPr>
        <w:ind w:left="3600" w:hanging="360"/>
      </w:pPr>
    </w:lvl>
    <w:lvl w:ilvl="5" w:tplc="C554C3D8">
      <w:start w:val="1"/>
      <w:numFmt w:val="lowerRoman"/>
      <w:lvlText w:val="%6."/>
      <w:lvlJc w:val="right"/>
      <w:pPr>
        <w:ind w:left="4320" w:hanging="180"/>
      </w:pPr>
    </w:lvl>
    <w:lvl w:ilvl="6" w:tplc="A742FE54">
      <w:start w:val="1"/>
      <w:numFmt w:val="decimal"/>
      <w:lvlText w:val="%7."/>
      <w:lvlJc w:val="left"/>
      <w:pPr>
        <w:ind w:left="5040" w:hanging="360"/>
      </w:pPr>
    </w:lvl>
    <w:lvl w:ilvl="7" w:tplc="A9CC7968">
      <w:start w:val="1"/>
      <w:numFmt w:val="lowerLetter"/>
      <w:lvlText w:val="%8."/>
      <w:lvlJc w:val="left"/>
      <w:pPr>
        <w:ind w:left="5760" w:hanging="360"/>
      </w:pPr>
    </w:lvl>
    <w:lvl w:ilvl="8" w:tplc="1A28CADC">
      <w:start w:val="1"/>
      <w:numFmt w:val="lowerRoman"/>
      <w:lvlText w:val="%9."/>
      <w:lvlJc w:val="right"/>
      <w:pPr>
        <w:ind w:left="6480" w:hanging="180"/>
      </w:pPr>
    </w:lvl>
  </w:abstractNum>
  <w:abstractNum w:abstractNumId="30" w15:restartNumberingAfterBreak="0">
    <w:nsid w:val="0C746B28"/>
    <w:multiLevelType w:val="hybridMultilevel"/>
    <w:tmpl w:val="4D68E646"/>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1" w15:restartNumberingAfterBreak="0">
    <w:nsid w:val="0C815199"/>
    <w:multiLevelType w:val="hybridMultilevel"/>
    <w:tmpl w:val="2AE8749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D06491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D6E79C9"/>
    <w:multiLevelType w:val="hybridMultilevel"/>
    <w:tmpl w:val="EEE0BEF8"/>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34" w15:restartNumberingAfterBreak="0">
    <w:nsid w:val="0DDD153F"/>
    <w:multiLevelType w:val="hybridMultilevel"/>
    <w:tmpl w:val="FFFFFFFF"/>
    <w:lvl w:ilvl="0" w:tplc="A378A13E">
      <w:start w:val="1"/>
      <w:numFmt w:val="bullet"/>
      <w:lvlText w:val="·"/>
      <w:lvlJc w:val="left"/>
      <w:pPr>
        <w:ind w:left="720" w:hanging="360"/>
      </w:pPr>
      <w:rPr>
        <w:rFonts w:ascii="Symbol" w:hAnsi="Symbol" w:hint="default"/>
      </w:rPr>
    </w:lvl>
    <w:lvl w:ilvl="1" w:tplc="513CD8BC">
      <w:start w:val="1"/>
      <w:numFmt w:val="bullet"/>
      <w:lvlText w:val="o"/>
      <w:lvlJc w:val="left"/>
      <w:pPr>
        <w:ind w:left="1440" w:hanging="360"/>
      </w:pPr>
      <w:rPr>
        <w:rFonts w:ascii="Courier New" w:hAnsi="Courier New" w:hint="default"/>
      </w:rPr>
    </w:lvl>
    <w:lvl w:ilvl="2" w:tplc="311426C2">
      <w:start w:val="1"/>
      <w:numFmt w:val="bullet"/>
      <w:lvlText w:val=""/>
      <w:lvlJc w:val="left"/>
      <w:pPr>
        <w:ind w:left="2160" w:hanging="360"/>
      </w:pPr>
      <w:rPr>
        <w:rFonts w:ascii="Wingdings" w:hAnsi="Wingdings" w:hint="default"/>
      </w:rPr>
    </w:lvl>
    <w:lvl w:ilvl="3" w:tplc="636CB83C">
      <w:start w:val="1"/>
      <w:numFmt w:val="bullet"/>
      <w:lvlText w:val=""/>
      <w:lvlJc w:val="left"/>
      <w:pPr>
        <w:ind w:left="2880" w:hanging="360"/>
      </w:pPr>
      <w:rPr>
        <w:rFonts w:ascii="Symbol" w:hAnsi="Symbol" w:hint="default"/>
      </w:rPr>
    </w:lvl>
    <w:lvl w:ilvl="4" w:tplc="6E22A5E2">
      <w:start w:val="1"/>
      <w:numFmt w:val="bullet"/>
      <w:lvlText w:val="o"/>
      <w:lvlJc w:val="left"/>
      <w:pPr>
        <w:ind w:left="3600" w:hanging="360"/>
      </w:pPr>
      <w:rPr>
        <w:rFonts w:ascii="Courier New" w:hAnsi="Courier New" w:hint="default"/>
      </w:rPr>
    </w:lvl>
    <w:lvl w:ilvl="5" w:tplc="5BF6842A">
      <w:start w:val="1"/>
      <w:numFmt w:val="bullet"/>
      <w:lvlText w:val=""/>
      <w:lvlJc w:val="left"/>
      <w:pPr>
        <w:ind w:left="4320" w:hanging="360"/>
      </w:pPr>
      <w:rPr>
        <w:rFonts w:ascii="Wingdings" w:hAnsi="Wingdings" w:hint="default"/>
      </w:rPr>
    </w:lvl>
    <w:lvl w:ilvl="6" w:tplc="DDDA7278">
      <w:start w:val="1"/>
      <w:numFmt w:val="bullet"/>
      <w:lvlText w:val=""/>
      <w:lvlJc w:val="left"/>
      <w:pPr>
        <w:ind w:left="5040" w:hanging="360"/>
      </w:pPr>
      <w:rPr>
        <w:rFonts w:ascii="Symbol" w:hAnsi="Symbol" w:hint="default"/>
      </w:rPr>
    </w:lvl>
    <w:lvl w:ilvl="7" w:tplc="CF9E98F0">
      <w:start w:val="1"/>
      <w:numFmt w:val="bullet"/>
      <w:lvlText w:val="o"/>
      <w:lvlJc w:val="left"/>
      <w:pPr>
        <w:ind w:left="5760" w:hanging="360"/>
      </w:pPr>
      <w:rPr>
        <w:rFonts w:ascii="Courier New" w:hAnsi="Courier New" w:hint="default"/>
      </w:rPr>
    </w:lvl>
    <w:lvl w:ilvl="8" w:tplc="C26419CC">
      <w:start w:val="1"/>
      <w:numFmt w:val="bullet"/>
      <w:lvlText w:val=""/>
      <w:lvlJc w:val="left"/>
      <w:pPr>
        <w:ind w:left="6480" w:hanging="360"/>
      </w:pPr>
      <w:rPr>
        <w:rFonts w:ascii="Wingdings" w:hAnsi="Wingdings" w:hint="default"/>
      </w:rPr>
    </w:lvl>
  </w:abstractNum>
  <w:abstractNum w:abstractNumId="35" w15:restartNumberingAfterBreak="0">
    <w:nsid w:val="0E144329"/>
    <w:multiLevelType w:val="hybridMultilevel"/>
    <w:tmpl w:val="9668C192"/>
    <w:lvl w:ilvl="0" w:tplc="D19ABC80">
      <w:start w:val="1"/>
      <w:numFmt w:val="decimal"/>
      <w:pStyle w:val="Numberedtilelevel1"/>
      <w:lvlText w:val="%1."/>
      <w:lvlJc w:val="left"/>
      <w:pPr>
        <w:ind w:left="360" w:hanging="360"/>
      </w:pPr>
      <w:rPr>
        <w:rFonts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0EB44764"/>
    <w:multiLevelType w:val="hybridMultilevel"/>
    <w:tmpl w:val="2640C6F4"/>
    <w:lvl w:ilvl="0" w:tplc="062C0F5A">
      <w:start w:val="1"/>
      <w:numFmt w:val="bullet"/>
      <w:lvlText w:val=""/>
      <w:lvlJc w:val="left"/>
      <w:pPr>
        <w:ind w:left="720" w:hanging="360"/>
      </w:pPr>
      <w:rPr>
        <w:rFonts w:ascii="Symbol" w:hAnsi="Symbol" w:hint="default"/>
      </w:rPr>
    </w:lvl>
    <w:lvl w:ilvl="1" w:tplc="72EADD1C">
      <w:start w:val="1"/>
      <w:numFmt w:val="bullet"/>
      <w:lvlText w:val="o"/>
      <w:lvlJc w:val="left"/>
      <w:pPr>
        <w:ind w:left="1440" w:hanging="360"/>
      </w:pPr>
      <w:rPr>
        <w:rFonts w:ascii="Courier New" w:hAnsi="Courier New" w:hint="default"/>
      </w:rPr>
    </w:lvl>
    <w:lvl w:ilvl="2" w:tplc="00EA4980">
      <w:start w:val="1"/>
      <w:numFmt w:val="bullet"/>
      <w:lvlText w:val=""/>
      <w:lvlJc w:val="left"/>
      <w:pPr>
        <w:ind w:left="2160" w:hanging="360"/>
      </w:pPr>
      <w:rPr>
        <w:rFonts w:ascii="Wingdings" w:hAnsi="Wingdings" w:hint="default"/>
      </w:rPr>
    </w:lvl>
    <w:lvl w:ilvl="3" w:tplc="2424E060">
      <w:start w:val="1"/>
      <w:numFmt w:val="bullet"/>
      <w:lvlText w:val=""/>
      <w:lvlJc w:val="left"/>
      <w:pPr>
        <w:ind w:left="2880" w:hanging="360"/>
      </w:pPr>
      <w:rPr>
        <w:rFonts w:ascii="Symbol" w:hAnsi="Symbol" w:hint="default"/>
      </w:rPr>
    </w:lvl>
    <w:lvl w:ilvl="4" w:tplc="828843B2">
      <w:start w:val="1"/>
      <w:numFmt w:val="bullet"/>
      <w:lvlText w:val="o"/>
      <w:lvlJc w:val="left"/>
      <w:pPr>
        <w:ind w:left="3600" w:hanging="360"/>
      </w:pPr>
      <w:rPr>
        <w:rFonts w:ascii="Courier New" w:hAnsi="Courier New" w:hint="default"/>
      </w:rPr>
    </w:lvl>
    <w:lvl w:ilvl="5" w:tplc="57166E14">
      <w:start w:val="1"/>
      <w:numFmt w:val="bullet"/>
      <w:lvlText w:val=""/>
      <w:lvlJc w:val="left"/>
      <w:pPr>
        <w:ind w:left="4320" w:hanging="360"/>
      </w:pPr>
      <w:rPr>
        <w:rFonts w:ascii="Wingdings" w:hAnsi="Wingdings" w:hint="default"/>
      </w:rPr>
    </w:lvl>
    <w:lvl w:ilvl="6" w:tplc="7882A628">
      <w:start w:val="1"/>
      <w:numFmt w:val="bullet"/>
      <w:lvlText w:val=""/>
      <w:lvlJc w:val="left"/>
      <w:pPr>
        <w:ind w:left="5040" w:hanging="360"/>
      </w:pPr>
      <w:rPr>
        <w:rFonts w:ascii="Symbol" w:hAnsi="Symbol" w:hint="default"/>
      </w:rPr>
    </w:lvl>
    <w:lvl w:ilvl="7" w:tplc="B62C3334">
      <w:start w:val="1"/>
      <w:numFmt w:val="bullet"/>
      <w:lvlText w:val="o"/>
      <w:lvlJc w:val="left"/>
      <w:pPr>
        <w:ind w:left="5760" w:hanging="360"/>
      </w:pPr>
      <w:rPr>
        <w:rFonts w:ascii="Courier New" w:hAnsi="Courier New" w:hint="default"/>
      </w:rPr>
    </w:lvl>
    <w:lvl w:ilvl="8" w:tplc="D476681A">
      <w:start w:val="1"/>
      <w:numFmt w:val="bullet"/>
      <w:lvlText w:val=""/>
      <w:lvlJc w:val="left"/>
      <w:pPr>
        <w:ind w:left="6480" w:hanging="360"/>
      </w:pPr>
      <w:rPr>
        <w:rFonts w:ascii="Wingdings" w:hAnsi="Wingdings" w:hint="default"/>
      </w:rPr>
    </w:lvl>
  </w:abstractNum>
  <w:abstractNum w:abstractNumId="37" w15:restartNumberingAfterBreak="0">
    <w:nsid w:val="0F5612AA"/>
    <w:multiLevelType w:val="hybridMultilevel"/>
    <w:tmpl w:val="652EF59A"/>
    <w:lvl w:ilvl="0" w:tplc="D988F740">
      <w:start w:val="1"/>
      <w:numFmt w:val="decimal"/>
      <w:lvlText w:val="%1."/>
      <w:lvlJc w:val="left"/>
      <w:pPr>
        <w:ind w:left="720" w:hanging="360"/>
      </w:pPr>
    </w:lvl>
    <w:lvl w:ilvl="1" w:tplc="E1A8789C">
      <w:start w:val="1"/>
      <w:numFmt w:val="lowerLetter"/>
      <w:lvlText w:val="%2."/>
      <w:lvlJc w:val="left"/>
      <w:pPr>
        <w:ind w:left="1440" w:hanging="360"/>
      </w:pPr>
    </w:lvl>
    <w:lvl w:ilvl="2" w:tplc="69DEE3C6">
      <w:start w:val="1"/>
      <w:numFmt w:val="lowerRoman"/>
      <w:lvlText w:val="%3."/>
      <w:lvlJc w:val="right"/>
      <w:pPr>
        <w:ind w:left="2160" w:hanging="180"/>
      </w:pPr>
    </w:lvl>
    <w:lvl w:ilvl="3" w:tplc="D7EAB9BC">
      <w:start w:val="1"/>
      <w:numFmt w:val="decimal"/>
      <w:lvlText w:val="%4."/>
      <w:lvlJc w:val="left"/>
      <w:pPr>
        <w:ind w:left="2880" w:hanging="360"/>
      </w:pPr>
    </w:lvl>
    <w:lvl w:ilvl="4" w:tplc="0AA0F928">
      <w:start w:val="1"/>
      <w:numFmt w:val="lowerLetter"/>
      <w:lvlText w:val="%5."/>
      <w:lvlJc w:val="left"/>
      <w:pPr>
        <w:ind w:left="3600" w:hanging="360"/>
      </w:pPr>
    </w:lvl>
    <w:lvl w:ilvl="5" w:tplc="325AF216">
      <w:start w:val="1"/>
      <w:numFmt w:val="lowerRoman"/>
      <w:lvlText w:val="%6."/>
      <w:lvlJc w:val="right"/>
      <w:pPr>
        <w:ind w:left="4320" w:hanging="180"/>
      </w:pPr>
    </w:lvl>
    <w:lvl w:ilvl="6" w:tplc="EFBEE6EE">
      <w:start w:val="1"/>
      <w:numFmt w:val="decimal"/>
      <w:lvlText w:val="%7."/>
      <w:lvlJc w:val="left"/>
      <w:pPr>
        <w:ind w:left="5040" w:hanging="360"/>
      </w:pPr>
    </w:lvl>
    <w:lvl w:ilvl="7" w:tplc="CC6E3FE6">
      <w:start w:val="1"/>
      <w:numFmt w:val="lowerLetter"/>
      <w:lvlText w:val="%8."/>
      <w:lvlJc w:val="left"/>
      <w:pPr>
        <w:ind w:left="5760" w:hanging="360"/>
      </w:pPr>
    </w:lvl>
    <w:lvl w:ilvl="8" w:tplc="EE223A00">
      <w:start w:val="1"/>
      <w:numFmt w:val="lowerRoman"/>
      <w:lvlText w:val="%9."/>
      <w:lvlJc w:val="right"/>
      <w:pPr>
        <w:ind w:left="6480" w:hanging="180"/>
      </w:pPr>
    </w:lvl>
  </w:abstractNum>
  <w:abstractNum w:abstractNumId="38" w15:restartNumberingAfterBreak="0">
    <w:nsid w:val="0F84792E"/>
    <w:multiLevelType w:val="hybridMultilevel"/>
    <w:tmpl w:val="430A6D7E"/>
    <w:lvl w:ilvl="0" w:tplc="F29AB518">
      <w:start w:val="1"/>
      <w:numFmt w:val="bullet"/>
      <w:lvlText w:val="·"/>
      <w:lvlJc w:val="left"/>
      <w:pPr>
        <w:ind w:left="720" w:hanging="360"/>
      </w:pPr>
      <w:rPr>
        <w:rFonts w:ascii="Symbol" w:hAnsi="Symbol" w:hint="default"/>
      </w:rPr>
    </w:lvl>
    <w:lvl w:ilvl="1" w:tplc="05AC04EC">
      <w:start w:val="1"/>
      <w:numFmt w:val="bullet"/>
      <w:lvlText w:val="o"/>
      <w:lvlJc w:val="left"/>
      <w:pPr>
        <w:ind w:left="1440" w:hanging="360"/>
      </w:pPr>
      <w:rPr>
        <w:rFonts w:ascii="Courier New" w:hAnsi="Courier New" w:hint="default"/>
      </w:rPr>
    </w:lvl>
    <w:lvl w:ilvl="2" w:tplc="52EA3D26">
      <w:start w:val="1"/>
      <w:numFmt w:val="bullet"/>
      <w:lvlText w:val=""/>
      <w:lvlJc w:val="left"/>
      <w:pPr>
        <w:ind w:left="2160" w:hanging="360"/>
      </w:pPr>
      <w:rPr>
        <w:rFonts w:ascii="Wingdings" w:hAnsi="Wingdings" w:hint="default"/>
      </w:rPr>
    </w:lvl>
    <w:lvl w:ilvl="3" w:tplc="55B8DF9A">
      <w:start w:val="1"/>
      <w:numFmt w:val="bullet"/>
      <w:lvlText w:val=""/>
      <w:lvlJc w:val="left"/>
      <w:pPr>
        <w:ind w:left="2880" w:hanging="360"/>
      </w:pPr>
      <w:rPr>
        <w:rFonts w:ascii="Symbol" w:hAnsi="Symbol" w:hint="default"/>
      </w:rPr>
    </w:lvl>
    <w:lvl w:ilvl="4" w:tplc="BD5ADE42">
      <w:start w:val="1"/>
      <w:numFmt w:val="bullet"/>
      <w:lvlText w:val="o"/>
      <w:lvlJc w:val="left"/>
      <w:pPr>
        <w:ind w:left="3600" w:hanging="360"/>
      </w:pPr>
      <w:rPr>
        <w:rFonts w:ascii="Courier New" w:hAnsi="Courier New" w:hint="default"/>
      </w:rPr>
    </w:lvl>
    <w:lvl w:ilvl="5" w:tplc="02DAABC8">
      <w:start w:val="1"/>
      <w:numFmt w:val="bullet"/>
      <w:lvlText w:val=""/>
      <w:lvlJc w:val="left"/>
      <w:pPr>
        <w:ind w:left="4320" w:hanging="360"/>
      </w:pPr>
      <w:rPr>
        <w:rFonts w:ascii="Wingdings" w:hAnsi="Wingdings" w:hint="default"/>
      </w:rPr>
    </w:lvl>
    <w:lvl w:ilvl="6" w:tplc="B060FF70">
      <w:start w:val="1"/>
      <w:numFmt w:val="bullet"/>
      <w:lvlText w:val=""/>
      <w:lvlJc w:val="left"/>
      <w:pPr>
        <w:ind w:left="5040" w:hanging="360"/>
      </w:pPr>
      <w:rPr>
        <w:rFonts w:ascii="Symbol" w:hAnsi="Symbol" w:hint="default"/>
      </w:rPr>
    </w:lvl>
    <w:lvl w:ilvl="7" w:tplc="0B924380">
      <w:start w:val="1"/>
      <w:numFmt w:val="bullet"/>
      <w:lvlText w:val="o"/>
      <w:lvlJc w:val="left"/>
      <w:pPr>
        <w:ind w:left="5760" w:hanging="360"/>
      </w:pPr>
      <w:rPr>
        <w:rFonts w:ascii="Courier New" w:hAnsi="Courier New" w:hint="default"/>
      </w:rPr>
    </w:lvl>
    <w:lvl w:ilvl="8" w:tplc="D7B00598">
      <w:start w:val="1"/>
      <w:numFmt w:val="bullet"/>
      <w:lvlText w:val=""/>
      <w:lvlJc w:val="left"/>
      <w:pPr>
        <w:ind w:left="6480" w:hanging="360"/>
      </w:pPr>
      <w:rPr>
        <w:rFonts w:ascii="Wingdings" w:hAnsi="Wingdings" w:hint="default"/>
      </w:rPr>
    </w:lvl>
  </w:abstractNum>
  <w:abstractNum w:abstractNumId="39" w15:restartNumberingAfterBreak="0">
    <w:nsid w:val="0FC815BA"/>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10BC3319"/>
    <w:multiLevelType w:val="hybridMultilevel"/>
    <w:tmpl w:val="FFFFFFFF"/>
    <w:lvl w:ilvl="0" w:tplc="0CA8ECAA">
      <w:start w:val="1"/>
      <w:numFmt w:val="bullet"/>
      <w:lvlText w:val="-"/>
      <w:lvlJc w:val="left"/>
      <w:pPr>
        <w:ind w:left="720" w:hanging="360"/>
      </w:pPr>
      <w:rPr>
        <w:rFonts w:ascii="Calibri" w:hAnsi="Calibri" w:hint="default"/>
      </w:rPr>
    </w:lvl>
    <w:lvl w:ilvl="1" w:tplc="FE78CB3C">
      <w:start w:val="1"/>
      <w:numFmt w:val="bullet"/>
      <w:lvlText w:val="o"/>
      <w:lvlJc w:val="left"/>
      <w:pPr>
        <w:ind w:left="1440" w:hanging="360"/>
      </w:pPr>
      <w:rPr>
        <w:rFonts w:ascii="Courier New" w:hAnsi="Courier New" w:hint="default"/>
      </w:rPr>
    </w:lvl>
    <w:lvl w:ilvl="2" w:tplc="75C0D15C">
      <w:start w:val="1"/>
      <w:numFmt w:val="bullet"/>
      <w:lvlText w:val=""/>
      <w:lvlJc w:val="left"/>
      <w:pPr>
        <w:ind w:left="2160" w:hanging="360"/>
      </w:pPr>
      <w:rPr>
        <w:rFonts w:ascii="Wingdings" w:hAnsi="Wingdings" w:hint="default"/>
      </w:rPr>
    </w:lvl>
    <w:lvl w:ilvl="3" w:tplc="3A7CFB44">
      <w:start w:val="1"/>
      <w:numFmt w:val="bullet"/>
      <w:lvlText w:val=""/>
      <w:lvlJc w:val="left"/>
      <w:pPr>
        <w:ind w:left="2880" w:hanging="360"/>
      </w:pPr>
      <w:rPr>
        <w:rFonts w:ascii="Symbol" w:hAnsi="Symbol" w:hint="default"/>
      </w:rPr>
    </w:lvl>
    <w:lvl w:ilvl="4" w:tplc="2D8CCC1C">
      <w:start w:val="1"/>
      <w:numFmt w:val="bullet"/>
      <w:lvlText w:val="o"/>
      <w:lvlJc w:val="left"/>
      <w:pPr>
        <w:ind w:left="3600" w:hanging="360"/>
      </w:pPr>
      <w:rPr>
        <w:rFonts w:ascii="Courier New" w:hAnsi="Courier New" w:hint="default"/>
      </w:rPr>
    </w:lvl>
    <w:lvl w:ilvl="5" w:tplc="0066BDEC">
      <w:start w:val="1"/>
      <w:numFmt w:val="bullet"/>
      <w:lvlText w:val=""/>
      <w:lvlJc w:val="left"/>
      <w:pPr>
        <w:ind w:left="4320" w:hanging="360"/>
      </w:pPr>
      <w:rPr>
        <w:rFonts w:ascii="Wingdings" w:hAnsi="Wingdings" w:hint="default"/>
      </w:rPr>
    </w:lvl>
    <w:lvl w:ilvl="6" w:tplc="99D60CBE">
      <w:start w:val="1"/>
      <w:numFmt w:val="bullet"/>
      <w:lvlText w:val=""/>
      <w:lvlJc w:val="left"/>
      <w:pPr>
        <w:ind w:left="5040" w:hanging="360"/>
      </w:pPr>
      <w:rPr>
        <w:rFonts w:ascii="Symbol" w:hAnsi="Symbol" w:hint="default"/>
      </w:rPr>
    </w:lvl>
    <w:lvl w:ilvl="7" w:tplc="423A1E3C">
      <w:start w:val="1"/>
      <w:numFmt w:val="bullet"/>
      <w:lvlText w:val="o"/>
      <w:lvlJc w:val="left"/>
      <w:pPr>
        <w:ind w:left="5760" w:hanging="360"/>
      </w:pPr>
      <w:rPr>
        <w:rFonts w:ascii="Courier New" w:hAnsi="Courier New" w:hint="default"/>
      </w:rPr>
    </w:lvl>
    <w:lvl w:ilvl="8" w:tplc="606A3D6E">
      <w:start w:val="1"/>
      <w:numFmt w:val="bullet"/>
      <w:lvlText w:val=""/>
      <w:lvlJc w:val="left"/>
      <w:pPr>
        <w:ind w:left="6480" w:hanging="360"/>
      </w:pPr>
      <w:rPr>
        <w:rFonts w:ascii="Wingdings" w:hAnsi="Wingdings" w:hint="default"/>
      </w:rPr>
    </w:lvl>
  </w:abstractNum>
  <w:abstractNum w:abstractNumId="41" w15:restartNumberingAfterBreak="0">
    <w:nsid w:val="10E25CAD"/>
    <w:multiLevelType w:val="hybridMultilevel"/>
    <w:tmpl w:val="5950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1D53EE3"/>
    <w:multiLevelType w:val="hybridMultilevel"/>
    <w:tmpl w:val="82F0B4D6"/>
    <w:lvl w:ilvl="0" w:tplc="0D561A78">
      <w:start w:val="1"/>
      <w:numFmt w:val="decimal"/>
      <w:lvlText w:val="%1."/>
      <w:lvlJc w:val="left"/>
      <w:pPr>
        <w:ind w:left="720" w:hanging="360"/>
      </w:pPr>
    </w:lvl>
    <w:lvl w:ilvl="1" w:tplc="D7127BF4">
      <w:start w:val="1"/>
      <w:numFmt w:val="lowerLetter"/>
      <w:lvlText w:val="%2."/>
      <w:lvlJc w:val="left"/>
      <w:pPr>
        <w:ind w:left="1440" w:hanging="360"/>
      </w:pPr>
    </w:lvl>
    <w:lvl w:ilvl="2" w:tplc="B9B84B20">
      <w:start w:val="1"/>
      <w:numFmt w:val="lowerRoman"/>
      <w:lvlText w:val="%3."/>
      <w:lvlJc w:val="right"/>
      <w:pPr>
        <w:ind w:left="2160" w:hanging="180"/>
      </w:pPr>
    </w:lvl>
    <w:lvl w:ilvl="3" w:tplc="799A6D20">
      <w:start w:val="1"/>
      <w:numFmt w:val="decimal"/>
      <w:lvlText w:val="%4."/>
      <w:lvlJc w:val="left"/>
      <w:pPr>
        <w:ind w:left="2880" w:hanging="360"/>
      </w:pPr>
    </w:lvl>
    <w:lvl w:ilvl="4" w:tplc="DA6C018E">
      <w:start w:val="1"/>
      <w:numFmt w:val="lowerLetter"/>
      <w:lvlText w:val="%5."/>
      <w:lvlJc w:val="left"/>
      <w:pPr>
        <w:ind w:left="3600" w:hanging="360"/>
      </w:pPr>
    </w:lvl>
    <w:lvl w:ilvl="5" w:tplc="FBF2FDF6">
      <w:start w:val="1"/>
      <w:numFmt w:val="lowerRoman"/>
      <w:lvlText w:val="%6."/>
      <w:lvlJc w:val="right"/>
      <w:pPr>
        <w:ind w:left="4320" w:hanging="180"/>
      </w:pPr>
    </w:lvl>
    <w:lvl w:ilvl="6" w:tplc="53EA99BC">
      <w:start w:val="1"/>
      <w:numFmt w:val="decimal"/>
      <w:lvlText w:val="%7."/>
      <w:lvlJc w:val="left"/>
      <w:pPr>
        <w:ind w:left="5040" w:hanging="360"/>
      </w:pPr>
    </w:lvl>
    <w:lvl w:ilvl="7" w:tplc="49302B12">
      <w:start w:val="1"/>
      <w:numFmt w:val="lowerLetter"/>
      <w:lvlText w:val="%8."/>
      <w:lvlJc w:val="left"/>
      <w:pPr>
        <w:ind w:left="5760" w:hanging="360"/>
      </w:pPr>
    </w:lvl>
    <w:lvl w:ilvl="8" w:tplc="A5449776">
      <w:start w:val="1"/>
      <w:numFmt w:val="lowerRoman"/>
      <w:lvlText w:val="%9."/>
      <w:lvlJc w:val="right"/>
      <w:pPr>
        <w:ind w:left="6480" w:hanging="180"/>
      </w:pPr>
    </w:lvl>
  </w:abstractNum>
  <w:abstractNum w:abstractNumId="43" w15:restartNumberingAfterBreak="0">
    <w:nsid w:val="121A10FA"/>
    <w:multiLevelType w:val="hybridMultilevel"/>
    <w:tmpl w:val="FFFFFFFF"/>
    <w:lvl w:ilvl="0" w:tplc="F0BABC8C">
      <w:start w:val="1"/>
      <w:numFmt w:val="decimal"/>
      <w:lvlText w:val="%1."/>
      <w:lvlJc w:val="left"/>
      <w:pPr>
        <w:ind w:left="720" w:hanging="360"/>
      </w:pPr>
    </w:lvl>
    <w:lvl w:ilvl="1" w:tplc="D5C442B6">
      <w:start w:val="1"/>
      <w:numFmt w:val="lowerLetter"/>
      <w:lvlText w:val="%2."/>
      <w:lvlJc w:val="left"/>
      <w:pPr>
        <w:ind w:left="1440" w:hanging="360"/>
      </w:pPr>
    </w:lvl>
    <w:lvl w:ilvl="2" w:tplc="9CFAAFC8">
      <w:start w:val="1"/>
      <w:numFmt w:val="lowerRoman"/>
      <w:lvlText w:val="%3."/>
      <w:lvlJc w:val="right"/>
      <w:pPr>
        <w:ind w:left="2160" w:hanging="180"/>
      </w:pPr>
    </w:lvl>
    <w:lvl w:ilvl="3" w:tplc="3488A4EE">
      <w:start w:val="1"/>
      <w:numFmt w:val="decimal"/>
      <w:lvlText w:val="%4."/>
      <w:lvlJc w:val="left"/>
      <w:pPr>
        <w:ind w:left="2880" w:hanging="360"/>
      </w:pPr>
    </w:lvl>
    <w:lvl w:ilvl="4" w:tplc="DAE28FC4">
      <w:start w:val="1"/>
      <w:numFmt w:val="lowerLetter"/>
      <w:lvlText w:val="%5."/>
      <w:lvlJc w:val="left"/>
      <w:pPr>
        <w:ind w:left="3600" w:hanging="360"/>
      </w:pPr>
    </w:lvl>
    <w:lvl w:ilvl="5" w:tplc="B6207E86">
      <w:start w:val="1"/>
      <w:numFmt w:val="lowerRoman"/>
      <w:lvlText w:val="%6."/>
      <w:lvlJc w:val="right"/>
      <w:pPr>
        <w:ind w:left="4320" w:hanging="180"/>
      </w:pPr>
    </w:lvl>
    <w:lvl w:ilvl="6" w:tplc="5EDC8DE2">
      <w:start w:val="1"/>
      <w:numFmt w:val="decimal"/>
      <w:lvlText w:val="%7."/>
      <w:lvlJc w:val="left"/>
      <w:pPr>
        <w:ind w:left="5040" w:hanging="360"/>
      </w:pPr>
    </w:lvl>
    <w:lvl w:ilvl="7" w:tplc="9728643E">
      <w:start w:val="1"/>
      <w:numFmt w:val="lowerLetter"/>
      <w:lvlText w:val="%8."/>
      <w:lvlJc w:val="left"/>
      <w:pPr>
        <w:ind w:left="5760" w:hanging="360"/>
      </w:pPr>
    </w:lvl>
    <w:lvl w:ilvl="8" w:tplc="F634F4D2">
      <w:start w:val="1"/>
      <w:numFmt w:val="lowerRoman"/>
      <w:lvlText w:val="%9."/>
      <w:lvlJc w:val="right"/>
      <w:pPr>
        <w:ind w:left="6480" w:hanging="180"/>
      </w:pPr>
    </w:lvl>
  </w:abstractNum>
  <w:abstractNum w:abstractNumId="44" w15:restartNumberingAfterBreak="0">
    <w:nsid w:val="13710F59"/>
    <w:multiLevelType w:val="hybridMultilevel"/>
    <w:tmpl w:val="736A107C"/>
    <w:lvl w:ilvl="0" w:tplc="829AB43C">
      <w:start w:val="1"/>
      <w:numFmt w:val="decimal"/>
      <w:pStyle w:val="Baseparagraphnumbered"/>
      <w:lvlText w:val="%1."/>
      <w:lvlJc w:val="left"/>
      <w:pPr>
        <w:ind w:left="786" w:hanging="360"/>
      </w:pPr>
      <w:rPr>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tentative="1">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4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38205D5"/>
    <w:multiLevelType w:val="hybridMultilevel"/>
    <w:tmpl w:val="DAAEFD8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1524A7"/>
    <w:multiLevelType w:val="hybridMultilevel"/>
    <w:tmpl w:val="CA4EA508"/>
    <w:lvl w:ilvl="0" w:tplc="C4EC37F0">
      <w:start w:val="1"/>
      <w:numFmt w:val="decimal"/>
      <w:lvlText w:val="%1."/>
      <w:lvlJc w:val="left"/>
      <w:pPr>
        <w:ind w:left="720" w:hanging="360"/>
      </w:pPr>
    </w:lvl>
    <w:lvl w:ilvl="1" w:tplc="392EF07E">
      <w:start w:val="1"/>
      <w:numFmt w:val="lowerLetter"/>
      <w:lvlText w:val="%2."/>
      <w:lvlJc w:val="left"/>
      <w:pPr>
        <w:ind w:left="1440" w:hanging="360"/>
      </w:pPr>
    </w:lvl>
    <w:lvl w:ilvl="2" w:tplc="B3544EEA">
      <w:start w:val="1"/>
      <w:numFmt w:val="lowerRoman"/>
      <w:lvlText w:val="%3."/>
      <w:lvlJc w:val="right"/>
      <w:pPr>
        <w:ind w:left="2160" w:hanging="180"/>
      </w:pPr>
    </w:lvl>
    <w:lvl w:ilvl="3" w:tplc="B9D82DF0">
      <w:start w:val="1"/>
      <w:numFmt w:val="decimal"/>
      <w:lvlText w:val="%4."/>
      <w:lvlJc w:val="left"/>
      <w:pPr>
        <w:ind w:left="2880" w:hanging="360"/>
      </w:pPr>
    </w:lvl>
    <w:lvl w:ilvl="4" w:tplc="C14C10BE">
      <w:start w:val="1"/>
      <w:numFmt w:val="lowerLetter"/>
      <w:lvlText w:val="%5."/>
      <w:lvlJc w:val="left"/>
      <w:pPr>
        <w:ind w:left="3600" w:hanging="360"/>
      </w:pPr>
    </w:lvl>
    <w:lvl w:ilvl="5" w:tplc="A7026EB2">
      <w:start w:val="1"/>
      <w:numFmt w:val="lowerRoman"/>
      <w:lvlText w:val="%6."/>
      <w:lvlJc w:val="right"/>
      <w:pPr>
        <w:ind w:left="4320" w:hanging="180"/>
      </w:pPr>
    </w:lvl>
    <w:lvl w:ilvl="6" w:tplc="2B0AA70A">
      <w:start w:val="1"/>
      <w:numFmt w:val="decimal"/>
      <w:lvlText w:val="%7."/>
      <w:lvlJc w:val="left"/>
      <w:pPr>
        <w:ind w:left="5040" w:hanging="360"/>
      </w:pPr>
    </w:lvl>
    <w:lvl w:ilvl="7" w:tplc="BB3A337E">
      <w:start w:val="1"/>
      <w:numFmt w:val="lowerLetter"/>
      <w:lvlText w:val="%8."/>
      <w:lvlJc w:val="left"/>
      <w:pPr>
        <w:ind w:left="5760" w:hanging="360"/>
      </w:pPr>
    </w:lvl>
    <w:lvl w:ilvl="8" w:tplc="E6947706">
      <w:start w:val="1"/>
      <w:numFmt w:val="lowerRoman"/>
      <w:lvlText w:val="%9."/>
      <w:lvlJc w:val="right"/>
      <w:pPr>
        <w:ind w:left="6480" w:hanging="180"/>
      </w:pPr>
    </w:lvl>
  </w:abstractNum>
  <w:abstractNum w:abstractNumId="48" w15:restartNumberingAfterBreak="0">
    <w:nsid w:val="151D3A7E"/>
    <w:multiLevelType w:val="hybridMultilevel"/>
    <w:tmpl w:val="FFFFFFFF"/>
    <w:lvl w:ilvl="0" w:tplc="73E6A3C2">
      <w:start w:val="1"/>
      <w:numFmt w:val="bullet"/>
      <w:lvlText w:val="·"/>
      <w:lvlJc w:val="left"/>
      <w:pPr>
        <w:ind w:left="720" w:hanging="360"/>
      </w:pPr>
      <w:rPr>
        <w:rFonts w:ascii="Symbol" w:hAnsi="Symbol" w:hint="default"/>
      </w:rPr>
    </w:lvl>
    <w:lvl w:ilvl="1" w:tplc="DADCC27E">
      <w:start w:val="1"/>
      <w:numFmt w:val="bullet"/>
      <w:lvlText w:val="o"/>
      <w:lvlJc w:val="left"/>
      <w:pPr>
        <w:ind w:left="1440" w:hanging="360"/>
      </w:pPr>
      <w:rPr>
        <w:rFonts w:ascii="Courier New" w:hAnsi="Courier New" w:hint="default"/>
      </w:rPr>
    </w:lvl>
    <w:lvl w:ilvl="2" w:tplc="F1421BE0">
      <w:start w:val="1"/>
      <w:numFmt w:val="bullet"/>
      <w:lvlText w:val=""/>
      <w:lvlJc w:val="left"/>
      <w:pPr>
        <w:ind w:left="2160" w:hanging="360"/>
      </w:pPr>
      <w:rPr>
        <w:rFonts w:ascii="Wingdings" w:hAnsi="Wingdings" w:hint="default"/>
      </w:rPr>
    </w:lvl>
    <w:lvl w:ilvl="3" w:tplc="AE267072">
      <w:start w:val="1"/>
      <w:numFmt w:val="bullet"/>
      <w:lvlText w:val=""/>
      <w:lvlJc w:val="left"/>
      <w:pPr>
        <w:ind w:left="2880" w:hanging="360"/>
      </w:pPr>
      <w:rPr>
        <w:rFonts w:ascii="Symbol" w:hAnsi="Symbol" w:hint="default"/>
      </w:rPr>
    </w:lvl>
    <w:lvl w:ilvl="4" w:tplc="2120385C">
      <w:start w:val="1"/>
      <w:numFmt w:val="bullet"/>
      <w:lvlText w:val="o"/>
      <w:lvlJc w:val="left"/>
      <w:pPr>
        <w:ind w:left="3600" w:hanging="360"/>
      </w:pPr>
      <w:rPr>
        <w:rFonts w:ascii="Courier New" w:hAnsi="Courier New" w:hint="default"/>
      </w:rPr>
    </w:lvl>
    <w:lvl w:ilvl="5" w:tplc="877628E4">
      <w:start w:val="1"/>
      <w:numFmt w:val="bullet"/>
      <w:lvlText w:val=""/>
      <w:lvlJc w:val="left"/>
      <w:pPr>
        <w:ind w:left="4320" w:hanging="360"/>
      </w:pPr>
      <w:rPr>
        <w:rFonts w:ascii="Wingdings" w:hAnsi="Wingdings" w:hint="default"/>
      </w:rPr>
    </w:lvl>
    <w:lvl w:ilvl="6" w:tplc="18E2F6F2">
      <w:start w:val="1"/>
      <w:numFmt w:val="bullet"/>
      <w:lvlText w:val=""/>
      <w:lvlJc w:val="left"/>
      <w:pPr>
        <w:ind w:left="5040" w:hanging="360"/>
      </w:pPr>
      <w:rPr>
        <w:rFonts w:ascii="Symbol" w:hAnsi="Symbol" w:hint="default"/>
      </w:rPr>
    </w:lvl>
    <w:lvl w:ilvl="7" w:tplc="374CDB98">
      <w:start w:val="1"/>
      <w:numFmt w:val="bullet"/>
      <w:lvlText w:val="o"/>
      <w:lvlJc w:val="left"/>
      <w:pPr>
        <w:ind w:left="5760" w:hanging="360"/>
      </w:pPr>
      <w:rPr>
        <w:rFonts w:ascii="Courier New" w:hAnsi="Courier New" w:hint="default"/>
      </w:rPr>
    </w:lvl>
    <w:lvl w:ilvl="8" w:tplc="EE7CB04E">
      <w:start w:val="1"/>
      <w:numFmt w:val="bullet"/>
      <w:lvlText w:val=""/>
      <w:lvlJc w:val="left"/>
      <w:pPr>
        <w:ind w:left="6480" w:hanging="360"/>
      </w:pPr>
      <w:rPr>
        <w:rFonts w:ascii="Wingdings" w:hAnsi="Wingdings" w:hint="default"/>
      </w:rPr>
    </w:lvl>
  </w:abstractNum>
  <w:abstractNum w:abstractNumId="49" w15:restartNumberingAfterBreak="0">
    <w:nsid w:val="1544779B"/>
    <w:multiLevelType w:val="hybridMultilevel"/>
    <w:tmpl w:val="79BA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5AA5ABD"/>
    <w:multiLevelType w:val="multilevel"/>
    <w:tmpl w:val="8CF61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6CE0019"/>
    <w:multiLevelType w:val="hybridMultilevel"/>
    <w:tmpl w:val="CFE03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6F209D6"/>
    <w:multiLevelType w:val="hybridMultilevel"/>
    <w:tmpl w:val="D6EA50C4"/>
    <w:lvl w:ilvl="0" w:tplc="09148082">
      <w:start w:val="1"/>
      <w:numFmt w:val="decimal"/>
      <w:pStyle w:val="Questionforconsultation"/>
      <w:lvlText w:val="Ques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7304C2A"/>
    <w:multiLevelType w:val="hybridMultilevel"/>
    <w:tmpl w:val="4A52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7A07C4C"/>
    <w:multiLevelType w:val="hybridMultilevel"/>
    <w:tmpl w:val="8BF839BE"/>
    <w:lvl w:ilvl="0" w:tplc="8B4C6146">
      <w:start w:val="1"/>
      <w:numFmt w:val="decimal"/>
      <w:lvlText w:val="%1."/>
      <w:lvlJc w:val="left"/>
      <w:pPr>
        <w:ind w:left="720" w:hanging="360"/>
      </w:pPr>
    </w:lvl>
    <w:lvl w:ilvl="1" w:tplc="3A8EE824">
      <w:start w:val="1"/>
      <w:numFmt w:val="decimal"/>
      <w:lvlText w:val="%2."/>
      <w:lvlJc w:val="left"/>
      <w:pPr>
        <w:ind w:left="1440" w:hanging="360"/>
      </w:pPr>
    </w:lvl>
    <w:lvl w:ilvl="2" w:tplc="65027E7E">
      <w:start w:val="1"/>
      <w:numFmt w:val="lowerRoman"/>
      <w:lvlText w:val="%3."/>
      <w:lvlJc w:val="right"/>
      <w:pPr>
        <w:ind w:left="2160" w:hanging="180"/>
      </w:pPr>
    </w:lvl>
    <w:lvl w:ilvl="3" w:tplc="282EF780">
      <w:start w:val="1"/>
      <w:numFmt w:val="decimal"/>
      <w:lvlText w:val="%4."/>
      <w:lvlJc w:val="left"/>
      <w:pPr>
        <w:ind w:left="2880" w:hanging="360"/>
      </w:pPr>
    </w:lvl>
    <w:lvl w:ilvl="4" w:tplc="B0B0C428">
      <w:start w:val="1"/>
      <w:numFmt w:val="lowerLetter"/>
      <w:lvlText w:val="%5."/>
      <w:lvlJc w:val="left"/>
      <w:pPr>
        <w:ind w:left="3600" w:hanging="360"/>
      </w:pPr>
    </w:lvl>
    <w:lvl w:ilvl="5" w:tplc="E5C8CBD4">
      <w:start w:val="1"/>
      <w:numFmt w:val="lowerRoman"/>
      <w:lvlText w:val="%6."/>
      <w:lvlJc w:val="right"/>
      <w:pPr>
        <w:ind w:left="4320" w:hanging="180"/>
      </w:pPr>
    </w:lvl>
    <w:lvl w:ilvl="6" w:tplc="0D90C03A">
      <w:start w:val="1"/>
      <w:numFmt w:val="decimal"/>
      <w:lvlText w:val="%7."/>
      <w:lvlJc w:val="left"/>
      <w:pPr>
        <w:ind w:left="5040" w:hanging="360"/>
      </w:pPr>
    </w:lvl>
    <w:lvl w:ilvl="7" w:tplc="FE8846FE">
      <w:start w:val="1"/>
      <w:numFmt w:val="lowerLetter"/>
      <w:lvlText w:val="%8."/>
      <w:lvlJc w:val="left"/>
      <w:pPr>
        <w:ind w:left="5760" w:hanging="360"/>
      </w:pPr>
    </w:lvl>
    <w:lvl w:ilvl="8" w:tplc="0D62DFB4">
      <w:start w:val="1"/>
      <w:numFmt w:val="lowerRoman"/>
      <w:lvlText w:val="%9."/>
      <w:lvlJc w:val="right"/>
      <w:pPr>
        <w:ind w:left="6480" w:hanging="180"/>
      </w:pPr>
    </w:lvl>
  </w:abstractNum>
  <w:abstractNum w:abstractNumId="55" w15:restartNumberingAfterBreak="0">
    <w:nsid w:val="17F4167A"/>
    <w:multiLevelType w:val="hybridMultilevel"/>
    <w:tmpl w:val="FFFFFFFF"/>
    <w:lvl w:ilvl="0" w:tplc="D3806AA2">
      <w:start w:val="1"/>
      <w:numFmt w:val="bullet"/>
      <w:lvlText w:val="-"/>
      <w:lvlJc w:val="left"/>
      <w:pPr>
        <w:ind w:left="720" w:hanging="360"/>
      </w:pPr>
      <w:rPr>
        <w:rFonts w:ascii="Calibri" w:hAnsi="Calibri" w:hint="default"/>
      </w:rPr>
    </w:lvl>
    <w:lvl w:ilvl="1" w:tplc="2C38E9DE">
      <w:start w:val="1"/>
      <w:numFmt w:val="bullet"/>
      <w:lvlText w:val="o"/>
      <w:lvlJc w:val="left"/>
      <w:pPr>
        <w:ind w:left="1440" w:hanging="360"/>
      </w:pPr>
      <w:rPr>
        <w:rFonts w:ascii="Courier New" w:hAnsi="Courier New" w:hint="default"/>
      </w:rPr>
    </w:lvl>
    <w:lvl w:ilvl="2" w:tplc="8E8C2270">
      <w:start w:val="1"/>
      <w:numFmt w:val="bullet"/>
      <w:lvlText w:val=""/>
      <w:lvlJc w:val="left"/>
      <w:pPr>
        <w:ind w:left="2160" w:hanging="360"/>
      </w:pPr>
      <w:rPr>
        <w:rFonts w:ascii="Wingdings" w:hAnsi="Wingdings" w:hint="default"/>
      </w:rPr>
    </w:lvl>
    <w:lvl w:ilvl="3" w:tplc="74BE373A">
      <w:start w:val="1"/>
      <w:numFmt w:val="bullet"/>
      <w:lvlText w:val=""/>
      <w:lvlJc w:val="left"/>
      <w:pPr>
        <w:ind w:left="2880" w:hanging="360"/>
      </w:pPr>
      <w:rPr>
        <w:rFonts w:ascii="Symbol" w:hAnsi="Symbol" w:hint="default"/>
      </w:rPr>
    </w:lvl>
    <w:lvl w:ilvl="4" w:tplc="FEEA031E">
      <w:start w:val="1"/>
      <w:numFmt w:val="bullet"/>
      <w:lvlText w:val="o"/>
      <w:lvlJc w:val="left"/>
      <w:pPr>
        <w:ind w:left="3600" w:hanging="360"/>
      </w:pPr>
      <w:rPr>
        <w:rFonts w:ascii="Courier New" w:hAnsi="Courier New" w:hint="default"/>
      </w:rPr>
    </w:lvl>
    <w:lvl w:ilvl="5" w:tplc="EA682F4C">
      <w:start w:val="1"/>
      <w:numFmt w:val="bullet"/>
      <w:lvlText w:val=""/>
      <w:lvlJc w:val="left"/>
      <w:pPr>
        <w:ind w:left="4320" w:hanging="360"/>
      </w:pPr>
      <w:rPr>
        <w:rFonts w:ascii="Wingdings" w:hAnsi="Wingdings" w:hint="default"/>
      </w:rPr>
    </w:lvl>
    <w:lvl w:ilvl="6" w:tplc="EDBCE59C">
      <w:start w:val="1"/>
      <w:numFmt w:val="bullet"/>
      <w:lvlText w:val=""/>
      <w:lvlJc w:val="left"/>
      <w:pPr>
        <w:ind w:left="5040" w:hanging="360"/>
      </w:pPr>
      <w:rPr>
        <w:rFonts w:ascii="Symbol" w:hAnsi="Symbol" w:hint="default"/>
      </w:rPr>
    </w:lvl>
    <w:lvl w:ilvl="7" w:tplc="28C8E89A">
      <w:start w:val="1"/>
      <w:numFmt w:val="bullet"/>
      <w:lvlText w:val="o"/>
      <w:lvlJc w:val="left"/>
      <w:pPr>
        <w:ind w:left="5760" w:hanging="360"/>
      </w:pPr>
      <w:rPr>
        <w:rFonts w:ascii="Courier New" w:hAnsi="Courier New" w:hint="default"/>
      </w:rPr>
    </w:lvl>
    <w:lvl w:ilvl="8" w:tplc="1CC032C8">
      <w:start w:val="1"/>
      <w:numFmt w:val="bullet"/>
      <w:lvlText w:val=""/>
      <w:lvlJc w:val="left"/>
      <w:pPr>
        <w:ind w:left="6480" w:hanging="360"/>
      </w:pPr>
      <w:rPr>
        <w:rFonts w:ascii="Wingdings" w:hAnsi="Wingdings" w:hint="default"/>
      </w:rPr>
    </w:lvl>
  </w:abstractNum>
  <w:abstractNum w:abstractNumId="56" w15:restartNumberingAfterBreak="0">
    <w:nsid w:val="17FF360B"/>
    <w:multiLevelType w:val="hybridMultilevel"/>
    <w:tmpl w:val="DEEA391C"/>
    <w:lvl w:ilvl="0" w:tplc="69BE2396">
      <w:start w:val="1"/>
      <w:numFmt w:val="decimal"/>
      <w:lvlText w:val="%1."/>
      <w:lvlJc w:val="left"/>
      <w:pPr>
        <w:ind w:left="720" w:hanging="360"/>
      </w:pPr>
    </w:lvl>
    <w:lvl w:ilvl="1" w:tplc="7D50F472">
      <w:start w:val="1"/>
      <w:numFmt w:val="lowerLetter"/>
      <w:lvlText w:val="%2."/>
      <w:lvlJc w:val="left"/>
      <w:pPr>
        <w:ind w:left="1440" w:hanging="360"/>
      </w:pPr>
    </w:lvl>
    <w:lvl w:ilvl="2" w:tplc="6B04F864">
      <w:start w:val="1"/>
      <w:numFmt w:val="lowerRoman"/>
      <w:lvlText w:val="%3."/>
      <w:lvlJc w:val="right"/>
      <w:pPr>
        <w:ind w:left="2160" w:hanging="180"/>
      </w:pPr>
    </w:lvl>
    <w:lvl w:ilvl="3" w:tplc="B73877EE">
      <w:start w:val="1"/>
      <w:numFmt w:val="decimal"/>
      <w:lvlText w:val="%4."/>
      <w:lvlJc w:val="left"/>
      <w:pPr>
        <w:ind w:left="2880" w:hanging="360"/>
      </w:pPr>
    </w:lvl>
    <w:lvl w:ilvl="4" w:tplc="6B3426E6">
      <w:start w:val="1"/>
      <w:numFmt w:val="lowerLetter"/>
      <w:lvlText w:val="%5."/>
      <w:lvlJc w:val="left"/>
      <w:pPr>
        <w:ind w:left="3600" w:hanging="360"/>
      </w:pPr>
    </w:lvl>
    <w:lvl w:ilvl="5" w:tplc="BC988446">
      <w:start w:val="1"/>
      <w:numFmt w:val="lowerRoman"/>
      <w:lvlText w:val="%6."/>
      <w:lvlJc w:val="right"/>
      <w:pPr>
        <w:ind w:left="4320" w:hanging="180"/>
      </w:pPr>
    </w:lvl>
    <w:lvl w:ilvl="6" w:tplc="02B66C00">
      <w:start w:val="1"/>
      <w:numFmt w:val="decimal"/>
      <w:lvlText w:val="%7."/>
      <w:lvlJc w:val="left"/>
      <w:pPr>
        <w:ind w:left="5040" w:hanging="360"/>
      </w:pPr>
    </w:lvl>
    <w:lvl w:ilvl="7" w:tplc="9398CC78">
      <w:start w:val="1"/>
      <w:numFmt w:val="lowerLetter"/>
      <w:lvlText w:val="%8."/>
      <w:lvlJc w:val="left"/>
      <w:pPr>
        <w:ind w:left="5760" w:hanging="360"/>
      </w:pPr>
    </w:lvl>
    <w:lvl w:ilvl="8" w:tplc="8EBC3454">
      <w:start w:val="1"/>
      <w:numFmt w:val="lowerRoman"/>
      <w:lvlText w:val="%9."/>
      <w:lvlJc w:val="right"/>
      <w:pPr>
        <w:ind w:left="6480" w:hanging="180"/>
      </w:pPr>
    </w:lvl>
  </w:abstractNum>
  <w:abstractNum w:abstractNumId="57" w15:restartNumberingAfterBreak="0">
    <w:nsid w:val="183612E9"/>
    <w:multiLevelType w:val="hybridMultilevel"/>
    <w:tmpl w:val="315A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AF56781"/>
    <w:multiLevelType w:val="hybridMultilevel"/>
    <w:tmpl w:val="D88025B6"/>
    <w:lvl w:ilvl="0" w:tplc="FFFFFFFF">
      <w:start w:val="1"/>
      <w:numFmt w:val="lowerRoman"/>
      <w:pStyle w:val="InstructionsText2"/>
      <w:lvlText w:val="(%1)"/>
      <w:lvlJc w:val="left"/>
      <w:pPr>
        <w:ind w:left="753" w:hanging="72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5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0" w15:restartNumberingAfterBreak="0">
    <w:nsid w:val="1B3E3FF6"/>
    <w:multiLevelType w:val="hybridMultilevel"/>
    <w:tmpl w:val="1FDA6F06"/>
    <w:lvl w:ilvl="0" w:tplc="08090001">
      <w:start w:val="1"/>
      <w:numFmt w:val="bullet"/>
      <w:lvlText w:val=""/>
      <w:lvlJc w:val="left"/>
      <w:pPr>
        <w:ind w:left="1428" w:hanging="360"/>
      </w:pPr>
      <w:rPr>
        <w:rFonts w:ascii="Symbol" w:hAnsi="Symbol" w:hint="default"/>
      </w:rPr>
    </w:lvl>
    <w:lvl w:ilvl="1" w:tplc="08090001">
      <w:start w:val="1"/>
      <w:numFmt w:val="bullet"/>
      <w:lvlText w:val=""/>
      <w:lvlJc w:val="left"/>
      <w:pPr>
        <w:ind w:left="2148" w:hanging="360"/>
      </w:pPr>
      <w:rPr>
        <w:rFonts w:ascii="Symbol" w:hAnsi="Symbol"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1" w15:restartNumberingAfterBreak="0">
    <w:nsid w:val="1BAB3364"/>
    <w:multiLevelType w:val="hybridMultilevel"/>
    <w:tmpl w:val="8AF6975A"/>
    <w:lvl w:ilvl="0" w:tplc="CCD23C1A">
      <w:start w:val="1"/>
      <w:numFmt w:val="bullet"/>
      <w:lvlText w:val="-"/>
      <w:lvlJc w:val="left"/>
      <w:pPr>
        <w:ind w:left="805" w:hanging="360"/>
      </w:pPr>
      <w:rPr>
        <w:rFonts w:ascii="Cambria" w:eastAsia="Cambria" w:hAnsi="Cambria" w:cs="Cambria"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62"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63" w15:restartNumberingAfterBreak="0">
    <w:nsid w:val="1BFF31B6"/>
    <w:multiLevelType w:val="hybridMultilevel"/>
    <w:tmpl w:val="8E98E74A"/>
    <w:lvl w:ilvl="0" w:tplc="ACAA8B04">
      <w:start w:val="1"/>
      <w:numFmt w:val="decimal"/>
      <w:lvlText w:val="%1."/>
      <w:lvlJc w:val="left"/>
      <w:pPr>
        <w:ind w:left="720" w:hanging="360"/>
      </w:pPr>
    </w:lvl>
    <w:lvl w:ilvl="1" w:tplc="7D22FFB8">
      <w:start w:val="1"/>
      <w:numFmt w:val="lowerLetter"/>
      <w:lvlText w:val="%2."/>
      <w:lvlJc w:val="left"/>
      <w:pPr>
        <w:ind w:left="1440" w:hanging="360"/>
      </w:pPr>
    </w:lvl>
    <w:lvl w:ilvl="2" w:tplc="CA26D2FE">
      <w:start w:val="1"/>
      <w:numFmt w:val="lowerRoman"/>
      <w:lvlText w:val="%3."/>
      <w:lvlJc w:val="right"/>
      <w:pPr>
        <w:ind w:left="2160" w:hanging="180"/>
      </w:pPr>
    </w:lvl>
    <w:lvl w:ilvl="3" w:tplc="D1C4FD32">
      <w:start w:val="1"/>
      <w:numFmt w:val="decimal"/>
      <w:lvlText w:val="%4."/>
      <w:lvlJc w:val="left"/>
      <w:pPr>
        <w:ind w:left="2880" w:hanging="360"/>
      </w:pPr>
    </w:lvl>
    <w:lvl w:ilvl="4" w:tplc="0818E144">
      <w:start w:val="1"/>
      <w:numFmt w:val="lowerLetter"/>
      <w:lvlText w:val="%5."/>
      <w:lvlJc w:val="left"/>
      <w:pPr>
        <w:ind w:left="3600" w:hanging="360"/>
      </w:pPr>
    </w:lvl>
    <w:lvl w:ilvl="5" w:tplc="85768914">
      <w:start w:val="1"/>
      <w:numFmt w:val="lowerRoman"/>
      <w:lvlText w:val="%6."/>
      <w:lvlJc w:val="right"/>
      <w:pPr>
        <w:ind w:left="4320" w:hanging="180"/>
      </w:pPr>
    </w:lvl>
    <w:lvl w:ilvl="6" w:tplc="67DE0CFC">
      <w:start w:val="1"/>
      <w:numFmt w:val="decimal"/>
      <w:lvlText w:val="%7."/>
      <w:lvlJc w:val="left"/>
      <w:pPr>
        <w:ind w:left="5040" w:hanging="360"/>
      </w:pPr>
    </w:lvl>
    <w:lvl w:ilvl="7" w:tplc="6D086C82">
      <w:start w:val="1"/>
      <w:numFmt w:val="lowerLetter"/>
      <w:lvlText w:val="%8."/>
      <w:lvlJc w:val="left"/>
      <w:pPr>
        <w:ind w:left="5760" w:hanging="360"/>
      </w:pPr>
    </w:lvl>
    <w:lvl w:ilvl="8" w:tplc="487896A2">
      <w:start w:val="1"/>
      <w:numFmt w:val="lowerRoman"/>
      <w:lvlText w:val="%9."/>
      <w:lvlJc w:val="right"/>
      <w:pPr>
        <w:ind w:left="6480" w:hanging="180"/>
      </w:pPr>
    </w:lvl>
  </w:abstractNum>
  <w:abstractNum w:abstractNumId="64" w15:restartNumberingAfterBreak="0">
    <w:nsid w:val="1CA64CB3"/>
    <w:multiLevelType w:val="hybridMultilevel"/>
    <w:tmpl w:val="7BC0F8E2"/>
    <w:lvl w:ilvl="0" w:tplc="7B92F31A">
      <w:start w:val="1"/>
      <w:numFmt w:val="decimal"/>
      <w:lvlText w:val="%1."/>
      <w:lvlJc w:val="left"/>
      <w:pPr>
        <w:ind w:left="720" w:hanging="360"/>
      </w:pPr>
    </w:lvl>
    <w:lvl w:ilvl="1" w:tplc="EFBCC210">
      <w:start w:val="1"/>
      <w:numFmt w:val="lowerLetter"/>
      <w:lvlText w:val="%2."/>
      <w:lvlJc w:val="left"/>
      <w:pPr>
        <w:ind w:left="1440" w:hanging="360"/>
      </w:pPr>
    </w:lvl>
    <w:lvl w:ilvl="2" w:tplc="804C4D70">
      <w:start w:val="1"/>
      <w:numFmt w:val="lowerRoman"/>
      <w:lvlText w:val="%3."/>
      <w:lvlJc w:val="right"/>
      <w:pPr>
        <w:ind w:left="2160" w:hanging="180"/>
      </w:pPr>
    </w:lvl>
    <w:lvl w:ilvl="3" w:tplc="49F25176">
      <w:start w:val="1"/>
      <w:numFmt w:val="decimal"/>
      <w:lvlText w:val="%4."/>
      <w:lvlJc w:val="left"/>
      <w:pPr>
        <w:ind w:left="2880" w:hanging="360"/>
      </w:pPr>
    </w:lvl>
    <w:lvl w:ilvl="4" w:tplc="73D425A8">
      <w:start w:val="1"/>
      <w:numFmt w:val="lowerLetter"/>
      <w:lvlText w:val="%5."/>
      <w:lvlJc w:val="left"/>
      <w:pPr>
        <w:ind w:left="3600" w:hanging="360"/>
      </w:pPr>
    </w:lvl>
    <w:lvl w:ilvl="5" w:tplc="19F07CAE">
      <w:start w:val="1"/>
      <w:numFmt w:val="lowerRoman"/>
      <w:lvlText w:val="%6."/>
      <w:lvlJc w:val="right"/>
      <w:pPr>
        <w:ind w:left="4320" w:hanging="180"/>
      </w:pPr>
    </w:lvl>
    <w:lvl w:ilvl="6" w:tplc="B796AD18">
      <w:start w:val="1"/>
      <w:numFmt w:val="decimal"/>
      <w:lvlText w:val="%7."/>
      <w:lvlJc w:val="left"/>
      <w:pPr>
        <w:ind w:left="5040" w:hanging="360"/>
      </w:pPr>
    </w:lvl>
    <w:lvl w:ilvl="7" w:tplc="ED36B972">
      <w:start w:val="1"/>
      <w:numFmt w:val="lowerLetter"/>
      <w:lvlText w:val="%8."/>
      <w:lvlJc w:val="left"/>
      <w:pPr>
        <w:ind w:left="5760" w:hanging="360"/>
      </w:pPr>
    </w:lvl>
    <w:lvl w:ilvl="8" w:tplc="03CE765A">
      <w:start w:val="1"/>
      <w:numFmt w:val="lowerRoman"/>
      <w:lvlText w:val="%9."/>
      <w:lvlJc w:val="right"/>
      <w:pPr>
        <w:ind w:left="6480" w:hanging="180"/>
      </w:pPr>
    </w:lvl>
  </w:abstractNum>
  <w:abstractNum w:abstractNumId="65" w15:restartNumberingAfterBreak="0">
    <w:nsid w:val="1CFE6D45"/>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8F2BF3"/>
    <w:multiLevelType w:val="hybridMultilevel"/>
    <w:tmpl w:val="94E49D02"/>
    <w:lvl w:ilvl="0" w:tplc="CE9CC8B6">
      <w:start w:val="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DDB15C1"/>
    <w:multiLevelType w:val="hybridMultilevel"/>
    <w:tmpl w:val="A38E0354"/>
    <w:lvl w:ilvl="0" w:tplc="9CE80BD4">
      <w:start w:val="1"/>
      <w:numFmt w:val="decimal"/>
      <w:lvlText w:val="%1."/>
      <w:lvlJc w:val="left"/>
      <w:pPr>
        <w:ind w:left="530" w:hanging="44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ECC3D9B"/>
    <w:multiLevelType w:val="hybridMultilevel"/>
    <w:tmpl w:val="2ABCD738"/>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1FA53043"/>
    <w:multiLevelType w:val="hybridMultilevel"/>
    <w:tmpl w:val="FFFFFFFF"/>
    <w:lvl w:ilvl="0" w:tplc="56A0BC4A">
      <w:start w:val="1"/>
      <w:numFmt w:val="bullet"/>
      <w:lvlText w:val=""/>
      <w:lvlJc w:val="left"/>
      <w:pPr>
        <w:ind w:left="720" w:hanging="360"/>
      </w:pPr>
      <w:rPr>
        <w:rFonts w:ascii="Symbol" w:hAnsi="Symbol" w:hint="default"/>
      </w:rPr>
    </w:lvl>
    <w:lvl w:ilvl="1" w:tplc="F4BC5EE6">
      <w:start w:val="1"/>
      <w:numFmt w:val="bullet"/>
      <w:lvlText w:val="o"/>
      <w:lvlJc w:val="left"/>
      <w:pPr>
        <w:ind w:left="1440" w:hanging="360"/>
      </w:pPr>
      <w:rPr>
        <w:rFonts w:ascii="Courier New" w:hAnsi="Courier New" w:hint="default"/>
      </w:rPr>
    </w:lvl>
    <w:lvl w:ilvl="2" w:tplc="19506C50">
      <w:start w:val="1"/>
      <w:numFmt w:val="bullet"/>
      <w:lvlText w:val=""/>
      <w:lvlJc w:val="left"/>
      <w:pPr>
        <w:ind w:left="2160" w:hanging="360"/>
      </w:pPr>
      <w:rPr>
        <w:rFonts w:ascii="Wingdings" w:hAnsi="Wingdings" w:hint="default"/>
      </w:rPr>
    </w:lvl>
    <w:lvl w:ilvl="3" w:tplc="AE7A31B6">
      <w:start w:val="1"/>
      <w:numFmt w:val="bullet"/>
      <w:lvlText w:val=""/>
      <w:lvlJc w:val="left"/>
      <w:pPr>
        <w:ind w:left="2880" w:hanging="360"/>
      </w:pPr>
      <w:rPr>
        <w:rFonts w:ascii="Symbol" w:hAnsi="Symbol" w:hint="default"/>
      </w:rPr>
    </w:lvl>
    <w:lvl w:ilvl="4" w:tplc="9BF0E318">
      <w:start w:val="1"/>
      <w:numFmt w:val="bullet"/>
      <w:lvlText w:val="o"/>
      <w:lvlJc w:val="left"/>
      <w:pPr>
        <w:ind w:left="3600" w:hanging="360"/>
      </w:pPr>
      <w:rPr>
        <w:rFonts w:ascii="Courier New" w:hAnsi="Courier New" w:hint="default"/>
      </w:rPr>
    </w:lvl>
    <w:lvl w:ilvl="5" w:tplc="8F9A732E">
      <w:start w:val="1"/>
      <w:numFmt w:val="bullet"/>
      <w:lvlText w:val=""/>
      <w:lvlJc w:val="left"/>
      <w:pPr>
        <w:ind w:left="4320" w:hanging="360"/>
      </w:pPr>
      <w:rPr>
        <w:rFonts w:ascii="Wingdings" w:hAnsi="Wingdings" w:hint="default"/>
      </w:rPr>
    </w:lvl>
    <w:lvl w:ilvl="6" w:tplc="490A6A3A">
      <w:start w:val="1"/>
      <w:numFmt w:val="bullet"/>
      <w:lvlText w:val=""/>
      <w:lvlJc w:val="left"/>
      <w:pPr>
        <w:ind w:left="5040" w:hanging="360"/>
      </w:pPr>
      <w:rPr>
        <w:rFonts w:ascii="Symbol" w:hAnsi="Symbol" w:hint="default"/>
      </w:rPr>
    </w:lvl>
    <w:lvl w:ilvl="7" w:tplc="D0389B26">
      <w:start w:val="1"/>
      <w:numFmt w:val="bullet"/>
      <w:lvlText w:val="o"/>
      <w:lvlJc w:val="left"/>
      <w:pPr>
        <w:ind w:left="5760" w:hanging="360"/>
      </w:pPr>
      <w:rPr>
        <w:rFonts w:ascii="Courier New" w:hAnsi="Courier New" w:hint="default"/>
      </w:rPr>
    </w:lvl>
    <w:lvl w:ilvl="8" w:tplc="9C7E2CE8">
      <w:start w:val="1"/>
      <w:numFmt w:val="bullet"/>
      <w:lvlText w:val=""/>
      <w:lvlJc w:val="left"/>
      <w:pPr>
        <w:ind w:left="6480" w:hanging="360"/>
      </w:pPr>
      <w:rPr>
        <w:rFonts w:ascii="Wingdings" w:hAnsi="Wingdings" w:hint="default"/>
      </w:rPr>
    </w:lvl>
  </w:abstractNum>
  <w:abstractNum w:abstractNumId="70" w15:restartNumberingAfterBreak="0">
    <w:nsid w:val="205F03D1"/>
    <w:multiLevelType w:val="hybridMultilevel"/>
    <w:tmpl w:val="2870CD60"/>
    <w:lvl w:ilvl="0" w:tplc="D4EE6B8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1" w15:restartNumberingAfterBreak="0">
    <w:nsid w:val="208707BC"/>
    <w:multiLevelType w:val="hybridMultilevel"/>
    <w:tmpl w:val="EB3CED8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72" w15:restartNumberingAfterBreak="0">
    <w:nsid w:val="21015618"/>
    <w:multiLevelType w:val="hybridMultilevel"/>
    <w:tmpl w:val="31C834D8"/>
    <w:lvl w:ilvl="0" w:tplc="0816000F">
      <w:start w:val="1"/>
      <w:numFmt w:val="decimal"/>
      <w:lvlText w:val="%1."/>
      <w:lvlJc w:val="left"/>
      <w:pPr>
        <w:ind w:left="753" w:hanging="360"/>
      </w:pPr>
    </w:lvl>
    <w:lvl w:ilvl="1" w:tplc="08160019" w:tentative="1">
      <w:start w:val="1"/>
      <w:numFmt w:val="lowerLetter"/>
      <w:lvlText w:val="%2."/>
      <w:lvlJc w:val="left"/>
      <w:pPr>
        <w:ind w:left="1473" w:hanging="360"/>
      </w:pPr>
    </w:lvl>
    <w:lvl w:ilvl="2" w:tplc="0816001B" w:tentative="1">
      <w:start w:val="1"/>
      <w:numFmt w:val="lowerRoman"/>
      <w:lvlText w:val="%3."/>
      <w:lvlJc w:val="right"/>
      <w:pPr>
        <w:ind w:left="2193" w:hanging="180"/>
      </w:pPr>
    </w:lvl>
    <w:lvl w:ilvl="3" w:tplc="0816000F" w:tentative="1">
      <w:start w:val="1"/>
      <w:numFmt w:val="decimal"/>
      <w:lvlText w:val="%4."/>
      <w:lvlJc w:val="left"/>
      <w:pPr>
        <w:ind w:left="2913" w:hanging="360"/>
      </w:pPr>
    </w:lvl>
    <w:lvl w:ilvl="4" w:tplc="08160019" w:tentative="1">
      <w:start w:val="1"/>
      <w:numFmt w:val="lowerLetter"/>
      <w:lvlText w:val="%5."/>
      <w:lvlJc w:val="left"/>
      <w:pPr>
        <w:ind w:left="3633" w:hanging="360"/>
      </w:pPr>
    </w:lvl>
    <w:lvl w:ilvl="5" w:tplc="0816001B" w:tentative="1">
      <w:start w:val="1"/>
      <w:numFmt w:val="lowerRoman"/>
      <w:lvlText w:val="%6."/>
      <w:lvlJc w:val="right"/>
      <w:pPr>
        <w:ind w:left="4353" w:hanging="180"/>
      </w:pPr>
    </w:lvl>
    <w:lvl w:ilvl="6" w:tplc="0816000F" w:tentative="1">
      <w:start w:val="1"/>
      <w:numFmt w:val="decimal"/>
      <w:lvlText w:val="%7."/>
      <w:lvlJc w:val="left"/>
      <w:pPr>
        <w:ind w:left="5073" w:hanging="360"/>
      </w:pPr>
    </w:lvl>
    <w:lvl w:ilvl="7" w:tplc="08160019" w:tentative="1">
      <w:start w:val="1"/>
      <w:numFmt w:val="lowerLetter"/>
      <w:lvlText w:val="%8."/>
      <w:lvlJc w:val="left"/>
      <w:pPr>
        <w:ind w:left="5793" w:hanging="360"/>
      </w:pPr>
    </w:lvl>
    <w:lvl w:ilvl="8" w:tplc="0816001B" w:tentative="1">
      <w:start w:val="1"/>
      <w:numFmt w:val="lowerRoman"/>
      <w:lvlText w:val="%9."/>
      <w:lvlJc w:val="right"/>
      <w:pPr>
        <w:ind w:left="6513" w:hanging="180"/>
      </w:pPr>
    </w:lvl>
  </w:abstractNum>
  <w:abstractNum w:abstractNumId="73" w15:restartNumberingAfterBreak="0">
    <w:nsid w:val="215867C5"/>
    <w:multiLevelType w:val="hybridMultilevel"/>
    <w:tmpl w:val="FFFFFFFF"/>
    <w:lvl w:ilvl="0" w:tplc="66D0D3FC">
      <w:start w:val="1"/>
      <w:numFmt w:val="bullet"/>
      <w:lvlText w:val="·"/>
      <w:lvlJc w:val="left"/>
      <w:pPr>
        <w:ind w:left="720" w:hanging="360"/>
      </w:pPr>
      <w:rPr>
        <w:rFonts w:ascii="Symbol" w:hAnsi="Symbol" w:hint="default"/>
      </w:rPr>
    </w:lvl>
    <w:lvl w:ilvl="1" w:tplc="E33649CA">
      <w:start w:val="1"/>
      <w:numFmt w:val="bullet"/>
      <w:lvlText w:val="o"/>
      <w:lvlJc w:val="left"/>
      <w:pPr>
        <w:ind w:left="1440" w:hanging="360"/>
      </w:pPr>
      <w:rPr>
        <w:rFonts w:ascii="Courier New" w:hAnsi="Courier New" w:hint="default"/>
      </w:rPr>
    </w:lvl>
    <w:lvl w:ilvl="2" w:tplc="1E589404">
      <w:start w:val="1"/>
      <w:numFmt w:val="bullet"/>
      <w:lvlText w:val=""/>
      <w:lvlJc w:val="left"/>
      <w:pPr>
        <w:ind w:left="2160" w:hanging="360"/>
      </w:pPr>
      <w:rPr>
        <w:rFonts w:ascii="Wingdings" w:hAnsi="Wingdings" w:hint="default"/>
      </w:rPr>
    </w:lvl>
    <w:lvl w:ilvl="3" w:tplc="F2B238AE">
      <w:start w:val="1"/>
      <w:numFmt w:val="bullet"/>
      <w:lvlText w:val=""/>
      <w:lvlJc w:val="left"/>
      <w:pPr>
        <w:ind w:left="2880" w:hanging="360"/>
      </w:pPr>
      <w:rPr>
        <w:rFonts w:ascii="Symbol" w:hAnsi="Symbol" w:hint="default"/>
      </w:rPr>
    </w:lvl>
    <w:lvl w:ilvl="4" w:tplc="DBF02F08">
      <w:start w:val="1"/>
      <w:numFmt w:val="bullet"/>
      <w:lvlText w:val="o"/>
      <w:lvlJc w:val="left"/>
      <w:pPr>
        <w:ind w:left="3600" w:hanging="360"/>
      </w:pPr>
      <w:rPr>
        <w:rFonts w:ascii="Courier New" w:hAnsi="Courier New" w:hint="default"/>
      </w:rPr>
    </w:lvl>
    <w:lvl w:ilvl="5" w:tplc="AEDA5C72">
      <w:start w:val="1"/>
      <w:numFmt w:val="bullet"/>
      <w:lvlText w:val=""/>
      <w:lvlJc w:val="left"/>
      <w:pPr>
        <w:ind w:left="4320" w:hanging="360"/>
      </w:pPr>
      <w:rPr>
        <w:rFonts w:ascii="Wingdings" w:hAnsi="Wingdings" w:hint="default"/>
      </w:rPr>
    </w:lvl>
    <w:lvl w:ilvl="6" w:tplc="19B20A8A">
      <w:start w:val="1"/>
      <w:numFmt w:val="bullet"/>
      <w:lvlText w:val=""/>
      <w:lvlJc w:val="left"/>
      <w:pPr>
        <w:ind w:left="5040" w:hanging="360"/>
      </w:pPr>
      <w:rPr>
        <w:rFonts w:ascii="Symbol" w:hAnsi="Symbol" w:hint="default"/>
      </w:rPr>
    </w:lvl>
    <w:lvl w:ilvl="7" w:tplc="A1A6D11C">
      <w:start w:val="1"/>
      <w:numFmt w:val="bullet"/>
      <w:lvlText w:val="o"/>
      <w:lvlJc w:val="left"/>
      <w:pPr>
        <w:ind w:left="5760" w:hanging="360"/>
      </w:pPr>
      <w:rPr>
        <w:rFonts w:ascii="Courier New" w:hAnsi="Courier New" w:hint="default"/>
      </w:rPr>
    </w:lvl>
    <w:lvl w:ilvl="8" w:tplc="B1E29A3E">
      <w:start w:val="1"/>
      <w:numFmt w:val="bullet"/>
      <w:lvlText w:val=""/>
      <w:lvlJc w:val="left"/>
      <w:pPr>
        <w:ind w:left="6480" w:hanging="360"/>
      </w:pPr>
      <w:rPr>
        <w:rFonts w:ascii="Wingdings" w:hAnsi="Wingdings" w:hint="default"/>
      </w:rPr>
    </w:lvl>
  </w:abstractNum>
  <w:abstractNum w:abstractNumId="74" w15:restartNumberingAfterBreak="0">
    <w:nsid w:val="21DB0054"/>
    <w:multiLevelType w:val="hybridMultilevel"/>
    <w:tmpl w:val="FFFFFFFF"/>
    <w:lvl w:ilvl="0" w:tplc="7B38B750">
      <w:start w:val="1"/>
      <w:numFmt w:val="bullet"/>
      <w:lvlText w:val=""/>
      <w:lvlJc w:val="left"/>
      <w:pPr>
        <w:ind w:left="720" w:hanging="360"/>
      </w:pPr>
      <w:rPr>
        <w:rFonts w:ascii="Symbol" w:hAnsi="Symbol" w:hint="default"/>
      </w:rPr>
    </w:lvl>
    <w:lvl w:ilvl="1" w:tplc="0FCE9EFC">
      <w:start w:val="1"/>
      <w:numFmt w:val="bullet"/>
      <w:lvlText w:val="o"/>
      <w:lvlJc w:val="left"/>
      <w:pPr>
        <w:ind w:left="1440" w:hanging="360"/>
      </w:pPr>
      <w:rPr>
        <w:rFonts w:ascii="Courier New" w:hAnsi="Courier New" w:hint="default"/>
      </w:rPr>
    </w:lvl>
    <w:lvl w:ilvl="2" w:tplc="97A4EB06">
      <w:start w:val="1"/>
      <w:numFmt w:val="bullet"/>
      <w:lvlText w:val=""/>
      <w:lvlJc w:val="left"/>
      <w:pPr>
        <w:ind w:left="2160" w:hanging="360"/>
      </w:pPr>
      <w:rPr>
        <w:rFonts w:ascii="Wingdings" w:hAnsi="Wingdings" w:hint="default"/>
      </w:rPr>
    </w:lvl>
    <w:lvl w:ilvl="3" w:tplc="FD740D12">
      <w:start w:val="1"/>
      <w:numFmt w:val="bullet"/>
      <w:lvlText w:val=""/>
      <w:lvlJc w:val="left"/>
      <w:pPr>
        <w:ind w:left="2880" w:hanging="360"/>
      </w:pPr>
      <w:rPr>
        <w:rFonts w:ascii="Symbol" w:hAnsi="Symbol" w:hint="default"/>
      </w:rPr>
    </w:lvl>
    <w:lvl w:ilvl="4" w:tplc="CC847C96">
      <w:start w:val="1"/>
      <w:numFmt w:val="bullet"/>
      <w:lvlText w:val="o"/>
      <w:lvlJc w:val="left"/>
      <w:pPr>
        <w:ind w:left="3600" w:hanging="360"/>
      </w:pPr>
      <w:rPr>
        <w:rFonts w:ascii="Courier New" w:hAnsi="Courier New" w:hint="default"/>
      </w:rPr>
    </w:lvl>
    <w:lvl w:ilvl="5" w:tplc="1396E672">
      <w:start w:val="1"/>
      <w:numFmt w:val="bullet"/>
      <w:lvlText w:val=""/>
      <w:lvlJc w:val="left"/>
      <w:pPr>
        <w:ind w:left="4320" w:hanging="360"/>
      </w:pPr>
      <w:rPr>
        <w:rFonts w:ascii="Wingdings" w:hAnsi="Wingdings" w:hint="default"/>
      </w:rPr>
    </w:lvl>
    <w:lvl w:ilvl="6" w:tplc="56A68A46">
      <w:start w:val="1"/>
      <w:numFmt w:val="bullet"/>
      <w:lvlText w:val=""/>
      <w:lvlJc w:val="left"/>
      <w:pPr>
        <w:ind w:left="5040" w:hanging="360"/>
      </w:pPr>
      <w:rPr>
        <w:rFonts w:ascii="Symbol" w:hAnsi="Symbol" w:hint="default"/>
      </w:rPr>
    </w:lvl>
    <w:lvl w:ilvl="7" w:tplc="06321E22">
      <w:start w:val="1"/>
      <w:numFmt w:val="bullet"/>
      <w:lvlText w:val="o"/>
      <w:lvlJc w:val="left"/>
      <w:pPr>
        <w:ind w:left="5760" w:hanging="360"/>
      </w:pPr>
      <w:rPr>
        <w:rFonts w:ascii="Courier New" w:hAnsi="Courier New" w:hint="default"/>
      </w:rPr>
    </w:lvl>
    <w:lvl w:ilvl="8" w:tplc="67907B4C">
      <w:start w:val="1"/>
      <w:numFmt w:val="bullet"/>
      <w:lvlText w:val=""/>
      <w:lvlJc w:val="left"/>
      <w:pPr>
        <w:ind w:left="6480" w:hanging="360"/>
      </w:pPr>
      <w:rPr>
        <w:rFonts w:ascii="Wingdings" w:hAnsi="Wingdings" w:hint="default"/>
      </w:rPr>
    </w:lvl>
  </w:abstractNum>
  <w:abstractNum w:abstractNumId="75" w15:restartNumberingAfterBreak="0">
    <w:nsid w:val="21DB0685"/>
    <w:multiLevelType w:val="hybridMultilevel"/>
    <w:tmpl w:val="A6F22872"/>
    <w:lvl w:ilvl="0" w:tplc="FC5863EC">
      <w:start w:val="1"/>
      <w:numFmt w:val="bullet"/>
      <w:lvlText w:val="·"/>
      <w:lvlJc w:val="left"/>
      <w:pPr>
        <w:ind w:left="720" w:hanging="360"/>
      </w:pPr>
    </w:lvl>
    <w:lvl w:ilvl="1" w:tplc="F452AEC6">
      <w:start w:val="1"/>
      <w:numFmt w:val="decimal"/>
      <w:lvlText w:val="%2."/>
      <w:lvlJc w:val="left"/>
      <w:pPr>
        <w:ind w:left="1440" w:hanging="360"/>
      </w:pPr>
    </w:lvl>
    <w:lvl w:ilvl="2" w:tplc="6C66208E">
      <w:start w:val="1"/>
      <w:numFmt w:val="lowerRoman"/>
      <w:lvlText w:val="%3."/>
      <w:lvlJc w:val="right"/>
      <w:pPr>
        <w:ind w:left="2160" w:hanging="180"/>
      </w:pPr>
    </w:lvl>
    <w:lvl w:ilvl="3" w:tplc="5BB47052">
      <w:start w:val="1"/>
      <w:numFmt w:val="decimal"/>
      <w:lvlText w:val="%4."/>
      <w:lvlJc w:val="left"/>
      <w:pPr>
        <w:ind w:left="2880" w:hanging="360"/>
      </w:pPr>
    </w:lvl>
    <w:lvl w:ilvl="4" w:tplc="6C94D770">
      <w:start w:val="1"/>
      <w:numFmt w:val="lowerLetter"/>
      <w:lvlText w:val="%5."/>
      <w:lvlJc w:val="left"/>
      <w:pPr>
        <w:ind w:left="3600" w:hanging="360"/>
      </w:pPr>
    </w:lvl>
    <w:lvl w:ilvl="5" w:tplc="A642BA68">
      <w:start w:val="1"/>
      <w:numFmt w:val="lowerRoman"/>
      <w:lvlText w:val="%6."/>
      <w:lvlJc w:val="right"/>
      <w:pPr>
        <w:ind w:left="4320" w:hanging="180"/>
      </w:pPr>
    </w:lvl>
    <w:lvl w:ilvl="6" w:tplc="B3707128">
      <w:start w:val="1"/>
      <w:numFmt w:val="decimal"/>
      <w:lvlText w:val="%7."/>
      <w:lvlJc w:val="left"/>
      <w:pPr>
        <w:ind w:left="5040" w:hanging="360"/>
      </w:pPr>
    </w:lvl>
    <w:lvl w:ilvl="7" w:tplc="772A0D4A">
      <w:start w:val="1"/>
      <w:numFmt w:val="lowerLetter"/>
      <w:lvlText w:val="%8."/>
      <w:lvlJc w:val="left"/>
      <w:pPr>
        <w:ind w:left="5760" w:hanging="360"/>
      </w:pPr>
    </w:lvl>
    <w:lvl w:ilvl="8" w:tplc="4AD2EEA8">
      <w:start w:val="1"/>
      <w:numFmt w:val="lowerRoman"/>
      <w:lvlText w:val="%9."/>
      <w:lvlJc w:val="right"/>
      <w:pPr>
        <w:ind w:left="6480" w:hanging="180"/>
      </w:pPr>
    </w:lvl>
  </w:abstractNum>
  <w:abstractNum w:abstractNumId="76" w15:restartNumberingAfterBreak="0">
    <w:nsid w:val="23506EBB"/>
    <w:multiLevelType w:val="hybridMultilevel"/>
    <w:tmpl w:val="40127586"/>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24CD765C"/>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4D41CE6"/>
    <w:multiLevelType w:val="hybridMultilevel"/>
    <w:tmpl w:val="A3E6511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79" w15:restartNumberingAfterBreak="0">
    <w:nsid w:val="24F57D5B"/>
    <w:multiLevelType w:val="hybridMultilevel"/>
    <w:tmpl w:val="FFFFFFFF"/>
    <w:lvl w:ilvl="0" w:tplc="DEE460C8">
      <w:start w:val="1"/>
      <w:numFmt w:val="bullet"/>
      <w:lvlText w:val=""/>
      <w:lvlJc w:val="left"/>
      <w:pPr>
        <w:ind w:left="360" w:hanging="360"/>
      </w:pPr>
      <w:rPr>
        <w:rFonts w:ascii="Symbol" w:hAnsi="Symbol" w:hint="default"/>
      </w:rPr>
    </w:lvl>
    <w:lvl w:ilvl="1" w:tplc="63F40C56">
      <w:start w:val="1"/>
      <w:numFmt w:val="bullet"/>
      <w:lvlText w:val="o"/>
      <w:lvlJc w:val="left"/>
      <w:pPr>
        <w:ind w:left="1080" w:hanging="360"/>
      </w:pPr>
      <w:rPr>
        <w:rFonts w:ascii="Courier New" w:hAnsi="Courier New" w:hint="default"/>
      </w:rPr>
    </w:lvl>
    <w:lvl w:ilvl="2" w:tplc="916AF322">
      <w:start w:val="1"/>
      <w:numFmt w:val="bullet"/>
      <w:lvlText w:val=""/>
      <w:lvlJc w:val="left"/>
      <w:pPr>
        <w:ind w:left="1800" w:hanging="360"/>
      </w:pPr>
      <w:rPr>
        <w:rFonts w:ascii="Wingdings" w:hAnsi="Wingdings" w:hint="default"/>
      </w:rPr>
    </w:lvl>
    <w:lvl w:ilvl="3" w:tplc="FC0E65A8">
      <w:start w:val="1"/>
      <w:numFmt w:val="bullet"/>
      <w:lvlText w:val=""/>
      <w:lvlJc w:val="left"/>
      <w:pPr>
        <w:ind w:left="2520" w:hanging="360"/>
      </w:pPr>
      <w:rPr>
        <w:rFonts w:ascii="Symbol" w:hAnsi="Symbol" w:hint="default"/>
      </w:rPr>
    </w:lvl>
    <w:lvl w:ilvl="4" w:tplc="60FACDA0">
      <w:start w:val="1"/>
      <w:numFmt w:val="bullet"/>
      <w:lvlText w:val="o"/>
      <w:lvlJc w:val="left"/>
      <w:pPr>
        <w:ind w:left="3240" w:hanging="360"/>
      </w:pPr>
      <w:rPr>
        <w:rFonts w:ascii="Courier New" w:hAnsi="Courier New" w:hint="default"/>
      </w:rPr>
    </w:lvl>
    <w:lvl w:ilvl="5" w:tplc="0A7455AA">
      <w:start w:val="1"/>
      <w:numFmt w:val="bullet"/>
      <w:lvlText w:val=""/>
      <w:lvlJc w:val="left"/>
      <w:pPr>
        <w:ind w:left="3960" w:hanging="360"/>
      </w:pPr>
      <w:rPr>
        <w:rFonts w:ascii="Wingdings" w:hAnsi="Wingdings" w:hint="default"/>
      </w:rPr>
    </w:lvl>
    <w:lvl w:ilvl="6" w:tplc="C92E9124">
      <w:start w:val="1"/>
      <w:numFmt w:val="bullet"/>
      <w:lvlText w:val=""/>
      <w:lvlJc w:val="left"/>
      <w:pPr>
        <w:ind w:left="4680" w:hanging="360"/>
      </w:pPr>
      <w:rPr>
        <w:rFonts w:ascii="Symbol" w:hAnsi="Symbol" w:hint="default"/>
      </w:rPr>
    </w:lvl>
    <w:lvl w:ilvl="7" w:tplc="8A66EACE">
      <w:start w:val="1"/>
      <w:numFmt w:val="bullet"/>
      <w:lvlText w:val="o"/>
      <w:lvlJc w:val="left"/>
      <w:pPr>
        <w:ind w:left="5400" w:hanging="360"/>
      </w:pPr>
      <w:rPr>
        <w:rFonts w:ascii="Courier New" w:hAnsi="Courier New" w:hint="default"/>
      </w:rPr>
    </w:lvl>
    <w:lvl w:ilvl="8" w:tplc="970875C0">
      <w:start w:val="1"/>
      <w:numFmt w:val="bullet"/>
      <w:lvlText w:val=""/>
      <w:lvlJc w:val="left"/>
      <w:pPr>
        <w:ind w:left="6120" w:hanging="360"/>
      </w:pPr>
      <w:rPr>
        <w:rFonts w:ascii="Wingdings" w:hAnsi="Wingdings" w:hint="default"/>
      </w:rPr>
    </w:lvl>
  </w:abstractNum>
  <w:abstractNum w:abstractNumId="80" w15:restartNumberingAfterBreak="0">
    <w:nsid w:val="257D546D"/>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6084AF9"/>
    <w:multiLevelType w:val="hybridMultilevel"/>
    <w:tmpl w:val="B5B6B6DA"/>
    <w:lvl w:ilvl="0" w:tplc="6304ED5E">
      <w:start w:val="1"/>
      <w:numFmt w:val="decimal"/>
      <w:lvlText w:val="(%1)"/>
      <w:lvlJc w:val="right"/>
      <w:pPr>
        <w:ind w:left="928" w:hanging="360"/>
      </w:pPr>
      <w:rPr>
        <w:rFonts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2" w15:restartNumberingAfterBreak="0">
    <w:nsid w:val="263E457A"/>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7302095"/>
    <w:multiLevelType w:val="hybridMultilevel"/>
    <w:tmpl w:val="6F22CD90"/>
    <w:lvl w:ilvl="0" w:tplc="B11C0F76">
      <w:start w:val="1"/>
      <w:numFmt w:val="bullet"/>
      <w:lvlText w:val=""/>
      <w:lvlJc w:val="left"/>
      <w:pPr>
        <w:ind w:left="360" w:hanging="360"/>
      </w:pPr>
      <w:rPr>
        <w:rFonts w:ascii="Symbol" w:hAnsi="Symbol" w:hint="default"/>
      </w:rPr>
    </w:lvl>
    <w:lvl w:ilvl="1" w:tplc="7F0086BC">
      <w:start w:val="1"/>
      <w:numFmt w:val="bullet"/>
      <w:lvlText w:val="o"/>
      <w:lvlJc w:val="left"/>
      <w:pPr>
        <w:ind w:left="1080" w:hanging="360"/>
      </w:pPr>
      <w:rPr>
        <w:rFonts w:ascii="Courier New" w:hAnsi="Courier New" w:hint="default"/>
      </w:rPr>
    </w:lvl>
    <w:lvl w:ilvl="2" w:tplc="5492EAF6">
      <w:start w:val="1"/>
      <w:numFmt w:val="bullet"/>
      <w:lvlText w:val=""/>
      <w:lvlJc w:val="left"/>
      <w:pPr>
        <w:ind w:left="1800" w:hanging="360"/>
      </w:pPr>
      <w:rPr>
        <w:rFonts w:ascii="Wingdings" w:hAnsi="Wingdings" w:hint="default"/>
      </w:rPr>
    </w:lvl>
    <w:lvl w:ilvl="3" w:tplc="A7C492FA">
      <w:start w:val="1"/>
      <w:numFmt w:val="bullet"/>
      <w:lvlText w:val=""/>
      <w:lvlJc w:val="left"/>
      <w:pPr>
        <w:ind w:left="2520" w:hanging="360"/>
      </w:pPr>
      <w:rPr>
        <w:rFonts w:ascii="Symbol" w:hAnsi="Symbol" w:hint="default"/>
      </w:rPr>
    </w:lvl>
    <w:lvl w:ilvl="4" w:tplc="E800CCD4">
      <w:start w:val="1"/>
      <w:numFmt w:val="bullet"/>
      <w:lvlText w:val="o"/>
      <w:lvlJc w:val="left"/>
      <w:pPr>
        <w:ind w:left="3240" w:hanging="360"/>
      </w:pPr>
      <w:rPr>
        <w:rFonts w:ascii="Courier New" w:hAnsi="Courier New" w:hint="default"/>
      </w:rPr>
    </w:lvl>
    <w:lvl w:ilvl="5" w:tplc="9E746E8A">
      <w:start w:val="1"/>
      <w:numFmt w:val="bullet"/>
      <w:lvlText w:val=""/>
      <w:lvlJc w:val="left"/>
      <w:pPr>
        <w:ind w:left="3960" w:hanging="360"/>
      </w:pPr>
      <w:rPr>
        <w:rFonts w:ascii="Wingdings" w:hAnsi="Wingdings" w:hint="default"/>
      </w:rPr>
    </w:lvl>
    <w:lvl w:ilvl="6" w:tplc="20CC8A42">
      <w:start w:val="1"/>
      <w:numFmt w:val="bullet"/>
      <w:lvlText w:val=""/>
      <w:lvlJc w:val="left"/>
      <w:pPr>
        <w:ind w:left="4680" w:hanging="360"/>
      </w:pPr>
      <w:rPr>
        <w:rFonts w:ascii="Symbol" w:hAnsi="Symbol" w:hint="default"/>
      </w:rPr>
    </w:lvl>
    <w:lvl w:ilvl="7" w:tplc="6E7E6B2A">
      <w:start w:val="1"/>
      <w:numFmt w:val="bullet"/>
      <w:lvlText w:val="o"/>
      <w:lvlJc w:val="left"/>
      <w:pPr>
        <w:ind w:left="5400" w:hanging="360"/>
      </w:pPr>
      <w:rPr>
        <w:rFonts w:ascii="Courier New" w:hAnsi="Courier New" w:hint="default"/>
      </w:rPr>
    </w:lvl>
    <w:lvl w:ilvl="8" w:tplc="CD04B684">
      <w:start w:val="1"/>
      <w:numFmt w:val="bullet"/>
      <w:lvlText w:val=""/>
      <w:lvlJc w:val="left"/>
      <w:pPr>
        <w:ind w:left="6120" w:hanging="360"/>
      </w:pPr>
      <w:rPr>
        <w:rFonts w:ascii="Wingdings" w:hAnsi="Wingdings" w:hint="default"/>
      </w:rPr>
    </w:lvl>
  </w:abstractNum>
  <w:abstractNum w:abstractNumId="84" w15:restartNumberingAfterBreak="0">
    <w:nsid w:val="28D94999"/>
    <w:multiLevelType w:val="hybridMultilevel"/>
    <w:tmpl w:val="FFFFFFFF"/>
    <w:lvl w:ilvl="0" w:tplc="6D2E19CE">
      <w:start w:val="1"/>
      <w:numFmt w:val="bullet"/>
      <w:lvlText w:val="·"/>
      <w:lvlJc w:val="left"/>
      <w:pPr>
        <w:ind w:left="720" w:hanging="360"/>
      </w:pPr>
      <w:rPr>
        <w:rFonts w:ascii="Symbol" w:hAnsi="Symbol" w:hint="default"/>
      </w:rPr>
    </w:lvl>
    <w:lvl w:ilvl="1" w:tplc="773A8C0E">
      <w:start w:val="1"/>
      <w:numFmt w:val="bullet"/>
      <w:lvlText w:val="o"/>
      <w:lvlJc w:val="left"/>
      <w:pPr>
        <w:ind w:left="1440" w:hanging="360"/>
      </w:pPr>
      <w:rPr>
        <w:rFonts w:ascii="Courier New" w:hAnsi="Courier New" w:hint="default"/>
      </w:rPr>
    </w:lvl>
    <w:lvl w:ilvl="2" w:tplc="9B22DB34">
      <w:start w:val="1"/>
      <w:numFmt w:val="bullet"/>
      <w:lvlText w:val=""/>
      <w:lvlJc w:val="left"/>
      <w:pPr>
        <w:ind w:left="2160" w:hanging="360"/>
      </w:pPr>
      <w:rPr>
        <w:rFonts w:ascii="Wingdings" w:hAnsi="Wingdings" w:hint="default"/>
      </w:rPr>
    </w:lvl>
    <w:lvl w:ilvl="3" w:tplc="1166C3EA">
      <w:start w:val="1"/>
      <w:numFmt w:val="bullet"/>
      <w:lvlText w:val=""/>
      <w:lvlJc w:val="left"/>
      <w:pPr>
        <w:ind w:left="2880" w:hanging="360"/>
      </w:pPr>
      <w:rPr>
        <w:rFonts w:ascii="Symbol" w:hAnsi="Symbol" w:hint="default"/>
      </w:rPr>
    </w:lvl>
    <w:lvl w:ilvl="4" w:tplc="9FECC55E">
      <w:start w:val="1"/>
      <w:numFmt w:val="bullet"/>
      <w:lvlText w:val="o"/>
      <w:lvlJc w:val="left"/>
      <w:pPr>
        <w:ind w:left="3600" w:hanging="360"/>
      </w:pPr>
      <w:rPr>
        <w:rFonts w:ascii="Courier New" w:hAnsi="Courier New" w:hint="default"/>
      </w:rPr>
    </w:lvl>
    <w:lvl w:ilvl="5" w:tplc="32A66B5E">
      <w:start w:val="1"/>
      <w:numFmt w:val="bullet"/>
      <w:lvlText w:val=""/>
      <w:lvlJc w:val="left"/>
      <w:pPr>
        <w:ind w:left="4320" w:hanging="360"/>
      </w:pPr>
      <w:rPr>
        <w:rFonts w:ascii="Wingdings" w:hAnsi="Wingdings" w:hint="default"/>
      </w:rPr>
    </w:lvl>
    <w:lvl w:ilvl="6" w:tplc="5E6268DC">
      <w:start w:val="1"/>
      <w:numFmt w:val="bullet"/>
      <w:lvlText w:val=""/>
      <w:lvlJc w:val="left"/>
      <w:pPr>
        <w:ind w:left="5040" w:hanging="360"/>
      </w:pPr>
      <w:rPr>
        <w:rFonts w:ascii="Symbol" w:hAnsi="Symbol" w:hint="default"/>
      </w:rPr>
    </w:lvl>
    <w:lvl w:ilvl="7" w:tplc="1C9AADCE">
      <w:start w:val="1"/>
      <w:numFmt w:val="bullet"/>
      <w:lvlText w:val="o"/>
      <w:lvlJc w:val="left"/>
      <w:pPr>
        <w:ind w:left="5760" w:hanging="360"/>
      </w:pPr>
      <w:rPr>
        <w:rFonts w:ascii="Courier New" w:hAnsi="Courier New" w:hint="default"/>
      </w:rPr>
    </w:lvl>
    <w:lvl w:ilvl="8" w:tplc="28E89DD2">
      <w:start w:val="1"/>
      <w:numFmt w:val="bullet"/>
      <w:lvlText w:val=""/>
      <w:lvlJc w:val="left"/>
      <w:pPr>
        <w:ind w:left="6480" w:hanging="360"/>
      </w:pPr>
      <w:rPr>
        <w:rFonts w:ascii="Wingdings" w:hAnsi="Wingdings" w:hint="default"/>
      </w:rPr>
    </w:lvl>
  </w:abstractNum>
  <w:abstractNum w:abstractNumId="85" w15:restartNumberingAfterBreak="0">
    <w:nsid w:val="29C077D9"/>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6" w15:restartNumberingAfterBreak="0">
    <w:nsid w:val="2A1529A7"/>
    <w:multiLevelType w:val="hybridMultilevel"/>
    <w:tmpl w:val="FFFFFFFF"/>
    <w:lvl w:ilvl="0" w:tplc="50C28FAA">
      <w:start w:val="1"/>
      <w:numFmt w:val="decimal"/>
      <w:lvlText w:val="%1."/>
      <w:lvlJc w:val="left"/>
      <w:pPr>
        <w:ind w:left="720" w:hanging="360"/>
      </w:pPr>
    </w:lvl>
    <w:lvl w:ilvl="1" w:tplc="13C84BD0">
      <w:start w:val="1"/>
      <w:numFmt w:val="lowerLetter"/>
      <w:lvlText w:val="%2."/>
      <w:lvlJc w:val="left"/>
      <w:pPr>
        <w:ind w:left="1440" w:hanging="360"/>
      </w:pPr>
    </w:lvl>
    <w:lvl w:ilvl="2" w:tplc="CF7ED2DE">
      <w:start w:val="1"/>
      <w:numFmt w:val="lowerRoman"/>
      <w:lvlText w:val="%3."/>
      <w:lvlJc w:val="right"/>
      <w:pPr>
        <w:ind w:left="2160" w:hanging="180"/>
      </w:pPr>
    </w:lvl>
    <w:lvl w:ilvl="3" w:tplc="330A7E6E">
      <w:start w:val="1"/>
      <w:numFmt w:val="decimal"/>
      <w:lvlText w:val="%4."/>
      <w:lvlJc w:val="left"/>
      <w:pPr>
        <w:ind w:left="2880" w:hanging="360"/>
      </w:pPr>
    </w:lvl>
    <w:lvl w:ilvl="4" w:tplc="9F1EAED2">
      <w:start w:val="1"/>
      <w:numFmt w:val="lowerLetter"/>
      <w:lvlText w:val="%5."/>
      <w:lvlJc w:val="left"/>
      <w:pPr>
        <w:ind w:left="3600" w:hanging="360"/>
      </w:pPr>
    </w:lvl>
    <w:lvl w:ilvl="5" w:tplc="3B00F04E">
      <w:start w:val="1"/>
      <w:numFmt w:val="lowerRoman"/>
      <w:lvlText w:val="%6."/>
      <w:lvlJc w:val="right"/>
      <w:pPr>
        <w:ind w:left="4320" w:hanging="180"/>
      </w:pPr>
    </w:lvl>
    <w:lvl w:ilvl="6" w:tplc="792ADCD8">
      <w:start w:val="1"/>
      <w:numFmt w:val="decimal"/>
      <w:lvlText w:val="%7."/>
      <w:lvlJc w:val="left"/>
      <w:pPr>
        <w:ind w:left="5040" w:hanging="360"/>
      </w:pPr>
    </w:lvl>
    <w:lvl w:ilvl="7" w:tplc="EC564EB4">
      <w:start w:val="1"/>
      <w:numFmt w:val="lowerLetter"/>
      <w:lvlText w:val="%8."/>
      <w:lvlJc w:val="left"/>
      <w:pPr>
        <w:ind w:left="5760" w:hanging="360"/>
      </w:pPr>
    </w:lvl>
    <w:lvl w:ilvl="8" w:tplc="DC183204">
      <w:start w:val="1"/>
      <w:numFmt w:val="lowerRoman"/>
      <w:lvlText w:val="%9."/>
      <w:lvlJc w:val="right"/>
      <w:pPr>
        <w:ind w:left="6480" w:hanging="180"/>
      </w:pPr>
    </w:lvl>
  </w:abstractNum>
  <w:abstractNum w:abstractNumId="87" w15:restartNumberingAfterBreak="0">
    <w:nsid w:val="2B2B3A92"/>
    <w:multiLevelType w:val="singleLevel"/>
    <w:tmpl w:val="73D64A0E"/>
    <w:name w:val="Considérant__1"/>
    <w:lvl w:ilvl="0">
      <w:numFmt w:val="decimal"/>
      <w:lvlRestart w:val="0"/>
      <w:pStyle w:val="Considrant"/>
      <w:lvlText w:val="(%1)"/>
      <w:lvlJc w:val="left"/>
    </w:lvl>
  </w:abstractNum>
  <w:abstractNum w:abstractNumId="88" w15:restartNumberingAfterBreak="0">
    <w:nsid w:val="2BF476F4"/>
    <w:multiLevelType w:val="hybridMultilevel"/>
    <w:tmpl w:val="FFFFFFFF"/>
    <w:lvl w:ilvl="0" w:tplc="74428578">
      <w:start w:val="1"/>
      <w:numFmt w:val="decimal"/>
      <w:lvlText w:val="%1."/>
      <w:lvlJc w:val="left"/>
      <w:pPr>
        <w:ind w:left="720" w:hanging="360"/>
      </w:pPr>
    </w:lvl>
    <w:lvl w:ilvl="1" w:tplc="D278D5AE">
      <w:start w:val="1"/>
      <w:numFmt w:val="decimal"/>
      <w:lvlText w:val="%2."/>
      <w:lvlJc w:val="left"/>
      <w:pPr>
        <w:ind w:left="1440" w:hanging="360"/>
      </w:pPr>
    </w:lvl>
    <w:lvl w:ilvl="2" w:tplc="232A8F0E">
      <w:start w:val="1"/>
      <w:numFmt w:val="lowerRoman"/>
      <w:lvlText w:val="%3."/>
      <w:lvlJc w:val="right"/>
      <w:pPr>
        <w:ind w:left="2160" w:hanging="180"/>
      </w:pPr>
    </w:lvl>
    <w:lvl w:ilvl="3" w:tplc="97CC083E">
      <w:start w:val="1"/>
      <w:numFmt w:val="decimal"/>
      <w:lvlText w:val="%4."/>
      <w:lvlJc w:val="left"/>
      <w:pPr>
        <w:ind w:left="2880" w:hanging="360"/>
      </w:pPr>
    </w:lvl>
    <w:lvl w:ilvl="4" w:tplc="8FA06958">
      <w:start w:val="1"/>
      <w:numFmt w:val="lowerLetter"/>
      <w:lvlText w:val="%5."/>
      <w:lvlJc w:val="left"/>
      <w:pPr>
        <w:ind w:left="3600" w:hanging="360"/>
      </w:pPr>
    </w:lvl>
    <w:lvl w:ilvl="5" w:tplc="EA567478">
      <w:start w:val="1"/>
      <w:numFmt w:val="lowerRoman"/>
      <w:lvlText w:val="%6."/>
      <w:lvlJc w:val="right"/>
      <w:pPr>
        <w:ind w:left="4320" w:hanging="180"/>
      </w:pPr>
    </w:lvl>
    <w:lvl w:ilvl="6" w:tplc="9E441F5A">
      <w:start w:val="1"/>
      <w:numFmt w:val="decimal"/>
      <w:lvlText w:val="%7."/>
      <w:lvlJc w:val="left"/>
      <w:pPr>
        <w:ind w:left="5040" w:hanging="360"/>
      </w:pPr>
    </w:lvl>
    <w:lvl w:ilvl="7" w:tplc="2E364518">
      <w:start w:val="1"/>
      <w:numFmt w:val="lowerLetter"/>
      <w:lvlText w:val="%8."/>
      <w:lvlJc w:val="left"/>
      <w:pPr>
        <w:ind w:left="5760" w:hanging="360"/>
      </w:pPr>
    </w:lvl>
    <w:lvl w:ilvl="8" w:tplc="3E2EC61E">
      <w:start w:val="1"/>
      <w:numFmt w:val="lowerRoman"/>
      <w:lvlText w:val="%9."/>
      <w:lvlJc w:val="right"/>
      <w:pPr>
        <w:ind w:left="6480" w:hanging="180"/>
      </w:pPr>
    </w:lvl>
  </w:abstractNum>
  <w:abstractNum w:abstractNumId="89" w15:restartNumberingAfterBreak="0">
    <w:nsid w:val="2BF9317B"/>
    <w:multiLevelType w:val="hybridMultilevel"/>
    <w:tmpl w:val="E4181FC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0" w15:restartNumberingAfterBreak="0">
    <w:nsid w:val="2C4805AA"/>
    <w:multiLevelType w:val="hybridMultilevel"/>
    <w:tmpl w:val="13BC88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C5A278D"/>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2" w15:restartNumberingAfterBreak="0">
    <w:nsid w:val="2D0B464E"/>
    <w:multiLevelType w:val="multilevel"/>
    <w:tmpl w:val="D26C2E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1.%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93" w15:restartNumberingAfterBreak="0">
    <w:nsid w:val="2DB3766B"/>
    <w:multiLevelType w:val="hybridMultilevel"/>
    <w:tmpl w:val="97042486"/>
    <w:lvl w:ilvl="0" w:tplc="774C26FC">
      <w:start w:val="1"/>
      <w:numFmt w:val="bullet"/>
      <w:lvlText w:val=""/>
      <w:lvlJc w:val="left"/>
      <w:pPr>
        <w:ind w:left="720" w:hanging="360"/>
      </w:pPr>
      <w:rPr>
        <w:rFonts w:ascii="Symbol" w:hAnsi="Symbol" w:hint="default"/>
      </w:rPr>
    </w:lvl>
    <w:lvl w:ilvl="1" w:tplc="EB386178">
      <w:start w:val="1"/>
      <w:numFmt w:val="bullet"/>
      <w:lvlText w:val="o"/>
      <w:lvlJc w:val="left"/>
      <w:pPr>
        <w:ind w:left="1440" w:hanging="360"/>
      </w:pPr>
      <w:rPr>
        <w:rFonts w:ascii="Courier New" w:hAnsi="Courier New" w:hint="default"/>
      </w:rPr>
    </w:lvl>
    <w:lvl w:ilvl="2" w:tplc="90883240">
      <w:start w:val="1"/>
      <w:numFmt w:val="bullet"/>
      <w:lvlText w:val=""/>
      <w:lvlJc w:val="left"/>
      <w:pPr>
        <w:ind w:left="2160" w:hanging="360"/>
      </w:pPr>
      <w:rPr>
        <w:rFonts w:ascii="Wingdings" w:hAnsi="Wingdings" w:hint="default"/>
      </w:rPr>
    </w:lvl>
    <w:lvl w:ilvl="3" w:tplc="3C12CF16">
      <w:start w:val="1"/>
      <w:numFmt w:val="bullet"/>
      <w:lvlText w:val=""/>
      <w:lvlJc w:val="left"/>
      <w:pPr>
        <w:ind w:left="2880" w:hanging="360"/>
      </w:pPr>
      <w:rPr>
        <w:rFonts w:ascii="Symbol" w:hAnsi="Symbol" w:hint="default"/>
      </w:rPr>
    </w:lvl>
    <w:lvl w:ilvl="4" w:tplc="0E52CE62">
      <w:start w:val="1"/>
      <w:numFmt w:val="bullet"/>
      <w:lvlText w:val="o"/>
      <w:lvlJc w:val="left"/>
      <w:pPr>
        <w:ind w:left="3600" w:hanging="360"/>
      </w:pPr>
      <w:rPr>
        <w:rFonts w:ascii="Courier New" w:hAnsi="Courier New" w:hint="default"/>
      </w:rPr>
    </w:lvl>
    <w:lvl w:ilvl="5" w:tplc="2EBC503E">
      <w:start w:val="1"/>
      <w:numFmt w:val="bullet"/>
      <w:lvlText w:val=""/>
      <w:lvlJc w:val="left"/>
      <w:pPr>
        <w:ind w:left="4320" w:hanging="360"/>
      </w:pPr>
      <w:rPr>
        <w:rFonts w:ascii="Wingdings" w:hAnsi="Wingdings" w:hint="default"/>
      </w:rPr>
    </w:lvl>
    <w:lvl w:ilvl="6" w:tplc="F4782856">
      <w:start w:val="1"/>
      <w:numFmt w:val="bullet"/>
      <w:lvlText w:val=""/>
      <w:lvlJc w:val="left"/>
      <w:pPr>
        <w:ind w:left="5040" w:hanging="360"/>
      </w:pPr>
      <w:rPr>
        <w:rFonts w:ascii="Symbol" w:hAnsi="Symbol" w:hint="default"/>
      </w:rPr>
    </w:lvl>
    <w:lvl w:ilvl="7" w:tplc="DD7458B2">
      <w:start w:val="1"/>
      <w:numFmt w:val="bullet"/>
      <w:lvlText w:val="o"/>
      <w:lvlJc w:val="left"/>
      <w:pPr>
        <w:ind w:left="5760" w:hanging="360"/>
      </w:pPr>
      <w:rPr>
        <w:rFonts w:ascii="Courier New" w:hAnsi="Courier New" w:hint="default"/>
      </w:rPr>
    </w:lvl>
    <w:lvl w:ilvl="8" w:tplc="308261DC">
      <w:start w:val="1"/>
      <w:numFmt w:val="bullet"/>
      <w:lvlText w:val=""/>
      <w:lvlJc w:val="left"/>
      <w:pPr>
        <w:ind w:left="6480" w:hanging="360"/>
      </w:pPr>
      <w:rPr>
        <w:rFonts w:ascii="Wingdings" w:hAnsi="Wingdings" w:hint="default"/>
      </w:rPr>
    </w:lvl>
  </w:abstractNum>
  <w:abstractNum w:abstractNumId="94" w15:restartNumberingAfterBreak="0">
    <w:nsid w:val="2DFE1B6D"/>
    <w:multiLevelType w:val="hybridMultilevel"/>
    <w:tmpl w:val="FFFFFFFF"/>
    <w:lvl w:ilvl="0" w:tplc="DAFC8306">
      <w:start w:val="1"/>
      <w:numFmt w:val="decimal"/>
      <w:lvlText w:val="%1."/>
      <w:lvlJc w:val="left"/>
      <w:pPr>
        <w:ind w:left="720" w:hanging="360"/>
      </w:pPr>
    </w:lvl>
    <w:lvl w:ilvl="1" w:tplc="E28EDC2C">
      <w:start w:val="1"/>
      <w:numFmt w:val="decimal"/>
      <w:lvlText w:val="%2."/>
      <w:lvlJc w:val="left"/>
      <w:pPr>
        <w:ind w:left="1440" w:hanging="360"/>
      </w:pPr>
    </w:lvl>
    <w:lvl w:ilvl="2" w:tplc="0C86BE7C">
      <w:start w:val="1"/>
      <w:numFmt w:val="lowerRoman"/>
      <w:lvlText w:val="%3."/>
      <w:lvlJc w:val="right"/>
      <w:pPr>
        <w:ind w:left="2160" w:hanging="180"/>
      </w:pPr>
    </w:lvl>
    <w:lvl w:ilvl="3" w:tplc="1474FD26">
      <w:start w:val="1"/>
      <w:numFmt w:val="decimal"/>
      <w:lvlText w:val="%4."/>
      <w:lvlJc w:val="left"/>
      <w:pPr>
        <w:ind w:left="2880" w:hanging="360"/>
      </w:pPr>
    </w:lvl>
    <w:lvl w:ilvl="4" w:tplc="214CC980">
      <w:start w:val="1"/>
      <w:numFmt w:val="lowerLetter"/>
      <w:lvlText w:val="%5."/>
      <w:lvlJc w:val="left"/>
      <w:pPr>
        <w:ind w:left="3600" w:hanging="360"/>
      </w:pPr>
    </w:lvl>
    <w:lvl w:ilvl="5" w:tplc="D16EF208">
      <w:start w:val="1"/>
      <w:numFmt w:val="lowerRoman"/>
      <w:lvlText w:val="%6."/>
      <w:lvlJc w:val="right"/>
      <w:pPr>
        <w:ind w:left="4320" w:hanging="180"/>
      </w:pPr>
    </w:lvl>
    <w:lvl w:ilvl="6" w:tplc="BDEA5A90">
      <w:start w:val="1"/>
      <w:numFmt w:val="decimal"/>
      <w:lvlText w:val="%7."/>
      <w:lvlJc w:val="left"/>
      <w:pPr>
        <w:ind w:left="5040" w:hanging="360"/>
      </w:pPr>
    </w:lvl>
    <w:lvl w:ilvl="7" w:tplc="A8624AA4">
      <w:start w:val="1"/>
      <w:numFmt w:val="lowerLetter"/>
      <w:lvlText w:val="%8."/>
      <w:lvlJc w:val="left"/>
      <w:pPr>
        <w:ind w:left="5760" w:hanging="360"/>
      </w:pPr>
    </w:lvl>
    <w:lvl w:ilvl="8" w:tplc="0B3A217C">
      <w:start w:val="1"/>
      <w:numFmt w:val="lowerRoman"/>
      <w:lvlText w:val="%9."/>
      <w:lvlJc w:val="right"/>
      <w:pPr>
        <w:ind w:left="6480" w:hanging="180"/>
      </w:pPr>
    </w:lvl>
  </w:abstractNum>
  <w:abstractNum w:abstractNumId="95" w15:restartNumberingAfterBreak="0">
    <w:nsid w:val="2EB33BFA"/>
    <w:multiLevelType w:val="hybridMultilevel"/>
    <w:tmpl w:val="52D8A38A"/>
    <w:lvl w:ilvl="0" w:tplc="5EAAFCEC">
      <w:start w:val="1"/>
      <w:numFmt w:val="bullet"/>
      <w:lvlText w:val="·"/>
      <w:lvlJc w:val="left"/>
      <w:pPr>
        <w:ind w:left="720" w:hanging="360"/>
      </w:pPr>
      <w:rPr>
        <w:rFonts w:ascii="Symbol" w:hAnsi="Symbol" w:hint="default"/>
      </w:rPr>
    </w:lvl>
    <w:lvl w:ilvl="1" w:tplc="A96C0708">
      <w:start w:val="1"/>
      <w:numFmt w:val="bullet"/>
      <w:lvlText w:val="o"/>
      <w:lvlJc w:val="left"/>
      <w:pPr>
        <w:ind w:left="1440" w:hanging="360"/>
      </w:pPr>
      <w:rPr>
        <w:rFonts w:ascii="Courier New" w:hAnsi="Courier New" w:hint="default"/>
      </w:rPr>
    </w:lvl>
    <w:lvl w:ilvl="2" w:tplc="237EE4E4">
      <w:start w:val="1"/>
      <w:numFmt w:val="bullet"/>
      <w:lvlText w:val=""/>
      <w:lvlJc w:val="left"/>
      <w:pPr>
        <w:ind w:left="2160" w:hanging="360"/>
      </w:pPr>
      <w:rPr>
        <w:rFonts w:ascii="Wingdings" w:hAnsi="Wingdings" w:hint="default"/>
      </w:rPr>
    </w:lvl>
    <w:lvl w:ilvl="3" w:tplc="8C9CE892">
      <w:start w:val="1"/>
      <w:numFmt w:val="bullet"/>
      <w:lvlText w:val=""/>
      <w:lvlJc w:val="left"/>
      <w:pPr>
        <w:ind w:left="2880" w:hanging="360"/>
      </w:pPr>
      <w:rPr>
        <w:rFonts w:ascii="Symbol" w:hAnsi="Symbol" w:hint="default"/>
      </w:rPr>
    </w:lvl>
    <w:lvl w:ilvl="4" w:tplc="D1A2B51E">
      <w:start w:val="1"/>
      <w:numFmt w:val="bullet"/>
      <w:lvlText w:val="o"/>
      <w:lvlJc w:val="left"/>
      <w:pPr>
        <w:ind w:left="3600" w:hanging="360"/>
      </w:pPr>
      <w:rPr>
        <w:rFonts w:ascii="Courier New" w:hAnsi="Courier New" w:hint="default"/>
      </w:rPr>
    </w:lvl>
    <w:lvl w:ilvl="5" w:tplc="EFAE6EC0">
      <w:start w:val="1"/>
      <w:numFmt w:val="bullet"/>
      <w:lvlText w:val=""/>
      <w:lvlJc w:val="left"/>
      <w:pPr>
        <w:ind w:left="4320" w:hanging="360"/>
      </w:pPr>
      <w:rPr>
        <w:rFonts w:ascii="Wingdings" w:hAnsi="Wingdings" w:hint="default"/>
      </w:rPr>
    </w:lvl>
    <w:lvl w:ilvl="6" w:tplc="3F0C2C58">
      <w:start w:val="1"/>
      <w:numFmt w:val="bullet"/>
      <w:lvlText w:val=""/>
      <w:lvlJc w:val="left"/>
      <w:pPr>
        <w:ind w:left="5040" w:hanging="360"/>
      </w:pPr>
      <w:rPr>
        <w:rFonts w:ascii="Symbol" w:hAnsi="Symbol" w:hint="default"/>
      </w:rPr>
    </w:lvl>
    <w:lvl w:ilvl="7" w:tplc="986C01CE">
      <w:start w:val="1"/>
      <w:numFmt w:val="bullet"/>
      <w:lvlText w:val="o"/>
      <w:lvlJc w:val="left"/>
      <w:pPr>
        <w:ind w:left="5760" w:hanging="360"/>
      </w:pPr>
      <w:rPr>
        <w:rFonts w:ascii="Courier New" w:hAnsi="Courier New" w:hint="default"/>
      </w:rPr>
    </w:lvl>
    <w:lvl w:ilvl="8" w:tplc="A038FF40">
      <w:start w:val="1"/>
      <w:numFmt w:val="bullet"/>
      <w:lvlText w:val=""/>
      <w:lvlJc w:val="left"/>
      <w:pPr>
        <w:ind w:left="6480" w:hanging="360"/>
      </w:pPr>
      <w:rPr>
        <w:rFonts w:ascii="Wingdings" w:hAnsi="Wingdings" w:hint="default"/>
      </w:rPr>
    </w:lvl>
  </w:abstractNum>
  <w:abstractNum w:abstractNumId="96" w15:restartNumberingAfterBreak="0">
    <w:nsid w:val="2F6F610A"/>
    <w:multiLevelType w:val="hybridMultilevel"/>
    <w:tmpl w:val="1052900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97" w15:restartNumberingAfterBreak="0">
    <w:nsid w:val="30EF79B2"/>
    <w:multiLevelType w:val="hybridMultilevel"/>
    <w:tmpl w:val="027454B6"/>
    <w:lvl w:ilvl="0" w:tplc="35F42D4C">
      <w:start w:val="1"/>
      <w:numFmt w:val="bullet"/>
      <w:lvlText w:val="·"/>
      <w:lvlJc w:val="left"/>
      <w:pPr>
        <w:ind w:left="720" w:hanging="360"/>
      </w:pPr>
    </w:lvl>
    <w:lvl w:ilvl="1" w:tplc="1C4E2F9A">
      <w:start w:val="1"/>
      <w:numFmt w:val="decimal"/>
      <w:lvlText w:val="%2."/>
      <w:lvlJc w:val="left"/>
      <w:pPr>
        <w:ind w:left="1440" w:hanging="360"/>
      </w:pPr>
    </w:lvl>
    <w:lvl w:ilvl="2" w:tplc="9260F638">
      <w:start w:val="1"/>
      <w:numFmt w:val="lowerRoman"/>
      <w:lvlText w:val="%3."/>
      <w:lvlJc w:val="right"/>
      <w:pPr>
        <w:ind w:left="2160" w:hanging="180"/>
      </w:pPr>
    </w:lvl>
    <w:lvl w:ilvl="3" w:tplc="5AEC9106">
      <w:start w:val="1"/>
      <w:numFmt w:val="decimal"/>
      <w:lvlText w:val="%4."/>
      <w:lvlJc w:val="left"/>
      <w:pPr>
        <w:ind w:left="2880" w:hanging="360"/>
      </w:pPr>
    </w:lvl>
    <w:lvl w:ilvl="4" w:tplc="F9420658">
      <w:start w:val="1"/>
      <w:numFmt w:val="lowerLetter"/>
      <w:lvlText w:val="%5."/>
      <w:lvlJc w:val="left"/>
      <w:pPr>
        <w:ind w:left="3600" w:hanging="360"/>
      </w:pPr>
    </w:lvl>
    <w:lvl w:ilvl="5" w:tplc="A4C471A6">
      <w:start w:val="1"/>
      <w:numFmt w:val="lowerRoman"/>
      <w:lvlText w:val="%6."/>
      <w:lvlJc w:val="right"/>
      <w:pPr>
        <w:ind w:left="4320" w:hanging="180"/>
      </w:pPr>
    </w:lvl>
    <w:lvl w:ilvl="6" w:tplc="5F825B60">
      <w:start w:val="1"/>
      <w:numFmt w:val="decimal"/>
      <w:lvlText w:val="%7."/>
      <w:lvlJc w:val="left"/>
      <w:pPr>
        <w:ind w:left="5040" w:hanging="360"/>
      </w:pPr>
    </w:lvl>
    <w:lvl w:ilvl="7" w:tplc="09FA2288">
      <w:start w:val="1"/>
      <w:numFmt w:val="lowerLetter"/>
      <w:lvlText w:val="%8."/>
      <w:lvlJc w:val="left"/>
      <w:pPr>
        <w:ind w:left="5760" w:hanging="360"/>
      </w:pPr>
    </w:lvl>
    <w:lvl w:ilvl="8" w:tplc="3EEA2B5E">
      <w:start w:val="1"/>
      <w:numFmt w:val="lowerRoman"/>
      <w:lvlText w:val="%9."/>
      <w:lvlJc w:val="right"/>
      <w:pPr>
        <w:ind w:left="6480" w:hanging="180"/>
      </w:pPr>
    </w:lvl>
  </w:abstractNum>
  <w:abstractNum w:abstractNumId="98" w15:restartNumberingAfterBreak="0">
    <w:nsid w:val="31BF260B"/>
    <w:multiLevelType w:val="hybridMultilevel"/>
    <w:tmpl w:val="35EABA4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28C66F0"/>
    <w:multiLevelType w:val="hybridMultilevel"/>
    <w:tmpl w:val="DD02485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00" w15:restartNumberingAfterBreak="0">
    <w:nsid w:val="33644B66"/>
    <w:multiLevelType w:val="hybridMultilevel"/>
    <w:tmpl w:val="81AAC0F8"/>
    <w:lvl w:ilvl="0" w:tplc="A5C4F704">
      <w:start w:val="1"/>
      <w:numFmt w:val="decimal"/>
      <w:lvlText w:val="%1."/>
      <w:lvlJc w:val="left"/>
      <w:pPr>
        <w:ind w:left="720" w:hanging="360"/>
      </w:pPr>
    </w:lvl>
    <w:lvl w:ilvl="1" w:tplc="061841D0">
      <w:start w:val="1"/>
      <w:numFmt w:val="lowerLetter"/>
      <w:lvlText w:val="%2."/>
      <w:lvlJc w:val="left"/>
      <w:pPr>
        <w:ind w:left="1440" w:hanging="360"/>
      </w:pPr>
    </w:lvl>
    <w:lvl w:ilvl="2" w:tplc="26BEC5BE">
      <w:start w:val="1"/>
      <w:numFmt w:val="lowerRoman"/>
      <w:lvlText w:val="%3."/>
      <w:lvlJc w:val="right"/>
      <w:pPr>
        <w:ind w:left="2160" w:hanging="180"/>
      </w:pPr>
    </w:lvl>
    <w:lvl w:ilvl="3" w:tplc="806C2B86">
      <w:start w:val="1"/>
      <w:numFmt w:val="decimal"/>
      <w:lvlText w:val="%4."/>
      <w:lvlJc w:val="left"/>
      <w:pPr>
        <w:ind w:left="2880" w:hanging="360"/>
      </w:pPr>
    </w:lvl>
    <w:lvl w:ilvl="4" w:tplc="3D962720">
      <w:start w:val="1"/>
      <w:numFmt w:val="lowerLetter"/>
      <w:lvlText w:val="%5."/>
      <w:lvlJc w:val="left"/>
      <w:pPr>
        <w:ind w:left="3600" w:hanging="360"/>
      </w:pPr>
    </w:lvl>
    <w:lvl w:ilvl="5" w:tplc="6F3CBDAE">
      <w:start w:val="1"/>
      <w:numFmt w:val="lowerRoman"/>
      <w:lvlText w:val="%6."/>
      <w:lvlJc w:val="right"/>
      <w:pPr>
        <w:ind w:left="4320" w:hanging="180"/>
      </w:pPr>
    </w:lvl>
    <w:lvl w:ilvl="6" w:tplc="6408E366">
      <w:start w:val="1"/>
      <w:numFmt w:val="decimal"/>
      <w:lvlText w:val="%7."/>
      <w:lvlJc w:val="left"/>
      <w:pPr>
        <w:ind w:left="5040" w:hanging="360"/>
      </w:pPr>
    </w:lvl>
    <w:lvl w:ilvl="7" w:tplc="626E7346">
      <w:start w:val="1"/>
      <w:numFmt w:val="lowerLetter"/>
      <w:lvlText w:val="%8."/>
      <w:lvlJc w:val="left"/>
      <w:pPr>
        <w:ind w:left="5760" w:hanging="360"/>
      </w:pPr>
    </w:lvl>
    <w:lvl w:ilvl="8" w:tplc="D3AABD70">
      <w:start w:val="1"/>
      <w:numFmt w:val="lowerRoman"/>
      <w:lvlText w:val="%9."/>
      <w:lvlJc w:val="right"/>
      <w:pPr>
        <w:ind w:left="6480" w:hanging="180"/>
      </w:pPr>
    </w:lvl>
  </w:abstractNum>
  <w:abstractNum w:abstractNumId="101" w15:restartNumberingAfterBreak="0">
    <w:nsid w:val="33EE6CD6"/>
    <w:multiLevelType w:val="hybridMultilevel"/>
    <w:tmpl w:val="33162A56"/>
    <w:lvl w:ilvl="0" w:tplc="6A36EFCE">
      <w:start w:val="1"/>
      <w:numFmt w:val="bullet"/>
      <w:lvlText w:val="·"/>
      <w:lvlJc w:val="left"/>
      <w:pPr>
        <w:ind w:left="720" w:hanging="360"/>
      </w:pPr>
      <w:rPr>
        <w:rFonts w:ascii="Symbol" w:hAnsi="Symbol" w:hint="default"/>
      </w:rPr>
    </w:lvl>
    <w:lvl w:ilvl="1" w:tplc="43C2E36E">
      <w:start w:val="1"/>
      <w:numFmt w:val="decimal"/>
      <w:lvlText w:val="%2."/>
      <w:lvlJc w:val="left"/>
      <w:pPr>
        <w:ind w:left="1440" w:hanging="360"/>
      </w:pPr>
      <w:rPr>
        <w:rFonts w:hint="default"/>
      </w:rPr>
    </w:lvl>
    <w:lvl w:ilvl="2" w:tplc="7C9CECBA">
      <w:start w:val="1"/>
      <w:numFmt w:val="bullet"/>
      <w:lvlText w:val=""/>
      <w:lvlJc w:val="left"/>
      <w:pPr>
        <w:ind w:left="2160" w:hanging="360"/>
      </w:pPr>
      <w:rPr>
        <w:rFonts w:ascii="Wingdings" w:hAnsi="Wingdings" w:hint="default"/>
      </w:rPr>
    </w:lvl>
    <w:lvl w:ilvl="3" w:tplc="33EEBE4E">
      <w:start w:val="1"/>
      <w:numFmt w:val="bullet"/>
      <w:lvlText w:val=""/>
      <w:lvlJc w:val="left"/>
      <w:pPr>
        <w:ind w:left="2880" w:hanging="360"/>
      </w:pPr>
      <w:rPr>
        <w:rFonts w:ascii="Symbol" w:hAnsi="Symbol" w:hint="default"/>
      </w:rPr>
    </w:lvl>
    <w:lvl w:ilvl="4" w:tplc="5B36A15E">
      <w:start w:val="1"/>
      <w:numFmt w:val="bullet"/>
      <w:lvlText w:val="o"/>
      <w:lvlJc w:val="left"/>
      <w:pPr>
        <w:ind w:left="3600" w:hanging="360"/>
      </w:pPr>
      <w:rPr>
        <w:rFonts w:ascii="Courier New" w:hAnsi="Courier New" w:hint="default"/>
      </w:rPr>
    </w:lvl>
    <w:lvl w:ilvl="5" w:tplc="2D706DE6">
      <w:start w:val="1"/>
      <w:numFmt w:val="bullet"/>
      <w:lvlText w:val=""/>
      <w:lvlJc w:val="left"/>
      <w:pPr>
        <w:ind w:left="4320" w:hanging="360"/>
      </w:pPr>
      <w:rPr>
        <w:rFonts w:ascii="Wingdings" w:hAnsi="Wingdings" w:hint="default"/>
      </w:rPr>
    </w:lvl>
    <w:lvl w:ilvl="6" w:tplc="86107974">
      <w:start w:val="1"/>
      <w:numFmt w:val="bullet"/>
      <w:lvlText w:val=""/>
      <w:lvlJc w:val="left"/>
      <w:pPr>
        <w:ind w:left="5040" w:hanging="360"/>
      </w:pPr>
      <w:rPr>
        <w:rFonts w:ascii="Symbol" w:hAnsi="Symbol" w:hint="default"/>
      </w:rPr>
    </w:lvl>
    <w:lvl w:ilvl="7" w:tplc="D938BA06">
      <w:start w:val="1"/>
      <w:numFmt w:val="bullet"/>
      <w:lvlText w:val="o"/>
      <w:lvlJc w:val="left"/>
      <w:pPr>
        <w:ind w:left="5760" w:hanging="360"/>
      </w:pPr>
      <w:rPr>
        <w:rFonts w:ascii="Courier New" w:hAnsi="Courier New" w:hint="default"/>
      </w:rPr>
    </w:lvl>
    <w:lvl w:ilvl="8" w:tplc="FB6E2FCC">
      <w:start w:val="1"/>
      <w:numFmt w:val="bullet"/>
      <w:lvlText w:val=""/>
      <w:lvlJc w:val="left"/>
      <w:pPr>
        <w:ind w:left="6480" w:hanging="360"/>
      </w:pPr>
      <w:rPr>
        <w:rFonts w:ascii="Wingdings" w:hAnsi="Wingdings" w:hint="default"/>
      </w:rPr>
    </w:lvl>
  </w:abstractNum>
  <w:abstractNum w:abstractNumId="102" w15:restartNumberingAfterBreak="0">
    <w:nsid w:val="34171EFD"/>
    <w:multiLevelType w:val="hybridMultilevel"/>
    <w:tmpl w:val="2D0EBA7C"/>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4B01409"/>
    <w:multiLevelType w:val="hybridMultilevel"/>
    <w:tmpl w:val="8DF6945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4" w15:restartNumberingAfterBreak="0">
    <w:nsid w:val="34EC077E"/>
    <w:multiLevelType w:val="hybridMultilevel"/>
    <w:tmpl w:val="1D52424E"/>
    <w:lvl w:ilvl="0" w:tplc="D4EE6B84">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5" w15:restartNumberingAfterBreak="0">
    <w:nsid w:val="353273F6"/>
    <w:multiLevelType w:val="hybridMultilevel"/>
    <w:tmpl w:val="C550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368C4E6F"/>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107" w15:restartNumberingAfterBreak="0">
    <w:nsid w:val="37B96D9B"/>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84B4663"/>
    <w:multiLevelType w:val="hybridMultilevel"/>
    <w:tmpl w:val="1B54CC5E"/>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9" w15:restartNumberingAfterBreak="0">
    <w:nsid w:val="392E54A7"/>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93023CB"/>
    <w:multiLevelType w:val="hybridMultilevel"/>
    <w:tmpl w:val="E3DE411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1" w15:restartNumberingAfterBreak="0">
    <w:nsid w:val="39842DF0"/>
    <w:multiLevelType w:val="hybridMultilevel"/>
    <w:tmpl w:val="25A0DA44"/>
    <w:lvl w:ilvl="0" w:tplc="20AEF7D8">
      <w:start w:val="1"/>
      <w:numFmt w:val="decimal"/>
      <w:lvlText w:val="%1."/>
      <w:lvlJc w:val="left"/>
      <w:pPr>
        <w:ind w:left="720" w:hanging="360"/>
      </w:pPr>
    </w:lvl>
    <w:lvl w:ilvl="1" w:tplc="9E409298">
      <w:start w:val="1"/>
      <w:numFmt w:val="lowerLetter"/>
      <w:lvlText w:val="%2."/>
      <w:lvlJc w:val="left"/>
      <w:pPr>
        <w:ind w:left="1440" w:hanging="360"/>
      </w:pPr>
    </w:lvl>
    <w:lvl w:ilvl="2" w:tplc="6E9CE752">
      <w:start w:val="1"/>
      <w:numFmt w:val="lowerRoman"/>
      <w:lvlText w:val="%3."/>
      <w:lvlJc w:val="right"/>
      <w:pPr>
        <w:ind w:left="2160" w:hanging="180"/>
      </w:pPr>
    </w:lvl>
    <w:lvl w:ilvl="3" w:tplc="CFE89178">
      <w:start w:val="1"/>
      <w:numFmt w:val="decimal"/>
      <w:lvlText w:val="%4."/>
      <w:lvlJc w:val="left"/>
      <w:pPr>
        <w:ind w:left="2880" w:hanging="360"/>
      </w:pPr>
    </w:lvl>
    <w:lvl w:ilvl="4" w:tplc="3460C692">
      <w:start w:val="1"/>
      <w:numFmt w:val="lowerLetter"/>
      <w:lvlText w:val="%5."/>
      <w:lvlJc w:val="left"/>
      <w:pPr>
        <w:ind w:left="3600" w:hanging="360"/>
      </w:pPr>
    </w:lvl>
    <w:lvl w:ilvl="5" w:tplc="7F3EDC68">
      <w:start w:val="1"/>
      <w:numFmt w:val="lowerRoman"/>
      <w:lvlText w:val="%6."/>
      <w:lvlJc w:val="right"/>
      <w:pPr>
        <w:ind w:left="4320" w:hanging="180"/>
      </w:pPr>
    </w:lvl>
    <w:lvl w:ilvl="6" w:tplc="0E8C773C">
      <w:start w:val="1"/>
      <w:numFmt w:val="decimal"/>
      <w:lvlText w:val="%7."/>
      <w:lvlJc w:val="left"/>
      <w:pPr>
        <w:ind w:left="5040" w:hanging="360"/>
      </w:pPr>
    </w:lvl>
    <w:lvl w:ilvl="7" w:tplc="C9E87D3A">
      <w:start w:val="1"/>
      <w:numFmt w:val="lowerLetter"/>
      <w:lvlText w:val="%8."/>
      <w:lvlJc w:val="left"/>
      <w:pPr>
        <w:ind w:left="5760" w:hanging="360"/>
      </w:pPr>
    </w:lvl>
    <w:lvl w:ilvl="8" w:tplc="B2F01550">
      <w:start w:val="1"/>
      <w:numFmt w:val="lowerRoman"/>
      <w:lvlText w:val="%9."/>
      <w:lvlJc w:val="right"/>
      <w:pPr>
        <w:ind w:left="6480" w:hanging="180"/>
      </w:pPr>
    </w:lvl>
  </w:abstractNum>
  <w:abstractNum w:abstractNumId="112"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B211612"/>
    <w:multiLevelType w:val="hybridMultilevel"/>
    <w:tmpl w:val="BAF84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BC116CB"/>
    <w:multiLevelType w:val="hybridMultilevel"/>
    <w:tmpl w:val="5E0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C1B1429"/>
    <w:multiLevelType w:val="hybridMultilevel"/>
    <w:tmpl w:val="B818FBD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3E480E5A"/>
    <w:multiLevelType w:val="hybridMultilevel"/>
    <w:tmpl w:val="7B12C4B4"/>
    <w:lvl w:ilvl="0" w:tplc="C3761530">
      <w:start w:val="1"/>
      <w:numFmt w:val="bullet"/>
      <w:lvlText w:val="·"/>
      <w:lvlJc w:val="left"/>
      <w:pPr>
        <w:ind w:left="720" w:hanging="360"/>
      </w:pPr>
      <w:rPr>
        <w:rFonts w:ascii="Symbol" w:hAnsi="Symbol" w:hint="default"/>
      </w:rPr>
    </w:lvl>
    <w:lvl w:ilvl="1" w:tplc="23B8D700">
      <w:start w:val="1"/>
      <w:numFmt w:val="decimal"/>
      <w:lvlText w:val="%2."/>
      <w:lvlJc w:val="left"/>
      <w:pPr>
        <w:ind w:left="1440" w:hanging="360"/>
      </w:pPr>
      <w:rPr>
        <w:rFonts w:hint="default"/>
      </w:rPr>
    </w:lvl>
    <w:lvl w:ilvl="2" w:tplc="C7602BD0">
      <w:start w:val="1"/>
      <w:numFmt w:val="bullet"/>
      <w:lvlText w:val=""/>
      <w:lvlJc w:val="left"/>
      <w:pPr>
        <w:ind w:left="2160" w:hanging="360"/>
      </w:pPr>
      <w:rPr>
        <w:rFonts w:ascii="Wingdings" w:hAnsi="Wingdings" w:hint="default"/>
      </w:rPr>
    </w:lvl>
    <w:lvl w:ilvl="3" w:tplc="293AFFD4">
      <w:start w:val="1"/>
      <w:numFmt w:val="bullet"/>
      <w:lvlText w:val=""/>
      <w:lvlJc w:val="left"/>
      <w:pPr>
        <w:ind w:left="2880" w:hanging="360"/>
      </w:pPr>
      <w:rPr>
        <w:rFonts w:ascii="Symbol" w:hAnsi="Symbol" w:hint="default"/>
      </w:rPr>
    </w:lvl>
    <w:lvl w:ilvl="4" w:tplc="FACAC054">
      <w:start w:val="1"/>
      <w:numFmt w:val="bullet"/>
      <w:lvlText w:val="o"/>
      <w:lvlJc w:val="left"/>
      <w:pPr>
        <w:ind w:left="3600" w:hanging="360"/>
      </w:pPr>
      <w:rPr>
        <w:rFonts w:ascii="Courier New" w:hAnsi="Courier New" w:hint="default"/>
      </w:rPr>
    </w:lvl>
    <w:lvl w:ilvl="5" w:tplc="E4AC43BE">
      <w:start w:val="1"/>
      <w:numFmt w:val="bullet"/>
      <w:lvlText w:val=""/>
      <w:lvlJc w:val="left"/>
      <w:pPr>
        <w:ind w:left="4320" w:hanging="360"/>
      </w:pPr>
      <w:rPr>
        <w:rFonts w:ascii="Wingdings" w:hAnsi="Wingdings" w:hint="default"/>
      </w:rPr>
    </w:lvl>
    <w:lvl w:ilvl="6" w:tplc="45BA7DDE">
      <w:start w:val="1"/>
      <w:numFmt w:val="bullet"/>
      <w:lvlText w:val=""/>
      <w:lvlJc w:val="left"/>
      <w:pPr>
        <w:ind w:left="5040" w:hanging="360"/>
      </w:pPr>
      <w:rPr>
        <w:rFonts w:ascii="Symbol" w:hAnsi="Symbol" w:hint="default"/>
      </w:rPr>
    </w:lvl>
    <w:lvl w:ilvl="7" w:tplc="49468E78">
      <w:start w:val="1"/>
      <w:numFmt w:val="bullet"/>
      <w:lvlText w:val="o"/>
      <w:lvlJc w:val="left"/>
      <w:pPr>
        <w:ind w:left="5760" w:hanging="360"/>
      </w:pPr>
      <w:rPr>
        <w:rFonts w:ascii="Courier New" w:hAnsi="Courier New" w:hint="default"/>
      </w:rPr>
    </w:lvl>
    <w:lvl w:ilvl="8" w:tplc="1DA6F43A">
      <w:start w:val="1"/>
      <w:numFmt w:val="bullet"/>
      <w:lvlText w:val=""/>
      <w:lvlJc w:val="left"/>
      <w:pPr>
        <w:ind w:left="6480" w:hanging="360"/>
      </w:pPr>
      <w:rPr>
        <w:rFonts w:ascii="Wingdings" w:hAnsi="Wingdings" w:hint="default"/>
      </w:rPr>
    </w:lvl>
  </w:abstractNum>
  <w:abstractNum w:abstractNumId="117" w15:restartNumberingAfterBreak="0">
    <w:nsid w:val="3EA048E2"/>
    <w:multiLevelType w:val="hybridMultilevel"/>
    <w:tmpl w:val="FFFFFFFF"/>
    <w:lvl w:ilvl="0" w:tplc="A0AEDBE4">
      <w:start w:val="1"/>
      <w:numFmt w:val="bullet"/>
      <w:lvlText w:val="·"/>
      <w:lvlJc w:val="left"/>
      <w:pPr>
        <w:ind w:left="720" w:hanging="360"/>
      </w:pPr>
      <w:rPr>
        <w:rFonts w:ascii="Symbol" w:hAnsi="Symbol" w:hint="default"/>
      </w:rPr>
    </w:lvl>
    <w:lvl w:ilvl="1" w:tplc="3D8EF6CC">
      <w:start w:val="1"/>
      <w:numFmt w:val="bullet"/>
      <w:lvlText w:val="o"/>
      <w:lvlJc w:val="left"/>
      <w:pPr>
        <w:ind w:left="1440" w:hanging="360"/>
      </w:pPr>
      <w:rPr>
        <w:rFonts w:ascii="Courier New" w:hAnsi="Courier New" w:hint="default"/>
      </w:rPr>
    </w:lvl>
    <w:lvl w:ilvl="2" w:tplc="786AE30E">
      <w:start w:val="1"/>
      <w:numFmt w:val="bullet"/>
      <w:lvlText w:val=""/>
      <w:lvlJc w:val="left"/>
      <w:pPr>
        <w:ind w:left="2160" w:hanging="360"/>
      </w:pPr>
      <w:rPr>
        <w:rFonts w:ascii="Wingdings" w:hAnsi="Wingdings" w:hint="default"/>
      </w:rPr>
    </w:lvl>
    <w:lvl w:ilvl="3" w:tplc="33EAEC3C">
      <w:start w:val="1"/>
      <w:numFmt w:val="bullet"/>
      <w:lvlText w:val=""/>
      <w:lvlJc w:val="left"/>
      <w:pPr>
        <w:ind w:left="2880" w:hanging="360"/>
      </w:pPr>
      <w:rPr>
        <w:rFonts w:ascii="Symbol" w:hAnsi="Symbol" w:hint="default"/>
      </w:rPr>
    </w:lvl>
    <w:lvl w:ilvl="4" w:tplc="3946B71A">
      <w:start w:val="1"/>
      <w:numFmt w:val="bullet"/>
      <w:lvlText w:val="o"/>
      <w:lvlJc w:val="left"/>
      <w:pPr>
        <w:ind w:left="3600" w:hanging="360"/>
      </w:pPr>
      <w:rPr>
        <w:rFonts w:ascii="Courier New" w:hAnsi="Courier New" w:hint="default"/>
      </w:rPr>
    </w:lvl>
    <w:lvl w:ilvl="5" w:tplc="03B48594">
      <w:start w:val="1"/>
      <w:numFmt w:val="bullet"/>
      <w:lvlText w:val=""/>
      <w:lvlJc w:val="left"/>
      <w:pPr>
        <w:ind w:left="4320" w:hanging="360"/>
      </w:pPr>
      <w:rPr>
        <w:rFonts w:ascii="Wingdings" w:hAnsi="Wingdings" w:hint="default"/>
      </w:rPr>
    </w:lvl>
    <w:lvl w:ilvl="6" w:tplc="11DA5030">
      <w:start w:val="1"/>
      <w:numFmt w:val="bullet"/>
      <w:lvlText w:val=""/>
      <w:lvlJc w:val="left"/>
      <w:pPr>
        <w:ind w:left="5040" w:hanging="360"/>
      </w:pPr>
      <w:rPr>
        <w:rFonts w:ascii="Symbol" w:hAnsi="Symbol" w:hint="default"/>
      </w:rPr>
    </w:lvl>
    <w:lvl w:ilvl="7" w:tplc="B4D85D64">
      <w:start w:val="1"/>
      <w:numFmt w:val="bullet"/>
      <w:lvlText w:val="o"/>
      <w:lvlJc w:val="left"/>
      <w:pPr>
        <w:ind w:left="5760" w:hanging="360"/>
      </w:pPr>
      <w:rPr>
        <w:rFonts w:ascii="Courier New" w:hAnsi="Courier New" w:hint="default"/>
      </w:rPr>
    </w:lvl>
    <w:lvl w:ilvl="8" w:tplc="31DE5E48">
      <w:start w:val="1"/>
      <w:numFmt w:val="bullet"/>
      <w:lvlText w:val=""/>
      <w:lvlJc w:val="left"/>
      <w:pPr>
        <w:ind w:left="6480" w:hanging="360"/>
      </w:pPr>
      <w:rPr>
        <w:rFonts w:ascii="Wingdings" w:hAnsi="Wingdings" w:hint="default"/>
      </w:rPr>
    </w:lvl>
  </w:abstractNum>
  <w:abstractNum w:abstractNumId="118" w15:restartNumberingAfterBreak="0">
    <w:nsid w:val="3F16627B"/>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9" w15:restartNumberingAfterBreak="0">
    <w:nsid w:val="3FE45865"/>
    <w:multiLevelType w:val="hybridMultilevel"/>
    <w:tmpl w:val="FE84C4A0"/>
    <w:lvl w:ilvl="0" w:tplc="C614899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0037F04"/>
    <w:multiLevelType w:val="hybridMultilevel"/>
    <w:tmpl w:val="FF2C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41285243"/>
    <w:multiLevelType w:val="hybridMultilevel"/>
    <w:tmpl w:val="AAF2915A"/>
    <w:lvl w:ilvl="0" w:tplc="97EA7E1E">
      <w:start w:val="50"/>
      <w:numFmt w:val="bullet"/>
      <w:lvlText w:val="-"/>
      <w:lvlJc w:val="left"/>
      <w:pPr>
        <w:ind w:left="445" w:hanging="360"/>
      </w:pPr>
      <w:rPr>
        <w:rFonts w:ascii="Times New Roman" w:eastAsia="Times New Roman" w:hAnsi="Times New Roman" w:cs="Times New Roman"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22" w15:restartNumberingAfterBreak="0">
    <w:nsid w:val="41910805"/>
    <w:multiLevelType w:val="hybridMultilevel"/>
    <w:tmpl w:val="DB2269C6"/>
    <w:lvl w:ilvl="0" w:tplc="7BBAF134">
      <w:start w:val="3"/>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3" w15:restartNumberingAfterBreak="0">
    <w:nsid w:val="41910F6D"/>
    <w:multiLevelType w:val="hybridMultilevel"/>
    <w:tmpl w:val="F4669CC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4" w15:restartNumberingAfterBreak="0">
    <w:nsid w:val="41F800E5"/>
    <w:multiLevelType w:val="hybridMultilevel"/>
    <w:tmpl w:val="F8B82BF0"/>
    <w:lvl w:ilvl="0" w:tplc="805CBA54">
      <w:start w:val="45"/>
      <w:numFmt w:val="decimal"/>
      <w:lvlText w:val="%1)"/>
      <w:lvlJc w:val="left"/>
      <w:pPr>
        <w:ind w:left="2694" w:hanging="360"/>
      </w:pPr>
      <w:rPr>
        <w:rFonts w:eastAsia="MS Mincho"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4266117F"/>
    <w:multiLevelType w:val="hybridMultilevel"/>
    <w:tmpl w:val="DE10C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275537F"/>
    <w:multiLevelType w:val="hybridMultilevel"/>
    <w:tmpl w:val="E37EEA10"/>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27" w15:restartNumberingAfterBreak="0">
    <w:nsid w:val="427553C3"/>
    <w:multiLevelType w:val="hybridMultilevel"/>
    <w:tmpl w:val="625E3582"/>
    <w:lvl w:ilvl="0" w:tplc="0CDE26CA">
      <w:start w:val="1"/>
      <w:numFmt w:val="bullet"/>
      <w:lvlText w:val="·"/>
      <w:lvlJc w:val="left"/>
      <w:pPr>
        <w:ind w:left="720" w:hanging="360"/>
      </w:pPr>
      <w:rPr>
        <w:rFonts w:ascii="Symbol" w:hAnsi="Symbol" w:hint="default"/>
      </w:rPr>
    </w:lvl>
    <w:lvl w:ilvl="1" w:tplc="6E66BED4">
      <w:start w:val="1"/>
      <w:numFmt w:val="bullet"/>
      <w:lvlText w:val="o"/>
      <w:lvlJc w:val="left"/>
      <w:pPr>
        <w:ind w:left="1440" w:hanging="360"/>
      </w:pPr>
      <w:rPr>
        <w:rFonts w:ascii="Courier New" w:hAnsi="Courier New" w:hint="default"/>
      </w:rPr>
    </w:lvl>
    <w:lvl w:ilvl="2" w:tplc="6136DC70">
      <w:start w:val="1"/>
      <w:numFmt w:val="bullet"/>
      <w:lvlText w:val=""/>
      <w:lvlJc w:val="left"/>
      <w:pPr>
        <w:ind w:left="2160" w:hanging="360"/>
      </w:pPr>
      <w:rPr>
        <w:rFonts w:ascii="Wingdings" w:hAnsi="Wingdings" w:hint="default"/>
      </w:rPr>
    </w:lvl>
    <w:lvl w:ilvl="3" w:tplc="56BCDBBC">
      <w:start w:val="1"/>
      <w:numFmt w:val="bullet"/>
      <w:lvlText w:val=""/>
      <w:lvlJc w:val="left"/>
      <w:pPr>
        <w:ind w:left="2880" w:hanging="360"/>
      </w:pPr>
      <w:rPr>
        <w:rFonts w:ascii="Symbol" w:hAnsi="Symbol" w:hint="default"/>
      </w:rPr>
    </w:lvl>
    <w:lvl w:ilvl="4" w:tplc="5726A0C8">
      <w:start w:val="1"/>
      <w:numFmt w:val="bullet"/>
      <w:lvlText w:val="o"/>
      <w:lvlJc w:val="left"/>
      <w:pPr>
        <w:ind w:left="3600" w:hanging="360"/>
      </w:pPr>
      <w:rPr>
        <w:rFonts w:ascii="Courier New" w:hAnsi="Courier New" w:hint="default"/>
      </w:rPr>
    </w:lvl>
    <w:lvl w:ilvl="5" w:tplc="AB124752">
      <w:start w:val="1"/>
      <w:numFmt w:val="bullet"/>
      <w:lvlText w:val=""/>
      <w:lvlJc w:val="left"/>
      <w:pPr>
        <w:ind w:left="4320" w:hanging="360"/>
      </w:pPr>
      <w:rPr>
        <w:rFonts w:ascii="Wingdings" w:hAnsi="Wingdings" w:hint="default"/>
      </w:rPr>
    </w:lvl>
    <w:lvl w:ilvl="6" w:tplc="935C97FC">
      <w:start w:val="1"/>
      <w:numFmt w:val="bullet"/>
      <w:lvlText w:val=""/>
      <w:lvlJc w:val="left"/>
      <w:pPr>
        <w:ind w:left="5040" w:hanging="360"/>
      </w:pPr>
      <w:rPr>
        <w:rFonts w:ascii="Symbol" w:hAnsi="Symbol" w:hint="default"/>
      </w:rPr>
    </w:lvl>
    <w:lvl w:ilvl="7" w:tplc="24A2BA28">
      <w:start w:val="1"/>
      <w:numFmt w:val="bullet"/>
      <w:lvlText w:val="o"/>
      <w:lvlJc w:val="left"/>
      <w:pPr>
        <w:ind w:left="5760" w:hanging="360"/>
      </w:pPr>
      <w:rPr>
        <w:rFonts w:ascii="Courier New" w:hAnsi="Courier New" w:hint="default"/>
      </w:rPr>
    </w:lvl>
    <w:lvl w:ilvl="8" w:tplc="3F24B7EA">
      <w:start w:val="1"/>
      <w:numFmt w:val="bullet"/>
      <w:lvlText w:val=""/>
      <w:lvlJc w:val="left"/>
      <w:pPr>
        <w:ind w:left="6480" w:hanging="360"/>
      </w:pPr>
      <w:rPr>
        <w:rFonts w:ascii="Wingdings" w:hAnsi="Wingdings" w:hint="default"/>
      </w:rPr>
    </w:lvl>
  </w:abstractNum>
  <w:abstractNum w:abstractNumId="128"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9" w15:restartNumberingAfterBreak="0">
    <w:nsid w:val="42DB0852"/>
    <w:multiLevelType w:val="hybridMultilevel"/>
    <w:tmpl w:val="FFFFFFFF"/>
    <w:lvl w:ilvl="0" w:tplc="DCB81600">
      <w:start w:val="1"/>
      <w:numFmt w:val="decimal"/>
      <w:lvlText w:val="%1."/>
      <w:lvlJc w:val="left"/>
      <w:pPr>
        <w:ind w:left="720" w:hanging="360"/>
      </w:pPr>
    </w:lvl>
    <w:lvl w:ilvl="1" w:tplc="709C6A3A">
      <w:start w:val="1"/>
      <w:numFmt w:val="lowerLetter"/>
      <w:lvlText w:val="%2."/>
      <w:lvlJc w:val="left"/>
      <w:pPr>
        <w:ind w:left="1440" w:hanging="360"/>
      </w:pPr>
    </w:lvl>
    <w:lvl w:ilvl="2" w:tplc="A14A22E0">
      <w:start w:val="1"/>
      <w:numFmt w:val="lowerRoman"/>
      <w:lvlText w:val="%3."/>
      <w:lvlJc w:val="right"/>
      <w:pPr>
        <w:ind w:left="2160" w:hanging="180"/>
      </w:pPr>
    </w:lvl>
    <w:lvl w:ilvl="3" w:tplc="37A2BA48">
      <w:start w:val="1"/>
      <w:numFmt w:val="decimal"/>
      <w:lvlText w:val="%4."/>
      <w:lvlJc w:val="left"/>
      <w:pPr>
        <w:ind w:left="2880" w:hanging="360"/>
      </w:pPr>
    </w:lvl>
    <w:lvl w:ilvl="4" w:tplc="0158D936">
      <w:start w:val="1"/>
      <w:numFmt w:val="lowerLetter"/>
      <w:lvlText w:val="%5."/>
      <w:lvlJc w:val="left"/>
      <w:pPr>
        <w:ind w:left="3600" w:hanging="360"/>
      </w:pPr>
    </w:lvl>
    <w:lvl w:ilvl="5" w:tplc="7DCEB506">
      <w:start w:val="1"/>
      <w:numFmt w:val="lowerRoman"/>
      <w:lvlText w:val="%6."/>
      <w:lvlJc w:val="right"/>
      <w:pPr>
        <w:ind w:left="4320" w:hanging="180"/>
      </w:pPr>
    </w:lvl>
    <w:lvl w:ilvl="6" w:tplc="19DC56C0">
      <w:start w:val="1"/>
      <w:numFmt w:val="decimal"/>
      <w:lvlText w:val="%7."/>
      <w:lvlJc w:val="left"/>
      <w:pPr>
        <w:ind w:left="5040" w:hanging="360"/>
      </w:pPr>
    </w:lvl>
    <w:lvl w:ilvl="7" w:tplc="5A90A1E8">
      <w:start w:val="1"/>
      <w:numFmt w:val="lowerLetter"/>
      <w:lvlText w:val="%8."/>
      <w:lvlJc w:val="left"/>
      <w:pPr>
        <w:ind w:left="5760" w:hanging="360"/>
      </w:pPr>
    </w:lvl>
    <w:lvl w:ilvl="8" w:tplc="E2EE7886">
      <w:start w:val="1"/>
      <w:numFmt w:val="lowerRoman"/>
      <w:lvlText w:val="%9."/>
      <w:lvlJc w:val="right"/>
      <w:pPr>
        <w:ind w:left="6480" w:hanging="180"/>
      </w:pPr>
    </w:lvl>
  </w:abstractNum>
  <w:abstractNum w:abstractNumId="130" w15:restartNumberingAfterBreak="0">
    <w:nsid w:val="435E3A14"/>
    <w:multiLevelType w:val="hybridMultilevel"/>
    <w:tmpl w:val="FFFFFFFF"/>
    <w:lvl w:ilvl="0" w:tplc="90ACABF0">
      <w:start w:val="1"/>
      <w:numFmt w:val="decimal"/>
      <w:lvlText w:val="%1."/>
      <w:lvlJc w:val="left"/>
      <w:pPr>
        <w:ind w:left="720" w:hanging="360"/>
      </w:pPr>
    </w:lvl>
    <w:lvl w:ilvl="1" w:tplc="A4C6AD9C">
      <w:start w:val="1"/>
      <w:numFmt w:val="lowerLetter"/>
      <w:lvlText w:val="%2."/>
      <w:lvlJc w:val="left"/>
      <w:pPr>
        <w:ind w:left="1440" w:hanging="360"/>
      </w:pPr>
    </w:lvl>
    <w:lvl w:ilvl="2" w:tplc="A88217C0">
      <w:start w:val="1"/>
      <w:numFmt w:val="lowerRoman"/>
      <w:lvlText w:val="%3."/>
      <w:lvlJc w:val="right"/>
      <w:pPr>
        <w:ind w:left="2160" w:hanging="180"/>
      </w:pPr>
    </w:lvl>
    <w:lvl w:ilvl="3" w:tplc="A83A2AD8">
      <w:start w:val="1"/>
      <w:numFmt w:val="decimal"/>
      <w:lvlText w:val="%4."/>
      <w:lvlJc w:val="left"/>
      <w:pPr>
        <w:ind w:left="2880" w:hanging="360"/>
      </w:pPr>
    </w:lvl>
    <w:lvl w:ilvl="4" w:tplc="1432078E">
      <w:start w:val="1"/>
      <w:numFmt w:val="lowerLetter"/>
      <w:lvlText w:val="%5."/>
      <w:lvlJc w:val="left"/>
      <w:pPr>
        <w:ind w:left="3600" w:hanging="360"/>
      </w:pPr>
    </w:lvl>
    <w:lvl w:ilvl="5" w:tplc="4B42B678">
      <w:start w:val="1"/>
      <w:numFmt w:val="lowerRoman"/>
      <w:lvlText w:val="%6."/>
      <w:lvlJc w:val="right"/>
      <w:pPr>
        <w:ind w:left="4320" w:hanging="180"/>
      </w:pPr>
    </w:lvl>
    <w:lvl w:ilvl="6" w:tplc="B3DEEFF0">
      <w:start w:val="1"/>
      <w:numFmt w:val="decimal"/>
      <w:lvlText w:val="%7."/>
      <w:lvlJc w:val="left"/>
      <w:pPr>
        <w:ind w:left="5040" w:hanging="360"/>
      </w:pPr>
    </w:lvl>
    <w:lvl w:ilvl="7" w:tplc="5A362826">
      <w:start w:val="1"/>
      <w:numFmt w:val="lowerLetter"/>
      <w:lvlText w:val="%8."/>
      <w:lvlJc w:val="left"/>
      <w:pPr>
        <w:ind w:left="5760" w:hanging="360"/>
      </w:pPr>
    </w:lvl>
    <w:lvl w:ilvl="8" w:tplc="BC6E4078">
      <w:start w:val="1"/>
      <w:numFmt w:val="lowerRoman"/>
      <w:lvlText w:val="%9."/>
      <w:lvlJc w:val="right"/>
      <w:pPr>
        <w:ind w:left="6480" w:hanging="180"/>
      </w:pPr>
    </w:lvl>
  </w:abstractNum>
  <w:abstractNum w:abstractNumId="131" w15:restartNumberingAfterBreak="0">
    <w:nsid w:val="436C5B11"/>
    <w:multiLevelType w:val="hybridMultilevel"/>
    <w:tmpl w:val="FFFFFFFF"/>
    <w:lvl w:ilvl="0" w:tplc="BA0AACFA">
      <w:start w:val="1"/>
      <w:numFmt w:val="bullet"/>
      <w:lvlText w:val="·"/>
      <w:lvlJc w:val="left"/>
      <w:pPr>
        <w:ind w:left="720" w:hanging="360"/>
      </w:pPr>
      <w:rPr>
        <w:rFonts w:ascii="Symbol" w:hAnsi="Symbol" w:hint="default"/>
      </w:rPr>
    </w:lvl>
    <w:lvl w:ilvl="1" w:tplc="73C8394E">
      <w:start w:val="1"/>
      <w:numFmt w:val="bullet"/>
      <w:lvlText w:val="o"/>
      <w:lvlJc w:val="left"/>
      <w:pPr>
        <w:ind w:left="1440" w:hanging="360"/>
      </w:pPr>
      <w:rPr>
        <w:rFonts w:ascii="Courier New" w:hAnsi="Courier New" w:hint="default"/>
      </w:rPr>
    </w:lvl>
    <w:lvl w:ilvl="2" w:tplc="DD1E4EEC">
      <w:start w:val="1"/>
      <w:numFmt w:val="bullet"/>
      <w:lvlText w:val=""/>
      <w:lvlJc w:val="left"/>
      <w:pPr>
        <w:ind w:left="2160" w:hanging="360"/>
      </w:pPr>
      <w:rPr>
        <w:rFonts w:ascii="Wingdings" w:hAnsi="Wingdings" w:hint="default"/>
      </w:rPr>
    </w:lvl>
    <w:lvl w:ilvl="3" w:tplc="04ACAC0E">
      <w:start w:val="1"/>
      <w:numFmt w:val="bullet"/>
      <w:lvlText w:val=""/>
      <w:lvlJc w:val="left"/>
      <w:pPr>
        <w:ind w:left="2880" w:hanging="360"/>
      </w:pPr>
      <w:rPr>
        <w:rFonts w:ascii="Symbol" w:hAnsi="Symbol" w:hint="default"/>
      </w:rPr>
    </w:lvl>
    <w:lvl w:ilvl="4" w:tplc="1674D12E">
      <w:start w:val="1"/>
      <w:numFmt w:val="bullet"/>
      <w:lvlText w:val="o"/>
      <w:lvlJc w:val="left"/>
      <w:pPr>
        <w:ind w:left="3600" w:hanging="360"/>
      </w:pPr>
      <w:rPr>
        <w:rFonts w:ascii="Courier New" w:hAnsi="Courier New" w:hint="default"/>
      </w:rPr>
    </w:lvl>
    <w:lvl w:ilvl="5" w:tplc="724AF508">
      <w:start w:val="1"/>
      <w:numFmt w:val="bullet"/>
      <w:lvlText w:val=""/>
      <w:lvlJc w:val="left"/>
      <w:pPr>
        <w:ind w:left="4320" w:hanging="360"/>
      </w:pPr>
      <w:rPr>
        <w:rFonts w:ascii="Wingdings" w:hAnsi="Wingdings" w:hint="default"/>
      </w:rPr>
    </w:lvl>
    <w:lvl w:ilvl="6" w:tplc="F066FAB4">
      <w:start w:val="1"/>
      <w:numFmt w:val="bullet"/>
      <w:lvlText w:val=""/>
      <w:lvlJc w:val="left"/>
      <w:pPr>
        <w:ind w:left="5040" w:hanging="360"/>
      </w:pPr>
      <w:rPr>
        <w:rFonts w:ascii="Symbol" w:hAnsi="Symbol" w:hint="default"/>
      </w:rPr>
    </w:lvl>
    <w:lvl w:ilvl="7" w:tplc="5ED811E8">
      <w:start w:val="1"/>
      <w:numFmt w:val="bullet"/>
      <w:lvlText w:val="o"/>
      <w:lvlJc w:val="left"/>
      <w:pPr>
        <w:ind w:left="5760" w:hanging="360"/>
      </w:pPr>
      <w:rPr>
        <w:rFonts w:ascii="Courier New" w:hAnsi="Courier New" w:hint="default"/>
      </w:rPr>
    </w:lvl>
    <w:lvl w:ilvl="8" w:tplc="391068F6">
      <w:start w:val="1"/>
      <w:numFmt w:val="bullet"/>
      <w:lvlText w:val=""/>
      <w:lvlJc w:val="left"/>
      <w:pPr>
        <w:ind w:left="6480" w:hanging="360"/>
      </w:pPr>
      <w:rPr>
        <w:rFonts w:ascii="Wingdings" w:hAnsi="Wingdings" w:hint="default"/>
      </w:rPr>
    </w:lvl>
  </w:abstractNum>
  <w:abstractNum w:abstractNumId="132" w15:restartNumberingAfterBreak="0">
    <w:nsid w:val="43D91D16"/>
    <w:multiLevelType w:val="hybridMultilevel"/>
    <w:tmpl w:val="F496AE26"/>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33"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FB0A58"/>
    <w:multiLevelType w:val="hybridMultilevel"/>
    <w:tmpl w:val="FF84F170"/>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35" w15:restartNumberingAfterBreak="0">
    <w:nsid w:val="45756D35"/>
    <w:multiLevelType w:val="hybridMultilevel"/>
    <w:tmpl w:val="C17C3AE4"/>
    <w:lvl w:ilvl="0" w:tplc="B6928798">
      <w:start w:val="52"/>
      <w:numFmt w:val="decimal"/>
      <w:lvlText w:val="%1."/>
      <w:lvlJc w:val="left"/>
      <w:pPr>
        <w:ind w:left="720" w:hanging="360"/>
      </w:pPr>
    </w:lvl>
    <w:lvl w:ilvl="1" w:tplc="3F367B64">
      <w:start w:val="1"/>
      <w:numFmt w:val="lowerLetter"/>
      <w:lvlText w:val="%2."/>
      <w:lvlJc w:val="left"/>
      <w:pPr>
        <w:ind w:left="1440" w:hanging="360"/>
      </w:pPr>
    </w:lvl>
    <w:lvl w:ilvl="2" w:tplc="51D0F6AA">
      <w:start w:val="1"/>
      <w:numFmt w:val="lowerRoman"/>
      <w:lvlText w:val="%3."/>
      <w:lvlJc w:val="right"/>
      <w:pPr>
        <w:ind w:left="2160" w:hanging="180"/>
      </w:pPr>
    </w:lvl>
    <w:lvl w:ilvl="3" w:tplc="78E6ADE6">
      <w:start w:val="1"/>
      <w:numFmt w:val="decimal"/>
      <w:lvlText w:val="%4."/>
      <w:lvlJc w:val="left"/>
      <w:pPr>
        <w:ind w:left="2880" w:hanging="360"/>
      </w:pPr>
    </w:lvl>
    <w:lvl w:ilvl="4" w:tplc="E8EC4AD2">
      <w:start w:val="1"/>
      <w:numFmt w:val="lowerLetter"/>
      <w:lvlText w:val="%5."/>
      <w:lvlJc w:val="left"/>
      <w:pPr>
        <w:ind w:left="3600" w:hanging="360"/>
      </w:pPr>
    </w:lvl>
    <w:lvl w:ilvl="5" w:tplc="EA4C29B8">
      <w:start w:val="1"/>
      <w:numFmt w:val="lowerRoman"/>
      <w:lvlText w:val="%6."/>
      <w:lvlJc w:val="right"/>
      <w:pPr>
        <w:ind w:left="4320" w:hanging="180"/>
      </w:pPr>
    </w:lvl>
    <w:lvl w:ilvl="6" w:tplc="F412FF34">
      <w:start w:val="1"/>
      <w:numFmt w:val="decimal"/>
      <w:lvlText w:val="%7."/>
      <w:lvlJc w:val="left"/>
      <w:pPr>
        <w:ind w:left="5040" w:hanging="360"/>
      </w:pPr>
    </w:lvl>
    <w:lvl w:ilvl="7" w:tplc="17324140">
      <w:start w:val="1"/>
      <w:numFmt w:val="lowerLetter"/>
      <w:lvlText w:val="%8."/>
      <w:lvlJc w:val="left"/>
      <w:pPr>
        <w:ind w:left="5760" w:hanging="360"/>
      </w:pPr>
    </w:lvl>
    <w:lvl w:ilvl="8" w:tplc="8DC65FEA">
      <w:start w:val="1"/>
      <w:numFmt w:val="lowerRoman"/>
      <w:lvlText w:val="%9."/>
      <w:lvlJc w:val="right"/>
      <w:pPr>
        <w:ind w:left="6480" w:hanging="180"/>
      </w:pPr>
    </w:lvl>
  </w:abstractNum>
  <w:abstractNum w:abstractNumId="136"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7" w15:restartNumberingAfterBreak="0">
    <w:nsid w:val="45F75F11"/>
    <w:multiLevelType w:val="hybridMultilevel"/>
    <w:tmpl w:val="FFFFFFFF"/>
    <w:lvl w:ilvl="0" w:tplc="9D88E720">
      <w:start w:val="1"/>
      <w:numFmt w:val="bullet"/>
      <w:lvlText w:val="·"/>
      <w:lvlJc w:val="left"/>
      <w:pPr>
        <w:ind w:left="720" w:hanging="360"/>
      </w:pPr>
      <w:rPr>
        <w:rFonts w:ascii="Symbol" w:hAnsi="Symbol" w:hint="default"/>
      </w:rPr>
    </w:lvl>
    <w:lvl w:ilvl="1" w:tplc="51884D46">
      <w:start w:val="1"/>
      <w:numFmt w:val="bullet"/>
      <w:lvlText w:val="o"/>
      <w:lvlJc w:val="left"/>
      <w:pPr>
        <w:ind w:left="1440" w:hanging="360"/>
      </w:pPr>
      <w:rPr>
        <w:rFonts w:ascii="Courier New" w:hAnsi="Courier New" w:hint="default"/>
      </w:rPr>
    </w:lvl>
    <w:lvl w:ilvl="2" w:tplc="CFB61AB4">
      <w:start w:val="1"/>
      <w:numFmt w:val="bullet"/>
      <w:lvlText w:val=""/>
      <w:lvlJc w:val="left"/>
      <w:pPr>
        <w:ind w:left="2160" w:hanging="360"/>
      </w:pPr>
      <w:rPr>
        <w:rFonts w:ascii="Wingdings" w:hAnsi="Wingdings" w:hint="default"/>
      </w:rPr>
    </w:lvl>
    <w:lvl w:ilvl="3" w:tplc="ADFE8606">
      <w:start w:val="1"/>
      <w:numFmt w:val="bullet"/>
      <w:lvlText w:val=""/>
      <w:lvlJc w:val="left"/>
      <w:pPr>
        <w:ind w:left="2880" w:hanging="360"/>
      </w:pPr>
      <w:rPr>
        <w:rFonts w:ascii="Symbol" w:hAnsi="Symbol" w:hint="default"/>
      </w:rPr>
    </w:lvl>
    <w:lvl w:ilvl="4" w:tplc="F73EC1CA">
      <w:start w:val="1"/>
      <w:numFmt w:val="bullet"/>
      <w:lvlText w:val="o"/>
      <w:lvlJc w:val="left"/>
      <w:pPr>
        <w:ind w:left="3600" w:hanging="360"/>
      </w:pPr>
      <w:rPr>
        <w:rFonts w:ascii="Courier New" w:hAnsi="Courier New" w:hint="default"/>
      </w:rPr>
    </w:lvl>
    <w:lvl w:ilvl="5" w:tplc="EE24A45E">
      <w:start w:val="1"/>
      <w:numFmt w:val="bullet"/>
      <w:lvlText w:val=""/>
      <w:lvlJc w:val="left"/>
      <w:pPr>
        <w:ind w:left="4320" w:hanging="360"/>
      </w:pPr>
      <w:rPr>
        <w:rFonts w:ascii="Wingdings" w:hAnsi="Wingdings" w:hint="default"/>
      </w:rPr>
    </w:lvl>
    <w:lvl w:ilvl="6" w:tplc="18F4A210">
      <w:start w:val="1"/>
      <w:numFmt w:val="bullet"/>
      <w:lvlText w:val=""/>
      <w:lvlJc w:val="left"/>
      <w:pPr>
        <w:ind w:left="5040" w:hanging="360"/>
      </w:pPr>
      <w:rPr>
        <w:rFonts w:ascii="Symbol" w:hAnsi="Symbol" w:hint="default"/>
      </w:rPr>
    </w:lvl>
    <w:lvl w:ilvl="7" w:tplc="EC60BC66">
      <w:start w:val="1"/>
      <w:numFmt w:val="bullet"/>
      <w:lvlText w:val="o"/>
      <w:lvlJc w:val="left"/>
      <w:pPr>
        <w:ind w:left="5760" w:hanging="360"/>
      </w:pPr>
      <w:rPr>
        <w:rFonts w:ascii="Courier New" w:hAnsi="Courier New" w:hint="default"/>
      </w:rPr>
    </w:lvl>
    <w:lvl w:ilvl="8" w:tplc="062C43C2">
      <w:start w:val="1"/>
      <w:numFmt w:val="bullet"/>
      <w:lvlText w:val=""/>
      <w:lvlJc w:val="left"/>
      <w:pPr>
        <w:ind w:left="6480" w:hanging="360"/>
      </w:pPr>
      <w:rPr>
        <w:rFonts w:ascii="Wingdings" w:hAnsi="Wingdings" w:hint="default"/>
      </w:rPr>
    </w:lvl>
  </w:abstractNum>
  <w:abstractNum w:abstractNumId="138" w15:restartNumberingAfterBreak="0">
    <w:nsid w:val="46F32E4A"/>
    <w:multiLevelType w:val="hybridMultilevel"/>
    <w:tmpl w:val="DB781246"/>
    <w:lvl w:ilvl="0" w:tplc="4BEACA78">
      <w:numFmt w:val="none"/>
      <w:lvlText w:val=""/>
      <w:lvlJc w:val="left"/>
      <w:pPr>
        <w:tabs>
          <w:tab w:val="num" w:pos="360"/>
        </w:tabs>
      </w:pPr>
    </w:lvl>
    <w:lvl w:ilvl="1" w:tplc="A5A06C28">
      <w:start w:val="1"/>
      <w:numFmt w:val="decimal"/>
      <w:lvlText w:val="%2)"/>
      <w:lvlJc w:val="left"/>
      <w:pPr>
        <w:ind w:left="1080" w:hanging="360"/>
      </w:pPr>
      <w:rPr>
        <w:rFonts w:hint="default"/>
      </w:rPr>
    </w:lvl>
    <w:lvl w:ilvl="2" w:tplc="62F0F12A">
      <w:start w:val="1"/>
      <w:numFmt w:val="lowerRoman"/>
      <w:lvlText w:val="%3."/>
      <w:lvlJc w:val="right"/>
      <w:pPr>
        <w:ind w:left="1800" w:hanging="180"/>
      </w:pPr>
    </w:lvl>
    <w:lvl w:ilvl="3" w:tplc="71BE027E" w:tentative="1">
      <w:start w:val="1"/>
      <w:numFmt w:val="decimal"/>
      <w:lvlText w:val="%4."/>
      <w:lvlJc w:val="left"/>
      <w:pPr>
        <w:ind w:left="2520" w:hanging="360"/>
      </w:pPr>
    </w:lvl>
    <w:lvl w:ilvl="4" w:tplc="03427AE2" w:tentative="1">
      <w:start w:val="1"/>
      <w:numFmt w:val="lowerLetter"/>
      <w:lvlText w:val="%5."/>
      <w:lvlJc w:val="left"/>
      <w:pPr>
        <w:ind w:left="3240" w:hanging="360"/>
      </w:pPr>
    </w:lvl>
    <w:lvl w:ilvl="5" w:tplc="B79A3FB4" w:tentative="1">
      <w:start w:val="1"/>
      <w:numFmt w:val="lowerRoman"/>
      <w:lvlText w:val="%6."/>
      <w:lvlJc w:val="right"/>
      <w:pPr>
        <w:ind w:left="3960" w:hanging="180"/>
      </w:pPr>
    </w:lvl>
    <w:lvl w:ilvl="6" w:tplc="505673C4" w:tentative="1">
      <w:start w:val="1"/>
      <w:numFmt w:val="decimal"/>
      <w:lvlText w:val="%7."/>
      <w:lvlJc w:val="left"/>
      <w:pPr>
        <w:ind w:left="4680" w:hanging="360"/>
      </w:pPr>
    </w:lvl>
    <w:lvl w:ilvl="7" w:tplc="A5EE0B1E" w:tentative="1">
      <w:start w:val="1"/>
      <w:numFmt w:val="lowerLetter"/>
      <w:lvlText w:val="%8."/>
      <w:lvlJc w:val="left"/>
      <w:pPr>
        <w:ind w:left="5400" w:hanging="360"/>
      </w:pPr>
    </w:lvl>
    <w:lvl w:ilvl="8" w:tplc="CA1C1D5A" w:tentative="1">
      <w:start w:val="1"/>
      <w:numFmt w:val="lowerRoman"/>
      <w:lvlText w:val="%9."/>
      <w:lvlJc w:val="right"/>
      <w:pPr>
        <w:ind w:left="6120" w:hanging="180"/>
      </w:pPr>
    </w:lvl>
  </w:abstractNum>
  <w:abstractNum w:abstractNumId="139" w15:restartNumberingAfterBreak="0">
    <w:nsid w:val="476C32E1"/>
    <w:multiLevelType w:val="hybridMultilevel"/>
    <w:tmpl w:val="1E9224A8"/>
    <w:lvl w:ilvl="0" w:tplc="CE4831C8">
      <w:start w:val="1"/>
      <w:numFmt w:val="bullet"/>
      <w:lvlText w:val="·"/>
      <w:lvlJc w:val="left"/>
      <w:pPr>
        <w:ind w:left="720" w:hanging="360"/>
      </w:pPr>
      <w:rPr>
        <w:rFonts w:ascii="Symbol" w:hAnsi="Symbol" w:hint="default"/>
      </w:rPr>
    </w:lvl>
    <w:lvl w:ilvl="1" w:tplc="3B24329A">
      <w:start w:val="1"/>
      <w:numFmt w:val="bullet"/>
      <w:lvlText w:val="o"/>
      <w:lvlJc w:val="left"/>
      <w:pPr>
        <w:ind w:left="1440" w:hanging="360"/>
      </w:pPr>
      <w:rPr>
        <w:rFonts w:ascii="Courier New" w:hAnsi="Courier New" w:hint="default"/>
      </w:rPr>
    </w:lvl>
    <w:lvl w:ilvl="2" w:tplc="83A84D84">
      <w:start w:val="1"/>
      <w:numFmt w:val="bullet"/>
      <w:lvlText w:val=""/>
      <w:lvlJc w:val="left"/>
      <w:pPr>
        <w:ind w:left="2160" w:hanging="360"/>
      </w:pPr>
      <w:rPr>
        <w:rFonts w:ascii="Wingdings" w:hAnsi="Wingdings" w:hint="default"/>
      </w:rPr>
    </w:lvl>
    <w:lvl w:ilvl="3" w:tplc="197606B2">
      <w:start w:val="1"/>
      <w:numFmt w:val="bullet"/>
      <w:lvlText w:val=""/>
      <w:lvlJc w:val="left"/>
      <w:pPr>
        <w:ind w:left="2880" w:hanging="360"/>
      </w:pPr>
      <w:rPr>
        <w:rFonts w:ascii="Symbol" w:hAnsi="Symbol" w:hint="default"/>
      </w:rPr>
    </w:lvl>
    <w:lvl w:ilvl="4" w:tplc="1414A106">
      <w:start w:val="1"/>
      <w:numFmt w:val="bullet"/>
      <w:lvlText w:val="o"/>
      <w:lvlJc w:val="left"/>
      <w:pPr>
        <w:ind w:left="3600" w:hanging="360"/>
      </w:pPr>
      <w:rPr>
        <w:rFonts w:ascii="Courier New" w:hAnsi="Courier New" w:hint="default"/>
      </w:rPr>
    </w:lvl>
    <w:lvl w:ilvl="5" w:tplc="CB0AF864">
      <w:start w:val="1"/>
      <w:numFmt w:val="bullet"/>
      <w:lvlText w:val=""/>
      <w:lvlJc w:val="left"/>
      <w:pPr>
        <w:ind w:left="4320" w:hanging="360"/>
      </w:pPr>
      <w:rPr>
        <w:rFonts w:ascii="Wingdings" w:hAnsi="Wingdings" w:hint="default"/>
      </w:rPr>
    </w:lvl>
    <w:lvl w:ilvl="6" w:tplc="AD285DB6">
      <w:start w:val="1"/>
      <w:numFmt w:val="bullet"/>
      <w:lvlText w:val=""/>
      <w:lvlJc w:val="left"/>
      <w:pPr>
        <w:ind w:left="5040" w:hanging="360"/>
      </w:pPr>
      <w:rPr>
        <w:rFonts w:ascii="Symbol" w:hAnsi="Symbol" w:hint="default"/>
      </w:rPr>
    </w:lvl>
    <w:lvl w:ilvl="7" w:tplc="77C40BAA">
      <w:start w:val="1"/>
      <w:numFmt w:val="bullet"/>
      <w:lvlText w:val="o"/>
      <w:lvlJc w:val="left"/>
      <w:pPr>
        <w:ind w:left="5760" w:hanging="360"/>
      </w:pPr>
      <w:rPr>
        <w:rFonts w:ascii="Courier New" w:hAnsi="Courier New" w:hint="default"/>
      </w:rPr>
    </w:lvl>
    <w:lvl w:ilvl="8" w:tplc="D25CA5B8">
      <w:start w:val="1"/>
      <w:numFmt w:val="bullet"/>
      <w:lvlText w:val=""/>
      <w:lvlJc w:val="left"/>
      <w:pPr>
        <w:ind w:left="6480" w:hanging="360"/>
      </w:pPr>
      <w:rPr>
        <w:rFonts w:ascii="Wingdings" w:hAnsi="Wingdings" w:hint="default"/>
      </w:rPr>
    </w:lvl>
  </w:abstractNum>
  <w:abstractNum w:abstractNumId="140" w15:restartNumberingAfterBreak="0">
    <w:nsid w:val="486F0A09"/>
    <w:multiLevelType w:val="hybridMultilevel"/>
    <w:tmpl w:val="72D260BC"/>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1" w15:restartNumberingAfterBreak="0">
    <w:nsid w:val="489010CE"/>
    <w:multiLevelType w:val="hybridMultilevel"/>
    <w:tmpl w:val="AD78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8DA2401"/>
    <w:multiLevelType w:val="hybridMultilevel"/>
    <w:tmpl w:val="A3BC0C9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B60A0A72">
      <w:start w:val="51"/>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3" w15:restartNumberingAfterBreak="0">
    <w:nsid w:val="492269F1"/>
    <w:multiLevelType w:val="hybridMultilevel"/>
    <w:tmpl w:val="04B4E452"/>
    <w:lvl w:ilvl="0" w:tplc="CCD23C1A">
      <w:start w:val="1"/>
      <w:numFmt w:val="bullet"/>
      <w:lvlText w:val="-"/>
      <w:lvlJc w:val="left"/>
      <w:pPr>
        <w:ind w:left="445" w:hanging="360"/>
      </w:pPr>
      <w:rPr>
        <w:rFonts w:ascii="Cambria" w:eastAsia="Cambria" w:hAnsi="Cambria" w:cs="Cambria"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144" w15:restartNumberingAfterBreak="0">
    <w:nsid w:val="49D36EAE"/>
    <w:multiLevelType w:val="hybridMultilevel"/>
    <w:tmpl w:val="93C0B8DA"/>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45" w15:restartNumberingAfterBreak="0">
    <w:nsid w:val="49F74A04"/>
    <w:multiLevelType w:val="hybridMultilevel"/>
    <w:tmpl w:val="763EAF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6" w15:restartNumberingAfterBreak="0">
    <w:nsid w:val="4A183C4D"/>
    <w:multiLevelType w:val="hybridMultilevel"/>
    <w:tmpl w:val="CD585B18"/>
    <w:lvl w:ilvl="0" w:tplc="FE3C0D54">
      <w:start w:val="55"/>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A282FC8"/>
    <w:multiLevelType w:val="hybridMultilevel"/>
    <w:tmpl w:val="9FBC9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A9C7E8A"/>
    <w:multiLevelType w:val="hybridMultilevel"/>
    <w:tmpl w:val="8D428572"/>
    <w:lvl w:ilvl="0" w:tplc="0BF2BB52">
      <w:start w:val="1"/>
      <w:numFmt w:val="decimal"/>
      <w:lvlText w:val="%1."/>
      <w:lvlJc w:val="left"/>
      <w:pPr>
        <w:ind w:left="720" w:hanging="360"/>
      </w:pPr>
    </w:lvl>
    <w:lvl w:ilvl="1" w:tplc="C5329D6A">
      <w:start w:val="1"/>
      <w:numFmt w:val="lowerLetter"/>
      <w:lvlText w:val="%2."/>
      <w:lvlJc w:val="left"/>
      <w:pPr>
        <w:ind w:left="1440" w:hanging="360"/>
      </w:pPr>
    </w:lvl>
    <w:lvl w:ilvl="2" w:tplc="7C7C1D38">
      <w:start w:val="1"/>
      <w:numFmt w:val="lowerRoman"/>
      <w:lvlText w:val="%3."/>
      <w:lvlJc w:val="right"/>
      <w:pPr>
        <w:ind w:left="2160" w:hanging="180"/>
      </w:pPr>
    </w:lvl>
    <w:lvl w:ilvl="3" w:tplc="54163190">
      <w:start w:val="1"/>
      <w:numFmt w:val="decimal"/>
      <w:lvlText w:val="%4."/>
      <w:lvlJc w:val="left"/>
      <w:pPr>
        <w:ind w:left="2880" w:hanging="360"/>
      </w:pPr>
    </w:lvl>
    <w:lvl w:ilvl="4" w:tplc="CE1EE69E">
      <w:start w:val="1"/>
      <w:numFmt w:val="lowerLetter"/>
      <w:lvlText w:val="%5."/>
      <w:lvlJc w:val="left"/>
      <w:pPr>
        <w:ind w:left="3600" w:hanging="360"/>
      </w:pPr>
    </w:lvl>
    <w:lvl w:ilvl="5" w:tplc="BECC24AA">
      <w:start w:val="1"/>
      <w:numFmt w:val="lowerRoman"/>
      <w:lvlText w:val="%6."/>
      <w:lvlJc w:val="right"/>
      <w:pPr>
        <w:ind w:left="4320" w:hanging="180"/>
      </w:pPr>
    </w:lvl>
    <w:lvl w:ilvl="6" w:tplc="DA8E3506">
      <w:start w:val="1"/>
      <w:numFmt w:val="decimal"/>
      <w:lvlText w:val="%7."/>
      <w:lvlJc w:val="left"/>
      <w:pPr>
        <w:ind w:left="5040" w:hanging="360"/>
      </w:pPr>
    </w:lvl>
    <w:lvl w:ilvl="7" w:tplc="94AAC4CE">
      <w:start w:val="1"/>
      <w:numFmt w:val="lowerLetter"/>
      <w:lvlText w:val="%8."/>
      <w:lvlJc w:val="left"/>
      <w:pPr>
        <w:ind w:left="5760" w:hanging="360"/>
      </w:pPr>
    </w:lvl>
    <w:lvl w:ilvl="8" w:tplc="92AA1CF6">
      <w:start w:val="1"/>
      <w:numFmt w:val="lowerRoman"/>
      <w:lvlText w:val="%9."/>
      <w:lvlJc w:val="right"/>
      <w:pPr>
        <w:ind w:left="6480" w:hanging="180"/>
      </w:pPr>
    </w:lvl>
  </w:abstractNum>
  <w:abstractNum w:abstractNumId="149" w15:restartNumberingAfterBreak="0">
    <w:nsid w:val="4AF60CEE"/>
    <w:multiLevelType w:val="hybridMultilevel"/>
    <w:tmpl w:val="FFFFFFFF"/>
    <w:lvl w:ilvl="0" w:tplc="627236E0">
      <w:start w:val="1"/>
      <w:numFmt w:val="bullet"/>
      <w:lvlText w:val="-"/>
      <w:lvlJc w:val="left"/>
      <w:pPr>
        <w:ind w:left="720" w:hanging="360"/>
      </w:pPr>
      <w:rPr>
        <w:rFonts w:ascii="&quot;Calibri&quot;,sans-serif" w:hAnsi="&quot;Calibri&quot;,sans-serif" w:hint="default"/>
      </w:rPr>
    </w:lvl>
    <w:lvl w:ilvl="1" w:tplc="8856D2EA">
      <w:start w:val="1"/>
      <w:numFmt w:val="bullet"/>
      <w:lvlText w:val="o"/>
      <w:lvlJc w:val="left"/>
      <w:pPr>
        <w:ind w:left="1440" w:hanging="360"/>
      </w:pPr>
      <w:rPr>
        <w:rFonts w:ascii="Courier New" w:hAnsi="Courier New" w:hint="default"/>
      </w:rPr>
    </w:lvl>
    <w:lvl w:ilvl="2" w:tplc="18421B60">
      <w:start w:val="1"/>
      <w:numFmt w:val="bullet"/>
      <w:lvlText w:val=""/>
      <w:lvlJc w:val="left"/>
      <w:pPr>
        <w:ind w:left="2160" w:hanging="360"/>
      </w:pPr>
      <w:rPr>
        <w:rFonts w:ascii="Wingdings" w:hAnsi="Wingdings" w:hint="default"/>
      </w:rPr>
    </w:lvl>
    <w:lvl w:ilvl="3" w:tplc="BC0CCF9C">
      <w:start w:val="1"/>
      <w:numFmt w:val="bullet"/>
      <w:lvlText w:val=""/>
      <w:lvlJc w:val="left"/>
      <w:pPr>
        <w:ind w:left="2880" w:hanging="360"/>
      </w:pPr>
      <w:rPr>
        <w:rFonts w:ascii="Symbol" w:hAnsi="Symbol" w:hint="default"/>
      </w:rPr>
    </w:lvl>
    <w:lvl w:ilvl="4" w:tplc="21C4A204">
      <w:start w:val="1"/>
      <w:numFmt w:val="bullet"/>
      <w:lvlText w:val="o"/>
      <w:lvlJc w:val="left"/>
      <w:pPr>
        <w:ind w:left="3600" w:hanging="360"/>
      </w:pPr>
      <w:rPr>
        <w:rFonts w:ascii="Courier New" w:hAnsi="Courier New" w:hint="default"/>
      </w:rPr>
    </w:lvl>
    <w:lvl w:ilvl="5" w:tplc="F63291C6">
      <w:start w:val="1"/>
      <w:numFmt w:val="bullet"/>
      <w:lvlText w:val=""/>
      <w:lvlJc w:val="left"/>
      <w:pPr>
        <w:ind w:left="4320" w:hanging="360"/>
      </w:pPr>
      <w:rPr>
        <w:rFonts w:ascii="Wingdings" w:hAnsi="Wingdings" w:hint="default"/>
      </w:rPr>
    </w:lvl>
    <w:lvl w:ilvl="6" w:tplc="E3D4D0EE">
      <w:start w:val="1"/>
      <w:numFmt w:val="bullet"/>
      <w:lvlText w:val=""/>
      <w:lvlJc w:val="left"/>
      <w:pPr>
        <w:ind w:left="5040" w:hanging="360"/>
      </w:pPr>
      <w:rPr>
        <w:rFonts w:ascii="Symbol" w:hAnsi="Symbol" w:hint="default"/>
      </w:rPr>
    </w:lvl>
    <w:lvl w:ilvl="7" w:tplc="E5B00DF6">
      <w:start w:val="1"/>
      <w:numFmt w:val="bullet"/>
      <w:lvlText w:val="o"/>
      <w:lvlJc w:val="left"/>
      <w:pPr>
        <w:ind w:left="5760" w:hanging="360"/>
      </w:pPr>
      <w:rPr>
        <w:rFonts w:ascii="Courier New" w:hAnsi="Courier New" w:hint="default"/>
      </w:rPr>
    </w:lvl>
    <w:lvl w:ilvl="8" w:tplc="EAD0D474">
      <w:start w:val="1"/>
      <w:numFmt w:val="bullet"/>
      <w:lvlText w:val=""/>
      <w:lvlJc w:val="left"/>
      <w:pPr>
        <w:ind w:left="6480" w:hanging="360"/>
      </w:pPr>
      <w:rPr>
        <w:rFonts w:ascii="Wingdings" w:hAnsi="Wingdings" w:hint="default"/>
      </w:rPr>
    </w:lvl>
  </w:abstractNum>
  <w:abstractNum w:abstractNumId="150" w15:restartNumberingAfterBreak="0">
    <w:nsid w:val="4BF366C4"/>
    <w:multiLevelType w:val="hybridMultilevel"/>
    <w:tmpl w:val="FFFFFFFF"/>
    <w:lvl w:ilvl="0" w:tplc="7818B60E">
      <w:start w:val="1"/>
      <w:numFmt w:val="bullet"/>
      <w:lvlText w:val="·"/>
      <w:lvlJc w:val="left"/>
      <w:pPr>
        <w:ind w:left="720" w:hanging="360"/>
      </w:pPr>
      <w:rPr>
        <w:rFonts w:ascii="Symbol" w:hAnsi="Symbol" w:hint="default"/>
      </w:rPr>
    </w:lvl>
    <w:lvl w:ilvl="1" w:tplc="C23889DA">
      <w:start w:val="1"/>
      <w:numFmt w:val="decimal"/>
      <w:lvlText w:val="%2."/>
      <w:lvlJc w:val="left"/>
      <w:pPr>
        <w:ind w:left="1440" w:hanging="360"/>
      </w:pPr>
      <w:rPr>
        <w:rFonts w:hint="default"/>
      </w:rPr>
    </w:lvl>
    <w:lvl w:ilvl="2" w:tplc="05529188">
      <w:start w:val="1"/>
      <w:numFmt w:val="bullet"/>
      <w:lvlText w:val=""/>
      <w:lvlJc w:val="left"/>
      <w:pPr>
        <w:ind w:left="2160" w:hanging="360"/>
      </w:pPr>
      <w:rPr>
        <w:rFonts w:ascii="Wingdings" w:hAnsi="Wingdings" w:hint="default"/>
      </w:rPr>
    </w:lvl>
    <w:lvl w:ilvl="3" w:tplc="74A8D556">
      <w:start w:val="1"/>
      <w:numFmt w:val="bullet"/>
      <w:lvlText w:val=""/>
      <w:lvlJc w:val="left"/>
      <w:pPr>
        <w:ind w:left="2880" w:hanging="360"/>
      </w:pPr>
      <w:rPr>
        <w:rFonts w:ascii="Symbol" w:hAnsi="Symbol" w:hint="default"/>
      </w:rPr>
    </w:lvl>
    <w:lvl w:ilvl="4" w:tplc="D15C47FC">
      <w:start w:val="1"/>
      <w:numFmt w:val="bullet"/>
      <w:lvlText w:val="o"/>
      <w:lvlJc w:val="left"/>
      <w:pPr>
        <w:ind w:left="3600" w:hanging="360"/>
      </w:pPr>
      <w:rPr>
        <w:rFonts w:ascii="Courier New" w:hAnsi="Courier New" w:hint="default"/>
      </w:rPr>
    </w:lvl>
    <w:lvl w:ilvl="5" w:tplc="019ACE82">
      <w:start w:val="1"/>
      <w:numFmt w:val="bullet"/>
      <w:lvlText w:val=""/>
      <w:lvlJc w:val="left"/>
      <w:pPr>
        <w:ind w:left="4320" w:hanging="360"/>
      </w:pPr>
      <w:rPr>
        <w:rFonts w:ascii="Wingdings" w:hAnsi="Wingdings" w:hint="default"/>
      </w:rPr>
    </w:lvl>
    <w:lvl w:ilvl="6" w:tplc="04BCD96A">
      <w:start w:val="1"/>
      <w:numFmt w:val="bullet"/>
      <w:lvlText w:val=""/>
      <w:lvlJc w:val="left"/>
      <w:pPr>
        <w:ind w:left="5040" w:hanging="360"/>
      </w:pPr>
      <w:rPr>
        <w:rFonts w:ascii="Symbol" w:hAnsi="Symbol" w:hint="default"/>
      </w:rPr>
    </w:lvl>
    <w:lvl w:ilvl="7" w:tplc="76C4CCEC">
      <w:start w:val="1"/>
      <w:numFmt w:val="bullet"/>
      <w:lvlText w:val="o"/>
      <w:lvlJc w:val="left"/>
      <w:pPr>
        <w:ind w:left="5760" w:hanging="360"/>
      </w:pPr>
      <w:rPr>
        <w:rFonts w:ascii="Courier New" w:hAnsi="Courier New" w:hint="default"/>
      </w:rPr>
    </w:lvl>
    <w:lvl w:ilvl="8" w:tplc="05386F44">
      <w:start w:val="1"/>
      <w:numFmt w:val="bullet"/>
      <w:lvlText w:val=""/>
      <w:lvlJc w:val="left"/>
      <w:pPr>
        <w:ind w:left="6480" w:hanging="360"/>
      </w:pPr>
      <w:rPr>
        <w:rFonts w:ascii="Wingdings" w:hAnsi="Wingdings" w:hint="default"/>
      </w:rPr>
    </w:lvl>
  </w:abstractNum>
  <w:abstractNum w:abstractNumId="151" w15:restartNumberingAfterBreak="0">
    <w:nsid w:val="4C691602"/>
    <w:multiLevelType w:val="hybridMultilevel"/>
    <w:tmpl w:val="FFFFFFFF"/>
    <w:lvl w:ilvl="0" w:tplc="13B6A028">
      <w:start w:val="1"/>
      <w:numFmt w:val="decimal"/>
      <w:lvlText w:val="%1."/>
      <w:lvlJc w:val="left"/>
      <w:pPr>
        <w:ind w:left="720" w:hanging="360"/>
      </w:pPr>
    </w:lvl>
    <w:lvl w:ilvl="1" w:tplc="9D74E164">
      <w:start w:val="1"/>
      <w:numFmt w:val="lowerLetter"/>
      <w:lvlText w:val="%2."/>
      <w:lvlJc w:val="left"/>
      <w:pPr>
        <w:ind w:left="1440" w:hanging="360"/>
      </w:pPr>
    </w:lvl>
    <w:lvl w:ilvl="2" w:tplc="35D0B660">
      <w:start w:val="1"/>
      <w:numFmt w:val="lowerRoman"/>
      <w:lvlText w:val="%3."/>
      <w:lvlJc w:val="right"/>
      <w:pPr>
        <w:ind w:left="2160" w:hanging="180"/>
      </w:pPr>
    </w:lvl>
    <w:lvl w:ilvl="3" w:tplc="11568AEC">
      <w:start w:val="1"/>
      <w:numFmt w:val="decimal"/>
      <w:lvlText w:val="%4."/>
      <w:lvlJc w:val="left"/>
      <w:pPr>
        <w:ind w:left="2880" w:hanging="360"/>
      </w:pPr>
    </w:lvl>
    <w:lvl w:ilvl="4" w:tplc="F5C2A0E0">
      <w:start w:val="1"/>
      <w:numFmt w:val="lowerLetter"/>
      <w:lvlText w:val="%5."/>
      <w:lvlJc w:val="left"/>
      <w:pPr>
        <w:ind w:left="3600" w:hanging="360"/>
      </w:pPr>
    </w:lvl>
    <w:lvl w:ilvl="5" w:tplc="2EDAA962">
      <w:start w:val="1"/>
      <w:numFmt w:val="lowerRoman"/>
      <w:lvlText w:val="%6."/>
      <w:lvlJc w:val="right"/>
      <w:pPr>
        <w:ind w:left="4320" w:hanging="180"/>
      </w:pPr>
    </w:lvl>
    <w:lvl w:ilvl="6" w:tplc="BEC04A96">
      <w:start w:val="1"/>
      <w:numFmt w:val="decimal"/>
      <w:lvlText w:val="%7."/>
      <w:lvlJc w:val="left"/>
      <w:pPr>
        <w:ind w:left="5040" w:hanging="360"/>
      </w:pPr>
    </w:lvl>
    <w:lvl w:ilvl="7" w:tplc="CF5CAD9A">
      <w:start w:val="1"/>
      <w:numFmt w:val="lowerLetter"/>
      <w:lvlText w:val="%8."/>
      <w:lvlJc w:val="left"/>
      <w:pPr>
        <w:ind w:left="5760" w:hanging="360"/>
      </w:pPr>
    </w:lvl>
    <w:lvl w:ilvl="8" w:tplc="9A2611C8">
      <w:start w:val="1"/>
      <w:numFmt w:val="lowerRoman"/>
      <w:lvlText w:val="%9."/>
      <w:lvlJc w:val="right"/>
      <w:pPr>
        <w:ind w:left="6480" w:hanging="180"/>
      </w:pPr>
    </w:lvl>
  </w:abstractNum>
  <w:abstractNum w:abstractNumId="152" w15:restartNumberingAfterBreak="0">
    <w:nsid w:val="4CD8334A"/>
    <w:multiLevelType w:val="hybridMultilevel"/>
    <w:tmpl w:val="FFFFFFFF"/>
    <w:lvl w:ilvl="0" w:tplc="D640E50E">
      <w:start w:val="1"/>
      <w:numFmt w:val="decimal"/>
      <w:lvlText w:val="%1."/>
      <w:lvlJc w:val="left"/>
      <w:pPr>
        <w:ind w:left="720" w:hanging="360"/>
      </w:pPr>
    </w:lvl>
    <w:lvl w:ilvl="1" w:tplc="CF489950">
      <w:start w:val="1"/>
      <w:numFmt w:val="lowerLetter"/>
      <w:lvlText w:val="%2."/>
      <w:lvlJc w:val="left"/>
      <w:pPr>
        <w:ind w:left="1440" w:hanging="360"/>
      </w:pPr>
    </w:lvl>
    <w:lvl w:ilvl="2" w:tplc="08AABD10">
      <w:start w:val="1"/>
      <w:numFmt w:val="lowerRoman"/>
      <w:lvlText w:val="%3."/>
      <w:lvlJc w:val="right"/>
      <w:pPr>
        <w:ind w:left="2160" w:hanging="180"/>
      </w:pPr>
    </w:lvl>
    <w:lvl w:ilvl="3" w:tplc="BE64A6EE">
      <w:start w:val="1"/>
      <w:numFmt w:val="decimal"/>
      <w:lvlText w:val="%4."/>
      <w:lvlJc w:val="left"/>
      <w:pPr>
        <w:ind w:left="2880" w:hanging="360"/>
      </w:pPr>
    </w:lvl>
    <w:lvl w:ilvl="4" w:tplc="7B585AB6">
      <w:start w:val="1"/>
      <w:numFmt w:val="lowerLetter"/>
      <w:lvlText w:val="%5."/>
      <w:lvlJc w:val="left"/>
      <w:pPr>
        <w:ind w:left="3600" w:hanging="360"/>
      </w:pPr>
    </w:lvl>
    <w:lvl w:ilvl="5" w:tplc="81C62F1C">
      <w:start w:val="1"/>
      <w:numFmt w:val="lowerRoman"/>
      <w:lvlText w:val="%6."/>
      <w:lvlJc w:val="right"/>
      <w:pPr>
        <w:ind w:left="4320" w:hanging="180"/>
      </w:pPr>
    </w:lvl>
    <w:lvl w:ilvl="6" w:tplc="9D8A23F2">
      <w:start w:val="1"/>
      <w:numFmt w:val="decimal"/>
      <w:lvlText w:val="%7."/>
      <w:lvlJc w:val="left"/>
      <w:pPr>
        <w:ind w:left="5040" w:hanging="360"/>
      </w:pPr>
    </w:lvl>
    <w:lvl w:ilvl="7" w:tplc="6DBE8972">
      <w:start w:val="1"/>
      <w:numFmt w:val="lowerLetter"/>
      <w:lvlText w:val="%8."/>
      <w:lvlJc w:val="left"/>
      <w:pPr>
        <w:ind w:left="5760" w:hanging="360"/>
      </w:pPr>
    </w:lvl>
    <w:lvl w:ilvl="8" w:tplc="789A19A0">
      <w:start w:val="1"/>
      <w:numFmt w:val="lowerRoman"/>
      <w:lvlText w:val="%9."/>
      <w:lvlJc w:val="right"/>
      <w:pPr>
        <w:ind w:left="6480" w:hanging="180"/>
      </w:pPr>
    </w:lvl>
  </w:abstractNum>
  <w:abstractNum w:abstractNumId="153" w15:restartNumberingAfterBreak="0">
    <w:nsid w:val="4E682FAF"/>
    <w:multiLevelType w:val="hybridMultilevel"/>
    <w:tmpl w:val="18827CF4"/>
    <w:lvl w:ilvl="0" w:tplc="16E255B0">
      <w:start w:val="1"/>
      <w:numFmt w:val="decimal"/>
      <w:lvlText w:val="%1."/>
      <w:lvlJc w:val="left"/>
      <w:pPr>
        <w:ind w:left="720" w:hanging="360"/>
      </w:pPr>
    </w:lvl>
    <w:lvl w:ilvl="1" w:tplc="CA8CD326">
      <w:start w:val="1"/>
      <w:numFmt w:val="decimal"/>
      <w:lvlText w:val="%2."/>
      <w:lvlJc w:val="left"/>
      <w:pPr>
        <w:ind w:left="1440" w:hanging="360"/>
      </w:pPr>
    </w:lvl>
    <w:lvl w:ilvl="2" w:tplc="D2687AE6">
      <w:start w:val="1"/>
      <w:numFmt w:val="lowerRoman"/>
      <w:lvlText w:val="%3."/>
      <w:lvlJc w:val="right"/>
      <w:pPr>
        <w:ind w:left="2160" w:hanging="180"/>
      </w:pPr>
    </w:lvl>
    <w:lvl w:ilvl="3" w:tplc="68700AC8">
      <w:start w:val="1"/>
      <w:numFmt w:val="decimal"/>
      <w:lvlText w:val="%4."/>
      <w:lvlJc w:val="left"/>
      <w:pPr>
        <w:ind w:left="2880" w:hanging="360"/>
      </w:pPr>
    </w:lvl>
    <w:lvl w:ilvl="4" w:tplc="F0241D3C">
      <w:start w:val="1"/>
      <w:numFmt w:val="lowerLetter"/>
      <w:lvlText w:val="%5."/>
      <w:lvlJc w:val="left"/>
      <w:pPr>
        <w:ind w:left="3600" w:hanging="360"/>
      </w:pPr>
    </w:lvl>
    <w:lvl w:ilvl="5" w:tplc="E8861942">
      <w:start w:val="1"/>
      <w:numFmt w:val="lowerRoman"/>
      <w:lvlText w:val="%6."/>
      <w:lvlJc w:val="right"/>
      <w:pPr>
        <w:ind w:left="4320" w:hanging="180"/>
      </w:pPr>
    </w:lvl>
    <w:lvl w:ilvl="6" w:tplc="4C3871E4">
      <w:start w:val="1"/>
      <w:numFmt w:val="decimal"/>
      <w:lvlText w:val="%7."/>
      <w:lvlJc w:val="left"/>
      <w:pPr>
        <w:ind w:left="5040" w:hanging="360"/>
      </w:pPr>
    </w:lvl>
    <w:lvl w:ilvl="7" w:tplc="AC4C7490">
      <w:start w:val="1"/>
      <w:numFmt w:val="lowerLetter"/>
      <w:lvlText w:val="%8."/>
      <w:lvlJc w:val="left"/>
      <w:pPr>
        <w:ind w:left="5760" w:hanging="360"/>
      </w:pPr>
    </w:lvl>
    <w:lvl w:ilvl="8" w:tplc="437403A0">
      <w:start w:val="1"/>
      <w:numFmt w:val="lowerRoman"/>
      <w:lvlText w:val="%9."/>
      <w:lvlJc w:val="right"/>
      <w:pPr>
        <w:ind w:left="6480" w:hanging="180"/>
      </w:pPr>
    </w:lvl>
  </w:abstractNum>
  <w:abstractNum w:abstractNumId="154"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5" w15:restartNumberingAfterBreak="0">
    <w:nsid w:val="51863F82"/>
    <w:multiLevelType w:val="hybridMultilevel"/>
    <w:tmpl w:val="FFFFFFFF"/>
    <w:lvl w:ilvl="0" w:tplc="5886620E">
      <w:start w:val="1"/>
      <w:numFmt w:val="bullet"/>
      <w:lvlText w:val="·"/>
      <w:lvlJc w:val="left"/>
      <w:pPr>
        <w:ind w:left="720" w:hanging="360"/>
      </w:pPr>
      <w:rPr>
        <w:rFonts w:ascii="Symbol" w:hAnsi="Symbol" w:hint="default"/>
      </w:rPr>
    </w:lvl>
    <w:lvl w:ilvl="1" w:tplc="337A5E36">
      <w:start w:val="1"/>
      <w:numFmt w:val="decimal"/>
      <w:lvlText w:val="%2."/>
      <w:lvlJc w:val="left"/>
      <w:pPr>
        <w:ind w:left="1440" w:hanging="360"/>
      </w:pPr>
      <w:rPr>
        <w:rFonts w:hint="default"/>
      </w:rPr>
    </w:lvl>
    <w:lvl w:ilvl="2" w:tplc="A3BE1D6A">
      <w:start w:val="1"/>
      <w:numFmt w:val="bullet"/>
      <w:lvlText w:val=""/>
      <w:lvlJc w:val="left"/>
      <w:pPr>
        <w:ind w:left="2160" w:hanging="360"/>
      </w:pPr>
      <w:rPr>
        <w:rFonts w:ascii="Wingdings" w:hAnsi="Wingdings" w:hint="default"/>
      </w:rPr>
    </w:lvl>
    <w:lvl w:ilvl="3" w:tplc="E8A2134C">
      <w:start w:val="1"/>
      <w:numFmt w:val="bullet"/>
      <w:lvlText w:val=""/>
      <w:lvlJc w:val="left"/>
      <w:pPr>
        <w:ind w:left="2880" w:hanging="360"/>
      </w:pPr>
      <w:rPr>
        <w:rFonts w:ascii="Symbol" w:hAnsi="Symbol" w:hint="default"/>
      </w:rPr>
    </w:lvl>
    <w:lvl w:ilvl="4" w:tplc="C0261D4E">
      <w:start w:val="1"/>
      <w:numFmt w:val="bullet"/>
      <w:lvlText w:val="o"/>
      <w:lvlJc w:val="left"/>
      <w:pPr>
        <w:ind w:left="3600" w:hanging="360"/>
      </w:pPr>
      <w:rPr>
        <w:rFonts w:ascii="Courier New" w:hAnsi="Courier New" w:hint="default"/>
      </w:rPr>
    </w:lvl>
    <w:lvl w:ilvl="5" w:tplc="8D5814B6">
      <w:start w:val="1"/>
      <w:numFmt w:val="bullet"/>
      <w:lvlText w:val=""/>
      <w:lvlJc w:val="left"/>
      <w:pPr>
        <w:ind w:left="4320" w:hanging="360"/>
      </w:pPr>
      <w:rPr>
        <w:rFonts w:ascii="Wingdings" w:hAnsi="Wingdings" w:hint="default"/>
      </w:rPr>
    </w:lvl>
    <w:lvl w:ilvl="6" w:tplc="C860A228">
      <w:start w:val="1"/>
      <w:numFmt w:val="bullet"/>
      <w:lvlText w:val=""/>
      <w:lvlJc w:val="left"/>
      <w:pPr>
        <w:ind w:left="5040" w:hanging="360"/>
      </w:pPr>
      <w:rPr>
        <w:rFonts w:ascii="Symbol" w:hAnsi="Symbol" w:hint="default"/>
      </w:rPr>
    </w:lvl>
    <w:lvl w:ilvl="7" w:tplc="80C0C9B6">
      <w:start w:val="1"/>
      <w:numFmt w:val="bullet"/>
      <w:lvlText w:val="o"/>
      <w:lvlJc w:val="left"/>
      <w:pPr>
        <w:ind w:left="5760" w:hanging="360"/>
      </w:pPr>
      <w:rPr>
        <w:rFonts w:ascii="Courier New" w:hAnsi="Courier New" w:hint="default"/>
      </w:rPr>
    </w:lvl>
    <w:lvl w:ilvl="8" w:tplc="CDC20E0A">
      <w:start w:val="1"/>
      <w:numFmt w:val="bullet"/>
      <w:lvlText w:val=""/>
      <w:lvlJc w:val="left"/>
      <w:pPr>
        <w:ind w:left="6480" w:hanging="360"/>
      </w:pPr>
      <w:rPr>
        <w:rFonts w:ascii="Wingdings" w:hAnsi="Wingdings" w:hint="default"/>
      </w:rPr>
    </w:lvl>
  </w:abstractNum>
  <w:abstractNum w:abstractNumId="156" w15:restartNumberingAfterBreak="0">
    <w:nsid w:val="52B23B42"/>
    <w:multiLevelType w:val="hybridMultilevel"/>
    <w:tmpl w:val="30AA6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53F95047"/>
    <w:multiLevelType w:val="hybridMultilevel"/>
    <w:tmpl w:val="FFFFFFFF"/>
    <w:lvl w:ilvl="0" w:tplc="F8FEE626">
      <w:start w:val="1"/>
      <w:numFmt w:val="decimal"/>
      <w:lvlText w:val="%1."/>
      <w:lvlJc w:val="left"/>
      <w:pPr>
        <w:ind w:left="720" w:hanging="360"/>
      </w:pPr>
    </w:lvl>
    <w:lvl w:ilvl="1" w:tplc="DD9079C0">
      <w:start w:val="1"/>
      <w:numFmt w:val="decimal"/>
      <w:lvlText w:val="%2."/>
      <w:lvlJc w:val="left"/>
      <w:pPr>
        <w:ind w:left="1440" w:hanging="360"/>
      </w:pPr>
    </w:lvl>
    <w:lvl w:ilvl="2" w:tplc="2E9EDF62">
      <w:start w:val="1"/>
      <w:numFmt w:val="lowerRoman"/>
      <w:lvlText w:val="%3."/>
      <w:lvlJc w:val="right"/>
      <w:pPr>
        <w:ind w:left="2160" w:hanging="180"/>
      </w:pPr>
    </w:lvl>
    <w:lvl w:ilvl="3" w:tplc="4E1AB8CA">
      <w:start w:val="1"/>
      <w:numFmt w:val="decimal"/>
      <w:lvlText w:val="%4."/>
      <w:lvlJc w:val="left"/>
      <w:pPr>
        <w:ind w:left="2880" w:hanging="360"/>
      </w:pPr>
    </w:lvl>
    <w:lvl w:ilvl="4" w:tplc="A55C23E6">
      <w:start w:val="1"/>
      <w:numFmt w:val="lowerLetter"/>
      <w:lvlText w:val="%5."/>
      <w:lvlJc w:val="left"/>
      <w:pPr>
        <w:ind w:left="3600" w:hanging="360"/>
      </w:pPr>
    </w:lvl>
    <w:lvl w:ilvl="5" w:tplc="A9CA267C">
      <w:start w:val="1"/>
      <w:numFmt w:val="lowerRoman"/>
      <w:lvlText w:val="%6."/>
      <w:lvlJc w:val="right"/>
      <w:pPr>
        <w:ind w:left="4320" w:hanging="180"/>
      </w:pPr>
    </w:lvl>
    <w:lvl w:ilvl="6" w:tplc="B2829E66">
      <w:start w:val="1"/>
      <w:numFmt w:val="decimal"/>
      <w:lvlText w:val="%7."/>
      <w:lvlJc w:val="left"/>
      <w:pPr>
        <w:ind w:left="5040" w:hanging="360"/>
      </w:pPr>
    </w:lvl>
    <w:lvl w:ilvl="7" w:tplc="2A10226A">
      <w:start w:val="1"/>
      <w:numFmt w:val="lowerLetter"/>
      <w:lvlText w:val="%8."/>
      <w:lvlJc w:val="left"/>
      <w:pPr>
        <w:ind w:left="5760" w:hanging="360"/>
      </w:pPr>
    </w:lvl>
    <w:lvl w:ilvl="8" w:tplc="B90C711A">
      <w:start w:val="1"/>
      <w:numFmt w:val="lowerRoman"/>
      <w:lvlText w:val="%9."/>
      <w:lvlJc w:val="right"/>
      <w:pPr>
        <w:ind w:left="6480" w:hanging="180"/>
      </w:pPr>
    </w:lvl>
  </w:abstractNum>
  <w:abstractNum w:abstractNumId="158" w15:restartNumberingAfterBreak="0">
    <w:nsid w:val="54656358"/>
    <w:multiLevelType w:val="multilevel"/>
    <w:tmpl w:val="D2C69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5B70622"/>
    <w:multiLevelType w:val="hybridMultilevel"/>
    <w:tmpl w:val="F00C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56985AE2"/>
    <w:multiLevelType w:val="hybridMultilevel"/>
    <w:tmpl w:val="917CA5EE"/>
    <w:lvl w:ilvl="0" w:tplc="2B329774">
      <w:start w:val="1"/>
      <w:numFmt w:val="bullet"/>
      <w:lvlText w:val=""/>
      <w:lvlJc w:val="left"/>
      <w:pPr>
        <w:ind w:left="720" w:hanging="360"/>
      </w:pPr>
      <w:rPr>
        <w:rFonts w:ascii="Symbol" w:hAnsi="Symbol" w:hint="default"/>
      </w:rPr>
    </w:lvl>
    <w:lvl w:ilvl="1" w:tplc="E522C776">
      <w:start w:val="1"/>
      <w:numFmt w:val="bullet"/>
      <w:lvlText w:val="o"/>
      <w:lvlJc w:val="left"/>
      <w:pPr>
        <w:ind w:left="1440" w:hanging="360"/>
      </w:pPr>
      <w:rPr>
        <w:rFonts w:ascii="Courier New" w:hAnsi="Courier New" w:hint="default"/>
      </w:rPr>
    </w:lvl>
    <w:lvl w:ilvl="2" w:tplc="779035AC">
      <w:start w:val="1"/>
      <w:numFmt w:val="bullet"/>
      <w:lvlText w:val=""/>
      <w:lvlJc w:val="left"/>
      <w:pPr>
        <w:ind w:left="2160" w:hanging="360"/>
      </w:pPr>
      <w:rPr>
        <w:rFonts w:ascii="Wingdings" w:hAnsi="Wingdings" w:hint="default"/>
      </w:rPr>
    </w:lvl>
    <w:lvl w:ilvl="3" w:tplc="646AB0FA">
      <w:start w:val="1"/>
      <w:numFmt w:val="bullet"/>
      <w:lvlText w:val=""/>
      <w:lvlJc w:val="left"/>
      <w:pPr>
        <w:ind w:left="2880" w:hanging="360"/>
      </w:pPr>
      <w:rPr>
        <w:rFonts w:ascii="Symbol" w:hAnsi="Symbol" w:hint="default"/>
      </w:rPr>
    </w:lvl>
    <w:lvl w:ilvl="4" w:tplc="19D20F94">
      <w:start w:val="1"/>
      <w:numFmt w:val="bullet"/>
      <w:lvlText w:val="o"/>
      <w:lvlJc w:val="left"/>
      <w:pPr>
        <w:ind w:left="3600" w:hanging="360"/>
      </w:pPr>
      <w:rPr>
        <w:rFonts w:ascii="Courier New" w:hAnsi="Courier New" w:hint="default"/>
      </w:rPr>
    </w:lvl>
    <w:lvl w:ilvl="5" w:tplc="1CD2EE2A">
      <w:start w:val="1"/>
      <w:numFmt w:val="bullet"/>
      <w:lvlText w:val=""/>
      <w:lvlJc w:val="left"/>
      <w:pPr>
        <w:ind w:left="4320" w:hanging="360"/>
      </w:pPr>
      <w:rPr>
        <w:rFonts w:ascii="Wingdings" w:hAnsi="Wingdings" w:hint="default"/>
      </w:rPr>
    </w:lvl>
    <w:lvl w:ilvl="6" w:tplc="85BCF010">
      <w:start w:val="1"/>
      <w:numFmt w:val="bullet"/>
      <w:lvlText w:val=""/>
      <w:lvlJc w:val="left"/>
      <w:pPr>
        <w:ind w:left="5040" w:hanging="360"/>
      </w:pPr>
      <w:rPr>
        <w:rFonts w:ascii="Symbol" w:hAnsi="Symbol" w:hint="default"/>
      </w:rPr>
    </w:lvl>
    <w:lvl w:ilvl="7" w:tplc="4F142666">
      <w:start w:val="1"/>
      <w:numFmt w:val="bullet"/>
      <w:lvlText w:val="o"/>
      <w:lvlJc w:val="left"/>
      <w:pPr>
        <w:ind w:left="5760" w:hanging="360"/>
      </w:pPr>
      <w:rPr>
        <w:rFonts w:ascii="Courier New" w:hAnsi="Courier New" w:hint="default"/>
      </w:rPr>
    </w:lvl>
    <w:lvl w:ilvl="8" w:tplc="7BC49D68">
      <w:start w:val="1"/>
      <w:numFmt w:val="bullet"/>
      <w:lvlText w:val=""/>
      <w:lvlJc w:val="left"/>
      <w:pPr>
        <w:ind w:left="6480" w:hanging="360"/>
      </w:pPr>
      <w:rPr>
        <w:rFonts w:ascii="Wingdings" w:hAnsi="Wingdings" w:hint="default"/>
      </w:rPr>
    </w:lvl>
  </w:abstractNum>
  <w:abstractNum w:abstractNumId="161" w15:restartNumberingAfterBreak="0">
    <w:nsid w:val="582F3CBD"/>
    <w:multiLevelType w:val="hybridMultilevel"/>
    <w:tmpl w:val="E2F8FEC4"/>
    <w:lvl w:ilvl="0" w:tplc="08090001">
      <w:start w:val="1"/>
      <w:numFmt w:val="bullet"/>
      <w:lvlText w:val=""/>
      <w:lvlJc w:val="left"/>
      <w:pPr>
        <w:ind w:left="360" w:hanging="360"/>
      </w:pPr>
      <w:rPr>
        <w:rFonts w:ascii="Symbol" w:hAnsi="Symbol" w:hint="default"/>
        <w:spacing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2" w15:restartNumberingAfterBreak="0">
    <w:nsid w:val="59235E79"/>
    <w:multiLevelType w:val="hybridMultilevel"/>
    <w:tmpl w:val="2E96878E"/>
    <w:lvl w:ilvl="0" w:tplc="08160001">
      <w:start w:val="1"/>
      <w:numFmt w:val="bullet"/>
      <w:lvlText w:val=""/>
      <w:lvlJc w:val="left"/>
      <w:pPr>
        <w:ind w:left="805" w:hanging="360"/>
      </w:pPr>
      <w:rPr>
        <w:rFonts w:ascii="Symbol" w:hAnsi="Symbol" w:hint="default"/>
      </w:rPr>
    </w:lvl>
    <w:lvl w:ilvl="1" w:tplc="08160003" w:tentative="1">
      <w:start w:val="1"/>
      <w:numFmt w:val="bullet"/>
      <w:lvlText w:val="o"/>
      <w:lvlJc w:val="left"/>
      <w:pPr>
        <w:ind w:left="1525" w:hanging="360"/>
      </w:pPr>
      <w:rPr>
        <w:rFonts w:ascii="Courier New" w:hAnsi="Courier New" w:cs="Courier New" w:hint="default"/>
      </w:rPr>
    </w:lvl>
    <w:lvl w:ilvl="2" w:tplc="08160005" w:tentative="1">
      <w:start w:val="1"/>
      <w:numFmt w:val="bullet"/>
      <w:lvlText w:val=""/>
      <w:lvlJc w:val="left"/>
      <w:pPr>
        <w:ind w:left="2245" w:hanging="360"/>
      </w:pPr>
      <w:rPr>
        <w:rFonts w:ascii="Wingdings" w:hAnsi="Wingdings" w:hint="default"/>
      </w:rPr>
    </w:lvl>
    <w:lvl w:ilvl="3" w:tplc="08160001" w:tentative="1">
      <w:start w:val="1"/>
      <w:numFmt w:val="bullet"/>
      <w:lvlText w:val=""/>
      <w:lvlJc w:val="left"/>
      <w:pPr>
        <w:ind w:left="2965" w:hanging="360"/>
      </w:pPr>
      <w:rPr>
        <w:rFonts w:ascii="Symbol" w:hAnsi="Symbol" w:hint="default"/>
      </w:rPr>
    </w:lvl>
    <w:lvl w:ilvl="4" w:tplc="08160003" w:tentative="1">
      <w:start w:val="1"/>
      <w:numFmt w:val="bullet"/>
      <w:lvlText w:val="o"/>
      <w:lvlJc w:val="left"/>
      <w:pPr>
        <w:ind w:left="3685" w:hanging="360"/>
      </w:pPr>
      <w:rPr>
        <w:rFonts w:ascii="Courier New" w:hAnsi="Courier New" w:cs="Courier New" w:hint="default"/>
      </w:rPr>
    </w:lvl>
    <w:lvl w:ilvl="5" w:tplc="08160005" w:tentative="1">
      <w:start w:val="1"/>
      <w:numFmt w:val="bullet"/>
      <w:lvlText w:val=""/>
      <w:lvlJc w:val="left"/>
      <w:pPr>
        <w:ind w:left="4405" w:hanging="360"/>
      </w:pPr>
      <w:rPr>
        <w:rFonts w:ascii="Wingdings" w:hAnsi="Wingdings" w:hint="default"/>
      </w:rPr>
    </w:lvl>
    <w:lvl w:ilvl="6" w:tplc="08160001" w:tentative="1">
      <w:start w:val="1"/>
      <w:numFmt w:val="bullet"/>
      <w:lvlText w:val=""/>
      <w:lvlJc w:val="left"/>
      <w:pPr>
        <w:ind w:left="5125" w:hanging="360"/>
      </w:pPr>
      <w:rPr>
        <w:rFonts w:ascii="Symbol" w:hAnsi="Symbol" w:hint="default"/>
      </w:rPr>
    </w:lvl>
    <w:lvl w:ilvl="7" w:tplc="08160003" w:tentative="1">
      <w:start w:val="1"/>
      <w:numFmt w:val="bullet"/>
      <w:lvlText w:val="o"/>
      <w:lvlJc w:val="left"/>
      <w:pPr>
        <w:ind w:left="5845" w:hanging="360"/>
      </w:pPr>
      <w:rPr>
        <w:rFonts w:ascii="Courier New" w:hAnsi="Courier New" w:cs="Courier New" w:hint="default"/>
      </w:rPr>
    </w:lvl>
    <w:lvl w:ilvl="8" w:tplc="08160005" w:tentative="1">
      <w:start w:val="1"/>
      <w:numFmt w:val="bullet"/>
      <w:lvlText w:val=""/>
      <w:lvlJc w:val="left"/>
      <w:pPr>
        <w:ind w:left="6565" w:hanging="360"/>
      </w:pPr>
      <w:rPr>
        <w:rFonts w:ascii="Wingdings" w:hAnsi="Wingdings" w:hint="default"/>
      </w:rPr>
    </w:lvl>
  </w:abstractNum>
  <w:abstractNum w:abstractNumId="163" w15:restartNumberingAfterBreak="0">
    <w:nsid w:val="59525D42"/>
    <w:multiLevelType w:val="hybridMultilevel"/>
    <w:tmpl w:val="FFFFFFFF"/>
    <w:lvl w:ilvl="0" w:tplc="E20096AA">
      <w:start w:val="1"/>
      <w:numFmt w:val="bullet"/>
      <w:lvlText w:val="-"/>
      <w:lvlJc w:val="left"/>
      <w:pPr>
        <w:ind w:left="720" w:hanging="360"/>
      </w:pPr>
      <w:rPr>
        <w:rFonts w:ascii="Calibri" w:hAnsi="Calibri" w:hint="default"/>
      </w:rPr>
    </w:lvl>
    <w:lvl w:ilvl="1" w:tplc="9BFCB794">
      <w:start w:val="1"/>
      <w:numFmt w:val="bullet"/>
      <w:lvlText w:val="o"/>
      <w:lvlJc w:val="left"/>
      <w:pPr>
        <w:ind w:left="1440" w:hanging="360"/>
      </w:pPr>
      <w:rPr>
        <w:rFonts w:ascii="Courier New" w:hAnsi="Courier New" w:hint="default"/>
      </w:rPr>
    </w:lvl>
    <w:lvl w:ilvl="2" w:tplc="50F8D120">
      <w:start w:val="1"/>
      <w:numFmt w:val="bullet"/>
      <w:lvlText w:val=""/>
      <w:lvlJc w:val="left"/>
      <w:pPr>
        <w:ind w:left="2160" w:hanging="360"/>
      </w:pPr>
      <w:rPr>
        <w:rFonts w:ascii="Wingdings" w:hAnsi="Wingdings" w:hint="default"/>
      </w:rPr>
    </w:lvl>
    <w:lvl w:ilvl="3" w:tplc="3D08CF90">
      <w:start w:val="1"/>
      <w:numFmt w:val="bullet"/>
      <w:lvlText w:val=""/>
      <w:lvlJc w:val="left"/>
      <w:pPr>
        <w:ind w:left="2880" w:hanging="360"/>
      </w:pPr>
      <w:rPr>
        <w:rFonts w:ascii="Symbol" w:hAnsi="Symbol" w:hint="default"/>
      </w:rPr>
    </w:lvl>
    <w:lvl w:ilvl="4" w:tplc="500A0032">
      <w:start w:val="1"/>
      <w:numFmt w:val="bullet"/>
      <w:lvlText w:val="o"/>
      <w:lvlJc w:val="left"/>
      <w:pPr>
        <w:ind w:left="3600" w:hanging="360"/>
      </w:pPr>
      <w:rPr>
        <w:rFonts w:ascii="Courier New" w:hAnsi="Courier New" w:hint="default"/>
      </w:rPr>
    </w:lvl>
    <w:lvl w:ilvl="5" w:tplc="D494BF2A">
      <w:start w:val="1"/>
      <w:numFmt w:val="bullet"/>
      <w:lvlText w:val=""/>
      <w:lvlJc w:val="left"/>
      <w:pPr>
        <w:ind w:left="4320" w:hanging="360"/>
      </w:pPr>
      <w:rPr>
        <w:rFonts w:ascii="Wingdings" w:hAnsi="Wingdings" w:hint="default"/>
      </w:rPr>
    </w:lvl>
    <w:lvl w:ilvl="6" w:tplc="2BE41F68">
      <w:start w:val="1"/>
      <w:numFmt w:val="bullet"/>
      <w:lvlText w:val=""/>
      <w:lvlJc w:val="left"/>
      <w:pPr>
        <w:ind w:left="5040" w:hanging="360"/>
      </w:pPr>
      <w:rPr>
        <w:rFonts w:ascii="Symbol" w:hAnsi="Symbol" w:hint="default"/>
      </w:rPr>
    </w:lvl>
    <w:lvl w:ilvl="7" w:tplc="43F0D1B4">
      <w:start w:val="1"/>
      <w:numFmt w:val="bullet"/>
      <w:lvlText w:val="o"/>
      <w:lvlJc w:val="left"/>
      <w:pPr>
        <w:ind w:left="5760" w:hanging="360"/>
      </w:pPr>
      <w:rPr>
        <w:rFonts w:ascii="Courier New" w:hAnsi="Courier New" w:hint="default"/>
      </w:rPr>
    </w:lvl>
    <w:lvl w:ilvl="8" w:tplc="86E8DE92">
      <w:start w:val="1"/>
      <w:numFmt w:val="bullet"/>
      <w:lvlText w:val=""/>
      <w:lvlJc w:val="left"/>
      <w:pPr>
        <w:ind w:left="6480" w:hanging="360"/>
      </w:pPr>
      <w:rPr>
        <w:rFonts w:ascii="Wingdings" w:hAnsi="Wingdings" w:hint="default"/>
      </w:rPr>
    </w:lvl>
  </w:abstractNum>
  <w:abstractNum w:abstractNumId="164" w15:restartNumberingAfterBreak="0">
    <w:nsid w:val="5A10544D"/>
    <w:multiLevelType w:val="hybridMultilevel"/>
    <w:tmpl w:val="AEF0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5"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66" w15:restartNumberingAfterBreak="0">
    <w:nsid w:val="5B9E0146"/>
    <w:multiLevelType w:val="hybridMultilevel"/>
    <w:tmpl w:val="3564CFFE"/>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7" w15:restartNumberingAfterBreak="0">
    <w:nsid w:val="5BB44229"/>
    <w:multiLevelType w:val="hybridMultilevel"/>
    <w:tmpl w:val="CBBEE3D4"/>
    <w:lvl w:ilvl="0" w:tplc="CCD23C1A">
      <w:start w:val="1"/>
      <w:numFmt w:val="bullet"/>
      <w:lvlText w:val="-"/>
      <w:lvlJc w:val="left"/>
      <w:pPr>
        <w:ind w:left="890" w:hanging="360"/>
      </w:pPr>
      <w:rPr>
        <w:rFonts w:ascii="Cambria" w:eastAsia="Cambria" w:hAnsi="Cambria" w:cs="Cambria"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68" w15:restartNumberingAfterBreak="0">
    <w:nsid w:val="5C851747"/>
    <w:multiLevelType w:val="hybridMultilevel"/>
    <w:tmpl w:val="FFFFFFFF"/>
    <w:lvl w:ilvl="0" w:tplc="5302F9D4">
      <w:start w:val="1"/>
      <w:numFmt w:val="bullet"/>
      <w:lvlText w:val=""/>
      <w:lvlJc w:val="left"/>
      <w:pPr>
        <w:ind w:left="720" w:hanging="360"/>
      </w:pPr>
      <w:rPr>
        <w:rFonts w:ascii="Symbol" w:hAnsi="Symbol" w:hint="default"/>
      </w:rPr>
    </w:lvl>
    <w:lvl w:ilvl="1" w:tplc="DD4659C2">
      <w:start w:val="1"/>
      <w:numFmt w:val="bullet"/>
      <w:lvlText w:val="o"/>
      <w:lvlJc w:val="left"/>
      <w:pPr>
        <w:ind w:left="1440" w:hanging="360"/>
      </w:pPr>
      <w:rPr>
        <w:rFonts w:ascii="Courier New" w:hAnsi="Courier New" w:hint="default"/>
      </w:rPr>
    </w:lvl>
    <w:lvl w:ilvl="2" w:tplc="D9BA3428">
      <w:start w:val="1"/>
      <w:numFmt w:val="bullet"/>
      <w:lvlText w:val=""/>
      <w:lvlJc w:val="left"/>
      <w:pPr>
        <w:ind w:left="2160" w:hanging="360"/>
      </w:pPr>
      <w:rPr>
        <w:rFonts w:ascii="Wingdings" w:hAnsi="Wingdings" w:hint="default"/>
      </w:rPr>
    </w:lvl>
    <w:lvl w:ilvl="3" w:tplc="67049B74">
      <w:start w:val="1"/>
      <w:numFmt w:val="bullet"/>
      <w:lvlText w:val=""/>
      <w:lvlJc w:val="left"/>
      <w:pPr>
        <w:ind w:left="2880" w:hanging="360"/>
      </w:pPr>
      <w:rPr>
        <w:rFonts w:ascii="Symbol" w:hAnsi="Symbol" w:hint="default"/>
      </w:rPr>
    </w:lvl>
    <w:lvl w:ilvl="4" w:tplc="5C00F5D2">
      <w:start w:val="1"/>
      <w:numFmt w:val="bullet"/>
      <w:lvlText w:val="o"/>
      <w:lvlJc w:val="left"/>
      <w:pPr>
        <w:ind w:left="3600" w:hanging="360"/>
      </w:pPr>
      <w:rPr>
        <w:rFonts w:ascii="Courier New" w:hAnsi="Courier New" w:hint="default"/>
      </w:rPr>
    </w:lvl>
    <w:lvl w:ilvl="5" w:tplc="20E4343C">
      <w:start w:val="1"/>
      <w:numFmt w:val="bullet"/>
      <w:lvlText w:val=""/>
      <w:lvlJc w:val="left"/>
      <w:pPr>
        <w:ind w:left="4320" w:hanging="360"/>
      </w:pPr>
      <w:rPr>
        <w:rFonts w:ascii="Wingdings" w:hAnsi="Wingdings" w:hint="default"/>
      </w:rPr>
    </w:lvl>
    <w:lvl w:ilvl="6" w:tplc="4D8680CA">
      <w:start w:val="1"/>
      <w:numFmt w:val="bullet"/>
      <w:lvlText w:val=""/>
      <w:lvlJc w:val="left"/>
      <w:pPr>
        <w:ind w:left="5040" w:hanging="360"/>
      </w:pPr>
      <w:rPr>
        <w:rFonts w:ascii="Symbol" w:hAnsi="Symbol" w:hint="default"/>
      </w:rPr>
    </w:lvl>
    <w:lvl w:ilvl="7" w:tplc="2C16C8AA">
      <w:start w:val="1"/>
      <w:numFmt w:val="bullet"/>
      <w:lvlText w:val="o"/>
      <w:lvlJc w:val="left"/>
      <w:pPr>
        <w:ind w:left="5760" w:hanging="360"/>
      </w:pPr>
      <w:rPr>
        <w:rFonts w:ascii="Courier New" w:hAnsi="Courier New" w:hint="default"/>
      </w:rPr>
    </w:lvl>
    <w:lvl w:ilvl="8" w:tplc="9C6673B4">
      <w:start w:val="1"/>
      <w:numFmt w:val="bullet"/>
      <w:lvlText w:val=""/>
      <w:lvlJc w:val="left"/>
      <w:pPr>
        <w:ind w:left="6480" w:hanging="360"/>
      </w:pPr>
      <w:rPr>
        <w:rFonts w:ascii="Wingdings" w:hAnsi="Wingdings" w:hint="default"/>
      </w:rPr>
    </w:lvl>
  </w:abstractNum>
  <w:abstractNum w:abstractNumId="169" w15:restartNumberingAfterBreak="0">
    <w:nsid w:val="5D106B0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D332643"/>
    <w:multiLevelType w:val="hybridMultilevel"/>
    <w:tmpl w:val="4A46D1D8"/>
    <w:lvl w:ilvl="0" w:tplc="08160001">
      <w:start w:val="1"/>
      <w:numFmt w:val="bullet"/>
      <w:lvlText w:val=""/>
      <w:lvlJc w:val="left"/>
      <w:pPr>
        <w:ind w:left="753" w:hanging="360"/>
      </w:pPr>
      <w:rPr>
        <w:rFonts w:ascii="Symbol" w:hAnsi="Symbol" w:hint="default"/>
      </w:rPr>
    </w:lvl>
    <w:lvl w:ilvl="1" w:tplc="08160003" w:tentative="1">
      <w:start w:val="1"/>
      <w:numFmt w:val="bullet"/>
      <w:lvlText w:val="o"/>
      <w:lvlJc w:val="left"/>
      <w:pPr>
        <w:ind w:left="1473" w:hanging="360"/>
      </w:pPr>
      <w:rPr>
        <w:rFonts w:ascii="Courier New" w:hAnsi="Courier New" w:cs="Courier New" w:hint="default"/>
      </w:rPr>
    </w:lvl>
    <w:lvl w:ilvl="2" w:tplc="08160005" w:tentative="1">
      <w:start w:val="1"/>
      <w:numFmt w:val="bullet"/>
      <w:lvlText w:val=""/>
      <w:lvlJc w:val="left"/>
      <w:pPr>
        <w:ind w:left="2193" w:hanging="360"/>
      </w:pPr>
      <w:rPr>
        <w:rFonts w:ascii="Wingdings" w:hAnsi="Wingdings" w:hint="default"/>
      </w:rPr>
    </w:lvl>
    <w:lvl w:ilvl="3" w:tplc="08160001" w:tentative="1">
      <w:start w:val="1"/>
      <w:numFmt w:val="bullet"/>
      <w:lvlText w:val=""/>
      <w:lvlJc w:val="left"/>
      <w:pPr>
        <w:ind w:left="2913" w:hanging="360"/>
      </w:pPr>
      <w:rPr>
        <w:rFonts w:ascii="Symbol" w:hAnsi="Symbol" w:hint="default"/>
      </w:rPr>
    </w:lvl>
    <w:lvl w:ilvl="4" w:tplc="08160003" w:tentative="1">
      <w:start w:val="1"/>
      <w:numFmt w:val="bullet"/>
      <w:lvlText w:val="o"/>
      <w:lvlJc w:val="left"/>
      <w:pPr>
        <w:ind w:left="3633" w:hanging="360"/>
      </w:pPr>
      <w:rPr>
        <w:rFonts w:ascii="Courier New" w:hAnsi="Courier New" w:cs="Courier New" w:hint="default"/>
      </w:rPr>
    </w:lvl>
    <w:lvl w:ilvl="5" w:tplc="08160005" w:tentative="1">
      <w:start w:val="1"/>
      <w:numFmt w:val="bullet"/>
      <w:lvlText w:val=""/>
      <w:lvlJc w:val="left"/>
      <w:pPr>
        <w:ind w:left="4353" w:hanging="360"/>
      </w:pPr>
      <w:rPr>
        <w:rFonts w:ascii="Wingdings" w:hAnsi="Wingdings" w:hint="default"/>
      </w:rPr>
    </w:lvl>
    <w:lvl w:ilvl="6" w:tplc="08160001" w:tentative="1">
      <w:start w:val="1"/>
      <w:numFmt w:val="bullet"/>
      <w:lvlText w:val=""/>
      <w:lvlJc w:val="left"/>
      <w:pPr>
        <w:ind w:left="5073" w:hanging="360"/>
      </w:pPr>
      <w:rPr>
        <w:rFonts w:ascii="Symbol" w:hAnsi="Symbol" w:hint="default"/>
      </w:rPr>
    </w:lvl>
    <w:lvl w:ilvl="7" w:tplc="08160003" w:tentative="1">
      <w:start w:val="1"/>
      <w:numFmt w:val="bullet"/>
      <w:lvlText w:val="o"/>
      <w:lvlJc w:val="left"/>
      <w:pPr>
        <w:ind w:left="5793" w:hanging="360"/>
      </w:pPr>
      <w:rPr>
        <w:rFonts w:ascii="Courier New" w:hAnsi="Courier New" w:cs="Courier New" w:hint="default"/>
      </w:rPr>
    </w:lvl>
    <w:lvl w:ilvl="8" w:tplc="08160005" w:tentative="1">
      <w:start w:val="1"/>
      <w:numFmt w:val="bullet"/>
      <w:lvlText w:val=""/>
      <w:lvlJc w:val="left"/>
      <w:pPr>
        <w:ind w:left="6513" w:hanging="360"/>
      </w:pPr>
      <w:rPr>
        <w:rFonts w:ascii="Wingdings" w:hAnsi="Wingdings" w:hint="default"/>
      </w:rPr>
    </w:lvl>
  </w:abstractNum>
  <w:abstractNum w:abstractNumId="171" w15:restartNumberingAfterBreak="0">
    <w:nsid w:val="5D387742"/>
    <w:multiLevelType w:val="hybridMultilevel"/>
    <w:tmpl w:val="6444E81E"/>
    <w:lvl w:ilvl="0" w:tplc="AAE463B2">
      <w:start w:val="1"/>
      <w:numFmt w:val="decimal"/>
      <w:lvlText w:val="%1)"/>
      <w:lvlJc w:val="left"/>
      <w:pPr>
        <w:ind w:left="180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E3F52BA"/>
    <w:multiLevelType w:val="hybridMultilevel"/>
    <w:tmpl w:val="2462250C"/>
    <w:lvl w:ilvl="0" w:tplc="895E822A">
      <w:start w:val="1"/>
      <w:numFmt w:val="decimal"/>
      <w:lvlText w:val="%1."/>
      <w:lvlJc w:val="left"/>
      <w:pPr>
        <w:ind w:left="530" w:hanging="445"/>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73" w15:restartNumberingAfterBreak="0">
    <w:nsid w:val="5EEF3CC7"/>
    <w:multiLevelType w:val="hybridMultilevel"/>
    <w:tmpl w:val="D3001D84"/>
    <w:lvl w:ilvl="0" w:tplc="BE2C372A">
      <w:start w:val="1"/>
      <w:numFmt w:val="bullet"/>
      <w:lvlText w:val="-"/>
      <w:lvlJc w:val="left"/>
      <w:pPr>
        <w:ind w:left="720" w:hanging="360"/>
      </w:pPr>
      <w:rPr>
        <w:rFonts w:ascii="&quot;Calibri&quot;,sans-serif" w:hAnsi="&quot;Calibri&quot;,sans-serif" w:hint="default"/>
      </w:rPr>
    </w:lvl>
    <w:lvl w:ilvl="1" w:tplc="BE7C4842">
      <w:start w:val="1"/>
      <w:numFmt w:val="bullet"/>
      <w:lvlText w:val="o"/>
      <w:lvlJc w:val="left"/>
      <w:pPr>
        <w:ind w:left="1440" w:hanging="360"/>
      </w:pPr>
      <w:rPr>
        <w:rFonts w:ascii="Courier New" w:hAnsi="Courier New" w:hint="default"/>
      </w:rPr>
    </w:lvl>
    <w:lvl w:ilvl="2" w:tplc="A0BE2BDA">
      <w:start w:val="1"/>
      <w:numFmt w:val="bullet"/>
      <w:lvlText w:val=""/>
      <w:lvlJc w:val="left"/>
      <w:pPr>
        <w:ind w:left="2160" w:hanging="360"/>
      </w:pPr>
      <w:rPr>
        <w:rFonts w:ascii="Wingdings" w:hAnsi="Wingdings" w:hint="default"/>
      </w:rPr>
    </w:lvl>
    <w:lvl w:ilvl="3" w:tplc="A7EECF48">
      <w:start w:val="1"/>
      <w:numFmt w:val="bullet"/>
      <w:lvlText w:val=""/>
      <w:lvlJc w:val="left"/>
      <w:pPr>
        <w:ind w:left="2880" w:hanging="360"/>
      </w:pPr>
      <w:rPr>
        <w:rFonts w:ascii="Symbol" w:hAnsi="Symbol" w:hint="default"/>
      </w:rPr>
    </w:lvl>
    <w:lvl w:ilvl="4" w:tplc="B8C041BE">
      <w:start w:val="1"/>
      <w:numFmt w:val="bullet"/>
      <w:lvlText w:val="o"/>
      <w:lvlJc w:val="left"/>
      <w:pPr>
        <w:ind w:left="3600" w:hanging="360"/>
      </w:pPr>
      <w:rPr>
        <w:rFonts w:ascii="Courier New" w:hAnsi="Courier New" w:hint="default"/>
      </w:rPr>
    </w:lvl>
    <w:lvl w:ilvl="5" w:tplc="6D688C50">
      <w:start w:val="1"/>
      <w:numFmt w:val="bullet"/>
      <w:lvlText w:val=""/>
      <w:lvlJc w:val="left"/>
      <w:pPr>
        <w:ind w:left="4320" w:hanging="360"/>
      </w:pPr>
      <w:rPr>
        <w:rFonts w:ascii="Wingdings" w:hAnsi="Wingdings" w:hint="default"/>
      </w:rPr>
    </w:lvl>
    <w:lvl w:ilvl="6" w:tplc="64602E00">
      <w:start w:val="1"/>
      <w:numFmt w:val="bullet"/>
      <w:lvlText w:val=""/>
      <w:lvlJc w:val="left"/>
      <w:pPr>
        <w:ind w:left="5040" w:hanging="360"/>
      </w:pPr>
      <w:rPr>
        <w:rFonts w:ascii="Symbol" w:hAnsi="Symbol" w:hint="default"/>
      </w:rPr>
    </w:lvl>
    <w:lvl w:ilvl="7" w:tplc="19B0B4E2">
      <w:start w:val="1"/>
      <w:numFmt w:val="bullet"/>
      <w:lvlText w:val="o"/>
      <w:lvlJc w:val="left"/>
      <w:pPr>
        <w:ind w:left="5760" w:hanging="360"/>
      </w:pPr>
      <w:rPr>
        <w:rFonts w:ascii="Courier New" w:hAnsi="Courier New" w:hint="default"/>
      </w:rPr>
    </w:lvl>
    <w:lvl w:ilvl="8" w:tplc="B8286664">
      <w:start w:val="1"/>
      <w:numFmt w:val="bullet"/>
      <w:lvlText w:val=""/>
      <w:lvlJc w:val="left"/>
      <w:pPr>
        <w:ind w:left="6480" w:hanging="360"/>
      </w:pPr>
      <w:rPr>
        <w:rFonts w:ascii="Wingdings" w:hAnsi="Wingdings" w:hint="default"/>
      </w:rPr>
    </w:lvl>
  </w:abstractNum>
  <w:abstractNum w:abstractNumId="174" w15:restartNumberingAfterBreak="0">
    <w:nsid w:val="5F406C4C"/>
    <w:multiLevelType w:val="hybridMultilevel"/>
    <w:tmpl w:val="DF5C70F0"/>
    <w:lvl w:ilvl="0" w:tplc="42900518">
      <w:start w:val="1"/>
      <w:numFmt w:val="bullet"/>
      <w:lvlText w:val="·"/>
      <w:lvlJc w:val="left"/>
      <w:pPr>
        <w:ind w:left="720" w:hanging="360"/>
      </w:pPr>
      <w:rPr>
        <w:rFonts w:ascii="Symbol" w:hAnsi="Symbol" w:hint="default"/>
      </w:rPr>
    </w:lvl>
    <w:lvl w:ilvl="1" w:tplc="CC5A2C74">
      <w:start w:val="1"/>
      <w:numFmt w:val="bullet"/>
      <w:lvlText w:val="o"/>
      <w:lvlJc w:val="left"/>
      <w:pPr>
        <w:ind w:left="1440" w:hanging="360"/>
      </w:pPr>
      <w:rPr>
        <w:rFonts w:ascii="Courier New" w:hAnsi="Courier New" w:hint="default"/>
      </w:rPr>
    </w:lvl>
    <w:lvl w:ilvl="2" w:tplc="C0F0541E">
      <w:start w:val="1"/>
      <w:numFmt w:val="bullet"/>
      <w:lvlText w:val=""/>
      <w:lvlJc w:val="left"/>
      <w:pPr>
        <w:ind w:left="2160" w:hanging="360"/>
      </w:pPr>
      <w:rPr>
        <w:rFonts w:ascii="Wingdings" w:hAnsi="Wingdings" w:hint="default"/>
      </w:rPr>
    </w:lvl>
    <w:lvl w:ilvl="3" w:tplc="5FC6AD28">
      <w:start w:val="1"/>
      <w:numFmt w:val="bullet"/>
      <w:lvlText w:val=""/>
      <w:lvlJc w:val="left"/>
      <w:pPr>
        <w:ind w:left="2880" w:hanging="360"/>
      </w:pPr>
      <w:rPr>
        <w:rFonts w:ascii="Symbol" w:hAnsi="Symbol" w:hint="default"/>
      </w:rPr>
    </w:lvl>
    <w:lvl w:ilvl="4" w:tplc="6D92DB8C">
      <w:start w:val="1"/>
      <w:numFmt w:val="bullet"/>
      <w:lvlText w:val="o"/>
      <w:lvlJc w:val="left"/>
      <w:pPr>
        <w:ind w:left="3600" w:hanging="360"/>
      </w:pPr>
      <w:rPr>
        <w:rFonts w:ascii="Courier New" w:hAnsi="Courier New" w:hint="default"/>
      </w:rPr>
    </w:lvl>
    <w:lvl w:ilvl="5" w:tplc="360499D4">
      <w:start w:val="1"/>
      <w:numFmt w:val="bullet"/>
      <w:lvlText w:val=""/>
      <w:lvlJc w:val="left"/>
      <w:pPr>
        <w:ind w:left="4320" w:hanging="360"/>
      </w:pPr>
      <w:rPr>
        <w:rFonts w:ascii="Wingdings" w:hAnsi="Wingdings" w:hint="default"/>
      </w:rPr>
    </w:lvl>
    <w:lvl w:ilvl="6" w:tplc="DB087B5A">
      <w:start w:val="1"/>
      <w:numFmt w:val="bullet"/>
      <w:lvlText w:val=""/>
      <w:lvlJc w:val="left"/>
      <w:pPr>
        <w:ind w:left="5040" w:hanging="360"/>
      </w:pPr>
      <w:rPr>
        <w:rFonts w:ascii="Symbol" w:hAnsi="Symbol" w:hint="default"/>
      </w:rPr>
    </w:lvl>
    <w:lvl w:ilvl="7" w:tplc="9894D160">
      <w:start w:val="1"/>
      <w:numFmt w:val="bullet"/>
      <w:lvlText w:val="o"/>
      <w:lvlJc w:val="left"/>
      <w:pPr>
        <w:ind w:left="5760" w:hanging="360"/>
      </w:pPr>
      <w:rPr>
        <w:rFonts w:ascii="Courier New" w:hAnsi="Courier New" w:hint="default"/>
      </w:rPr>
    </w:lvl>
    <w:lvl w:ilvl="8" w:tplc="D1264484">
      <w:start w:val="1"/>
      <w:numFmt w:val="bullet"/>
      <w:lvlText w:val=""/>
      <w:lvlJc w:val="left"/>
      <w:pPr>
        <w:ind w:left="6480" w:hanging="360"/>
      </w:pPr>
      <w:rPr>
        <w:rFonts w:ascii="Wingdings" w:hAnsi="Wingdings" w:hint="default"/>
      </w:rPr>
    </w:lvl>
  </w:abstractNum>
  <w:abstractNum w:abstractNumId="175" w15:restartNumberingAfterBreak="0">
    <w:nsid w:val="5FAD3D08"/>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6" w15:restartNumberingAfterBreak="0">
    <w:nsid w:val="605147A2"/>
    <w:multiLevelType w:val="hybridMultilevel"/>
    <w:tmpl w:val="AFF86D02"/>
    <w:lvl w:ilvl="0" w:tplc="41D287EE">
      <w:start w:val="1"/>
      <w:numFmt w:val="decimal"/>
      <w:lvlText w:val="%1."/>
      <w:lvlJc w:val="left"/>
      <w:pPr>
        <w:ind w:left="720" w:hanging="360"/>
      </w:pPr>
    </w:lvl>
    <w:lvl w:ilvl="1" w:tplc="40C64530">
      <w:start w:val="1"/>
      <w:numFmt w:val="decimal"/>
      <w:lvlText w:val="%2."/>
      <w:lvlJc w:val="left"/>
      <w:pPr>
        <w:ind w:left="1440" w:hanging="360"/>
      </w:pPr>
    </w:lvl>
    <w:lvl w:ilvl="2" w:tplc="A0206DEE">
      <w:start w:val="1"/>
      <w:numFmt w:val="lowerRoman"/>
      <w:lvlText w:val="%3."/>
      <w:lvlJc w:val="right"/>
      <w:pPr>
        <w:ind w:left="2160" w:hanging="180"/>
      </w:pPr>
    </w:lvl>
    <w:lvl w:ilvl="3" w:tplc="D2301244">
      <w:start w:val="1"/>
      <w:numFmt w:val="decimal"/>
      <w:lvlText w:val="%4."/>
      <w:lvlJc w:val="left"/>
      <w:pPr>
        <w:ind w:left="2880" w:hanging="360"/>
      </w:pPr>
    </w:lvl>
    <w:lvl w:ilvl="4" w:tplc="0D4679E8">
      <w:start w:val="1"/>
      <w:numFmt w:val="lowerLetter"/>
      <w:lvlText w:val="%5."/>
      <w:lvlJc w:val="left"/>
      <w:pPr>
        <w:ind w:left="3600" w:hanging="360"/>
      </w:pPr>
    </w:lvl>
    <w:lvl w:ilvl="5" w:tplc="485ED0D8">
      <w:start w:val="1"/>
      <w:numFmt w:val="lowerRoman"/>
      <w:lvlText w:val="%6."/>
      <w:lvlJc w:val="right"/>
      <w:pPr>
        <w:ind w:left="4320" w:hanging="180"/>
      </w:pPr>
    </w:lvl>
    <w:lvl w:ilvl="6" w:tplc="9CE0A61C">
      <w:start w:val="1"/>
      <w:numFmt w:val="decimal"/>
      <w:lvlText w:val="%7."/>
      <w:lvlJc w:val="left"/>
      <w:pPr>
        <w:ind w:left="5040" w:hanging="360"/>
      </w:pPr>
    </w:lvl>
    <w:lvl w:ilvl="7" w:tplc="EF92423A">
      <w:start w:val="1"/>
      <w:numFmt w:val="lowerLetter"/>
      <w:lvlText w:val="%8."/>
      <w:lvlJc w:val="left"/>
      <w:pPr>
        <w:ind w:left="5760" w:hanging="360"/>
      </w:pPr>
    </w:lvl>
    <w:lvl w:ilvl="8" w:tplc="1F0EAEDC">
      <w:start w:val="1"/>
      <w:numFmt w:val="lowerRoman"/>
      <w:lvlText w:val="%9."/>
      <w:lvlJc w:val="right"/>
      <w:pPr>
        <w:ind w:left="6480" w:hanging="180"/>
      </w:pPr>
    </w:lvl>
  </w:abstractNum>
  <w:abstractNum w:abstractNumId="177" w15:restartNumberingAfterBreak="0">
    <w:nsid w:val="606D78C4"/>
    <w:multiLevelType w:val="hybridMultilevel"/>
    <w:tmpl w:val="FFFFFFFF"/>
    <w:lvl w:ilvl="0" w:tplc="84762456">
      <w:start w:val="1"/>
      <w:numFmt w:val="decimal"/>
      <w:lvlText w:val="%1."/>
      <w:lvlJc w:val="left"/>
      <w:pPr>
        <w:ind w:left="720" w:hanging="360"/>
      </w:pPr>
    </w:lvl>
    <w:lvl w:ilvl="1" w:tplc="499E7F82">
      <w:start w:val="1"/>
      <w:numFmt w:val="lowerLetter"/>
      <w:lvlText w:val="%2."/>
      <w:lvlJc w:val="left"/>
      <w:pPr>
        <w:ind w:left="1440" w:hanging="360"/>
      </w:pPr>
    </w:lvl>
    <w:lvl w:ilvl="2" w:tplc="3B5E071A">
      <w:start w:val="1"/>
      <w:numFmt w:val="lowerRoman"/>
      <w:lvlText w:val="%3."/>
      <w:lvlJc w:val="right"/>
      <w:pPr>
        <w:ind w:left="2160" w:hanging="180"/>
      </w:pPr>
    </w:lvl>
    <w:lvl w:ilvl="3" w:tplc="B0763120">
      <w:start w:val="1"/>
      <w:numFmt w:val="decimal"/>
      <w:lvlText w:val="%4."/>
      <w:lvlJc w:val="left"/>
      <w:pPr>
        <w:ind w:left="2880" w:hanging="360"/>
      </w:pPr>
    </w:lvl>
    <w:lvl w:ilvl="4" w:tplc="EB9EABC2">
      <w:start w:val="1"/>
      <w:numFmt w:val="lowerLetter"/>
      <w:lvlText w:val="%5."/>
      <w:lvlJc w:val="left"/>
      <w:pPr>
        <w:ind w:left="3600" w:hanging="360"/>
      </w:pPr>
    </w:lvl>
    <w:lvl w:ilvl="5" w:tplc="D228C230">
      <w:start w:val="1"/>
      <w:numFmt w:val="lowerRoman"/>
      <w:lvlText w:val="%6."/>
      <w:lvlJc w:val="right"/>
      <w:pPr>
        <w:ind w:left="4320" w:hanging="180"/>
      </w:pPr>
    </w:lvl>
    <w:lvl w:ilvl="6" w:tplc="599ABA50">
      <w:start w:val="1"/>
      <w:numFmt w:val="decimal"/>
      <w:lvlText w:val="%7."/>
      <w:lvlJc w:val="left"/>
      <w:pPr>
        <w:ind w:left="5040" w:hanging="360"/>
      </w:pPr>
    </w:lvl>
    <w:lvl w:ilvl="7" w:tplc="1DA6DAC0">
      <w:start w:val="1"/>
      <w:numFmt w:val="lowerLetter"/>
      <w:lvlText w:val="%8."/>
      <w:lvlJc w:val="left"/>
      <w:pPr>
        <w:ind w:left="5760" w:hanging="360"/>
      </w:pPr>
    </w:lvl>
    <w:lvl w:ilvl="8" w:tplc="ACCEC848">
      <w:start w:val="1"/>
      <w:numFmt w:val="lowerRoman"/>
      <w:lvlText w:val="%9."/>
      <w:lvlJc w:val="right"/>
      <w:pPr>
        <w:ind w:left="6480" w:hanging="180"/>
      </w:pPr>
    </w:lvl>
  </w:abstractNum>
  <w:abstractNum w:abstractNumId="178" w15:restartNumberingAfterBreak="0">
    <w:nsid w:val="607415E9"/>
    <w:multiLevelType w:val="hybridMultilevel"/>
    <w:tmpl w:val="5E4E3CA0"/>
    <w:lvl w:ilvl="0" w:tplc="A7D4F840">
      <w:start w:val="40"/>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60AE4036"/>
    <w:multiLevelType w:val="hybridMultilevel"/>
    <w:tmpl w:val="24A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24A7553"/>
    <w:multiLevelType w:val="hybridMultilevel"/>
    <w:tmpl w:val="7B54DAD4"/>
    <w:lvl w:ilvl="0" w:tplc="0972CC78">
      <w:start w:val="1"/>
      <w:numFmt w:val="lowerRoman"/>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81" w15:restartNumberingAfterBreak="0">
    <w:nsid w:val="62DE286D"/>
    <w:multiLevelType w:val="hybridMultilevel"/>
    <w:tmpl w:val="389AC0F2"/>
    <w:lvl w:ilvl="0" w:tplc="7BBAF134">
      <w:start w:val="3"/>
      <w:numFmt w:val="bullet"/>
      <w:lvlText w:val="-"/>
      <w:lvlJc w:val="left"/>
      <w:pPr>
        <w:ind w:left="717" w:hanging="360"/>
      </w:pPr>
      <w:rPr>
        <w:rFonts w:ascii="Calibri" w:eastAsiaTheme="minorEastAsia" w:hAnsi="Calibri" w:cs="Calibri" w:hint="default"/>
        <w:spacing w:val="0"/>
      </w:rPr>
    </w:lvl>
    <w:lvl w:ilvl="1" w:tplc="04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2" w15:restartNumberingAfterBreak="0">
    <w:nsid w:val="62FB77AD"/>
    <w:multiLevelType w:val="hybridMultilevel"/>
    <w:tmpl w:val="6E2C0A1C"/>
    <w:lvl w:ilvl="0" w:tplc="71A2B31C">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3" w15:restartNumberingAfterBreak="0">
    <w:nsid w:val="639A5964"/>
    <w:multiLevelType w:val="hybridMultilevel"/>
    <w:tmpl w:val="FFFFFFFF"/>
    <w:lvl w:ilvl="0" w:tplc="35D0D0A0">
      <w:start w:val="1"/>
      <w:numFmt w:val="decimal"/>
      <w:lvlText w:val="%1."/>
      <w:lvlJc w:val="left"/>
      <w:pPr>
        <w:ind w:left="720" w:hanging="360"/>
      </w:pPr>
    </w:lvl>
    <w:lvl w:ilvl="1" w:tplc="0340239E">
      <w:start w:val="1"/>
      <w:numFmt w:val="decimal"/>
      <w:lvlText w:val="%2."/>
      <w:lvlJc w:val="left"/>
      <w:pPr>
        <w:ind w:left="1440" w:hanging="360"/>
      </w:pPr>
    </w:lvl>
    <w:lvl w:ilvl="2" w:tplc="ADBCB3D6">
      <w:start w:val="1"/>
      <w:numFmt w:val="lowerRoman"/>
      <w:lvlText w:val="%3."/>
      <w:lvlJc w:val="right"/>
      <w:pPr>
        <w:ind w:left="2160" w:hanging="180"/>
      </w:pPr>
    </w:lvl>
    <w:lvl w:ilvl="3" w:tplc="CF2EB4F8">
      <w:start w:val="1"/>
      <w:numFmt w:val="decimal"/>
      <w:lvlText w:val="%4."/>
      <w:lvlJc w:val="left"/>
      <w:pPr>
        <w:ind w:left="2880" w:hanging="360"/>
      </w:pPr>
    </w:lvl>
    <w:lvl w:ilvl="4" w:tplc="FD20740A">
      <w:start w:val="1"/>
      <w:numFmt w:val="lowerLetter"/>
      <w:lvlText w:val="%5."/>
      <w:lvlJc w:val="left"/>
      <w:pPr>
        <w:ind w:left="3600" w:hanging="360"/>
      </w:pPr>
    </w:lvl>
    <w:lvl w:ilvl="5" w:tplc="3F143DEE">
      <w:start w:val="1"/>
      <w:numFmt w:val="lowerRoman"/>
      <w:lvlText w:val="%6."/>
      <w:lvlJc w:val="right"/>
      <w:pPr>
        <w:ind w:left="4320" w:hanging="180"/>
      </w:pPr>
    </w:lvl>
    <w:lvl w:ilvl="6" w:tplc="4F1C5B8C">
      <w:start w:val="1"/>
      <w:numFmt w:val="decimal"/>
      <w:lvlText w:val="%7."/>
      <w:lvlJc w:val="left"/>
      <w:pPr>
        <w:ind w:left="5040" w:hanging="360"/>
      </w:pPr>
    </w:lvl>
    <w:lvl w:ilvl="7" w:tplc="81AC4C5C">
      <w:start w:val="1"/>
      <w:numFmt w:val="lowerLetter"/>
      <w:lvlText w:val="%8."/>
      <w:lvlJc w:val="left"/>
      <w:pPr>
        <w:ind w:left="5760" w:hanging="360"/>
      </w:pPr>
    </w:lvl>
    <w:lvl w:ilvl="8" w:tplc="E3328D54">
      <w:start w:val="1"/>
      <w:numFmt w:val="lowerRoman"/>
      <w:lvlText w:val="%9."/>
      <w:lvlJc w:val="right"/>
      <w:pPr>
        <w:ind w:left="6480" w:hanging="180"/>
      </w:pPr>
    </w:lvl>
  </w:abstractNum>
  <w:abstractNum w:abstractNumId="184" w15:restartNumberingAfterBreak="0">
    <w:nsid w:val="63C9723A"/>
    <w:multiLevelType w:val="hybridMultilevel"/>
    <w:tmpl w:val="E7289BFA"/>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5" w15:restartNumberingAfterBreak="0">
    <w:nsid w:val="64293F29"/>
    <w:multiLevelType w:val="hybridMultilevel"/>
    <w:tmpl w:val="799A8CC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86" w15:restartNumberingAfterBreak="0">
    <w:nsid w:val="65D310CE"/>
    <w:multiLevelType w:val="hybridMultilevel"/>
    <w:tmpl w:val="DB923068"/>
    <w:lvl w:ilvl="0" w:tplc="85CC68A2">
      <w:start w:val="52"/>
      <w:numFmt w:val="decimal"/>
      <w:lvlText w:val="%1."/>
      <w:lvlJc w:val="left"/>
      <w:pPr>
        <w:ind w:left="928" w:hanging="360"/>
      </w:pPr>
      <w:rPr>
        <w:rFonts w:hint="default"/>
        <w:strike w:val="0"/>
        <w:color w:val="0070C0"/>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7" w15:restartNumberingAfterBreak="0">
    <w:nsid w:val="65DF7145"/>
    <w:multiLevelType w:val="hybridMultilevel"/>
    <w:tmpl w:val="51B886C4"/>
    <w:lvl w:ilvl="0" w:tplc="A7BA0830">
      <w:start w:val="1"/>
      <w:numFmt w:val="bullet"/>
      <w:lvlText w:val="·"/>
      <w:lvlJc w:val="left"/>
      <w:pPr>
        <w:ind w:left="720" w:hanging="360"/>
      </w:pPr>
      <w:rPr>
        <w:rFonts w:ascii="Symbol" w:hAnsi="Symbol" w:hint="default"/>
      </w:rPr>
    </w:lvl>
    <w:lvl w:ilvl="1" w:tplc="841A7C6C">
      <w:start w:val="1"/>
      <w:numFmt w:val="bullet"/>
      <w:lvlText w:val="o"/>
      <w:lvlJc w:val="left"/>
      <w:pPr>
        <w:ind w:left="1440" w:hanging="360"/>
      </w:pPr>
      <w:rPr>
        <w:rFonts w:ascii="Courier New" w:hAnsi="Courier New" w:hint="default"/>
      </w:rPr>
    </w:lvl>
    <w:lvl w:ilvl="2" w:tplc="C1485DFA">
      <w:start w:val="1"/>
      <w:numFmt w:val="bullet"/>
      <w:lvlText w:val=""/>
      <w:lvlJc w:val="left"/>
      <w:pPr>
        <w:ind w:left="2160" w:hanging="360"/>
      </w:pPr>
      <w:rPr>
        <w:rFonts w:ascii="Wingdings" w:hAnsi="Wingdings" w:hint="default"/>
      </w:rPr>
    </w:lvl>
    <w:lvl w:ilvl="3" w:tplc="CFD016BC">
      <w:start w:val="1"/>
      <w:numFmt w:val="bullet"/>
      <w:lvlText w:val=""/>
      <w:lvlJc w:val="left"/>
      <w:pPr>
        <w:ind w:left="2880" w:hanging="360"/>
      </w:pPr>
      <w:rPr>
        <w:rFonts w:ascii="Symbol" w:hAnsi="Symbol" w:hint="default"/>
      </w:rPr>
    </w:lvl>
    <w:lvl w:ilvl="4" w:tplc="7452F5DE">
      <w:start w:val="1"/>
      <w:numFmt w:val="bullet"/>
      <w:lvlText w:val="o"/>
      <w:lvlJc w:val="left"/>
      <w:pPr>
        <w:ind w:left="3600" w:hanging="360"/>
      </w:pPr>
      <w:rPr>
        <w:rFonts w:ascii="Courier New" w:hAnsi="Courier New" w:hint="default"/>
      </w:rPr>
    </w:lvl>
    <w:lvl w:ilvl="5" w:tplc="D090D416">
      <w:start w:val="1"/>
      <w:numFmt w:val="bullet"/>
      <w:lvlText w:val=""/>
      <w:lvlJc w:val="left"/>
      <w:pPr>
        <w:ind w:left="4320" w:hanging="360"/>
      </w:pPr>
      <w:rPr>
        <w:rFonts w:ascii="Wingdings" w:hAnsi="Wingdings" w:hint="default"/>
      </w:rPr>
    </w:lvl>
    <w:lvl w:ilvl="6" w:tplc="C6F64E60">
      <w:start w:val="1"/>
      <w:numFmt w:val="bullet"/>
      <w:lvlText w:val=""/>
      <w:lvlJc w:val="left"/>
      <w:pPr>
        <w:ind w:left="5040" w:hanging="360"/>
      </w:pPr>
      <w:rPr>
        <w:rFonts w:ascii="Symbol" w:hAnsi="Symbol" w:hint="default"/>
      </w:rPr>
    </w:lvl>
    <w:lvl w:ilvl="7" w:tplc="40F66C10">
      <w:start w:val="1"/>
      <w:numFmt w:val="bullet"/>
      <w:lvlText w:val="o"/>
      <w:lvlJc w:val="left"/>
      <w:pPr>
        <w:ind w:left="5760" w:hanging="360"/>
      </w:pPr>
      <w:rPr>
        <w:rFonts w:ascii="Courier New" w:hAnsi="Courier New" w:hint="default"/>
      </w:rPr>
    </w:lvl>
    <w:lvl w:ilvl="8" w:tplc="3EB05E98">
      <w:start w:val="1"/>
      <w:numFmt w:val="bullet"/>
      <w:lvlText w:val=""/>
      <w:lvlJc w:val="left"/>
      <w:pPr>
        <w:ind w:left="6480" w:hanging="360"/>
      </w:pPr>
      <w:rPr>
        <w:rFonts w:ascii="Wingdings" w:hAnsi="Wingdings" w:hint="default"/>
      </w:rPr>
    </w:lvl>
  </w:abstractNum>
  <w:abstractNum w:abstractNumId="188" w15:restartNumberingAfterBreak="0">
    <w:nsid w:val="67045AA4"/>
    <w:multiLevelType w:val="hybridMultilevel"/>
    <w:tmpl w:val="FE32659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9" w15:restartNumberingAfterBreak="0">
    <w:nsid w:val="672C3D90"/>
    <w:multiLevelType w:val="hybridMultilevel"/>
    <w:tmpl w:val="FA5074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0" w15:restartNumberingAfterBreak="0">
    <w:nsid w:val="67A85384"/>
    <w:multiLevelType w:val="hybridMultilevel"/>
    <w:tmpl w:val="FFFFFFFF"/>
    <w:lvl w:ilvl="0" w:tplc="7F426448">
      <w:start w:val="1"/>
      <w:numFmt w:val="bullet"/>
      <w:lvlText w:val="·"/>
      <w:lvlJc w:val="left"/>
      <w:pPr>
        <w:ind w:left="720" w:hanging="360"/>
      </w:pPr>
      <w:rPr>
        <w:rFonts w:ascii="Symbol" w:hAnsi="Symbol" w:hint="default"/>
      </w:rPr>
    </w:lvl>
    <w:lvl w:ilvl="1" w:tplc="ABE06104">
      <w:start w:val="1"/>
      <w:numFmt w:val="bullet"/>
      <w:lvlText w:val="o"/>
      <w:lvlJc w:val="left"/>
      <w:pPr>
        <w:ind w:left="1440" w:hanging="360"/>
      </w:pPr>
      <w:rPr>
        <w:rFonts w:ascii="Courier New" w:hAnsi="Courier New" w:hint="default"/>
      </w:rPr>
    </w:lvl>
    <w:lvl w:ilvl="2" w:tplc="2E9A1BB2">
      <w:start w:val="1"/>
      <w:numFmt w:val="bullet"/>
      <w:lvlText w:val=""/>
      <w:lvlJc w:val="left"/>
      <w:pPr>
        <w:ind w:left="2160" w:hanging="360"/>
      </w:pPr>
      <w:rPr>
        <w:rFonts w:ascii="Wingdings" w:hAnsi="Wingdings" w:hint="default"/>
      </w:rPr>
    </w:lvl>
    <w:lvl w:ilvl="3" w:tplc="D674A232">
      <w:start w:val="1"/>
      <w:numFmt w:val="bullet"/>
      <w:lvlText w:val=""/>
      <w:lvlJc w:val="left"/>
      <w:pPr>
        <w:ind w:left="2880" w:hanging="360"/>
      </w:pPr>
      <w:rPr>
        <w:rFonts w:ascii="Symbol" w:hAnsi="Symbol" w:hint="default"/>
      </w:rPr>
    </w:lvl>
    <w:lvl w:ilvl="4" w:tplc="C832CA3A">
      <w:start w:val="1"/>
      <w:numFmt w:val="bullet"/>
      <w:lvlText w:val="o"/>
      <w:lvlJc w:val="left"/>
      <w:pPr>
        <w:ind w:left="3600" w:hanging="360"/>
      </w:pPr>
      <w:rPr>
        <w:rFonts w:ascii="Courier New" w:hAnsi="Courier New" w:hint="default"/>
      </w:rPr>
    </w:lvl>
    <w:lvl w:ilvl="5" w:tplc="C6842834">
      <w:start w:val="1"/>
      <w:numFmt w:val="bullet"/>
      <w:lvlText w:val=""/>
      <w:lvlJc w:val="left"/>
      <w:pPr>
        <w:ind w:left="4320" w:hanging="360"/>
      </w:pPr>
      <w:rPr>
        <w:rFonts w:ascii="Wingdings" w:hAnsi="Wingdings" w:hint="default"/>
      </w:rPr>
    </w:lvl>
    <w:lvl w:ilvl="6" w:tplc="CD54CCD4">
      <w:start w:val="1"/>
      <w:numFmt w:val="bullet"/>
      <w:lvlText w:val=""/>
      <w:lvlJc w:val="left"/>
      <w:pPr>
        <w:ind w:left="5040" w:hanging="360"/>
      </w:pPr>
      <w:rPr>
        <w:rFonts w:ascii="Symbol" w:hAnsi="Symbol" w:hint="default"/>
      </w:rPr>
    </w:lvl>
    <w:lvl w:ilvl="7" w:tplc="8D44EEBE">
      <w:start w:val="1"/>
      <w:numFmt w:val="bullet"/>
      <w:lvlText w:val="o"/>
      <w:lvlJc w:val="left"/>
      <w:pPr>
        <w:ind w:left="5760" w:hanging="360"/>
      </w:pPr>
      <w:rPr>
        <w:rFonts w:ascii="Courier New" w:hAnsi="Courier New" w:hint="default"/>
      </w:rPr>
    </w:lvl>
    <w:lvl w:ilvl="8" w:tplc="A0A09D2A">
      <w:start w:val="1"/>
      <w:numFmt w:val="bullet"/>
      <w:lvlText w:val=""/>
      <w:lvlJc w:val="left"/>
      <w:pPr>
        <w:ind w:left="6480" w:hanging="360"/>
      </w:pPr>
      <w:rPr>
        <w:rFonts w:ascii="Wingdings" w:hAnsi="Wingdings" w:hint="default"/>
      </w:rPr>
    </w:lvl>
  </w:abstractNum>
  <w:abstractNum w:abstractNumId="191" w15:restartNumberingAfterBreak="0">
    <w:nsid w:val="67C006A5"/>
    <w:multiLevelType w:val="hybridMultilevel"/>
    <w:tmpl w:val="B73053C6"/>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805CBA54">
      <w:start w:val="45"/>
      <w:numFmt w:val="decimal"/>
      <w:lvlText w:val="%3)"/>
      <w:lvlJc w:val="left"/>
      <w:pPr>
        <w:ind w:left="2694" w:hanging="360"/>
      </w:pPr>
      <w:rPr>
        <w:rFonts w:eastAsia="MS Mincho" w:hint="default"/>
        <w:color w:val="auto"/>
      </w:rPr>
    </w:lvl>
    <w:lvl w:ilvl="3" w:tplc="343C732C">
      <w:start w:val="1"/>
      <w:numFmt w:val="lowerRoman"/>
      <w:lvlText w:val="(%4)"/>
      <w:lvlJc w:val="left"/>
      <w:pPr>
        <w:ind w:left="3594" w:hanging="720"/>
      </w:pPr>
      <w:rPr>
        <w:rFonts w:hint="default"/>
      </w:rPr>
    </w:lvl>
    <w:lvl w:ilvl="4" w:tplc="08090019">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92" w15:restartNumberingAfterBreak="0">
    <w:nsid w:val="68042957"/>
    <w:multiLevelType w:val="hybridMultilevel"/>
    <w:tmpl w:val="E064F45E"/>
    <w:lvl w:ilvl="0" w:tplc="5DE487A8">
      <w:start w:val="57"/>
      <w:numFmt w:val="decimal"/>
      <w:lvlText w:val="%1"/>
      <w:lvlJc w:val="left"/>
      <w:pPr>
        <w:ind w:left="720"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8E30A57"/>
    <w:multiLevelType w:val="hybridMultilevel"/>
    <w:tmpl w:val="951021D0"/>
    <w:lvl w:ilvl="0" w:tplc="08AAAA54">
      <w:start w:val="1"/>
      <w:numFmt w:val="bullet"/>
      <w:lvlText w:val="·"/>
      <w:lvlJc w:val="left"/>
      <w:pPr>
        <w:ind w:left="720" w:hanging="360"/>
      </w:pPr>
    </w:lvl>
    <w:lvl w:ilvl="1" w:tplc="08090001">
      <w:start w:val="1"/>
      <w:numFmt w:val="bullet"/>
      <w:lvlText w:val=""/>
      <w:lvlJc w:val="left"/>
      <w:pPr>
        <w:ind w:left="1440" w:hanging="360"/>
      </w:pPr>
      <w:rPr>
        <w:rFonts w:ascii="Symbol" w:hAnsi="Symbol" w:hint="default"/>
      </w:r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194" w15:restartNumberingAfterBreak="0">
    <w:nsid w:val="690A652A"/>
    <w:multiLevelType w:val="hybridMultilevel"/>
    <w:tmpl w:val="FFFFFFFF"/>
    <w:lvl w:ilvl="0" w:tplc="B594A394">
      <w:start w:val="1"/>
      <w:numFmt w:val="decimal"/>
      <w:lvlText w:val="%1."/>
      <w:lvlJc w:val="left"/>
      <w:pPr>
        <w:ind w:left="720" w:hanging="360"/>
      </w:pPr>
    </w:lvl>
    <w:lvl w:ilvl="1" w:tplc="D9A4EDE4">
      <w:start w:val="1"/>
      <w:numFmt w:val="lowerLetter"/>
      <w:lvlText w:val="%2."/>
      <w:lvlJc w:val="left"/>
      <w:pPr>
        <w:ind w:left="1440" w:hanging="360"/>
      </w:pPr>
    </w:lvl>
    <w:lvl w:ilvl="2" w:tplc="069831A2">
      <w:start w:val="1"/>
      <w:numFmt w:val="lowerRoman"/>
      <w:lvlText w:val="%3."/>
      <w:lvlJc w:val="right"/>
      <w:pPr>
        <w:ind w:left="2160" w:hanging="180"/>
      </w:pPr>
    </w:lvl>
    <w:lvl w:ilvl="3" w:tplc="90F20FF4">
      <w:start w:val="1"/>
      <w:numFmt w:val="decimal"/>
      <w:lvlText w:val="%4."/>
      <w:lvlJc w:val="left"/>
      <w:pPr>
        <w:ind w:left="2880" w:hanging="360"/>
      </w:pPr>
    </w:lvl>
    <w:lvl w:ilvl="4" w:tplc="4418DAA4">
      <w:start w:val="1"/>
      <w:numFmt w:val="lowerLetter"/>
      <w:lvlText w:val="%5."/>
      <w:lvlJc w:val="left"/>
      <w:pPr>
        <w:ind w:left="3600" w:hanging="360"/>
      </w:pPr>
    </w:lvl>
    <w:lvl w:ilvl="5" w:tplc="7D968528">
      <w:start w:val="1"/>
      <w:numFmt w:val="lowerRoman"/>
      <w:lvlText w:val="%6."/>
      <w:lvlJc w:val="right"/>
      <w:pPr>
        <w:ind w:left="4320" w:hanging="180"/>
      </w:pPr>
    </w:lvl>
    <w:lvl w:ilvl="6" w:tplc="D980AA92">
      <w:start w:val="1"/>
      <w:numFmt w:val="decimal"/>
      <w:lvlText w:val="%7."/>
      <w:lvlJc w:val="left"/>
      <w:pPr>
        <w:ind w:left="5040" w:hanging="360"/>
      </w:pPr>
    </w:lvl>
    <w:lvl w:ilvl="7" w:tplc="438807A2">
      <w:start w:val="1"/>
      <w:numFmt w:val="lowerLetter"/>
      <w:lvlText w:val="%8."/>
      <w:lvlJc w:val="left"/>
      <w:pPr>
        <w:ind w:left="5760" w:hanging="360"/>
      </w:pPr>
    </w:lvl>
    <w:lvl w:ilvl="8" w:tplc="5052F44C">
      <w:start w:val="1"/>
      <w:numFmt w:val="lowerRoman"/>
      <w:lvlText w:val="%9."/>
      <w:lvlJc w:val="right"/>
      <w:pPr>
        <w:ind w:left="6480" w:hanging="180"/>
      </w:pPr>
    </w:lvl>
  </w:abstractNum>
  <w:abstractNum w:abstractNumId="195" w15:restartNumberingAfterBreak="0">
    <w:nsid w:val="6A9A58EE"/>
    <w:multiLevelType w:val="hybridMultilevel"/>
    <w:tmpl w:val="E332AB52"/>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96" w15:restartNumberingAfterBreak="0">
    <w:nsid w:val="6B416C67"/>
    <w:multiLevelType w:val="hybridMultilevel"/>
    <w:tmpl w:val="FFFFFFFF"/>
    <w:lvl w:ilvl="0" w:tplc="D0B09374">
      <w:start w:val="1"/>
      <w:numFmt w:val="bullet"/>
      <w:lvlText w:val="·"/>
      <w:lvlJc w:val="left"/>
      <w:pPr>
        <w:ind w:left="720" w:hanging="360"/>
      </w:pPr>
      <w:rPr>
        <w:rFonts w:ascii="Symbol" w:hAnsi="Symbol" w:hint="default"/>
      </w:rPr>
    </w:lvl>
    <w:lvl w:ilvl="1" w:tplc="3E2ED156">
      <w:start w:val="1"/>
      <w:numFmt w:val="decimal"/>
      <w:lvlText w:val="%2."/>
      <w:lvlJc w:val="left"/>
      <w:pPr>
        <w:ind w:left="1440" w:hanging="360"/>
      </w:pPr>
      <w:rPr>
        <w:rFonts w:hint="default"/>
      </w:rPr>
    </w:lvl>
    <w:lvl w:ilvl="2" w:tplc="7B90A510">
      <w:start w:val="1"/>
      <w:numFmt w:val="bullet"/>
      <w:lvlText w:val=""/>
      <w:lvlJc w:val="left"/>
      <w:pPr>
        <w:ind w:left="2160" w:hanging="360"/>
      </w:pPr>
      <w:rPr>
        <w:rFonts w:ascii="Wingdings" w:hAnsi="Wingdings" w:hint="default"/>
      </w:rPr>
    </w:lvl>
    <w:lvl w:ilvl="3" w:tplc="E6D61F0A">
      <w:start w:val="1"/>
      <w:numFmt w:val="bullet"/>
      <w:lvlText w:val=""/>
      <w:lvlJc w:val="left"/>
      <w:pPr>
        <w:ind w:left="2880" w:hanging="360"/>
      </w:pPr>
      <w:rPr>
        <w:rFonts w:ascii="Symbol" w:hAnsi="Symbol" w:hint="default"/>
      </w:rPr>
    </w:lvl>
    <w:lvl w:ilvl="4" w:tplc="3CA4BAEA">
      <w:start w:val="1"/>
      <w:numFmt w:val="bullet"/>
      <w:lvlText w:val="o"/>
      <w:lvlJc w:val="left"/>
      <w:pPr>
        <w:ind w:left="3600" w:hanging="360"/>
      </w:pPr>
      <w:rPr>
        <w:rFonts w:ascii="Courier New" w:hAnsi="Courier New" w:hint="default"/>
      </w:rPr>
    </w:lvl>
    <w:lvl w:ilvl="5" w:tplc="332A4AF8">
      <w:start w:val="1"/>
      <w:numFmt w:val="bullet"/>
      <w:lvlText w:val=""/>
      <w:lvlJc w:val="left"/>
      <w:pPr>
        <w:ind w:left="4320" w:hanging="360"/>
      </w:pPr>
      <w:rPr>
        <w:rFonts w:ascii="Wingdings" w:hAnsi="Wingdings" w:hint="default"/>
      </w:rPr>
    </w:lvl>
    <w:lvl w:ilvl="6" w:tplc="94004B88">
      <w:start w:val="1"/>
      <w:numFmt w:val="bullet"/>
      <w:lvlText w:val=""/>
      <w:lvlJc w:val="left"/>
      <w:pPr>
        <w:ind w:left="5040" w:hanging="360"/>
      </w:pPr>
      <w:rPr>
        <w:rFonts w:ascii="Symbol" w:hAnsi="Symbol" w:hint="default"/>
      </w:rPr>
    </w:lvl>
    <w:lvl w:ilvl="7" w:tplc="2D822F44">
      <w:start w:val="1"/>
      <w:numFmt w:val="bullet"/>
      <w:lvlText w:val="o"/>
      <w:lvlJc w:val="left"/>
      <w:pPr>
        <w:ind w:left="5760" w:hanging="360"/>
      </w:pPr>
      <w:rPr>
        <w:rFonts w:ascii="Courier New" w:hAnsi="Courier New" w:hint="default"/>
      </w:rPr>
    </w:lvl>
    <w:lvl w:ilvl="8" w:tplc="CE0ACBF2">
      <w:start w:val="1"/>
      <w:numFmt w:val="bullet"/>
      <w:lvlText w:val=""/>
      <w:lvlJc w:val="left"/>
      <w:pPr>
        <w:ind w:left="6480" w:hanging="360"/>
      </w:pPr>
      <w:rPr>
        <w:rFonts w:ascii="Wingdings" w:hAnsi="Wingdings" w:hint="default"/>
      </w:rPr>
    </w:lvl>
  </w:abstractNum>
  <w:abstractNum w:abstractNumId="197"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8" w15:restartNumberingAfterBreak="0">
    <w:nsid w:val="6BCD57BB"/>
    <w:multiLevelType w:val="multilevel"/>
    <w:tmpl w:val="6FBE688C"/>
    <w:lvl w:ilvl="0">
      <w:start w:val="1"/>
      <w:numFmt w:val="upperRoman"/>
      <w:lvlText w:val="%1."/>
      <w:lvlJc w:val="left"/>
      <w:pPr>
        <w:ind w:left="0" w:firstLine="0"/>
      </w:pPr>
    </w:lvl>
    <w:lvl w:ilvl="1">
      <w:start w:val="1"/>
      <w:numFmt w:val="decimal"/>
      <w:lvlText w:val="%1.%2"/>
      <w:lvlJc w:val="left"/>
      <w:pPr>
        <w:ind w:left="0" w:firstLine="0"/>
      </w:pPr>
    </w:lvl>
    <w:lvl w:ilvl="2">
      <w:start w:val="1"/>
      <w:numFmt w:val="decimal"/>
      <w:pStyle w:val="Instructionsberschrift3"/>
      <w:lvlText w:val="%1.%2.%3"/>
      <w:lvlJc w:val="left"/>
      <w:pPr>
        <w:ind w:left="720" w:hanging="432"/>
      </w:pPr>
      <w:rPr>
        <w:b w:val="0"/>
      </w:r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9" w15:restartNumberingAfterBreak="0">
    <w:nsid w:val="6C026693"/>
    <w:multiLevelType w:val="hybridMultilevel"/>
    <w:tmpl w:val="BC685418"/>
    <w:lvl w:ilvl="0" w:tplc="A978104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6CB8133D"/>
    <w:multiLevelType w:val="hybridMultilevel"/>
    <w:tmpl w:val="9AFC1E6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1" w15:restartNumberingAfterBreak="0">
    <w:nsid w:val="6CCB754A"/>
    <w:multiLevelType w:val="multilevel"/>
    <w:tmpl w:val="BC047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DB451DC"/>
    <w:multiLevelType w:val="multilevel"/>
    <w:tmpl w:val="649A00FE"/>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03" w15:restartNumberingAfterBreak="0">
    <w:nsid w:val="6E157C41"/>
    <w:multiLevelType w:val="hybridMultilevel"/>
    <w:tmpl w:val="375075FE"/>
    <w:lvl w:ilvl="0" w:tplc="357AFF7A">
      <w:start w:val="1"/>
      <w:numFmt w:val="bullet"/>
      <w:lvlText w:val="·"/>
      <w:lvlJc w:val="left"/>
      <w:pPr>
        <w:ind w:left="720" w:hanging="360"/>
      </w:pPr>
      <w:rPr>
        <w:rFonts w:ascii="Symbol" w:hAnsi="Symbol" w:hint="default"/>
      </w:rPr>
    </w:lvl>
    <w:lvl w:ilvl="1" w:tplc="AEF20F6A">
      <w:start w:val="1"/>
      <w:numFmt w:val="decimal"/>
      <w:lvlText w:val="%2."/>
      <w:lvlJc w:val="left"/>
      <w:pPr>
        <w:ind w:left="1440" w:hanging="360"/>
      </w:pPr>
      <w:rPr>
        <w:rFonts w:hint="default"/>
      </w:rPr>
    </w:lvl>
    <w:lvl w:ilvl="2" w:tplc="D376CE86">
      <w:start w:val="1"/>
      <w:numFmt w:val="bullet"/>
      <w:lvlText w:val=""/>
      <w:lvlJc w:val="left"/>
      <w:pPr>
        <w:ind w:left="2160" w:hanging="360"/>
      </w:pPr>
      <w:rPr>
        <w:rFonts w:ascii="Wingdings" w:hAnsi="Wingdings" w:hint="default"/>
      </w:rPr>
    </w:lvl>
    <w:lvl w:ilvl="3" w:tplc="A7ECB72C">
      <w:start w:val="1"/>
      <w:numFmt w:val="bullet"/>
      <w:lvlText w:val=""/>
      <w:lvlJc w:val="left"/>
      <w:pPr>
        <w:ind w:left="2880" w:hanging="360"/>
      </w:pPr>
      <w:rPr>
        <w:rFonts w:ascii="Symbol" w:hAnsi="Symbol" w:hint="default"/>
      </w:rPr>
    </w:lvl>
    <w:lvl w:ilvl="4" w:tplc="96DCEDCC">
      <w:start w:val="1"/>
      <w:numFmt w:val="bullet"/>
      <w:lvlText w:val="o"/>
      <w:lvlJc w:val="left"/>
      <w:pPr>
        <w:ind w:left="3600" w:hanging="360"/>
      </w:pPr>
      <w:rPr>
        <w:rFonts w:ascii="Courier New" w:hAnsi="Courier New" w:hint="default"/>
      </w:rPr>
    </w:lvl>
    <w:lvl w:ilvl="5" w:tplc="2BFE3416">
      <w:start w:val="1"/>
      <w:numFmt w:val="bullet"/>
      <w:lvlText w:val=""/>
      <w:lvlJc w:val="left"/>
      <w:pPr>
        <w:ind w:left="4320" w:hanging="360"/>
      </w:pPr>
      <w:rPr>
        <w:rFonts w:ascii="Wingdings" w:hAnsi="Wingdings" w:hint="default"/>
      </w:rPr>
    </w:lvl>
    <w:lvl w:ilvl="6" w:tplc="8BAE30FC">
      <w:start w:val="1"/>
      <w:numFmt w:val="bullet"/>
      <w:lvlText w:val=""/>
      <w:lvlJc w:val="left"/>
      <w:pPr>
        <w:ind w:left="5040" w:hanging="360"/>
      </w:pPr>
      <w:rPr>
        <w:rFonts w:ascii="Symbol" w:hAnsi="Symbol" w:hint="default"/>
      </w:rPr>
    </w:lvl>
    <w:lvl w:ilvl="7" w:tplc="BF8ABDC8">
      <w:start w:val="1"/>
      <w:numFmt w:val="bullet"/>
      <w:lvlText w:val="o"/>
      <w:lvlJc w:val="left"/>
      <w:pPr>
        <w:ind w:left="5760" w:hanging="360"/>
      </w:pPr>
      <w:rPr>
        <w:rFonts w:ascii="Courier New" w:hAnsi="Courier New" w:hint="default"/>
      </w:rPr>
    </w:lvl>
    <w:lvl w:ilvl="8" w:tplc="5C5CAECC">
      <w:start w:val="1"/>
      <w:numFmt w:val="bullet"/>
      <w:lvlText w:val=""/>
      <w:lvlJc w:val="left"/>
      <w:pPr>
        <w:ind w:left="6480" w:hanging="360"/>
      </w:pPr>
      <w:rPr>
        <w:rFonts w:ascii="Wingdings" w:hAnsi="Wingdings" w:hint="default"/>
      </w:rPr>
    </w:lvl>
  </w:abstractNum>
  <w:abstractNum w:abstractNumId="204" w15:restartNumberingAfterBreak="0">
    <w:nsid w:val="6EE0541B"/>
    <w:multiLevelType w:val="hybridMultilevel"/>
    <w:tmpl w:val="C3B6CA8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5" w15:restartNumberingAfterBreak="0">
    <w:nsid w:val="6F167A56"/>
    <w:multiLevelType w:val="hybridMultilevel"/>
    <w:tmpl w:val="28BAD89C"/>
    <w:lvl w:ilvl="0" w:tplc="88F8117C">
      <w:start w:val="1"/>
      <w:numFmt w:val="bullet"/>
      <w:lvlText w:val="·"/>
      <w:lvlJc w:val="left"/>
      <w:pPr>
        <w:ind w:left="720" w:hanging="360"/>
      </w:pPr>
      <w:rPr>
        <w:rFonts w:ascii="Symbol" w:hAnsi="Symbol" w:hint="default"/>
      </w:rPr>
    </w:lvl>
    <w:lvl w:ilvl="1" w:tplc="0EEE4636">
      <w:start w:val="1"/>
      <w:numFmt w:val="bullet"/>
      <w:lvlText w:val="o"/>
      <w:lvlJc w:val="left"/>
      <w:pPr>
        <w:ind w:left="1440" w:hanging="360"/>
      </w:pPr>
      <w:rPr>
        <w:rFonts w:ascii="Courier New" w:hAnsi="Courier New" w:hint="default"/>
      </w:rPr>
    </w:lvl>
    <w:lvl w:ilvl="2" w:tplc="041E5F9E">
      <w:start w:val="1"/>
      <w:numFmt w:val="bullet"/>
      <w:lvlText w:val=""/>
      <w:lvlJc w:val="left"/>
      <w:pPr>
        <w:ind w:left="2160" w:hanging="360"/>
      </w:pPr>
      <w:rPr>
        <w:rFonts w:ascii="Wingdings" w:hAnsi="Wingdings" w:hint="default"/>
      </w:rPr>
    </w:lvl>
    <w:lvl w:ilvl="3" w:tplc="89D42A5A">
      <w:start w:val="1"/>
      <w:numFmt w:val="bullet"/>
      <w:lvlText w:val=""/>
      <w:lvlJc w:val="left"/>
      <w:pPr>
        <w:ind w:left="2880" w:hanging="360"/>
      </w:pPr>
      <w:rPr>
        <w:rFonts w:ascii="Symbol" w:hAnsi="Symbol" w:hint="default"/>
      </w:rPr>
    </w:lvl>
    <w:lvl w:ilvl="4" w:tplc="40849A20">
      <w:start w:val="1"/>
      <w:numFmt w:val="bullet"/>
      <w:lvlText w:val="o"/>
      <w:lvlJc w:val="left"/>
      <w:pPr>
        <w:ind w:left="3600" w:hanging="360"/>
      </w:pPr>
      <w:rPr>
        <w:rFonts w:ascii="Courier New" w:hAnsi="Courier New" w:hint="default"/>
      </w:rPr>
    </w:lvl>
    <w:lvl w:ilvl="5" w:tplc="290C1BE6">
      <w:start w:val="1"/>
      <w:numFmt w:val="bullet"/>
      <w:lvlText w:val=""/>
      <w:lvlJc w:val="left"/>
      <w:pPr>
        <w:ind w:left="4320" w:hanging="360"/>
      </w:pPr>
      <w:rPr>
        <w:rFonts w:ascii="Wingdings" w:hAnsi="Wingdings" w:hint="default"/>
      </w:rPr>
    </w:lvl>
    <w:lvl w:ilvl="6" w:tplc="B75A9084">
      <w:start w:val="1"/>
      <w:numFmt w:val="bullet"/>
      <w:lvlText w:val=""/>
      <w:lvlJc w:val="left"/>
      <w:pPr>
        <w:ind w:left="5040" w:hanging="360"/>
      </w:pPr>
      <w:rPr>
        <w:rFonts w:ascii="Symbol" w:hAnsi="Symbol" w:hint="default"/>
      </w:rPr>
    </w:lvl>
    <w:lvl w:ilvl="7" w:tplc="99F25084">
      <w:start w:val="1"/>
      <w:numFmt w:val="bullet"/>
      <w:lvlText w:val="o"/>
      <w:lvlJc w:val="left"/>
      <w:pPr>
        <w:ind w:left="5760" w:hanging="360"/>
      </w:pPr>
      <w:rPr>
        <w:rFonts w:ascii="Courier New" w:hAnsi="Courier New" w:hint="default"/>
      </w:rPr>
    </w:lvl>
    <w:lvl w:ilvl="8" w:tplc="39DAAA14">
      <w:start w:val="1"/>
      <w:numFmt w:val="bullet"/>
      <w:lvlText w:val=""/>
      <w:lvlJc w:val="left"/>
      <w:pPr>
        <w:ind w:left="6480" w:hanging="360"/>
      </w:pPr>
      <w:rPr>
        <w:rFonts w:ascii="Wingdings" w:hAnsi="Wingdings" w:hint="default"/>
      </w:rPr>
    </w:lvl>
  </w:abstractNum>
  <w:abstractNum w:abstractNumId="206" w15:restartNumberingAfterBreak="0">
    <w:nsid w:val="6F2A6E34"/>
    <w:multiLevelType w:val="multilevel"/>
    <w:tmpl w:val="1D42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F4F7920"/>
    <w:multiLevelType w:val="hybridMultilevel"/>
    <w:tmpl w:val="FFFFFFFF"/>
    <w:lvl w:ilvl="0" w:tplc="18EEAD7E">
      <w:start w:val="1"/>
      <w:numFmt w:val="bullet"/>
      <w:lvlText w:val="·"/>
      <w:lvlJc w:val="left"/>
      <w:pPr>
        <w:ind w:left="720" w:hanging="360"/>
      </w:pPr>
      <w:rPr>
        <w:rFonts w:ascii="Symbol" w:hAnsi="Symbol" w:hint="default"/>
      </w:rPr>
    </w:lvl>
    <w:lvl w:ilvl="1" w:tplc="3A94C39A">
      <w:start w:val="1"/>
      <w:numFmt w:val="bullet"/>
      <w:lvlText w:val="o"/>
      <w:lvlJc w:val="left"/>
      <w:pPr>
        <w:ind w:left="1440" w:hanging="360"/>
      </w:pPr>
      <w:rPr>
        <w:rFonts w:ascii="Courier New" w:hAnsi="Courier New" w:hint="default"/>
      </w:rPr>
    </w:lvl>
    <w:lvl w:ilvl="2" w:tplc="903A93DE">
      <w:start w:val="1"/>
      <w:numFmt w:val="bullet"/>
      <w:lvlText w:val=""/>
      <w:lvlJc w:val="left"/>
      <w:pPr>
        <w:ind w:left="2160" w:hanging="360"/>
      </w:pPr>
      <w:rPr>
        <w:rFonts w:ascii="Wingdings" w:hAnsi="Wingdings" w:hint="default"/>
      </w:rPr>
    </w:lvl>
    <w:lvl w:ilvl="3" w:tplc="42A8A9BA">
      <w:start w:val="1"/>
      <w:numFmt w:val="bullet"/>
      <w:lvlText w:val=""/>
      <w:lvlJc w:val="left"/>
      <w:pPr>
        <w:ind w:left="2880" w:hanging="360"/>
      </w:pPr>
      <w:rPr>
        <w:rFonts w:ascii="Symbol" w:hAnsi="Symbol" w:hint="default"/>
      </w:rPr>
    </w:lvl>
    <w:lvl w:ilvl="4" w:tplc="B5A8677A">
      <w:start w:val="1"/>
      <w:numFmt w:val="bullet"/>
      <w:lvlText w:val="o"/>
      <w:lvlJc w:val="left"/>
      <w:pPr>
        <w:ind w:left="3600" w:hanging="360"/>
      </w:pPr>
      <w:rPr>
        <w:rFonts w:ascii="Courier New" w:hAnsi="Courier New" w:hint="default"/>
      </w:rPr>
    </w:lvl>
    <w:lvl w:ilvl="5" w:tplc="1FC2A36C">
      <w:start w:val="1"/>
      <w:numFmt w:val="bullet"/>
      <w:lvlText w:val=""/>
      <w:lvlJc w:val="left"/>
      <w:pPr>
        <w:ind w:left="4320" w:hanging="360"/>
      </w:pPr>
      <w:rPr>
        <w:rFonts w:ascii="Wingdings" w:hAnsi="Wingdings" w:hint="default"/>
      </w:rPr>
    </w:lvl>
    <w:lvl w:ilvl="6" w:tplc="080CF9F6">
      <w:start w:val="1"/>
      <w:numFmt w:val="bullet"/>
      <w:lvlText w:val=""/>
      <w:lvlJc w:val="left"/>
      <w:pPr>
        <w:ind w:left="5040" w:hanging="360"/>
      </w:pPr>
      <w:rPr>
        <w:rFonts w:ascii="Symbol" w:hAnsi="Symbol" w:hint="default"/>
      </w:rPr>
    </w:lvl>
    <w:lvl w:ilvl="7" w:tplc="EF647294">
      <w:start w:val="1"/>
      <w:numFmt w:val="bullet"/>
      <w:lvlText w:val="o"/>
      <w:lvlJc w:val="left"/>
      <w:pPr>
        <w:ind w:left="5760" w:hanging="360"/>
      </w:pPr>
      <w:rPr>
        <w:rFonts w:ascii="Courier New" w:hAnsi="Courier New" w:hint="default"/>
      </w:rPr>
    </w:lvl>
    <w:lvl w:ilvl="8" w:tplc="1C2C4494">
      <w:start w:val="1"/>
      <w:numFmt w:val="bullet"/>
      <w:lvlText w:val=""/>
      <w:lvlJc w:val="left"/>
      <w:pPr>
        <w:ind w:left="6480" w:hanging="360"/>
      </w:pPr>
      <w:rPr>
        <w:rFonts w:ascii="Wingdings" w:hAnsi="Wingdings" w:hint="default"/>
      </w:rPr>
    </w:lvl>
  </w:abstractNum>
  <w:abstractNum w:abstractNumId="208" w15:restartNumberingAfterBreak="0">
    <w:nsid w:val="6FB95973"/>
    <w:multiLevelType w:val="hybridMultilevel"/>
    <w:tmpl w:val="AA8E90FC"/>
    <w:lvl w:ilvl="0" w:tplc="8302529E">
      <w:start w:val="1"/>
      <w:numFmt w:val="bullet"/>
      <w:lvlText w:val="·"/>
      <w:lvlJc w:val="left"/>
      <w:pPr>
        <w:ind w:left="720" w:hanging="360"/>
      </w:pPr>
      <w:rPr>
        <w:rFonts w:ascii="Symbol" w:hAnsi="Symbol" w:hint="default"/>
      </w:rPr>
    </w:lvl>
    <w:lvl w:ilvl="1" w:tplc="C6A2EA7C">
      <w:start w:val="1"/>
      <w:numFmt w:val="decimal"/>
      <w:lvlText w:val="%2."/>
      <w:lvlJc w:val="left"/>
      <w:pPr>
        <w:ind w:left="1440" w:hanging="360"/>
      </w:pPr>
      <w:rPr>
        <w:rFonts w:hint="default"/>
      </w:rPr>
    </w:lvl>
    <w:lvl w:ilvl="2" w:tplc="2A823F48">
      <w:start w:val="1"/>
      <w:numFmt w:val="bullet"/>
      <w:lvlText w:val=""/>
      <w:lvlJc w:val="left"/>
      <w:pPr>
        <w:ind w:left="2160" w:hanging="360"/>
      </w:pPr>
      <w:rPr>
        <w:rFonts w:ascii="Wingdings" w:hAnsi="Wingdings" w:hint="default"/>
      </w:rPr>
    </w:lvl>
    <w:lvl w:ilvl="3" w:tplc="30C69E2C">
      <w:start w:val="1"/>
      <w:numFmt w:val="bullet"/>
      <w:lvlText w:val=""/>
      <w:lvlJc w:val="left"/>
      <w:pPr>
        <w:ind w:left="2880" w:hanging="360"/>
      </w:pPr>
      <w:rPr>
        <w:rFonts w:ascii="Symbol" w:hAnsi="Symbol" w:hint="default"/>
      </w:rPr>
    </w:lvl>
    <w:lvl w:ilvl="4" w:tplc="A346624C">
      <w:start w:val="1"/>
      <w:numFmt w:val="bullet"/>
      <w:lvlText w:val="o"/>
      <w:lvlJc w:val="left"/>
      <w:pPr>
        <w:ind w:left="3600" w:hanging="360"/>
      </w:pPr>
      <w:rPr>
        <w:rFonts w:ascii="Courier New" w:hAnsi="Courier New" w:hint="default"/>
      </w:rPr>
    </w:lvl>
    <w:lvl w:ilvl="5" w:tplc="8E1AF08A">
      <w:start w:val="1"/>
      <w:numFmt w:val="bullet"/>
      <w:lvlText w:val=""/>
      <w:lvlJc w:val="left"/>
      <w:pPr>
        <w:ind w:left="4320" w:hanging="360"/>
      </w:pPr>
      <w:rPr>
        <w:rFonts w:ascii="Wingdings" w:hAnsi="Wingdings" w:hint="default"/>
      </w:rPr>
    </w:lvl>
    <w:lvl w:ilvl="6" w:tplc="9EB2AC54">
      <w:start w:val="1"/>
      <w:numFmt w:val="bullet"/>
      <w:lvlText w:val=""/>
      <w:lvlJc w:val="left"/>
      <w:pPr>
        <w:ind w:left="5040" w:hanging="360"/>
      </w:pPr>
      <w:rPr>
        <w:rFonts w:ascii="Symbol" w:hAnsi="Symbol" w:hint="default"/>
      </w:rPr>
    </w:lvl>
    <w:lvl w:ilvl="7" w:tplc="7D106C60">
      <w:start w:val="1"/>
      <w:numFmt w:val="bullet"/>
      <w:lvlText w:val="o"/>
      <w:lvlJc w:val="left"/>
      <w:pPr>
        <w:ind w:left="5760" w:hanging="360"/>
      </w:pPr>
      <w:rPr>
        <w:rFonts w:ascii="Courier New" w:hAnsi="Courier New" w:hint="default"/>
      </w:rPr>
    </w:lvl>
    <w:lvl w:ilvl="8" w:tplc="39002528">
      <w:start w:val="1"/>
      <w:numFmt w:val="bullet"/>
      <w:lvlText w:val=""/>
      <w:lvlJc w:val="left"/>
      <w:pPr>
        <w:ind w:left="6480" w:hanging="360"/>
      </w:pPr>
      <w:rPr>
        <w:rFonts w:ascii="Wingdings" w:hAnsi="Wingdings" w:hint="default"/>
      </w:rPr>
    </w:lvl>
  </w:abstractNum>
  <w:abstractNum w:abstractNumId="209" w15:restartNumberingAfterBreak="0">
    <w:nsid w:val="70084534"/>
    <w:multiLevelType w:val="multilevel"/>
    <w:tmpl w:val="40EAC0F4"/>
    <w:lvl w:ilvl="0">
      <w:start w:val="1"/>
      <w:numFmt w:val="bullet"/>
      <w:lvlText w:val=""/>
      <w:lvlJc w:val="left"/>
      <w:pPr>
        <w:ind w:left="360" w:hanging="360"/>
      </w:pPr>
      <w:rPr>
        <w:rFonts w:ascii="Symbol" w:hAnsi="Symbol"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2160" w:hanging="720"/>
      </w:pPr>
      <w:rPr>
        <w:rFonts w:hint="default"/>
        <w:u w:val="single"/>
      </w:rPr>
    </w:lvl>
    <w:lvl w:ilvl="3">
      <w:start w:val="1"/>
      <w:numFmt w:val="decimal"/>
      <w:isLgl/>
      <w:lvlText w:val="%1.%2.%3.%4"/>
      <w:lvlJc w:val="left"/>
      <w:pPr>
        <w:ind w:left="2880" w:hanging="720"/>
      </w:pPr>
      <w:rPr>
        <w:rFonts w:hint="default"/>
        <w:u w:val="single"/>
      </w:rPr>
    </w:lvl>
    <w:lvl w:ilvl="4">
      <w:start w:val="1"/>
      <w:numFmt w:val="decimal"/>
      <w:isLgl/>
      <w:lvlText w:val="%1.%2.%3.%4.%5"/>
      <w:lvlJc w:val="left"/>
      <w:pPr>
        <w:ind w:left="3960" w:hanging="1080"/>
      </w:pPr>
      <w:rPr>
        <w:rFonts w:hint="default"/>
        <w:u w:val="single"/>
      </w:rPr>
    </w:lvl>
    <w:lvl w:ilvl="5">
      <w:start w:val="1"/>
      <w:numFmt w:val="decimal"/>
      <w:isLgl/>
      <w:lvlText w:val="%1.%2.%3.%4.%5.%6"/>
      <w:lvlJc w:val="left"/>
      <w:pPr>
        <w:ind w:left="4680" w:hanging="1080"/>
      </w:pPr>
      <w:rPr>
        <w:rFonts w:hint="default"/>
        <w:u w:val="single"/>
      </w:rPr>
    </w:lvl>
    <w:lvl w:ilvl="6">
      <w:start w:val="1"/>
      <w:numFmt w:val="decimal"/>
      <w:isLgl/>
      <w:lvlText w:val="%1.%2.%3.%4.%5.%6.%7"/>
      <w:lvlJc w:val="left"/>
      <w:pPr>
        <w:ind w:left="5760" w:hanging="1440"/>
      </w:pPr>
      <w:rPr>
        <w:rFonts w:hint="default"/>
        <w:u w:val="single"/>
      </w:rPr>
    </w:lvl>
    <w:lvl w:ilvl="7">
      <w:start w:val="1"/>
      <w:numFmt w:val="decimal"/>
      <w:isLgl/>
      <w:lvlText w:val="%1.%2.%3.%4.%5.%6.%7.%8"/>
      <w:lvlJc w:val="left"/>
      <w:pPr>
        <w:ind w:left="6480" w:hanging="1440"/>
      </w:pPr>
      <w:rPr>
        <w:rFonts w:hint="default"/>
        <w:u w:val="single"/>
      </w:rPr>
    </w:lvl>
    <w:lvl w:ilvl="8">
      <w:start w:val="1"/>
      <w:numFmt w:val="decimal"/>
      <w:isLgl/>
      <w:lvlText w:val="%1.%2.%3.%4.%5.%6.%7.%8.%9"/>
      <w:lvlJc w:val="left"/>
      <w:pPr>
        <w:ind w:left="7200" w:hanging="1440"/>
      </w:pPr>
      <w:rPr>
        <w:rFonts w:hint="default"/>
        <w:u w:val="single"/>
      </w:rPr>
    </w:lvl>
  </w:abstractNum>
  <w:abstractNum w:abstractNumId="210" w15:restartNumberingAfterBreak="0">
    <w:nsid w:val="701D4702"/>
    <w:multiLevelType w:val="hybridMultilevel"/>
    <w:tmpl w:val="C00402D4"/>
    <w:lvl w:ilvl="0" w:tplc="D92AABF8">
      <w:start w:val="1"/>
      <w:numFmt w:val="bullet"/>
      <w:lvlText w:val="·"/>
      <w:lvlJc w:val="left"/>
      <w:pPr>
        <w:ind w:left="720" w:hanging="360"/>
      </w:pPr>
      <w:rPr>
        <w:rFonts w:ascii="Symbol" w:hAnsi="Symbol" w:hint="default"/>
      </w:rPr>
    </w:lvl>
    <w:lvl w:ilvl="1" w:tplc="EE02857A">
      <w:start w:val="1"/>
      <w:numFmt w:val="decimal"/>
      <w:lvlText w:val="%2."/>
      <w:lvlJc w:val="left"/>
      <w:pPr>
        <w:ind w:left="1440" w:hanging="360"/>
      </w:pPr>
      <w:rPr>
        <w:rFonts w:hint="default"/>
      </w:rPr>
    </w:lvl>
    <w:lvl w:ilvl="2" w:tplc="16DEA1FC">
      <w:start w:val="1"/>
      <w:numFmt w:val="bullet"/>
      <w:lvlText w:val=""/>
      <w:lvlJc w:val="left"/>
      <w:pPr>
        <w:ind w:left="2160" w:hanging="360"/>
      </w:pPr>
      <w:rPr>
        <w:rFonts w:ascii="Wingdings" w:hAnsi="Wingdings" w:hint="default"/>
      </w:rPr>
    </w:lvl>
    <w:lvl w:ilvl="3" w:tplc="C024BD78">
      <w:start w:val="1"/>
      <w:numFmt w:val="bullet"/>
      <w:lvlText w:val=""/>
      <w:lvlJc w:val="left"/>
      <w:pPr>
        <w:ind w:left="2880" w:hanging="360"/>
      </w:pPr>
      <w:rPr>
        <w:rFonts w:ascii="Symbol" w:hAnsi="Symbol" w:hint="default"/>
      </w:rPr>
    </w:lvl>
    <w:lvl w:ilvl="4" w:tplc="37D08E38">
      <w:start w:val="1"/>
      <w:numFmt w:val="bullet"/>
      <w:lvlText w:val="o"/>
      <w:lvlJc w:val="left"/>
      <w:pPr>
        <w:ind w:left="3600" w:hanging="360"/>
      </w:pPr>
      <w:rPr>
        <w:rFonts w:ascii="Courier New" w:hAnsi="Courier New" w:hint="default"/>
      </w:rPr>
    </w:lvl>
    <w:lvl w:ilvl="5" w:tplc="98C41290">
      <w:start w:val="1"/>
      <w:numFmt w:val="bullet"/>
      <w:lvlText w:val=""/>
      <w:lvlJc w:val="left"/>
      <w:pPr>
        <w:ind w:left="4320" w:hanging="360"/>
      </w:pPr>
      <w:rPr>
        <w:rFonts w:ascii="Wingdings" w:hAnsi="Wingdings" w:hint="default"/>
      </w:rPr>
    </w:lvl>
    <w:lvl w:ilvl="6" w:tplc="81A05BA6">
      <w:start w:val="1"/>
      <w:numFmt w:val="bullet"/>
      <w:lvlText w:val=""/>
      <w:lvlJc w:val="left"/>
      <w:pPr>
        <w:ind w:left="5040" w:hanging="360"/>
      </w:pPr>
      <w:rPr>
        <w:rFonts w:ascii="Symbol" w:hAnsi="Symbol" w:hint="default"/>
      </w:rPr>
    </w:lvl>
    <w:lvl w:ilvl="7" w:tplc="732C0420">
      <w:start w:val="1"/>
      <w:numFmt w:val="bullet"/>
      <w:lvlText w:val="o"/>
      <w:lvlJc w:val="left"/>
      <w:pPr>
        <w:ind w:left="5760" w:hanging="360"/>
      </w:pPr>
      <w:rPr>
        <w:rFonts w:ascii="Courier New" w:hAnsi="Courier New" w:hint="default"/>
      </w:rPr>
    </w:lvl>
    <w:lvl w:ilvl="8" w:tplc="B3AC786A">
      <w:start w:val="1"/>
      <w:numFmt w:val="bullet"/>
      <w:lvlText w:val=""/>
      <w:lvlJc w:val="left"/>
      <w:pPr>
        <w:ind w:left="6480" w:hanging="360"/>
      </w:pPr>
      <w:rPr>
        <w:rFonts w:ascii="Wingdings" w:hAnsi="Wingdings" w:hint="default"/>
      </w:rPr>
    </w:lvl>
  </w:abstractNum>
  <w:abstractNum w:abstractNumId="211" w15:restartNumberingAfterBreak="0">
    <w:nsid w:val="706A6883"/>
    <w:multiLevelType w:val="hybridMultilevel"/>
    <w:tmpl w:val="84981EAC"/>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2" w15:restartNumberingAfterBreak="0">
    <w:nsid w:val="71064D88"/>
    <w:multiLevelType w:val="hybridMultilevel"/>
    <w:tmpl w:val="F79473BE"/>
    <w:lvl w:ilvl="0" w:tplc="98F68450">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1117267"/>
    <w:multiLevelType w:val="hybridMultilevel"/>
    <w:tmpl w:val="4654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719E18D2"/>
    <w:multiLevelType w:val="hybridMultilevel"/>
    <w:tmpl w:val="1F3C9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2282870"/>
    <w:multiLevelType w:val="hybridMultilevel"/>
    <w:tmpl w:val="FFFFFFFF"/>
    <w:lvl w:ilvl="0" w:tplc="08AAAA54">
      <w:start w:val="1"/>
      <w:numFmt w:val="bullet"/>
      <w:lvlText w:val="·"/>
      <w:lvlJc w:val="left"/>
      <w:pPr>
        <w:ind w:left="720" w:hanging="360"/>
      </w:pPr>
    </w:lvl>
    <w:lvl w:ilvl="1" w:tplc="F4B45504">
      <w:start w:val="1"/>
      <w:numFmt w:val="decimal"/>
      <w:lvlText w:val="%2."/>
      <w:lvlJc w:val="left"/>
      <w:pPr>
        <w:ind w:left="1440" w:hanging="360"/>
      </w:pPr>
    </w:lvl>
    <w:lvl w:ilvl="2" w:tplc="F32A256C">
      <w:start w:val="1"/>
      <w:numFmt w:val="lowerRoman"/>
      <w:lvlText w:val="%3."/>
      <w:lvlJc w:val="right"/>
      <w:pPr>
        <w:ind w:left="2160" w:hanging="180"/>
      </w:pPr>
    </w:lvl>
    <w:lvl w:ilvl="3" w:tplc="E4646F38">
      <w:start w:val="1"/>
      <w:numFmt w:val="decimal"/>
      <w:lvlText w:val="%4."/>
      <w:lvlJc w:val="left"/>
      <w:pPr>
        <w:ind w:left="2880" w:hanging="360"/>
      </w:pPr>
    </w:lvl>
    <w:lvl w:ilvl="4" w:tplc="48BCA9D2">
      <w:start w:val="1"/>
      <w:numFmt w:val="lowerLetter"/>
      <w:lvlText w:val="%5."/>
      <w:lvlJc w:val="left"/>
      <w:pPr>
        <w:ind w:left="3600" w:hanging="360"/>
      </w:pPr>
    </w:lvl>
    <w:lvl w:ilvl="5" w:tplc="6BAACC24">
      <w:start w:val="1"/>
      <w:numFmt w:val="lowerRoman"/>
      <w:lvlText w:val="%6."/>
      <w:lvlJc w:val="right"/>
      <w:pPr>
        <w:ind w:left="4320" w:hanging="180"/>
      </w:pPr>
    </w:lvl>
    <w:lvl w:ilvl="6" w:tplc="276EF0A8">
      <w:start w:val="1"/>
      <w:numFmt w:val="decimal"/>
      <w:lvlText w:val="%7."/>
      <w:lvlJc w:val="left"/>
      <w:pPr>
        <w:ind w:left="5040" w:hanging="360"/>
      </w:pPr>
    </w:lvl>
    <w:lvl w:ilvl="7" w:tplc="E550DE5C">
      <w:start w:val="1"/>
      <w:numFmt w:val="lowerLetter"/>
      <w:lvlText w:val="%8."/>
      <w:lvlJc w:val="left"/>
      <w:pPr>
        <w:ind w:left="5760" w:hanging="360"/>
      </w:pPr>
    </w:lvl>
    <w:lvl w:ilvl="8" w:tplc="E83A813E">
      <w:start w:val="1"/>
      <w:numFmt w:val="lowerRoman"/>
      <w:lvlText w:val="%9."/>
      <w:lvlJc w:val="right"/>
      <w:pPr>
        <w:ind w:left="6480" w:hanging="180"/>
      </w:pPr>
    </w:lvl>
  </w:abstractNum>
  <w:abstractNum w:abstractNumId="216" w15:restartNumberingAfterBreak="0">
    <w:nsid w:val="72E62938"/>
    <w:multiLevelType w:val="hybridMultilevel"/>
    <w:tmpl w:val="FFFFFFFF"/>
    <w:lvl w:ilvl="0" w:tplc="2862BA10">
      <w:start w:val="1"/>
      <w:numFmt w:val="bullet"/>
      <w:lvlText w:val="·"/>
      <w:lvlJc w:val="left"/>
      <w:pPr>
        <w:ind w:left="720" w:hanging="360"/>
      </w:pPr>
      <w:rPr>
        <w:rFonts w:ascii="Symbol" w:hAnsi="Symbol" w:hint="default"/>
      </w:rPr>
    </w:lvl>
    <w:lvl w:ilvl="1" w:tplc="A9E8D7D8">
      <w:start w:val="1"/>
      <w:numFmt w:val="bullet"/>
      <w:lvlText w:val="o"/>
      <w:lvlJc w:val="left"/>
      <w:pPr>
        <w:ind w:left="1440" w:hanging="360"/>
      </w:pPr>
      <w:rPr>
        <w:rFonts w:ascii="Courier New" w:hAnsi="Courier New" w:hint="default"/>
      </w:rPr>
    </w:lvl>
    <w:lvl w:ilvl="2" w:tplc="198A1E3A">
      <w:start w:val="1"/>
      <w:numFmt w:val="bullet"/>
      <w:lvlText w:val=""/>
      <w:lvlJc w:val="left"/>
      <w:pPr>
        <w:ind w:left="2160" w:hanging="360"/>
      </w:pPr>
      <w:rPr>
        <w:rFonts w:ascii="Wingdings" w:hAnsi="Wingdings" w:hint="default"/>
      </w:rPr>
    </w:lvl>
    <w:lvl w:ilvl="3" w:tplc="10B8BFB8">
      <w:start w:val="1"/>
      <w:numFmt w:val="bullet"/>
      <w:lvlText w:val=""/>
      <w:lvlJc w:val="left"/>
      <w:pPr>
        <w:ind w:left="2880" w:hanging="360"/>
      </w:pPr>
      <w:rPr>
        <w:rFonts w:ascii="Symbol" w:hAnsi="Symbol" w:hint="default"/>
      </w:rPr>
    </w:lvl>
    <w:lvl w:ilvl="4" w:tplc="981E2B80">
      <w:start w:val="1"/>
      <w:numFmt w:val="bullet"/>
      <w:lvlText w:val="o"/>
      <w:lvlJc w:val="left"/>
      <w:pPr>
        <w:ind w:left="3600" w:hanging="360"/>
      </w:pPr>
      <w:rPr>
        <w:rFonts w:ascii="Courier New" w:hAnsi="Courier New" w:hint="default"/>
      </w:rPr>
    </w:lvl>
    <w:lvl w:ilvl="5" w:tplc="262E0562">
      <w:start w:val="1"/>
      <w:numFmt w:val="bullet"/>
      <w:lvlText w:val=""/>
      <w:lvlJc w:val="left"/>
      <w:pPr>
        <w:ind w:left="4320" w:hanging="360"/>
      </w:pPr>
      <w:rPr>
        <w:rFonts w:ascii="Wingdings" w:hAnsi="Wingdings" w:hint="default"/>
      </w:rPr>
    </w:lvl>
    <w:lvl w:ilvl="6" w:tplc="F7202BDE">
      <w:start w:val="1"/>
      <w:numFmt w:val="bullet"/>
      <w:lvlText w:val=""/>
      <w:lvlJc w:val="left"/>
      <w:pPr>
        <w:ind w:left="5040" w:hanging="360"/>
      </w:pPr>
      <w:rPr>
        <w:rFonts w:ascii="Symbol" w:hAnsi="Symbol" w:hint="default"/>
      </w:rPr>
    </w:lvl>
    <w:lvl w:ilvl="7" w:tplc="3AC2A384">
      <w:start w:val="1"/>
      <w:numFmt w:val="bullet"/>
      <w:lvlText w:val="o"/>
      <w:lvlJc w:val="left"/>
      <w:pPr>
        <w:ind w:left="5760" w:hanging="360"/>
      </w:pPr>
      <w:rPr>
        <w:rFonts w:ascii="Courier New" w:hAnsi="Courier New" w:hint="default"/>
      </w:rPr>
    </w:lvl>
    <w:lvl w:ilvl="8" w:tplc="797877BE">
      <w:start w:val="1"/>
      <w:numFmt w:val="bullet"/>
      <w:lvlText w:val=""/>
      <w:lvlJc w:val="left"/>
      <w:pPr>
        <w:ind w:left="6480" w:hanging="360"/>
      </w:pPr>
      <w:rPr>
        <w:rFonts w:ascii="Wingdings" w:hAnsi="Wingdings" w:hint="default"/>
      </w:rPr>
    </w:lvl>
  </w:abstractNum>
  <w:abstractNum w:abstractNumId="217" w15:restartNumberingAfterBreak="0">
    <w:nsid w:val="748C5DC5"/>
    <w:multiLevelType w:val="hybridMultilevel"/>
    <w:tmpl w:val="6628A65E"/>
    <w:lvl w:ilvl="0" w:tplc="6304ED5E">
      <w:start w:val="1"/>
      <w:numFmt w:val="decimal"/>
      <w:lvlText w:val="(%1)"/>
      <w:lvlJc w:val="right"/>
      <w:pPr>
        <w:ind w:left="1074" w:hanging="360"/>
      </w:pPr>
      <w:rPr>
        <w:rFonts w:hint="default"/>
      </w:rPr>
    </w:lvl>
    <w:lvl w:ilvl="1" w:tplc="0809001B">
      <w:start w:val="1"/>
      <w:numFmt w:val="lowerRoman"/>
      <w:lvlText w:val="%2."/>
      <w:lvlJc w:val="right"/>
      <w:pPr>
        <w:ind w:left="1794" w:hanging="360"/>
      </w:pPr>
    </w:lvl>
    <w:lvl w:ilvl="2" w:tplc="07ACA20E">
      <w:start w:val="49"/>
      <w:numFmt w:val="decimal"/>
      <w:lvlText w:val="%3)"/>
      <w:lvlJc w:val="left"/>
      <w:pPr>
        <w:ind w:left="2694" w:hanging="360"/>
      </w:pPr>
      <w:rPr>
        <w:rFonts w:hint="default"/>
      </w:r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218" w15:restartNumberingAfterBreak="0">
    <w:nsid w:val="75F9197C"/>
    <w:multiLevelType w:val="hybridMultilevel"/>
    <w:tmpl w:val="B34AA6B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76421E92"/>
    <w:multiLevelType w:val="hybridMultilevel"/>
    <w:tmpl w:val="E50EF50E"/>
    <w:lvl w:ilvl="0" w:tplc="7BBAF134">
      <w:start w:val="3"/>
      <w:numFmt w:val="bullet"/>
      <w:lvlText w:val="-"/>
      <w:lvlJc w:val="left"/>
      <w:pPr>
        <w:ind w:left="717" w:hanging="360"/>
      </w:pPr>
      <w:rPr>
        <w:rFonts w:ascii="Calibri" w:eastAsiaTheme="minorEastAsia" w:hAnsi="Calibri" w:cs="Calibri" w:hint="default"/>
        <w:spacing w:val="0"/>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20" w15:restartNumberingAfterBreak="0">
    <w:nsid w:val="769800E2"/>
    <w:multiLevelType w:val="multilevel"/>
    <w:tmpl w:val="60228A3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1" w15:restartNumberingAfterBreak="0">
    <w:nsid w:val="776E0D5E"/>
    <w:multiLevelType w:val="hybridMultilevel"/>
    <w:tmpl w:val="1450BE3C"/>
    <w:lvl w:ilvl="0" w:tplc="6E3E9BC8">
      <w:start w:val="1"/>
      <w:numFmt w:val="decimal"/>
      <w:lvlText w:val="%1)"/>
      <w:lvlJc w:val="left"/>
      <w:pPr>
        <w:ind w:left="1077" w:hanging="360"/>
      </w:pPr>
      <w:rPr>
        <w:rFont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2" w15:restartNumberingAfterBreak="0">
    <w:nsid w:val="77751EC2"/>
    <w:multiLevelType w:val="hybridMultilevel"/>
    <w:tmpl w:val="1C844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784C5B2C"/>
    <w:multiLevelType w:val="hybridMultilevel"/>
    <w:tmpl w:val="FE86E734"/>
    <w:lvl w:ilvl="0" w:tplc="8D5EDCB0">
      <w:start w:val="7"/>
      <w:numFmt w:val="decimal"/>
      <w:lvlText w:val="%1)"/>
      <w:lvlJc w:val="left"/>
      <w:pPr>
        <w:ind w:left="10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78B342BF"/>
    <w:multiLevelType w:val="hybridMultilevel"/>
    <w:tmpl w:val="D138C750"/>
    <w:lvl w:ilvl="0" w:tplc="E08E51BC">
      <w:start w:val="1"/>
      <w:numFmt w:val="decimal"/>
      <w:lvlText w:val="%1."/>
      <w:lvlJc w:val="left"/>
      <w:pPr>
        <w:ind w:left="720" w:hanging="360"/>
      </w:pPr>
    </w:lvl>
    <w:lvl w:ilvl="1" w:tplc="2146E71E">
      <w:start w:val="1"/>
      <w:numFmt w:val="lowerLetter"/>
      <w:lvlText w:val="%2."/>
      <w:lvlJc w:val="left"/>
      <w:pPr>
        <w:ind w:left="1440" w:hanging="360"/>
      </w:pPr>
    </w:lvl>
    <w:lvl w:ilvl="2" w:tplc="E92E1150">
      <w:start w:val="1"/>
      <w:numFmt w:val="lowerRoman"/>
      <w:lvlText w:val="%3."/>
      <w:lvlJc w:val="right"/>
      <w:pPr>
        <w:ind w:left="2160" w:hanging="180"/>
      </w:pPr>
    </w:lvl>
    <w:lvl w:ilvl="3" w:tplc="6A42ECD8">
      <w:start w:val="1"/>
      <w:numFmt w:val="decimal"/>
      <w:lvlText w:val="%4."/>
      <w:lvlJc w:val="left"/>
      <w:pPr>
        <w:ind w:left="2880" w:hanging="360"/>
      </w:pPr>
    </w:lvl>
    <w:lvl w:ilvl="4" w:tplc="C83E71FA">
      <w:start w:val="1"/>
      <w:numFmt w:val="lowerLetter"/>
      <w:lvlText w:val="%5."/>
      <w:lvlJc w:val="left"/>
      <w:pPr>
        <w:ind w:left="3600" w:hanging="360"/>
      </w:pPr>
    </w:lvl>
    <w:lvl w:ilvl="5" w:tplc="ED12556C">
      <w:start w:val="1"/>
      <w:numFmt w:val="lowerRoman"/>
      <w:lvlText w:val="%6."/>
      <w:lvlJc w:val="right"/>
      <w:pPr>
        <w:ind w:left="4320" w:hanging="180"/>
      </w:pPr>
    </w:lvl>
    <w:lvl w:ilvl="6" w:tplc="A7202864">
      <w:start w:val="1"/>
      <w:numFmt w:val="decimal"/>
      <w:lvlText w:val="%7."/>
      <w:lvlJc w:val="left"/>
      <w:pPr>
        <w:ind w:left="5040" w:hanging="360"/>
      </w:pPr>
    </w:lvl>
    <w:lvl w:ilvl="7" w:tplc="F20A0F82">
      <w:start w:val="1"/>
      <w:numFmt w:val="lowerLetter"/>
      <w:lvlText w:val="%8."/>
      <w:lvlJc w:val="left"/>
      <w:pPr>
        <w:ind w:left="5760" w:hanging="360"/>
      </w:pPr>
    </w:lvl>
    <w:lvl w:ilvl="8" w:tplc="47E8F52C">
      <w:start w:val="1"/>
      <w:numFmt w:val="lowerRoman"/>
      <w:lvlText w:val="%9."/>
      <w:lvlJc w:val="right"/>
      <w:pPr>
        <w:ind w:left="6480" w:hanging="180"/>
      </w:pPr>
    </w:lvl>
  </w:abstractNum>
  <w:abstractNum w:abstractNumId="225" w15:restartNumberingAfterBreak="0">
    <w:nsid w:val="78FD639B"/>
    <w:multiLevelType w:val="hybridMultilevel"/>
    <w:tmpl w:val="1488EB0C"/>
    <w:lvl w:ilvl="0" w:tplc="EA4AD4DC">
      <w:start w:val="1"/>
      <w:numFmt w:val="bullet"/>
      <w:lvlText w:val=""/>
      <w:lvlJc w:val="left"/>
      <w:pPr>
        <w:ind w:left="720" w:hanging="360"/>
      </w:pPr>
      <w:rPr>
        <w:rFonts w:ascii="Symbol" w:hAnsi="Symbol"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796603CE"/>
    <w:multiLevelType w:val="hybridMultilevel"/>
    <w:tmpl w:val="480A2296"/>
    <w:lvl w:ilvl="0" w:tplc="3B9C276A">
      <w:start w:val="1"/>
      <w:numFmt w:val="bullet"/>
      <w:lvlText w:val="·"/>
      <w:lvlJc w:val="left"/>
      <w:pPr>
        <w:ind w:left="720" w:hanging="360"/>
      </w:pPr>
      <w:rPr>
        <w:rFonts w:ascii="Symbol" w:hAnsi="Symbol" w:hint="default"/>
      </w:rPr>
    </w:lvl>
    <w:lvl w:ilvl="1" w:tplc="53D46DD8">
      <w:start w:val="1"/>
      <w:numFmt w:val="bullet"/>
      <w:lvlText w:val="o"/>
      <w:lvlJc w:val="left"/>
      <w:pPr>
        <w:ind w:left="1440" w:hanging="360"/>
      </w:pPr>
      <w:rPr>
        <w:rFonts w:ascii="Courier New" w:hAnsi="Courier New" w:hint="default"/>
      </w:rPr>
    </w:lvl>
    <w:lvl w:ilvl="2" w:tplc="669268E0">
      <w:start w:val="1"/>
      <w:numFmt w:val="bullet"/>
      <w:lvlText w:val=""/>
      <w:lvlJc w:val="left"/>
      <w:pPr>
        <w:ind w:left="2160" w:hanging="360"/>
      </w:pPr>
      <w:rPr>
        <w:rFonts w:ascii="Wingdings" w:hAnsi="Wingdings" w:hint="default"/>
      </w:rPr>
    </w:lvl>
    <w:lvl w:ilvl="3" w:tplc="DA72C43E">
      <w:start w:val="1"/>
      <w:numFmt w:val="bullet"/>
      <w:lvlText w:val=""/>
      <w:lvlJc w:val="left"/>
      <w:pPr>
        <w:ind w:left="2880" w:hanging="360"/>
      </w:pPr>
      <w:rPr>
        <w:rFonts w:ascii="Symbol" w:hAnsi="Symbol" w:hint="default"/>
      </w:rPr>
    </w:lvl>
    <w:lvl w:ilvl="4" w:tplc="F76A5DB8">
      <w:start w:val="1"/>
      <w:numFmt w:val="bullet"/>
      <w:lvlText w:val="o"/>
      <w:lvlJc w:val="left"/>
      <w:pPr>
        <w:ind w:left="3600" w:hanging="360"/>
      </w:pPr>
      <w:rPr>
        <w:rFonts w:ascii="Courier New" w:hAnsi="Courier New" w:hint="default"/>
      </w:rPr>
    </w:lvl>
    <w:lvl w:ilvl="5" w:tplc="DC8209F2">
      <w:start w:val="1"/>
      <w:numFmt w:val="bullet"/>
      <w:lvlText w:val=""/>
      <w:lvlJc w:val="left"/>
      <w:pPr>
        <w:ind w:left="4320" w:hanging="360"/>
      </w:pPr>
      <w:rPr>
        <w:rFonts w:ascii="Wingdings" w:hAnsi="Wingdings" w:hint="default"/>
      </w:rPr>
    </w:lvl>
    <w:lvl w:ilvl="6" w:tplc="FA16E598">
      <w:start w:val="1"/>
      <w:numFmt w:val="bullet"/>
      <w:lvlText w:val=""/>
      <w:lvlJc w:val="left"/>
      <w:pPr>
        <w:ind w:left="5040" w:hanging="360"/>
      </w:pPr>
      <w:rPr>
        <w:rFonts w:ascii="Symbol" w:hAnsi="Symbol" w:hint="default"/>
      </w:rPr>
    </w:lvl>
    <w:lvl w:ilvl="7" w:tplc="81DEC4DA">
      <w:start w:val="1"/>
      <w:numFmt w:val="bullet"/>
      <w:lvlText w:val="o"/>
      <w:lvlJc w:val="left"/>
      <w:pPr>
        <w:ind w:left="5760" w:hanging="360"/>
      </w:pPr>
      <w:rPr>
        <w:rFonts w:ascii="Courier New" w:hAnsi="Courier New" w:hint="default"/>
      </w:rPr>
    </w:lvl>
    <w:lvl w:ilvl="8" w:tplc="57A6DF18">
      <w:start w:val="1"/>
      <w:numFmt w:val="bullet"/>
      <w:lvlText w:val=""/>
      <w:lvlJc w:val="left"/>
      <w:pPr>
        <w:ind w:left="6480" w:hanging="360"/>
      </w:pPr>
      <w:rPr>
        <w:rFonts w:ascii="Wingdings" w:hAnsi="Wingdings" w:hint="default"/>
      </w:rPr>
    </w:lvl>
  </w:abstractNum>
  <w:abstractNum w:abstractNumId="227" w15:restartNumberingAfterBreak="0">
    <w:nsid w:val="7BE95C91"/>
    <w:multiLevelType w:val="hybridMultilevel"/>
    <w:tmpl w:val="EEBE78CC"/>
    <w:lvl w:ilvl="0" w:tplc="9112CD98">
      <w:start w:val="1"/>
      <w:numFmt w:val="bullet"/>
      <w:lvlText w:val="·"/>
      <w:lvlJc w:val="left"/>
      <w:pPr>
        <w:ind w:left="720" w:hanging="360"/>
      </w:pPr>
      <w:rPr>
        <w:rFonts w:ascii="Symbol" w:hAnsi="Symbol" w:hint="default"/>
      </w:rPr>
    </w:lvl>
    <w:lvl w:ilvl="1" w:tplc="E7CE7B2C">
      <w:start w:val="1"/>
      <w:numFmt w:val="bullet"/>
      <w:lvlText w:val="o"/>
      <w:lvlJc w:val="left"/>
      <w:pPr>
        <w:ind w:left="1440" w:hanging="360"/>
      </w:pPr>
      <w:rPr>
        <w:rFonts w:ascii="Courier New" w:hAnsi="Courier New" w:hint="default"/>
      </w:rPr>
    </w:lvl>
    <w:lvl w:ilvl="2" w:tplc="DF7AEEB0">
      <w:start w:val="1"/>
      <w:numFmt w:val="bullet"/>
      <w:lvlText w:val=""/>
      <w:lvlJc w:val="left"/>
      <w:pPr>
        <w:ind w:left="2160" w:hanging="360"/>
      </w:pPr>
      <w:rPr>
        <w:rFonts w:ascii="Wingdings" w:hAnsi="Wingdings" w:hint="default"/>
      </w:rPr>
    </w:lvl>
    <w:lvl w:ilvl="3" w:tplc="567079B8">
      <w:start w:val="1"/>
      <w:numFmt w:val="bullet"/>
      <w:lvlText w:val=""/>
      <w:lvlJc w:val="left"/>
      <w:pPr>
        <w:ind w:left="2880" w:hanging="360"/>
      </w:pPr>
      <w:rPr>
        <w:rFonts w:ascii="Symbol" w:hAnsi="Symbol" w:hint="default"/>
      </w:rPr>
    </w:lvl>
    <w:lvl w:ilvl="4" w:tplc="117E7A42">
      <w:start w:val="1"/>
      <w:numFmt w:val="bullet"/>
      <w:lvlText w:val="o"/>
      <w:lvlJc w:val="left"/>
      <w:pPr>
        <w:ind w:left="3600" w:hanging="360"/>
      </w:pPr>
      <w:rPr>
        <w:rFonts w:ascii="Courier New" w:hAnsi="Courier New" w:hint="default"/>
      </w:rPr>
    </w:lvl>
    <w:lvl w:ilvl="5" w:tplc="CB6EE380">
      <w:start w:val="1"/>
      <w:numFmt w:val="bullet"/>
      <w:lvlText w:val=""/>
      <w:lvlJc w:val="left"/>
      <w:pPr>
        <w:ind w:left="4320" w:hanging="360"/>
      </w:pPr>
      <w:rPr>
        <w:rFonts w:ascii="Wingdings" w:hAnsi="Wingdings" w:hint="default"/>
      </w:rPr>
    </w:lvl>
    <w:lvl w:ilvl="6" w:tplc="59767F2C">
      <w:start w:val="1"/>
      <w:numFmt w:val="bullet"/>
      <w:lvlText w:val=""/>
      <w:lvlJc w:val="left"/>
      <w:pPr>
        <w:ind w:left="5040" w:hanging="360"/>
      </w:pPr>
      <w:rPr>
        <w:rFonts w:ascii="Symbol" w:hAnsi="Symbol" w:hint="default"/>
      </w:rPr>
    </w:lvl>
    <w:lvl w:ilvl="7" w:tplc="5C42EC84">
      <w:start w:val="1"/>
      <w:numFmt w:val="bullet"/>
      <w:lvlText w:val="o"/>
      <w:lvlJc w:val="left"/>
      <w:pPr>
        <w:ind w:left="5760" w:hanging="360"/>
      </w:pPr>
      <w:rPr>
        <w:rFonts w:ascii="Courier New" w:hAnsi="Courier New" w:hint="default"/>
      </w:rPr>
    </w:lvl>
    <w:lvl w:ilvl="8" w:tplc="3EBE8B9C">
      <w:start w:val="1"/>
      <w:numFmt w:val="bullet"/>
      <w:lvlText w:val=""/>
      <w:lvlJc w:val="left"/>
      <w:pPr>
        <w:ind w:left="6480" w:hanging="360"/>
      </w:pPr>
      <w:rPr>
        <w:rFonts w:ascii="Wingdings" w:hAnsi="Wingdings" w:hint="default"/>
      </w:rPr>
    </w:lvl>
  </w:abstractNum>
  <w:abstractNum w:abstractNumId="228" w15:restartNumberingAfterBreak="0">
    <w:nsid w:val="7C257D43"/>
    <w:multiLevelType w:val="hybridMultilevel"/>
    <w:tmpl w:val="5C8A7378"/>
    <w:lvl w:ilvl="0" w:tplc="FFFFFFFF">
      <w:start w:val="1"/>
      <w:numFmt w:val="lowerLetter"/>
      <w:lvlText w:val="%1)"/>
      <w:lvlJc w:val="left"/>
      <w:pPr>
        <w:ind w:left="445" w:hanging="360"/>
      </w:p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229" w15:restartNumberingAfterBreak="0">
    <w:nsid w:val="7F6C167D"/>
    <w:multiLevelType w:val="hybridMultilevel"/>
    <w:tmpl w:val="FD787130"/>
    <w:lvl w:ilvl="0" w:tplc="A9EA0F4C">
      <w:start w:val="1"/>
      <w:numFmt w:val="bullet"/>
      <w:lvlText w:val="·"/>
      <w:lvlJc w:val="left"/>
      <w:pPr>
        <w:ind w:left="720" w:hanging="360"/>
      </w:pPr>
      <w:rPr>
        <w:rFonts w:ascii="Symbol" w:hAnsi="Symbol" w:hint="default"/>
      </w:rPr>
    </w:lvl>
    <w:lvl w:ilvl="1" w:tplc="50567486">
      <w:start w:val="1"/>
      <w:numFmt w:val="bullet"/>
      <w:lvlText w:val="o"/>
      <w:lvlJc w:val="left"/>
      <w:pPr>
        <w:ind w:left="1440" w:hanging="360"/>
      </w:pPr>
      <w:rPr>
        <w:rFonts w:ascii="Courier New" w:hAnsi="Courier New" w:hint="default"/>
      </w:rPr>
    </w:lvl>
    <w:lvl w:ilvl="2" w:tplc="B8205350">
      <w:start w:val="1"/>
      <w:numFmt w:val="bullet"/>
      <w:lvlText w:val=""/>
      <w:lvlJc w:val="left"/>
      <w:pPr>
        <w:ind w:left="2160" w:hanging="360"/>
      </w:pPr>
      <w:rPr>
        <w:rFonts w:ascii="Wingdings" w:hAnsi="Wingdings" w:hint="default"/>
      </w:rPr>
    </w:lvl>
    <w:lvl w:ilvl="3" w:tplc="B8CC0EFA">
      <w:start w:val="1"/>
      <w:numFmt w:val="bullet"/>
      <w:lvlText w:val=""/>
      <w:lvlJc w:val="left"/>
      <w:pPr>
        <w:ind w:left="2880" w:hanging="360"/>
      </w:pPr>
      <w:rPr>
        <w:rFonts w:ascii="Symbol" w:hAnsi="Symbol" w:hint="default"/>
      </w:rPr>
    </w:lvl>
    <w:lvl w:ilvl="4" w:tplc="073008D4">
      <w:start w:val="1"/>
      <w:numFmt w:val="bullet"/>
      <w:lvlText w:val="o"/>
      <w:lvlJc w:val="left"/>
      <w:pPr>
        <w:ind w:left="3600" w:hanging="360"/>
      </w:pPr>
      <w:rPr>
        <w:rFonts w:ascii="Courier New" w:hAnsi="Courier New" w:hint="default"/>
      </w:rPr>
    </w:lvl>
    <w:lvl w:ilvl="5" w:tplc="256C21A4">
      <w:start w:val="1"/>
      <w:numFmt w:val="bullet"/>
      <w:lvlText w:val=""/>
      <w:lvlJc w:val="left"/>
      <w:pPr>
        <w:ind w:left="4320" w:hanging="360"/>
      </w:pPr>
      <w:rPr>
        <w:rFonts w:ascii="Wingdings" w:hAnsi="Wingdings" w:hint="default"/>
      </w:rPr>
    </w:lvl>
    <w:lvl w:ilvl="6" w:tplc="F8463EDC">
      <w:start w:val="1"/>
      <w:numFmt w:val="bullet"/>
      <w:lvlText w:val=""/>
      <w:lvlJc w:val="left"/>
      <w:pPr>
        <w:ind w:left="5040" w:hanging="360"/>
      </w:pPr>
      <w:rPr>
        <w:rFonts w:ascii="Symbol" w:hAnsi="Symbol" w:hint="default"/>
      </w:rPr>
    </w:lvl>
    <w:lvl w:ilvl="7" w:tplc="D2B87EBA">
      <w:start w:val="1"/>
      <w:numFmt w:val="bullet"/>
      <w:lvlText w:val="o"/>
      <w:lvlJc w:val="left"/>
      <w:pPr>
        <w:ind w:left="5760" w:hanging="360"/>
      </w:pPr>
      <w:rPr>
        <w:rFonts w:ascii="Courier New" w:hAnsi="Courier New" w:hint="default"/>
      </w:rPr>
    </w:lvl>
    <w:lvl w:ilvl="8" w:tplc="3BC43D70">
      <w:start w:val="1"/>
      <w:numFmt w:val="bullet"/>
      <w:lvlText w:val=""/>
      <w:lvlJc w:val="left"/>
      <w:pPr>
        <w:ind w:left="6480" w:hanging="360"/>
      </w:pPr>
      <w:rPr>
        <w:rFonts w:ascii="Wingdings" w:hAnsi="Wingdings" w:hint="default"/>
      </w:rPr>
    </w:lvl>
  </w:abstractNum>
  <w:abstractNum w:abstractNumId="230" w15:restartNumberingAfterBreak="0">
    <w:nsid w:val="7F8D17A9"/>
    <w:multiLevelType w:val="hybridMultilevel"/>
    <w:tmpl w:val="E9A02EF4"/>
    <w:lvl w:ilvl="0" w:tplc="9728763A">
      <w:start w:val="1"/>
      <w:numFmt w:val="decimal"/>
      <w:lvlText w:val="%1."/>
      <w:lvlJc w:val="left"/>
      <w:pPr>
        <w:ind w:left="720" w:hanging="360"/>
      </w:pPr>
    </w:lvl>
    <w:lvl w:ilvl="1" w:tplc="225C9C58">
      <w:start w:val="1"/>
      <w:numFmt w:val="lowerLetter"/>
      <w:lvlText w:val="%2."/>
      <w:lvlJc w:val="left"/>
      <w:pPr>
        <w:ind w:left="1440" w:hanging="360"/>
      </w:pPr>
    </w:lvl>
    <w:lvl w:ilvl="2" w:tplc="46D011E6">
      <w:start w:val="1"/>
      <w:numFmt w:val="lowerRoman"/>
      <w:lvlText w:val="%3."/>
      <w:lvlJc w:val="right"/>
      <w:pPr>
        <w:ind w:left="2160" w:hanging="180"/>
      </w:pPr>
    </w:lvl>
    <w:lvl w:ilvl="3" w:tplc="21E242DC">
      <w:start w:val="1"/>
      <w:numFmt w:val="decimal"/>
      <w:lvlText w:val="%4."/>
      <w:lvlJc w:val="left"/>
      <w:pPr>
        <w:ind w:left="2880" w:hanging="360"/>
      </w:pPr>
    </w:lvl>
    <w:lvl w:ilvl="4" w:tplc="429A8DFA">
      <w:start w:val="1"/>
      <w:numFmt w:val="lowerLetter"/>
      <w:lvlText w:val="%5."/>
      <w:lvlJc w:val="left"/>
      <w:pPr>
        <w:ind w:left="3600" w:hanging="360"/>
      </w:pPr>
    </w:lvl>
    <w:lvl w:ilvl="5" w:tplc="150003FC">
      <w:start w:val="1"/>
      <w:numFmt w:val="lowerRoman"/>
      <w:lvlText w:val="%6."/>
      <w:lvlJc w:val="right"/>
      <w:pPr>
        <w:ind w:left="4320" w:hanging="180"/>
      </w:pPr>
    </w:lvl>
    <w:lvl w:ilvl="6" w:tplc="5DC6F0D2">
      <w:start w:val="1"/>
      <w:numFmt w:val="decimal"/>
      <w:lvlText w:val="%7."/>
      <w:lvlJc w:val="left"/>
      <w:pPr>
        <w:ind w:left="5040" w:hanging="360"/>
      </w:pPr>
    </w:lvl>
    <w:lvl w:ilvl="7" w:tplc="2C6C74FC">
      <w:start w:val="1"/>
      <w:numFmt w:val="lowerLetter"/>
      <w:lvlText w:val="%8."/>
      <w:lvlJc w:val="left"/>
      <w:pPr>
        <w:ind w:left="5760" w:hanging="360"/>
      </w:pPr>
    </w:lvl>
    <w:lvl w:ilvl="8" w:tplc="81BA3E1A">
      <w:start w:val="1"/>
      <w:numFmt w:val="lowerRoman"/>
      <w:lvlText w:val="%9."/>
      <w:lvlJc w:val="right"/>
      <w:pPr>
        <w:ind w:left="6480" w:hanging="180"/>
      </w:pPr>
    </w:lvl>
  </w:abstractNum>
  <w:abstractNum w:abstractNumId="231" w15:restartNumberingAfterBreak="0">
    <w:nsid w:val="7FC8025A"/>
    <w:multiLevelType w:val="hybridMultilevel"/>
    <w:tmpl w:val="B372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985600">
    <w:abstractNumId w:val="4"/>
  </w:num>
  <w:num w:numId="2" w16cid:durableId="527183814">
    <w:abstractNumId w:val="47"/>
  </w:num>
  <w:num w:numId="3" w16cid:durableId="1176921029">
    <w:abstractNumId w:val="148"/>
  </w:num>
  <w:num w:numId="4" w16cid:durableId="366102755">
    <w:abstractNumId w:val="227"/>
  </w:num>
  <w:num w:numId="5" w16cid:durableId="1847790544">
    <w:abstractNumId w:val="83"/>
  </w:num>
  <w:num w:numId="6" w16cid:durableId="1877808404">
    <w:abstractNumId w:val="139"/>
  </w:num>
  <w:num w:numId="7" w16cid:durableId="1912109604">
    <w:abstractNumId w:val="226"/>
  </w:num>
  <w:num w:numId="8" w16cid:durableId="2146923796">
    <w:abstractNumId w:val="63"/>
  </w:num>
  <w:num w:numId="9" w16cid:durableId="708603050">
    <w:abstractNumId w:val="100"/>
  </w:num>
  <w:num w:numId="10" w16cid:durableId="1213611544">
    <w:abstractNumId w:val="37"/>
  </w:num>
  <w:num w:numId="11" w16cid:durableId="1552838689">
    <w:abstractNumId w:val="111"/>
  </w:num>
  <w:num w:numId="12" w16cid:durableId="645168093">
    <w:abstractNumId w:val="230"/>
  </w:num>
  <w:num w:numId="13" w16cid:durableId="256014536">
    <w:abstractNumId w:val="224"/>
  </w:num>
  <w:num w:numId="14" w16cid:durableId="2076660622">
    <w:abstractNumId w:val="95"/>
  </w:num>
  <w:num w:numId="15" w16cid:durableId="289938605">
    <w:abstractNumId w:val="174"/>
  </w:num>
  <w:num w:numId="16" w16cid:durableId="1936287175">
    <w:abstractNumId w:val="205"/>
  </w:num>
  <w:num w:numId="17" w16cid:durableId="1788112967">
    <w:abstractNumId w:val="56"/>
  </w:num>
  <w:num w:numId="18" w16cid:durableId="84351531">
    <w:abstractNumId w:val="187"/>
  </w:num>
  <w:num w:numId="19" w16cid:durableId="253317903">
    <w:abstractNumId w:val="127"/>
  </w:num>
  <w:num w:numId="20" w16cid:durableId="277218497">
    <w:abstractNumId w:val="38"/>
  </w:num>
  <w:num w:numId="21" w16cid:durableId="1887376714">
    <w:abstractNumId w:val="229"/>
  </w:num>
  <w:num w:numId="22" w16cid:durableId="401222900">
    <w:abstractNumId w:val="101"/>
  </w:num>
  <w:num w:numId="23" w16cid:durableId="468590720">
    <w:abstractNumId w:val="13"/>
  </w:num>
  <w:num w:numId="24" w16cid:durableId="1926568356">
    <w:abstractNumId w:val="97"/>
  </w:num>
  <w:num w:numId="25" w16cid:durableId="329334524">
    <w:abstractNumId w:val="15"/>
  </w:num>
  <w:num w:numId="26" w16cid:durableId="1853107545">
    <w:abstractNumId w:val="176"/>
  </w:num>
  <w:num w:numId="27" w16cid:durableId="1118640088">
    <w:abstractNumId w:val="208"/>
  </w:num>
  <w:num w:numId="28" w16cid:durableId="972979768">
    <w:abstractNumId w:val="210"/>
  </w:num>
  <w:num w:numId="29" w16cid:durableId="205682563">
    <w:abstractNumId w:val="203"/>
  </w:num>
  <w:num w:numId="30" w16cid:durableId="1010182092">
    <w:abstractNumId w:val="75"/>
  </w:num>
  <w:num w:numId="31" w16cid:durableId="149029496">
    <w:abstractNumId w:val="54"/>
  </w:num>
  <w:num w:numId="32" w16cid:durableId="744305848">
    <w:abstractNumId w:val="153"/>
  </w:num>
  <w:num w:numId="33" w16cid:durableId="1888567417">
    <w:abstractNumId w:val="116"/>
  </w:num>
  <w:num w:numId="34" w16cid:durableId="1052117220">
    <w:abstractNumId w:val="24"/>
  </w:num>
  <w:num w:numId="35" w16cid:durableId="707410361">
    <w:abstractNumId w:val="93"/>
  </w:num>
  <w:num w:numId="36" w16cid:durableId="144979335">
    <w:abstractNumId w:val="160"/>
  </w:num>
  <w:num w:numId="37" w16cid:durableId="678703454">
    <w:abstractNumId w:val="36"/>
  </w:num>
  <w:num w:numId="38" w16cid:durableId="805317060">
    <w:abstractNumId w:val="42"/>
  </w:num>
  <w:num w:numId="39" w16cid:durableId="117651569">
    <w:abstractNumId w:val="64"/>
  </w:num>
  <w:num w:numId="40" w16cid:durableId="202249377">
    <w:abstractNumId w:val="173"/>
  </w:num>
  <w:num w:numId="41" w16cid:durableId="818965037">
    <w:abstractNumId w:val="135"/>
  </w:num>
  <w:num w:numId="42" w16cid:durableId="1828856784">
    <w:abstractNumId w:val="29"/>
  </w:num>
  <w:num w:numId="43" w16cid:durableId="835001156">
    <w:abstractNumId w:val="133"/>
  </w:num>
  <w:num w:numId="44" w16cid:durableId="1312055482">
    <w:abstractNumId w:val="11"/>
  </w:num>
  <w:num w:numId="45" w16cid:durableId="403188701">
    <w:abstractNumId w:val="92"/>
  </w:num>
  <w:num w:numId="46" w16cid:durableId="1549105683">
    <w:abstractNumId w:val="112"/>
  </w:num>
  <w:num w:numId="47" w16cid:durableId="767892507">
    <w:abstractNumId w:val="212"/>
  </w:num>
  <w:num w:numId="48" w16cid:durableId="87462">
    <w:abstractNumId w:val="3"/>
  </w:num>
  <w:num w:numId="49" w16cid:durableId="2045594300">
    <w:abstractNumId w:val="198"/>
  </w:num>
  <w:num w:numId="50" w16cid:durableId="1370227096">
    <w:abstractNumId w:val="0"/>
  </w:num>
  <w:num w:numId="51" w16cid:durableId="1647659091">
    <w:abstractNumId w:val="87"/>
  </w:num>
  <w:num w:numId="52" w16cid:durableId="1164472401">
    <w:abstractNumId w:val="52"/>
  </w:num>
  <w:num w:numId="53" w16cid:durableId="761488709">
    <w:abstractNumId w:val="59"/>
  </w:num>
  <w:num w:numId="54" w16cid:durableId="497693710">
    <w:abstractNumId w:val="209"/>
  </w:num>
  <w:num w:numId="55" w16cid:durableId="64689614">
    <w:abstractNumId w:val="106"/>
  </w:num>
  <w:num w:numId="56" w16cid:durableId="592478094">
    <w:abstractNumId w:val="202"/>
  </w:num>
  <w:num w:numId="57" w16cid:durableId="1352609795">
    <w:abstractNumId w:val="198"/>
  </w:num>
  <w:num w:numId="58" w16cid:durableId="1072581428">
    <w:abstractNumId w:val="198"/>
  </w:num>
  <w:num w:numId="59" w16cid:durableId="1358234269">
    <w:abstractNumId w:val="44"/>
  </w:num>
  <w:num w:numId="60" w16cid:durableId="781537126">
    <w:abstractNumId w:val="188"/>
  </w:num>
  <w:num w:numId="61" w16cid:durableId="784151408">
    <w:abstractNumId w:val="81"/>
  </w:num>
  <w:num w:numId="62" w16cid:durableId="801340820">
    <w:abstractNumId w:val="164"/>
  </w:num>
  <w:num w:numId="63" w16cid:durableId="1563255870">
    <w:abstractNumId w:val="35"/>
  </w:num>
  <w:num w:numId="64" w16cid:durableId="1396779229">
    <w:abstractNumId w:val="143"/>
  </w:num>
  <w:num w:numId="65" w16cid:durableId="1235823542">
    <w:abstractNumId w:val="172"/>
  </w:num>
  <w:num w:numId="66" w16cid:durableId="235286886">
    <w:abstractNumId w:val="67"/>
  </w:num>
  <w:num w:numId="67" w16cid:durableId="149686508">
    <w:abstractNumId w:val="228"/>
  </w:num>
  <w:num w:numId="68" w16cid:durableId="1436560144">
    <w:abstractNumId w:val="21"/>
  </w:num>
  <w:num w:numId="69" w16cid:durableId="224266330">
    <w:abstractNumId w:val="140"/>
  </w:num>
  <w:num w:numId="70" w16cid:durableId="1759985851">
    <w:abstractNumId w:val="96"/>
  </w:num>
  <w:num w:numId="71" w16cid:durableId="655305740">
    <w:abstractNumId w:val="138"/>
  </w:num>
  <w:num w:numId="72" w16cid:durableId="1953784815">
    <w:abstractNumId w:val="58"/>
  </w:num>
  <w:num w:numId="73" w16cid:durableId="1063060502">
    <w:abstractNumId w:val="136"/>
  </w:num>
  <w:num w:numId="74" w16cid:durableId="887687055">
    <w:abstractNumId w:val="165"/>
  </w:num>
  <w:num w:numId="75" w16cid:durableId="1328098960">
    <w:abstractNumId w:val="197"/>
  </w:num>
  <w:num w:numId="76" w16cid:durableId="340662204">
    <w:abstractNumId w:val="62"/>
  </w:num>
  <w:num w:numId="77" w16cid:durableId="200751241">
    <w:abstractNumId w:val="128"/>
  </w:num>
  <w:num w:numId="78" w16cid:durableId="1912307058">
    <w:abstractNumId w:val="154"/>
  </w:num>
  <w:num w:numId="79" w16cid:durableId="280771655">
    <w:abstractNumId w:val="45"/>
  </w:num>
  <w:num w:numId="80" w16cid:durableId="600913025">
    <w:abstractNumId w:val="68"/>
  </w:num>
  <w:num w:numId="81" w16cid:durableId="66196267">
    <w:abstractNumId w:val="161"/>
  </w:num>
  <w:num w:numId="82" w16cid:durableId="1252815622">
    <w:abstractNumId w:val="198"/>
  </w:num>
  <w:num w:numId="83" w16cid:durableId="306472255">
    <w:abstractNumId w:val="198"/>
  </w:num>
  <w:num w:numId="84" w16cid:durableId="1815218691">
    <w:abstractNumId w:val="198"/>
  </w:num>
  <w:num w:numId="85" w16cid:durableId="1972401314">
    <w:abstractNumId w:val="198"/>
  </w:num>
  <w:num w:numId="86" w16cid:durableId="524178791">
    <w:abstractNumId w:val="198"/>
  </w:num>
  <w:num w:numId="87" w16cid:durableId="1394809415">
    <w:abstractNumId w:val="198"/>
  </w:num>
  <w:num w:numId="88" w16cid:durableId="75367050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54659514">
    <w:abstractNumId w:val="104"/>
  </w:num>
  <w:num w:numId="90" w16cid:durableId="1586307904">
    <w:abstractNumId w:val="58"/>
  </w:num>
  <w:num w:numId="91" w16cid:durableId="1022121934">
    <w:abstractNumId w:val="198"/>
  </w:num>
  <w:num w:numId="92" w16cid:durableId="164445837">
    <w:abstractNumId w:val="198"/>
  </w:num>
  <w:num w:numId="93" w16cid:durableId="1712150731">
    <w:abstractNumId w:val="58"/>
  </w:num>
  <w:num w:numId="94" w16cid:durableId="1521890392">
    <w:abstractNumId w:val="58"/>
  </w:num>
  <w:num w:numId="95" w16cid:durableId="1666978741">
    <w:abstractNumId w:val="58"/>
  </w:num>
  <w:num w:numId="96" w16cid:durableId="504445378">
    <w:abstractNumId w:val="58"/>
  </w:num>
  <w:num w:numId="97" w16cid:durableId="1401756105">
    <w:abstractNumId w:val="58"/>
  </w:num>
  <w:num w:numId="98" w16cid:durableId="1089352793">
    <w:abstractNumId w:val="58"/>
  </w:num>
  <w:num w:numId="99" w16cid:durableId="512038859">
    <w:abstractNumId w:val="138"/>
  </w:num>
  <w:num w:numId="100" w16cid:durableId="1002976506">
    <w:abstractNumId w:val="58"/>
  </w:num>
  <w:num w:numId="101" w16cid:durableId="1737118690">
    <w:abstractNumId w:val="216"/>
  </w:num>
  <w:num w:numId="102" w16cid:durableId="965963957">
    <w:abstractNumId w:val="79"/>
  </w:num>
  <w:num w:numId="103" w16cid:durableId="1045981385">
    <w:abstractNumId w:val="190"/>
  </w:num>
  <w:num w:numId="104" w16cid:durableId="235239412">
    <w:abstractNumId w:val="207"/>
  </w:num>
  <w:num w:numId="105" w16cid:durableId="27612252">
    <w:abstractNumId w:val="86"/>
  </w:num>
  <w:num w:numId="106" w16cid:durableId="1885869034">
    <w:abstractNumId w:val="17"/>
  </w:num>
  <w:num w:numId="107" w16cid:durableId="437411876">
    <w:abstractNumId w:val="129"/>
  </w:num>
  <w:num w:numId="108" w16cid:durableId="932779888">
    <w:abstractNumId w:val="43"/>
  </w:num>
  <w:num w:numId="109" w16cid:durableId="918908825">
    <w:abstractNumId w:val="194"/>
  </w:num>
  <w:num w:numId="110" w16cid:durableId="1228952286">
    <w:abstractNumId w:val="177"/>
  </w:num>
  <w:num w:numId="111" w16cid:durableId="709190413">
    <w:abstractNumId w:val="48"/>
  </w:num>
  <w:num w:numId="112" w16cid:durableId="1702245047">
    <w:abstractNumId w:val="84"/>
  </w:num>
  <w:num w:numId="113" w16cid:durableId="1720395296">
    <w:abstractNumId w:val="34"/>
  </w:num>
  <w:num w:numId="114" w16cid:durableId="255598172">
    <w:abstractNumId w:val="23"/>
  </w:num>
  <w:num w:numId="115" w16cid:durableId="1856189694">
    <w:abstractNumId w:val="131"/>
  </w:num>
  <w:num w:numId="116" w16cid:durableId="1230920324">
    <w:abstractNumId w:val="25"/>
  </w:num>
  <w:num w:numId="117" w16cid:durableId="1769497626">
    <w:abstractNumId w:val="117"/>
  </w:num>
  <w:num w:numId="118" w16cid:durableId="480923836">
    <w:abstractNumId w:val="73"/>
  </w:num>
  <w:num w:numId="119" w16cid:durableId="1403065333">
    <w:abstractNumId w:val="155"/>
  </w:num>
  <w:num w:numId="120" w16cid:durableId="1856848352">
    <w:abstractNumId w:val="9"/>
  </w:num>
  <w:num w:numId="121" w16cid:durableId="1077825549">
    <w:abstractNumId w:val="215"/>
  </w:num>
  <w:num w:numId="122" w16cid:durableId="754127533">
    <w:abstractNumId w:val="157"/>
  </w:num>
  <w:num w:numId="123" w16cid:durableId="634141794">
    <w:abstractNumId w:val="88"/>
  </w:num>
  <w:num w:numId="124" w16cid:durableId="280458799">
    <w:abstractNumId w:val="20"/>
  </w:num>
  <w:num w:numId="125" w16cid:durableId="1778941127">
    <w:abstractNumId w:val="196"/>
  </w:num>
  <w:num w:numId="126" w16cid:durableId="486750128">
    <w:abstractNumId w:val="150"/>
  </w:num>
  <w:num w:numId="127" w16cid:durableId="2073966515">
    <w:abstractNumId w:val="6"/>
  </w:num>
  <w:num w:numId="128" w16cid:durableId="1942299963">
    <w:abstractNumId w:val="183"/>
  </w:num>
  <w:num w:numId="129" w16cid:durableId="1965842760">
    <w:abstractNumId w:val="94"/>
  </w:num>
  <w:num w:numId="130" w16cid:durableId="1286539998">
    <w:abstractNumId w:val="1"/>
  </w:num>
  <w:num w:numId="131" w16cid:durableId="1847818378">
    <w:abstractNumId w:val="137"/>
  </w:num>
  <w:num w:numId="132" w16cid:durableId="93130671">
    <w:abstractNumId w:val="168"/>
  </w:num>
  <w:num w:numId="133" w16cid:durableId="1810706904">
    <w:abstractNumId w:val="69"/>
  </w:num>
  <w:num w:numId="134" w16cid:durableId="1320308819">
    <w:abstractNumId w:val="74"/>
  </w:num>
  <w:num w:numId="135" w16cid:durableId="1261641079">
    <w:abstractNumId w:val="151"/>
  </w:num>
  <w:num w:numId="136" w16cid:durableId="1700887817">
    <w:abstractNumId w:val="152"/>
  </w:num>
  <w:num w:numId="137" w16cid:durableId="14426047">
    <w:abstractNumId w:val="149"/>
  </w:num>
  <w:num w:numId="138" w16cid:durableId="584920117">
    <w:abstractNumId w:val="2"/>
  </w:num>
  <w:num w:numId="139" w16cid:durableId="2032606189">
    <w:abstractNumId w:val="130"/>
  </w:num>
  <w:num w:numId="140" w16cid:durableId="1257058450">
    <w:abstractNumId w:val="58"/>
  </w:num>
  <w:num w:numId="141" w16cid:durableId="952127267">
    <w:abstractNumId w:val="122"/>
  </w:num>
  <w:num w:numId="142" w16cid:durableId="691996445">
    <w:abstractNumId w:val="58"/>
  </w:num>
  <w:num w:numId="143" w16cid:durableId="1760442225">
    <w:abstractNumId w:val="58"/>
  </w:num>
  <w:num w:numId="144" w16cid:durableId="1903832017">
    <w:abstractNumId w:val="58"/>
  </w:num>
  <w:num w:numId="145" w16cid:durableId="564801983">
    <w:abstractNumId w:val="58"/>
  </w:num>
  <w:num w:numId="146" w16cid:durableId="1844121258">
    <w:abstractNumId w:val="58"/>
  </w:num>
  <w:num w:numId="147" w16cid:durableId="1482310904">
    <w:abstractNumId w:val="58"/>
  </w:num>
  <w:num w:numId="148" w16cid:durableId="757558005">
    <w:abstractNumId w:val="58"/>
  </w:num>
  <w:num w:numId="149" w16cid:durableId="995300664">
    <w:abstractNumId w:val="138"/>
  </w:num>
  <w:num w:numId="150" w16cid:durableId="83499984">
    <w:abstractNumId w:val="138"/>
  </w:num>
  <w:num w:numId="151" w16cid:durableId="1616525727">
    <w:abstractNumId w:val="138"/>
  </w:num>
  <w:num w:numId="152" w16cid:durableId="74016568">
    <w:abstractNumId w:val="58"/>
  </w:num>
  <w:num w:numId="153" w16cid:durableId="390471733">
    <w:abstractNumId w:val="181"/>
  </w:num>
  <w:num w:numId="154" w16cid:durableId="1970817398">
    <w:abstractNumId w:val="219"/>
  </w:num>
  <w:num w:numId="155" w16cid:durableId="1823228135">
    <w:abstractNumId w:val="58"/>
  </w:num>
  <w:num w:numId="156" w16cid:durableId="450588583">
    <w:abstractNumId w:val="58"/>
  </w:num>
  <w:num w:numId="157" w16cid:durableId="1237089920">
    <w:abstractNumId w:val="58"/>
  </w:num>
  <w:num w:numId="158" w16cid:durableId="1138035733">
    <w:abstractNumId w:val="198"/>
  </w:num>
  <w:num w:numId="159" w16cid:durableId="1692684714">
    <w:abstractNumId w:val="58"/>
  </w:num>
  <w:num w:numId="160" w16cid:durableId="1392385747">
    <w:abstractNumId w:val="198"/>
  </w:num>
  <w:num w:numId="161" w16cid:durableId="1796867793">
    <w:abstractNumId w:val="138"/>
  </w:num>
  <w:num w:numId="162" w16cid:durableId="57166585">
    <w:abstractNumId w:val="58"/>
  </w:num>
  <w:num w:numId="163" w16cid:durableId="1527212293">
    <w:abstractNumId w:val="58"/>
  </w:num>
  <w:num w:numId="164" w16cid:durableId="778525876">
    <w:abstractNumId w:val="145"/>
  </w:num>
  <w:num w:numId="165" w16cid:durableId="44569457">
    <w:abstractNumId w:val="40"/>
  </w:num>
  <w:num w:numId="166" w16cid:durableId="132911494">
    <w:abstractNumId w:val="55"/>
  </w:num>
  <w:num w:numId="167" w16cid:durableId="608243112">
    <w:abstractNumId w:val="163"/>
  </w:num>
  <w:num w:numId="168" w16cid:durableId="1370954214">
    <w:abstractNumId w:val="76"/>
  </w:num>
  <w:num w:numId="169" w16cid:durableId="53628031">
    <w:abstractNumId w:val="115"/>
  </w:num>
  <w:num w:numId="170" w16cid:durableId="306907268">
    <w:abstractNumId w:val="211"/>
  </w:num>
  <w:num w:numId="171" w16cid:durableId="1820416327">
    <w:abstractNumId w:val="58"/>
  </w:num>
  <w:num w:numId="172" w16cid:durableId="1412696025">
    <w:abstractNumId w:val="58"/>
  </w:num>
  <w:num w:numId="173" w16cid:durableId="643004259">
    <w:abstractNumId w:val="198"/>
  </w:num>
  <w:num w:numId="174" w16cid:durableId="1220022310">
    <w:abstractNumId w:val="162"/>
  </w:num>
  <w:num w:numId="175" w16cid:durableId="1912503136">
    <w:abstractNumId w:val="27"/>
  </w:num>
  <w:num w:numId="176" w16cid:durableId="812791560">
    <w:abstractNumId w:val="58"/>
  </w:num>
  <w:num w:numId="177" w16cid:durableId="336225810">
    <w:abstractNumId w:val="58"/>
  </w:num>
  <w:num w:numId="178" w16cid:durableId="1421368290">
    <w:abstractNumId w:val="198"/>
  </w:num>
  <w:num w:numId="179" w16cid:durableId="928388474">
    <w:abstractNumId w:val="198"/>
  </w:num>
  <w:num w:numId="180" w16cid:durableId="1365902821">
    <w:abstractNumId w:val="61"/>
  </w:num>
  <w:num w:numId="181" w16cid:durableId="1554345429">
    <w:abstractNumId w:val="18"/>
  </w:num>
  <w:num w:numId="182" w16cid:durableId="1936670609">
    <w:abstractNumId w:val="12"/>
  </w:num>
  <w:num w:numId="183" w16cid:durableId="310141272">
    <w:abstractNumId w:val="16"/>
  </w:num>
  <w:num w:numId="184" w16cid:durableId="36585631">
    <w:abstractNumId w:val="72"/>
  </w:num>
  <w:num w:numId="185" w16cid:durableId="563685124">
    <w:abstractNumId w:val="170"/>
  </w:num>
  <w:num w:numId="186" w16cid:durableId="2108885988">
    <w:abstractNumId w:val="58"/>
  </w:num>
  <w:num w:numId="187" w16cid:durableId="1410885784">
    <w:abstractNumId w:val="206"/>
  </w:num>
  <w:num w:numId="188" w16cid:durableId="1687245458">
    <w:abstractNumId w:val="50"/>
  </w:num>
  <w:num w:numId="189" w16cid:durableId="818839511">
    <w:abstractNumId w:val="201"/>
  </w:num>
  <w:num w:numId="190" w16cid:durableId="1306662340">
    <w:abstractNumId w:val="158"/>
  </w:num>
  <w:num w:numId="191" w16cid:durableId="1763408331">
    <w:abstractNumId w:val="58"/>
  </w:num>
  <w:num w:numId="192" w16cid:durableId="1037462015">
    <w:abstractNumId w:val="70"/>
  </w:num>
  <w:num w:numId="193" w16cid:durableId="931665203">
    <w:abstractNumId w:val="110"/>
  </w:num>
  <w:num w:numId="194" w16cid:durableId="32774021">
    <w:abstractNumId w:val="180"/>
  </w:num>
  <w:num w:numId="195" w16cid:durableId="1331980600">
    <w:abstractNumId w:val="58"/>
  </w:num>
  <w:num w:numId="196" w16cid:durableId="1711613578">
    <w:abstractNumId w:val="58"/>
  </w:num>
  <w:num w:numId="197" w16cid:durableId="626010350">
    <w:abstractNumId w:val="58"/>
  </w:num>
  <w:num w:numId="198" w16cid:durableId="786513058">
    <w:abstractNumId w:val="58"/>
  </w:num>
  <w:num w:numId="199" w16cid:durableId="1887989977">
    <w:abstractNumId w:val="58"/>
  </w:num>
  <w:num w:numId="200" w16cid:durableId="1870528583">
    <w:abstractNumId w:val="220"/>
  </w:num>
  <w:num w:numId="201" w16cid:durableId="615019939">
    <w:abstractNumId w:val="113"/>
  </w:num>
  <w:num w:numId="202" w16cid:durableId="333073689">
    <w:abstractNumId w:val="31"/>
  </w:num>
  <w:num w:numId="203" w16cid:durableId="1609310789">
    <w:abstractNumId w:val="58"/>
  </w:num>
  <w:num w:numId="204" w16cid:durableId="899369615">
    <w:abstractNumId w:val="58"/>
  </w:num>
  <w:num w:numId="205" w16cid:durableId="745417072">
    <w:abstractNumId w:val="58"/>
  </w:num>
  <w:num w:numId="206" w16cid:durableId="657269407">
    <w:abstractNumId w:val="89"/>
  </w:num>
  <w:num w:numId="207" w16cid:durableId="1846246453">
    <w:abstractNumId w:val="14"/>
  </w:num>
  <w:num w:numId="208" w16cid:durableId="802043788">
    <w:abstractNumId w:val="123"/>
  </w:num>
  <w:num w:numId="209" w16cid:durableId="1913924776">
    <w:abstractNumId w:val="142"/>
  </w:num>
  <w:num w:numId="210" w16cid:durableId="1783068803">
    <w:abstractNumId w:val="217"/>
  </w:num>
  <w:num w:numId="211" w16cid:durableId="1431584483">
    <w:abstractNumId w:val="191"/>
  </w:num>
  <w:num w:numId="212" w16cid:durableId="22707032">
    <w:abstractNumId w:val="184"/>
  </w:num>
  <w:num w:numId="213" w16cid:durableId="611322235">
    <w:abstractNumId w:val="156"/>
  </w:num>
  <w:num w:numId="214" w16cid:durableId="1141073981">
    <w:abstractNumId w:val="98"/>
  </w:num>
  <w:num w:numId="215" w16cid:durableId="2110736803">
    <w:abstractNumId w:val="103"/>
  </w:num>
  <w:num w:numId="216" w16cid:durableId="1312516491">
    <w:abstractNumId w:val="103"/>
    <w:lvlOverride w:ilvl="0">
      <w:lvl w:ilvl="0" w:tplc="0809001B">
        <w:start w:val="1"/>
        <w:numFmt w:val="lowerRoman"/>
        <w:lvlText w:val="%1."/>
        <w:lvlJc w:val="right"/>
        <w:pPr>
          <w:ind w:left="180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7" w16cid:durableId="1506751699">
    <w:abstractNumId w:val="5"/>
  </w:num>
  <w:num w:numId="218" w16cid:durableId="233586123">
    <w:abstractNumId w:val="119"/>
  </w:num>
  <w:num w:numId="219" w16cid:durableId="916287734">
    <w:abstractNumId w:val="218"/>
  </w:num>
  <w:num w:numId="220" w16cid:durableId="53551785">
    <w:abstractNumId w:val="19"/>
  </w:num>
  <w:num w:numId="221" w16cid:durableId="595789817">
    <w:abstractNumId w:val="221"/>
  </w:num>
  <w:num w:numId="222" w16cid:durableId="1862275999">
    <w:abstractNumId w:val="223"/>
  </w:num>
  <w:num w:numId="223" w16cid:durableId="42339731">
    <w:abstractNumId w:val="39"/>
  </w:num>
  <w:num w:numId="224" w16cid:durableId="608901995">
    <w:abstractNumId w:val="182"/>
  </w:num>
  <w:num w:numId="225" w16cid:durableId="162933906">
    <w:abstractNumId w:val="65"/>
  </w:num>
  <w:num w:numId="226" w16cid:durableId="2122214931">
    <w:abstractNumId w:val="58"/>
  </w:num>
  <w:num w:numId="227" w16cid:durableId="1038552460">
    <w:abstractNumId w:val="77"/>
  </w:num>
  <w:num w:numId="228" w16cid:durableId="185993983">
    <w:abstractNumId w:val="80"/>
  </w:num>
  <w:num w:numId="229" w16cid:durableId="518082519">
    <w:abstractNumId w:val="109"/>
  </w:num>
  <w:num w:numId="230" w16cid:durableId="972557401">
    <w:abstractNumId w:val="107"/>
  </w:num>
  <w:num w:numId="231" w16cid:durableId="2038385990">
    <w:abstractNumId w:val="82"/>
  </w:num>
  <w:num w:numId="232" w16cid:durableId="1064373314">
    <w:abstractNumId w:val="102"/>
  </w:num>
  <w:num w:numId="233" w16cid:durableId="1110861397">
    <w:abstractNumId w:val="171"/>
  </w:num>
  <w:num w:numId="234" w16cid:durableId="133527564">
    <w:abstractNumId w:val="32"/>
  </w:num>
  <w:num w:numId="235" w16cid:durableId="1757903338">
    <w:abstractNumId w:val="118"/>
  </w:num>
  <w:num w:numId="236" w16cid:durableId="714041211">
    <w:abstractNumId w:val="199"/>
  </w:num>
  <w:num w:numId="237" w16cid:durableId="2009864590">
    <w:abstractNumId w:val="66"/>
  </w:num>
  <w:num w:numId="238" w16cid:durableId="1319967322">
    <w:abstractNumId w:val="146"/>
  </w:num>
  <w:num w:numId="239" w16cid:durableId="1876768559">
    <w:abstractNumId w:val="178"/>
  </w:num>
  <w:num w:numId="240" w16cid:durableId="598757408">
    <w:abstractNumId w:val="22"/>
  </w:num>
  <w:num w:numId="241" w16cid:durableId="979310245">
    <w:abstractNumId w:val="175"/>
  </w:num>
  <w:num w:numId="242" w16cid:durableId="1426070389">
    <w:abstractNumId w:val="91"/>
  </w:num>
  <w:num w:numId="243" w16cid:durableId="1398168769">
    <w:abstractNumId w:val="186"/>
  </w:num>
  <w:num w:numId="244" w16cid:durableId="811606327">
    <w:abstractNumId w:val="192"/>
  </w:num>
  <w:num w:numId="245" w16cid:durableId="353269314">
    <w:abstractNumId w:val="85"/>
  </w:num>
  <w:num w:numId="246" w16cid:durableId="1935627958">
    <w:abstractNumId w:val="121"/>
  </w:num>
  <w:num w:numId="247" w16cid:durableId="1530751473">
    <w:abstractNumId w:val="78"/>
  </w:num>
  <w:num w:numId="248" w16cid:durableId="1642150198">
    <w:abstractNumId w:val="167"/>
  </w:num>
  <w:num w:numId="249" w16cid:durableId="2146581200">
    <w:abstractNumId w:val="166"/>
  </w:num>
  <w:num w:numId="250" w16cid:durableId="215745799">
    <w:abstractNumId w:val="144"/>
  </w:num>
  <w:num w:numId="251" w16cid:durableId="1144587840">
    <w:abstractNumId w:val="33"/>
  </w:num>
  <w:num w:numId="252" w16cid:durableId="1922831250">
    <w:abstractNumId w:val="92"/>
  </w:num>
  <w:num w:numId="253" w16cid:durableId="2064525055">
    <w:abstractNumId w:val="92"/>
  </w:num>
  <w:num w:numId="254" w16cid:durableId="652561952">
    <w:abstractNumId w:val="92"/>
  </w:num>
  <w:num w:numId="255" w16cid:durableId="1510951242">
    <w:abstractNumId w:val="132"/>
  </w:num>
  <w:num w:numId="256" w16cid:durableId="1201895172">
    <w:abstractNumId w:val="179"/>
  </w:num>
  <w:num w:numId="257" w16cid:durableId="109864429">
    <w:abstractNumId w:val="169"/>
  </w:num>
  <w:num w:numId="258" w16cid:durableId="1309939234">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59" w16cid:durableId="502473448">
    <w:abstractNumId w:val="198"/>
    <w:lvlOverride w:ilvl="0">
      <w:startOverride w:val="2"/>
    </w:lvlOverride>
    <w:lvlOverride w:ilvl="1">
      <w:startOverride w:val="17"/>
    </w:lvlOverride>
    <w:lvlOverride w:ilvl="2">
      <w:startOverride w:val="2"/>
    </w:lvlOverride>
    <w:lvlOverride w:ilvl="3">
      <w:startOverride w:val="1"/>
    </w:lvlOverride>
    <w:lvlOverride w:ilvl="4">
      <w:startOverride w:val="43"/>
    </w:lvlOverride>
    <w:lvlOverride w:ilvl="5">
      <w:startOverride w:val="1"/>
    </w:lvlOverride>
    <w:lvlOverride w:ilvl="6">
      <w:startOverride w:val="1"/>
    </w:lvlOverride>
    <w:lvlOverride w:ilvl="7">
      <w:startOverride w:val="1"/>
    </w:lvlOverride>
    <w:lvlOverride w:ilvl="8">
      <w:startOverride w:val="1"/>
    </w:lvlOverride>
  </w:num>
  <w:num w:numId="260" w16cid:durableId="1679846067">
    <w:abstractNumId w:val="198"/>
  </w:num>
  <w:num w:numId="261" w16cid:durableId="160638046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59004348">
    <w:abstractNumId w:val="225"/>
  </w:num>
  <w:num w:numId="263" w16cid:durableId="298649542">
    <w:abstractNumId w:val="28"/>
  </w:num>
  <w:num w:numId="264" w16cid:durableId="1995836472">
    <w:abstractNumId w:val="46"/>
  </w:num>
  <w:num w:numId="265" w16cid:durableId="418798377">
    <w:abstractNumId w:val="26"/>
  </w:num>
  <w:num w:numId="266" w16cid:durableId="174926766">
    <w:abstractNumId w:val="90"/>
  </w:num>
  <w:num w:numId="267" w16cid:durableId="954945208">
    <w:abstractNumId w:val="124"/>
  </w:num>
  <w:num w:numId="268" w16cid:durableId="888614222">
    <w:abstractNumId w:val="10"/>
  </w:num>
  <w:num w:numId="269" w16cid:durableId="1366440764">
    <w:abstractNumId w:val="30"/>
  </w:num>
  <w:num w:numId="270" w16cid:durableId="512961180">
    <w:abstractNumId w:val="7"/>
  </w:num>
  <w:num w:numId="271" w16cid:durableId="591281226">
    <w:abstractNumId w:val="141"/>
  </w:num>
  <w:num w:numId="272" w16cid:durableId="848713473">
    <w:abstractNumId w:val="159"/>
  </w:num>
  <w:num w:numId="273" w16cid:durableId="499660560">
    <w:abstractNumId w:val="214"/>
  </w:num>
  <w:num w:numId="274" w16cid:durableId="1930578262">
    <w:abstractNumId w:val="49"/>
  </w:num>
  <w:num w:numId="275" w16cid:durableId="894269104">
    <w:abstractNumId w:val="147"/>
  </w:num>
  <w:num w:numId="276" w16cid:durableId="1284577574">
    <w:abstractNumId w:val="125"/>
  </w:num>
  <w:num w:numId="277" w16cid:durableId="589656717">
    <w:abstractNumId w:val="231"/>
  </w:num>
  <w:num w:numId="278" w16cid:durableId="616373926">
    <w:abstractNumId w:val="51"/>
  </w:num>
  <w:num w:numId="279" w16cid:durableId="436829786">
    <w:abstractNumId w:val="193"/>
  </w:num>
  <w:num w:numId="280" w16cid:durableId="987976900">
    <w:abstractNumId w:val="41"/>
  </w:num>
  <w:num w:numId="281" w16cid:durableId="488133779">
    <w:abstractNumId w:val="8"/>
  </w:num>
  <w:num w:numId="282" w16cid:durableId="540676342">
    <w:abstractNumId w:val="222"/>
  </w:num>
  <w:num w:numId="283" w16cid:durableId="1813522530">
    <w:abstractNumId w:val="213"/>
  </w:num>
  <w:num w:numId="284" w16cid:durableId="1195339387">
    <w:abstractNumId w:val="105"/>
  </w:num>
  <w:num w:numId="285" w16cid:durableId="690423601">
    <w:abstractNumId w:val="53"/>
  </w:num>
  <w:num w:numId="286" w16cid:durableId="2027827043">
    <w:abstractNumId w:val="57"/>
  </w:num>
  <w:num w:numId="287" w16cid:durableId="566575354">
    <w:abstractNumId w:val="120"/>
  </w:num>
  <w:num w:numId="288" w16cid:durableId="1383408846">
    <w:abstractNumId w:val="114"/>
  </w:num>
  <w:num w:numId="289" w16cid:durableId="411659411">
    <w:abstractNumId w:val="108"/>
  </w:num>
  <w:num w:numId="290" w16cid:durableId="1957977638">
    <w:abstractNumId w:val="60"/>
  </w:num>
  <w:num w:numId="291" w16cid:durableId="1751386735">
    <w:abstractNumId w:val="134"/>
  </w:num>
  <w:num w:numId="292" w16cid:durableId="1396663314">
    <w:abstractNumId w:val="200"/>
  </w:num>
  <w:num w:numId="293" w16cid:durableId="252319778">
    <w:abstractNumId w:val="185"/>
  </w:num>
  <w:num w:numId="294" w16cid:durableId="1437795604">
    <w:abstractNumId w:val="189"/>
  </w:num>
  <w:num w:numId="295" w16cid:durableId="679085209">
    <w:abstractNumId w:val="71"/>
  </w:num>
  <w:num w:numId="296" w16cid:durableId="2112118546">
    <w:abstractNumId w:val="204"/>
  </w:num>
  <w:num w:numId="297" w16cid:durableId="2036809290">
    <w:abstractNumId w:val="99"/>
  </w:num>
  <w:num w:numId="298" w16cid:durableId="1135216362">
    <w:abstractNumId w:val="195"/>
  </w:num>
  <w:num w:numId="299" w16cid:durableId="1685211058">
    <w:abstractNumId w:val="126"/>
  </w:num>
  <w:num w:numId="300" w16cid:durableId="789476050">
    <w:abstractNumId w:val="150"/>
    <w:lvlOverride w:ilvl="0"/>
    <w:lvlOverride w:ilvl="1">
      <w:startOverride w:val="1"/>
    </w:lvlOverride>
    <w:lvlOverride w:ilvl="2"/>
    <w:lvlOverride w:ilvl="3"/>
    <w:lvlOverride w:ilvl="4"/>
    <w:lvlOverride w:ilvl="5"/>
    <w:lvlOverride w:ilvl="6"/>
    <w:lvlOverride w:ilvl="7"/>
    <w:lvlOverride w:ilvl="8"/>
  </w:num>
  <w:num w:numId="301" w16cid:durableId="906502484">
    <w:abstractNumId w:val="9"/>
    <w:lvlOverride w:ilvl="0"/>
    <w:lvlOverride w:ilvl="1">
      <w:startOverride w:val="1"/>
    </w:lvlOverride>
    <w:lvlOverride w:ilvl="2"/>
    <w:lvlOverride w:ilvl="3"/>
    <w:lvlOverride w:ilvl="4"/>
    <w:lvlOverride w:ilvl="5"/>
    <w:lvlOverride w:ilvl="6"/>
    <w:lvlOverride w:ilvl="7"/>
    <w:lvlOverride w:ilvl="8"/>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FF75025F"/>
  </w:docVars>
  <w:rsids>
    <w:rsidRoot w:val="00CC0A94"/>
    <w:rsid w:val="00002E32"/>
    <w:rsid w:val="00012EF3"/>
    <w:rsid w:val="0003338C"/>
    <w:rsid w:val="00052532"/>
    <w:rsid w:val="0007729C"/>
    <w:rsid w:val="00081A0B"/>
    <w:rsid w:val="00086C16"/>
    <w:rsid w:val="00095408"/>
    <w:rsid w:val="00096E2F"/>
    <w:rsid w:val="000B3ECD"/>
    <w:rsid w:val="000B45B0"/>
    <w:rsid w:val="000C0E67"/>
    <w:rsid w:val="000C51EB"/>
    <w:rsid w:val="000D2CC5"/>
    <w:rsid w:val="000E083F"/>
    <w:rsid w:val="000E50C4"/>
    <w:rsid w:val="00124735"/>
    <w:rsid w:val="001310BC"/>
    <w:rsid w:val="00151BE4"/>
    <w:rsid w:val="0016454D"/>
    <w:rsid w:val="00164AB4"/>
    <w:rsid w:val="001767FA"/>
    <w:rsid w:val="00181496"/>
    <w:rsid w:val="00191356"/>
    <w:rsid w:val="001B0D4C"/>
    <w:rsid w:val="001B542E"/>
    <w:rsid w:val="001D45AF"/>
    <w:rsid w:val="001E11D9"/>
    <w:rsid w:val="001F0302"/>
    <w:rsid w:val="00200EED"/>
    <w:rsid w:val="00202CEF"/>
    <w:rsid w:val="00202F1E"/>
    <w:rsid w:val="00204A18"/>
    <w:rsid w:val="00231332"/>
    <w:rsid w:val="00235437"/>
    <w:rsid w:val="00235542"/>
    <w:rsid w:val="002415F5"/>
    <w:rsid w:val="002421B0"/>
    <w:rsid w:val="00247EF6"/>
    <w:rsid w:val="002519F3"/>
    <w:rsid w:val="00283DC8"/>
    <w:rsid w:val="002857B4"/>
    <w:rsid w:val="00295C4A"/>
    <w:rsid w:val="002A1DEF"/>
    <w:rsid w:val="002B3A04"/>
    <w:rsid w:val="002B58C1"/>
    <w:rsid w:val="002C351F"/>
    <w:rsid w:val="002C5CD1"/>
    <w:rsid w:val="002D6061"/>
    <w:rsid w:val="002F61BB"/>
    <w:rsid w:val="00304D62"/>
    <w:rsid w:val="0032366B"/>
    <w:rsid w:val="003243B2"/>
    <w:rsid w:val="0032589B"/>
    <w:rsid w:val="0036700A"/>
    <w:rsid w:val="00376C55"/>
    <w:rsid w:val="003932C1"/>
    <w:rsid w:val="00393D7F"/>
    <w:rsid w:val="003A172A"/>
    <w:rsid w:val="003E102B"/>
    <w:rsid w:val="003E4C28"/>
    <w:rsid w:val="003F79E6"/>
    <w:rsid w:val="00417791"/>
    <w:rsid w:val="00425EF9"/>
    <w:rsid w:val="00434529"/>
    <w:rsid w:val="0046145A"/>
    <w:rsid w:val="00474B54"/>
    <w:rsid w:val="00475F09"/>
    <w:rsid w:val="00483AA9"/>
    <w:rsid w:val="004949AC"/>
    <w:rsid w:val="00496767"/>
    <w:rsid w:val="004B5F95"/>
    <w:rsid w:val="004B735F"/>
    <w:rsid w:val="004C3C09"/>
    <w:rsid w:val="004E1A73"/>
    <w:rsid w:val="004E372E"/>
    <w:rsid w:val="005020C0"/>
    <w:rsid w:val="0050242D"/>
    <w:rsid w:val="00531F46"/>
    <w:rsid w:val="005327AD"/>
    <w:rsid w:val="00534D9A"/>
    <w:rsid w:val="00541BD5"/>
    <w:rsid w:val="00555315"/>
    <w:rsid w:val="00577491"/>
    <w:rsid w:val="00584116"/>
    <w:rsid w:val="00591328"/>
    <w:rsid w:val="005A126D"/>
    <w:rsid w:val="005B2566"/>
    <w:rsid w:val="005D3243"/>
    <w:rsid w:val="005E4C5E"/>
    <w:rsid w:val="005F7477"/>
    <w:rsid w:val="006277CC"/>
    <w:rsid w:val="00632077"/>
    <w:rsid w:val="00642CE2"/>
    <w:rsid w:val="00681B11"/>
    <w:rsid w:val="006827D4"/>
    <w:rsid w:val="00695A00"/>
    <w:rsid w:val="006A352F"/>
    <w:rsid w:val="006C1571"/>
    <w:rsid w:val="006C57D3"/>
    <w:rsid w:val="006C5E0F"/>
    <w:rsid w:val="006C5EF9"/>
    <w:rsid w:val="006E1646"/>
    <w:rsid w:val="006F00E1"/>
    <w:rsid w:val="00725BF8"/>
    <w:rsid w:val="00730DE1"/>
    <w:rsid w:val="00737DF9"/>
    <w:rsid w:val="00783C45"/>
    <w:rsid w:val="00785F50"/>
    <w:rsid w:val="00793939"/>
    <w:rsid w:val="007956E0"/>
    <w:rsid w:val="007B0136"/>
    <w:rsid w:val="007C03B1"/>
    <w:rsid w:val="007C64F6"/>
    <w:rsid w:val="00821FB1"/>
    <w:rsid w:val="00875E09"/>
    <w:rsid w:val="008827A2"/>
    <w:rsid w:val="00884A0A"/>
    <w:rsid w:val="00887021"/>
    <w:rsid w:val="008959FF"/>
    <w:rsid w:val="008A017A"/>
    <w:rsid w:val="008A0CAD"/>
    <w:rsid w:val="008A683F"/>
    <w:rsid w:val="008B0FBE"/>
    <w:rsid w:val="008B4771"/>
    <w:rsid w:val="008C6287"/>
    <w:rsid w:val="008D2A6E"/>
    <w:rsid w:val="00904640"/>
    <w:rsid w:val="00911BEF"/>
    <w:rsid w:val="0092703F"/>
    <w:rsid w:val="00942CB0"/>
    <w:rsid w:val="00956AFD"/>
    <w:rsid w:val="009825D6"/>
    <w:rsid w:val="00990404"/>
    <w:rsid w:val="009A5C0C"/>
    <w:rsid w:val="009B5BE4"/>
    <w:rsid w:val="009E5123"/>
    <w:rsid w:val="009F3EBB"/>
    <w:rsid w:val="009F5B93"/>
    <w:rsid w:val="00A22012"/>
    <w:rsid w:val="00A23095"/>
    <w:rsid w:val="00A23AD2"/>
    <w:rsid w:val="00A23F4B"/>
    <w:rsid w:val="00A4142A"/>
    <w:rsid w:val="00A5354C"/>
    <w:rsid w:val="00A953AC"/>
    <w:rsid w:val="00A968A9"/>
    <w:rsid w:val="00AB3A47"/>
    <w:rsid w:val="00AB7545"/>
    <w:rsid w:val="00AD694F"/>
    <w:rsid w:val="00AE4741"/>
    <w:rsid w:val="00AE75AC"/>
    <w:rsid w:val="00AE774B"/>
    <w:rsid w:val="00B11DF8"/>
    <w:rsid w:val="00B549AA"/>
    <w:rsid w:val="00B72EA2"/>
    <w:rsid w:val="00B82609"/>
    <w:rsid w:val="00B9253F"/>
    <w:rsid w:val="00BB7638"/>
    <w:rsid w:val="00BC4FE7"/>
    <w:rsid w:val="00BDE510"/>
    <w:rsid w:val="00C16DB1"/>
    <w:rsid w:val="00C175F1"/>
    <w:rsid w:val="00C22F1A"/>
    <w:rsid w:val="00C27BAD"/>
    <w:rsid w:val="00C37F49"/>
    <w:rsid w:val="00C718D3"/>
    <w:rsid w:val="00C937F1"/>
    <w:rsid w:val="00C94070"/>
    <w:rsid w:val="00CA03F1"/>
    <w:rsid w:val="00CC0A94"/>
    <w:rsid w:val="00CC359C"/>
    <w:rsid w:val="00CE06F0"/>
    <w:rsid w:val="00CE3C84"/>
    <w:rsid w:val="00CE7459"/>
    <w:rsid w:val="00CF774B"/>
    <w:rsid w:val="00D31247"/>
    <w:rsid w:val="00D34E5E"/>
    <w:rsid w:val="00D609F8"/>
    <w:rsid w:val="00D614E0"/>
    <w:rsid w:val="00D641C3"/>
    <w:rsid w:val="00D86983"/>
    <w:rsid w:val="00D87DFB"/>
    <w:rsid w:val="00D91C51"/>
    <w:rsid w:val="00DB167B"/>
    <w:rsid w:val="00DB2112"/>
    <w:rsid w:val="00DD34EA"/>
    <w:rsid w:val="00DE5715"/>
    <w:rsid w:val="00E03DC5"/>
    <w:rsid w:val="00E0411D"/>
    <w:rsid w:val="00E11B70"/>
    <w:rsid w:val="00E1268F"/>
    <w:rsid w:val="00E12A97"/>
    <w:rsid w:val="00E15E6E"/>
    <w:rsid w:val="00E22C47"/>
    <w:rsid w:val="00E376B0"/>
    <w:rsid w:val="00ED6B02"/>
    <w:rsid w:val="00EE30B2"/>
    <w:rsid w:val="00EF5B83"/>
    <w:rsid w:val="00F04D9A"/>
    <w:rsid w:val="00F406E1"/>
    <w:rsid w:val="00F61ED3"/>
    <w:rsid w:val="00F70BE6"/>
    <w:rsid w:val="00F8598D"/>
    <w:rsid w:val="00F86B79"/>
    <w:rsid w:val="00F87AA6"/>
    <w:rsid w:val="00FB1DE9"/>
    <w:rsid w:val="00FB425E"/>
    <w:rsid w:val="00FB6BAE"/>
    <w:rsid w:val="00FD00F2"/>
    <w:rsid w:val="00FD0421"/>
    <w:rsid w:val="00FD67E1"/>
    <w:rsid w:val="029F4E13"/>
    <w:rsid w:val="03359521"/>
    <w:rsid w:val="042579BD"/>
    <w:rsid w:val="0433F022"/>
    <w:rsid w:val="056E2A99"/>
    <w:rsid w:val="05B3D9B8"/>
    <w:rsid w:val="0718AA92"/>
    <w:rsid w:val="09EC9C66"/>
    <w:rsid w:val="0A0D63C1"/>
    <w:rsid w:val="0BD83DBB"/>
    <w:rsid w:val="0BDD0BDE"/>
    <w:rsid w:val="10267A14"/>
    <w:rsid w:val="10CA5500"/>
    <w:rsid w:val="1135525F"/>
    <w:rsid w:val="11CD3ED1"/>
    <w:rsid w:val="14F44483"/>
    <w:rsid w:val="150B0049"/>
    <w:rsid w:val="1788D054"/>
    <w:rsid w:val="1C196B18"/>
    <w:rsid w:val="1D65E5DF"/>
    <w:rsid w:val="203AB394"/>
    <w:rsid w:val="2060138B"/>
    <w:rsid w:val="24C9850D"/>
    <w:rsid w:val="2511498C"/>
    <w:rsid w:val="25B99E98"/>
    <w:rsid w:val="266CFF96"/>
    <w:rsid w:val="273964A0"/>
    <w:rsid w:val="273BD91A"/>
    <w:rsid w:val="2A19DD85"/>
    <w:rsid w:val="2A43CD68"/>
    <w:rsid w:val="2A9469EC"/>
    <w:rsid w:val="32066573"/>
    <w:rsid w:val="3540A952"/>
    <w:rsid w:val="35FE8455"/>
    <w:rsid w:val="37177E8F"/>
    <w:rsid w:val="37AB708C"/>
    <w:rsid w:val="3A0C342C"/>
    <w:rsid w:val="3BF700AB"/>
    <w:rsid w:val="3FDE2E1B"/>
    <w:rsid w:val="400935C2"/>
    <w:rsid w:val="4138B284"/>
    <w:rsid w:val="4558BA8E"/>
    <w:rsid w:val="479FF250"/>
    <w:rsid w:val="4815509E"/>
    <w:rsid w:val="49F80DDB"/>
    <w:rsid w:val="4A84024E"/>
    <w:rsid w:val="4AFD8972"/>
    <w:rsid w:val="52B5BC27"/>
    <w:rsid w:val="559041F5"/>
    <w:rsid w:val="55F01250"/>
    <w:rsid w:val="55FEC5F2"/>
    <w:rsid w:val="56E0627F"/>
    <w:rsid w:val="59B7B240"/>
    <w:rsid w:val="5C7F6D19"/>
    <w:rsid w:val="5FDBD9AB"/>
    <w:rsid w:val="60B38950"/>
    <w:rsid w:val="625C7E0B"/>
    <w:rsid w:val="62B0FEEC"/>
    <w:rsid w:val="6400DE52"/>
    <w:rsid w:val="66378C83"/>
    <w:rsid w:val="665A2B50"/>
    <w:rsid w:val="6746A063"/>
    <w:rsid w:val="67AF3858"/>
    <w:rsid w:val="696A97FD"/>
    <w:rsid w:val="6BEE00EC"/>
    <w:rsid w:val="6C4B2203"/>
    <w:rsid w:val="6F08E959"/>
    <w:rsid w:val="714FB7B4"/>
    <w:rsid w:val="721AA17D"/>
    <w:rsid w:val="77AFEA43"/>
    <w:rsid w:val="7B4895B1"/>
    <w:rsid w:val="7C06B413"/>
    <w:rsid w:val="7D1129B8"/>
    <w:rsid w:val="7E51A60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E1B2AE"/>
  <w15:docId w15:val="{CA19EFD7-95DA-4F94-8F0B-1BA28BA7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mt"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heme="minorEastAsia"/>
      <w:szCs w:val="24"/>
    </w:rPr>
  </w:style>
  <w:style w:type="paragraph" w:styleId="Heading1">
    <w:name w:val="heading 1"/>
    <w:aliases w:val="Cover title white"/>
    <w:next w:val="Normal"/>
    <w:link w:val="Heading1Char"/>
    <w:qFormat/>
    <w:pPr>
      <w:keepNext/>
      <w:keepLines/>
      <w:spacing w:after="0" w:line="240" w:lineRule="auto"/>
      <w:outlineLvl w:val="0"/>
    </w:pPr>
    <w:rPr>
      <w:rFonts w:asciiTheme="majorHAnsi" w:eastAsiaTheme="majorEastAsia" w:hAnsiTheme="majorHAnsi" w:cstheme="majorBidi"/>
      <w:b/>
      <w:bCs/>
      <w:caps/>
      <w:color w:val="FFFFFF" w:themeColor="background1"/>
      <w:sz w:val="40"/>
      <w:szCs w:val="40"/>
    </w:rPr>
  </w:style>
  <w:style w:type="paragraph" w:styleId="Heading2">
    <w:name w:val="heading 2"/>
    <w:basedOn w:val="Numberedtilelevel1"/>
    <w:next w:val="Normal"/>
    <w:link w:val="Heading2Char"/>
    <w:uiPriority w:val="9"/>
    <w:semiHidden/>
    <w:qFormat/>
    <w:pPr>
      <w:numPr>
        <w:numId w:val="0"/>
      </w:numPr>
      <w:outlineLvl w:val="1"/>
    </w:pPr>
  </w:style>
  <w:style w:type="paragraph" w:styleId="Heading3">
    <w:name w:val="heading 3"/>
    <w:aliases w:val="Title 2"/>
    <w:basedOn w:val="Numberedtitlelevel2"/>
    <w:next w:val="Normal"/>
    <w:link w:val="Heading3Char"/>
    <w:uiPriority w:val="9"/>
    <w:semiHidden/>
    <w:pPr>
      <w:outlineLvl w:val="2"/>
    </w:pPr>
  </w:style>
  <w:style w:type="paragraph" w:styleId="Heading4">
    <w:name w:val="heading 4"/>
    <w:basedOn w:val="Normal"/>
    <w:next w:val="Normal"/>
    <w:link w:val="Heading4Char"/>
    <w:uiPriority w:val="9"/>
    <w:semiHidden/>
    <w:qFormat/>
    <w:pPr>
      <w:keepNext/>
      <w:keepLines/>
      <w:numPr>
        <w:ilvl w:val="3"/>
        <w:numId w:val="4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Cover subtitle white"/>
    <w:next w:val="Normal"/>
    <w:link w:val="Heading5Char"/>
    <w:semiHidden/>
    <w:qFormat/>
    <w:pPr>
      <w:keepNext/>
      <w:keepLines/>
      <w:spacing w:before="200" w:after="0" w:line="240" w:lineRule="auto"/>
      <w:outlineLvl w:val="4"/>
    </w:pPr>
    <w:rPr>
      <w:rFonts w:asciiTheme="majorHAnsi" w:eastAsiaTheme="majorEastAsia" w:hAnsiTheme="majorHAnsi" w:cstheme="majorBidi"/>
      <w:caps/>
      <w:color w:val="FFFFFF" w:themeColor="background1"/>
      <w:sz w:val="28"/>
      <w:szCs w:val="28"/>
    </w:rPr>
  </w:style>
  <w:style w:type="paragraph" w:styleId="Heading6">
    <w:name w:val="heading 6"/>
    <w:basedOn w:val="Normal"/>
    <w:next w:val="Normal"/>
    <w:link w:val="Heading6Char"/>
    <w:uiPriority w:val="9"/>
    <w:semiHidden/>
    <w:qFormat/>
    <w:pPr>
      <w:keepNext/>
      <w:keepLines/>
      <w:numPr>
        <w:ilvl w:val="5"/>
        <w:numId w:val="4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pPr>
      <w:keepNext/>
      <w:keepLines/>
      <w:numPr>
        <w:ilvl w:val="6"/>
        <w:numId w:val="4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numPr>
        <w:ilvl w:val="7"/>
        <w:numId w:val="4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numPr>
        <w:ilvl w:val="8"/>
        <w:numId w:val="4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basedOn w:val="DefaultParagraphFont"/>
    <w:link w:val="Heading1"/>
    <w:rPr>
      <w:rFonts w:asciiTheme="majorHAnsi" w:eastAsiaTheme="majorEastAsia" w:hAnsiTheme="majorHAnsi" w:cstheme="majorBidi"/>
      <w:b/>
      <w:bCs/>
      <w:caps/>
      <w:color w:val="FFFFFF" w:themeColor="background1"/>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1F497D" w:themeColor="text2"/>
      <w:kern w:val="28"/>
      <w:sz w:val="52"/>
      <w:szCs w:val="52"/>
    </w:rPr>
  </w:style>
  <w:style w:type="character" w:customStyle="1" w:styleId="Heading3Char">
    <w:name w:val="Heading 3 Char"/>
    <w:aliases w:val="Title 2 Char"/>
    <w:basedOn w:val="DefaultParagraphFont"/>
    <w:link w:val="Heading3"/>
    <w:uiPriority w:val="9"/>
    <w:semiHidden/>
    <w:rPr>
      <w:rFonts w:asciiTheme="majorHAnsi" w:eastAsiaTheme="majorEastAsia" w:hAnsiTheme="majorHAnsi" w:cstheme="majorBidi"/>
      <w:bCs/>
      <w:color w:val="1F497D" w:themeColor="text2"/>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Cs w:val="24"/>
    </w:rPr>
  </w:style>
  <w:style w:type="character" w:customStyle="1" w:styleId="Heading5Char">
    <w:name w:val="Heading 5 Char"/>
    <w:aliases w:val="Cover subtitle white Char"/>
    <w:basedOn w:val="DefaultParagraphFont"/>
    <w:link w:val="Heading5"/>
    <w:semiHidden/>
    <w:rPr>
      <w:rFonts w:asciiTheme="majorHAnsi" w:eastAsiaTheme="majorEastAsia" w:hAnsiTheme="majorHAnsi" w:cstheme="majorBidi"/>
      <w:caps/>
      <w:color w:val="FFFFFF" w:themeColor="background1"/>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Numberedtilelevel1">
    <w:name w:val="Numbered tile level 1"/>
    <w:basedOn w:val="Titlelevel1"/>
    <w:qFormat/>
    <w:pPr>
      <w:numPr>
        <w:numId w:val="63"/>
      </w:numPr>
    </w:pPr>
  </w:style>
  <w:style w:type="paragraph" w:customStyle="1" w:styleId="Numberedtitlelevel2">
    <w:name w:val="Numbered title level 2"/>
    <w:basedOn w:val="Titlelevel2"/>
    <w:next w:val="body"/>
    <w:qFormat/>
  </w:style>
  <w:style w:type="paragraph" w:customStyle="1" w:styleId="Titlelevel2">
    <w:name w:val="Title level 2"/>
    <w:qFormat/>
    <w:pPr>
      <w:spacing w:before="240" w:after="240" w:line="240" w:lineRule="auto"/>
    </w:pPr>
    <w:rPr>
      <w:rFonts w:asciiTheme="majorHAnsi" w:eastAsiaTheme="majorEastAsia" w:hAnsiTheme="majorHAnsi" w:cstheme="majorBidi"/>
      <w:bCs/>
      <w:color w:val="1F497D" w:themeColor="text2"/>
      <w:sz w:val="32"/>
      <w:szCs w:val="24"/>
    </w:rPr>
  </w:style>
  <w:style w:type="paragraph" w:customStyle="1" w:styleId="body">
    <w:name w:val="body"/>
    <w:qFormat/>
    <w:pPr>
      <w:spacing w:before="240" w:after="120"/>
      <w:jc w:val="both"/>
    </w:pPr>
    <w:rPr>
      <w:rFonts w:eastAsiaTheme="minorEastAsia"/>
      <w:szCs w:val="24"/>
    </w:rPr>
  </w:style>
  <w:style w:type="paragraph" w:styleId="BalloonText">
    <w:name w:val="Balloon Text"/>
    <w:basedOn w:val="Normal"/>
    <w:link w:val="BalloonTextChar"/>
    <w:uiPriority w:val="99"/>
    <w:semiHidden/>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eastAsiaTheme="minorEastAsia" w:hAnsi="Lucida Grande" w:cs="Lucida Grande"/>
      <w:sz w:val="18"/>
      <w:szCs w:val="18"/>
    </w:rPr>
  </w:style>
  <w:style w:type="paragraph" w:customStyle="1" w:styleId="Tableheader">
    <w:name w:val="Table header"/>
    <w:next w:val="Tabledata"/>
    <w:qFormat/>
    <w:pPr>
      <w:spacing w:after="80" w:line="240" w:lineRule="auto"/>
    </w:pPr>
    <w:rPr>
      <w:rFonts w:ascii="Calibri" w:eastAsia="Times New Roman" w:hAnsi="Calibri" w:cs="Times New Roman"/>
      <w:b/>
      <w:color w:val="000000"/>
    </w:rPr>
  </w:style>
  <w:style w:type="paragraph" w:customStyle="1" w:styleId="Tabledata">
    <w:name w:val="Table data"/>
    <w:basedOn w:val="body"/>
    <w:qFormat/>
    <w:pPr>
      <w:spacing w:before="120" w:line="240" w:lineRule="auto"/>
    </w:pPr>
    <w:rPr>
      <w:rFonts w:eastAsia="Times New Roman" w:cstheme="minorHAnsi"/>
      <w:bCs/>
      <w:color w:val="000000"/>
      <w:sz w:val="20"/>
      <w:szCs w:val="22"/>
    </w:rPr>
  </w:style>
  <w:style w:type="paragraph" w:customStyle="1" w:styleId="List1">
    <w:name w:val="List1"/>
    <w:autoRedefine/>
    <w:qFormat/>
    <w:pPr>
      <w:numPr>
        <w:numId w:val="47"/>
      </w:numPr>
      <w:spacing w:after="0" w:line="240" w:lineRule="auto"/>
    </w:pPr>
    <w:rPr>
      <w:rFonts w:eastAsiaTheme="minorEastAsi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heme="minorEastAsia"/>
      <w:szCs w:val="24"/>
    </w:rPr>
  </w:style>
  <w:style w:type="table" w:styleId="TableGrid">
    <w:name w:val="Table Grid"/>
    <w:basedOn w:val="TableProfessional"/>
    <w:uiPriority w:val="59"/>
    <w:rPr>
      <w:sz w:val="20"/>
      <w:szCs w:val="20"/>
      <w:lang w:val="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after="0" w:line="240" w:lineRule="auto"/>
    </w:pPr>
    <w:rPr>
      <w:rFonts w:eastAsiaTheme="minorEastAsia"/>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pPr>
      <w:numPr>
        <w:numId w:val="48"/>
      </w:numPr>
      <w:spacing w:before="240" w:after="120" w:line="240" w:lineRule="auto"/>
      <w:contextualSpacing/>
    </w:pPr>
    <w:rPr>
      <w:rFonts w:eastAsiaTheme="minorEastAsia"/>
      <w:szCs w:val="24"/>
    </w:rPr>
  </w:style>
  <w:style w:type="paragraph" w:customStyle="1" w:styleId="Titlelevel1">
    <w:name w:val="Title level 1"/>
    <w:autoRedefine/>
    <w:qFormat/>
    <w:pPr>
      <w:pBdr>
        <w:bottom w:val="single" w:sz="8" w:space="1" w:color="1F497D" w:themeColor="text2"/>
      </w:pBdr>
      <w:spacing w:before="360" w:after="600" w:line="560" w:lineRule="exact"/>
    </w:pPr>
    <w:rPr>
      <w:rFonts w:asciiTheme="majorHAnsi" w:eastAsiaTheme="majorEastAsia" w:hAnsiTheme="majorHAnsi" w:cstheme="majorBidi"/>
      <w:color w:val="1F497D" w:themeColor="text2"/>
      <w:kern w:val="28"/>
      <w:sz w:val="52"/>
      <w:szCs w:val="52"/>
    </w:rPr>
  </w:style>
  <w:style w:type="paragraph" w:customStyle="1" w:styleId="Titlelevel3">
    <w:name w:val="Title level 3"/>
    <w:qFormat/>
    <w:pPr>
      <w:spacing w:before="240" w:after="240" w:line="240" w:lineRule="auto"/>
    </w:pPr>
    <w:rPr>
      <w:rFonts w:eastAsiaTheme="minorEastAsia"/>
      <w:b/>
      <w:color w:val="1F497D" w:themeColor="text2"/>
      <w:sz w:val="24"/>
      <w:szCs w:val="24"/>
    </w:rPr>
  </w:style>
  <w:style w:type="paragraph" w:customStyle="1" w:styleId="Titlelevel4">
    <w:name w:val="Title level 4"/>
    <w:next w:val="body"/>
    <w:qFormat/>
    <w:pPr>
      <w:spacing w:before="240" w:after="240" w:line="240" w:lineRule="auto"/>
    </w:pPr>
    <w:rPr>
      <w:rFonts w:eastAsiaTheme="minorEastAsia"/>
      <w:color w:val="EEECE1" w:themeColor="background2"/>
      <w:sz w:val="24"/>
      <w:szCs w:val="24"/>
    </w:rPr>
  </w:style>
  <w:style w:type="paragraph" w:customStyle="1" w:styleId="Figuretitle">
    <w:name w:val="Figure title"/>
    <w:basedOn w:val="body"/>
    <w:next w:val="Normal"/>
    <w:autoRedefine/>
    <w:qFormat/>
    <w:pPr>
      <w:keepNext/>
      <w:spacing w:before="360" w:after="360"/>
    </w:pPr>
    <w:rPr>
      <w:rFonts w:eastAsia="Times New Roman" w:cs="Times New Roman"/>
      <w:bCs/>
      <w:color w:val="1F497D" w:themeColor="text2"/>
      <w:szCs w:val="20"/>
    </w:rPr>
  </w:style>
  <w:style w:type="table" w:customStyle="1" w:styleId="EBAtable">
    <w:name w:val="EBA table"/>
    <w:basedOn w:val="TableNormal"/>
    <w:uiPriority w:val="99"/>
    <w:pPr>
      <w:spacing w:after="0" w:line="240" w:lineRule="auto"/>
    </w:pPr>
    <w:rPr>
      <w:rFonts w:eastAsiaTheme="minorEastAsia"/>
      <w:sz w:val="24"/>
      <w:szCs w:val="24"/>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character" w:styleId="PageNumber">
    <w:name w:val="page number"/>
    <w:basedOn w:val="DefaultParagraphFont"/>
    <w:uiPriority w:val="99"/>
    <w:semiHidden/>
    <w:rPr>
      <w:rFonts w:asciiTheme="minorHAnsi" w:hAnsiTheme="minorHAnsi"/>
      <w:color w:val="auto"/>
      <w:sz w:val="22"/>
    </w:rPr>
  </w:style>
  <w:style w:type="paragraph" w:customStyle="1" w:styleId="Runningtitle">
    <w:name w:val="Running title"/>
    <w:qFormat/>
    <w:pPr>
      <w:spacing w:after="0" w:line="240" w:lineRule="auto"/>
    </w:pPr>
    <w:rPr>
      <w:rFonts w:eastAsiaTheme="minorEastAsia"/>
      <w:caps/>
      <w:sz w:val="16"/>
      <w:szCs w:val="18"/>
    </w:rPr>
  </w:style>
  <w:style w:type="paragraph" w:styleId="FootnoteText">
    <w:name w:val="footnote text"/>
    <w:aliases w:val="EBA_Footnote Text,fn,Footnote Text Char Char,Footnote,Fußnote,FSR footnote,lábléc,Char,Texto nota pie Car,notefranz,ARM footnote Text,Footnote Text Char2,Footnote Text Char11,Footnote Text Char3,Footnote Text Char4,Footnote Text Char5,Ch,f"/>
    <w:basedOn w:val="body"/>
    <w:link w:val="FootnoteTextChar"/>
    <w:autoRedefine/>
    <w:uiPriority w:val="99"/>
    <w:qFormat/>
    <w:pPr>
      <w:spacing w:before="80" w:after="0" w:line="200" w:lineRule="exact"/>
    </w:pPr>
    <w:rPr>
      <w:rFonts w:ascii="Times New Roman" w:hAnsi="Times New Roman" w:cs="Times New Roman"/>
      <w:sz w:val="18"/>
      <w:szCs w:val="18"/>
    </w:rPr>
  </w:style>
  <w:style w:type="character" w:customStyle="1" w:styleId="FootnoteTextChar">
    <w:name w:val="Footnote Text Char"/>
    <w:aliases w:val="EBA_Footnote Text Char,fn Char,Footnote Text Char Char Char,Footnote Char,Fußnote Char,FSR footnote Char,lábléc Char,Char Char,Texto nota pie Car Char,notefranz Char,ARM footnote Text Char,Footnote Text Char2 Char,Ch Char,f Char"/>
    <w:basedOn w:val="DefaultParagraphFont"/>
    <w:link w:val="FootnoteText"/>
    <w:uiPriority w:val="99"/>
    <w:rPr>
      <w:rFonts w:ascii="Times New Roman" w:eastAsiaTheme="minorEastAsia" w:hAnsi="Times New Roman" w:cs="Times New Roman"/>
      <w:sz w:val="18"/>
      <w:szCs w:val="18"/>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ftref,fr,Ref"/>
    <w:basedOn w:val="DefaultParagraphFont"/>
    <w:uiPriority w:val="99"/>
    <w:qFormat/>
    <w:rPr>
      <w:rFonts w:asciiTheme="minorHAnsi" w:hAnsiTheme="minorHAnsi"/>
      <w:sz w:val="22"/>
      <w:szCs w:val="18"/>
      <w:vertAlign w:val="superscript"/>
    </w:rPr>
  </w:style>
  <w:style w:type="paragraph" w:customStyle="1" w:styleId="bullet1">
    <w:name w:val="bullet 1"/>
    <w:basedOn w:val="body"/>
    <w:next w:val="body"/>
    <w:qFormat/>
    <w:pPr>
      <w:numPr>
        <w:numId w:val="44"/>
      </w:numPr>
    </w:pPr>
    <w:rPr>
      <w:szCs w:val="22"/>
    </w:rPr>
  </w:style>
  <w:style w:type="paragraph" w:styleId="TOC1">
    <w:name w:val="toc 1"/>
    <w:autoRedefine/>
    <w:uiPriority w:val="39"/>
    <w:qFormat/>
    <w:pPr>
      <w:tabs>
        <w:tab w:val="left" w:pos="312"/>
        <w:tab w:val="left" w:pos="421"/>
        <w:tab w:val="right" w:pos="8771"/>
      </w:tabs>
      <w:spacing w:before="120" w:after="120" w:line="240" w:lineRule="auto"/>
      <w:outlineLvl w:val="0"/>
    </w:pPr>
    <w:rPr>
      <w:rFonts w:eastAsiaTheme="minorEastAsia"/>
      <w:b/>
      <w:bCs/>
      <w:color w:val="1F497D" w:themeColor="text2"/>
    </w:rPr>
  </w:style>
  <w:style w:type="paragraph" w:styleId="TOC2">
    <w:name w:val="toc 2"/>
    <w:next w:val="Normal"/>
    <w:autoRedefine/>
    <w:uiPriority w:val="39"/>
    <w:qFormat/>
    <w:pPr>
      <w:tabs>
        <w:tab w:val="left" w:pos="529"/>
        <w:tab w:val="right" w:pos="8771"/>
      </w:tabs>
      <w:spacing w:before="80" w:after="80" w:line="240" w:lineRule="auto"/>
    </w:pPr>
    <w:rPr>
      <w:rFonts w:eastAsiaTheme="minorEastAsia"/>
    </w:rPr>
  </w:style>
  <w:style w:type="paragraph" w:styleId="TOC3">
    <w:name w:val="toc 3"/>
    <w:basedOn w:val="Normal"/>
    <w:next w:val="Normal"/>
    <w:autoRedefine/>
    <w:uiPriority w:val="39"/>
    <w:qFormat/>
    <w:pPr>
      <w:tabs>
        <w:tab w:val="right" w:pos="8771"/>
      </w:tabs>
      <w:ind w:left="567"/>
    </w:pPr>
    <w:rPr>
      <w:szCs w:val="22"/>
    </w:rPr>
  </w:style>
  <w:style w:type="paragraph" w:styleId="TOC4">
    <w:name w:val="toc 4"/>
    <w:basedOn w:val="Normal"/>
    <w:next w:val="Normal"/>
    <w:autoRedefine/>
    <w:uiPriority w:val="39"/>
    <w:pPr>
      <w:tabs>
        <w:tab w:val="right" w:pos="8771"/>
      </w:tabs>
      <w:ind w:left="1134"/>
    </w:pPr>
    <w:rPr>
      <w:szCs w:val="22"/>
    </w:rPr>
  </w:style>
  <w:style w:type="paragraph" w:customStyle="1" w:styleId="bullet2">
    <w:name w:val="bullet 2"/>
    <w:basedOn w:val="body"/>
    <w:qFormat/>
    <w:pPr>
      <w:numPr>
        <w:numId w:val="43"/>
      </w:numPr>
    </w:pPr>
    <w:rPr>
      <w:szCs w:val="22"/>
    </w:rPr>
  </w:style>
  <w:style w:type="paragraph" w:customStyle="1" w:styleId="Numberedtitlelevel3">
    <w:name w:val="Numbered title level 3"/>
    <w:basedOn w:val="Titlelevel3"/>
    <w:next w:val="body"/>
    <w:qFormat/>
    <w:pPr>
      <w:ind w:left="720" w:hanging="432"/>
    </w:pPr>
  </w:style>
  <w:style w:type="table" w:customStyle="1" w:styleId="LightShading1">
    <w:name w:val="Light Shading1"/>
    <w:basedOn w:val="TableNormal"/>
    <w:uiPriority w:val="60"/>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pPr>
      <w:spacing w:after="0" w:line="240" w:lineRule="auto"/>
    </w:pPr>
    <w:rPr>
      <w:rFonts w:eastAsiaTheme="minorEastAsia"/>
      <w:color w:val="365F91" w:themeColor="accent1" w:themeShade="BF"/>
      <w:sz w:val="24"/>
      <w:szCs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style>
  <w:style w:type="paragraph" w:customStyle="1" w:styleId="Numberedtitlelevel4">
    <w:name w:val="Numbered title level 4"/>
    <w:basedOn w:val="Titlelevel4"/>
    <w:qFormat/>
    <w:pPr>
      <w:numPr>
        <w:numId w:val="46"/>
      </w:numPr>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eastAsiaTheme="minorEastAsia"/>
      <w:szCs w:val="24"/>
    </w:rPr>
  </w:style>
  <w:style w:type="paragraph" w:styleId="Title">
    <w:name w:val="Title"/>
    <w:basedOn w:val="Normal"/>
    <w:next w:val="Normal"/>
    <w:link w:val="TitleChar"/>
    <w:qFormat/>
    <w:pPr>
      <w:pBdr>
        <w:bottom w:val="single" w:sz="8" w:space="4" w:color="4F81BD" w:themeColor="accent1"/>
      </w:pBdr>
      <w:spacing w:after="30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F497D" w:themeColor="text2"/>
      <w:kern w:val="28"/>
      <w:sz w:val="52"/>
      <w:szCs w:val="52"/>
    </w:rPr>
  </w:style>
  <w:style w:type="paragraph" w:styleId="TableofFigures">
    <w:name w:val="table of figures"/>
    <w:basedOn w:val="Normal"/>
    <w:next w:val="Normal"/>
    <w:autoRedefine/>
    <w:uiPriority w:val="99"/>
    <w:qFormat/>
    <w:pPr>
      <w:spacing w:before="160"/>
    </w:pPr>
  </w:style>
  <w:style w:type="paragraph" w:styleId="Subtitle">
    <w:name w:val="Subtitle"/>
    <w:next w:val="Normal"/>
    <w:link w:val="SubtitleChar"/>
    <w:autoRedefine/>
    <w:uiPriority w:val="11"/>
    <w:qFormat/>
    <w:pPr>
      <w:numPr>
        <w:ilvl w:val="1"/>
      </w:numPr>
      <w:spacing w:before="240" w:after="120" w:line="240" w:lineRule="auto"/>
    </w:pPr>
    <w:rPr>
      <w:rFonts w:asciiTheme="majorHAnsi" w:eastAsiaTheme="majorEastAsia" w:hAnsiTheme="majorHAnsi" w:cstheme="majorBidi"/>
      <w:color w:val="4F81BD" w:themeColor="accent1"/>
      <w:sz w:val="32"/>
      <w:szCs w:val="32"/>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F81BD" w:themeColor="accent1"/>
      <w:sz w:val="32"/>
      <w:szCs w:val="32"/>
    </w:rPr>
  </w:style>
  <w:style w:type="character" w:styleId="BookTitle">
    <w:name w:val="Book Title"/>
    <w:basedOn w:val="DefaultParagraphFont"/>
    <w:uiPriority w:val="33"/>
    <w:qFormat/>
    <w:rPr>
      <w:b/>
      <w:bCs/>
      <w:smallCaps/>
    </w:rPr>
  </w:style>
  <w:style w:type="character" w:customStyle="1" w:styleId="Highlighttext">
    <w:name w:val="Highlight text"/>
    <w:basedOn w:val="DefaultParagraphFont"/>
    <w:uiPriority w:val="1"/>
    <w:semiHidden/>
    <w:qFormat/>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Pr>
      <w:bCs/>
    </w:rPr>
  </w:style>
  <w:style w:type="paragraph" w:styleId="ListBullet">
    <w:name w:val="List Bullet"/>
    <w:basedOn w:val="Normal"/>
    <w:semiHidden/>
    <w:qFormat/>
    <w:pPr>
      <w:numPr>
        <w:numId w:val="50"/>
      </w:numPr>
      <w:contextualSpacing/>
    </w:pPr>
  </w:style>
  <w:style w:type="character" w:styleId="Hyperlink">
    <w:name w:val="Hyperlink"/>
    <w:basedOn w:val="DefaultParagraphFont"/>
    <w:uiPriority w:val="99"/>
    <w:rPr>
      <w:color w:val="0000FF" w:themeColor="hyperlink"/>
      <w:u w:val="single"/>
    </w:rPr>
  </w:style>
  <w:style w:type="paragraph" w:customStyle="1" w:styleId="numberedparagraph">
    <w:name w:val="numbered paragraph"/>
    <w:basedOn w:val="body"/>
    <w:autoRedefine/>
    <w:qFormat/>
    <w:pPr>
      <w:numPr>
        <w:numId w:val="218"/>
      </w:numPr>
      <w:ind w:left="1134"/>
    </w:pPr>
    <w:rPr>
      <w:rFonts w:asciiTheme="majorHAnsi" w:hAnsiTheme="majorHAnsi"/>
      <w:color w:val="000000" w:themeColor="text1"/>
    </w:rPr>
  </w:style>
  <w:style w:type="paragraph" w:styleId="TOC5">
    <w:name w:val="toc 5"/>
    <w:basedOn w:val="Normal"/>
    <w:next w:val="Normal"/>
    <w:autoRedefine/>
    <w:uiPriority w:val="39"/>
    <w:semiHidden/>
    <w:pPr>
      <w:ind w:left="880"/>
    </w:pPr>
  </w:style>
  <w:style w:type="paragraph" w:styleId="TOC6">
    <w:name w:val="toc 6"/>
    <w:basedOn w:val="Normal"/>
    <w:next w:val="Normal"/>
    <w:autoRedefine/>
    <w:uiPriority w:val="39"/>
    <w:semiHidden/>
    <w:pPr>
      <w:ind w:left="1100"/>
    </w:pPr>
  </w:style>
  <w:style w:type="paragraph" w:styleId="TOC7">
    <w:name w:val="toc 7"/>
    <w:basedOn w:val="Normal"/>
    <w:next w:val="Normal"/>
    <w:autoRedefine/>
    <w:uiPriority w:val="39"/>
    <w:semiHidden/>
    <w:pPr>
      <w:ind w:left="1320"/>
    </w:pPr>
  </w:style>
  <w:style w:type="paragraph" w:styleId="TOC8">
    <w:name w:val="toc 8"/>
    <w:basedOn w:val="Normal"/>
    <w:next w:val="Normal"/>
    <w:autoRedefine/>
    <w:uiPriority w:val="39"/>
    <w:semiHidden/>
    <w:pPr>
      <w:ind w:left="1540"/>
    </w:pPr>
  </w:style>
  <w:style w:type="paragraph" w:styleId="TOC9">
    <w:name w:val="toc 9"/>
    <w:basedOn w:val="Normal"/>
    <w:next w:val="Normal"/>
    <w:autoRedefine/>
    <w:uiPriority w:val="39"/>
    <w:semiHidden/>
    <w:pPr>
      <w:ind w:left="1760"/>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semiHidden/>
    <w:qFormat/>
    <w:pPr>
      <w:spacing w:before="480"/>
      <w:outlineLvl w:val="9"/>
    </w:pPr>
    <w:rPr>
      <w:caps w:val="0"/>
      <w:color w:val="365F91" w:themeColor="accent1" w:themeShade="BF"/>
      <w:sz w:val="28"/>
      <w:szCs w:val="28"/>
    </w:rPr>
  </w:style>
  <w:style w:type="character" w:customStyle="1" w:styleId="Marker">
    <w:name w:val="Marker"/>
    <w:rPr>
      <w:color w:val="0000FF"/>
      <w:shd w:val="clear" w:color="auto" w:fill="auto"/>
    </w:rPr>
  </w:style>
  <w:style w:type="character" w:customStyle="1" w:styleId="Marker2">
    <w:name w:val="Marker2"/>
    <w:rPr>
      <w:color w:val="FF0000"/>
      <w:shd w:val="clear" w:color="auto" w:fill="auto"/>
    </w:rPr>
  </w:style>
  <w:style w:type="paragraph" w:customStyle="1" w:styleId="Annexetitre">
    <w:name w:val="Annexe titre"/>
    <w:basedOn w:val="Normal"/>
    <w:next w:val="Normal"/>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Fait"/>
    <w:pPr>
      <w:spacing w:before="480" w:after="120"/>
      <w:jc w:val="both"/>
    </w:pPr>
    <w:rPr>
      <w:rFonts w:ascii="Times New Roman" w:eastAsia="Times New Roman" w:hAnsi="Times New Roman" w:cs="Times New Roman"/>
      <w:sz w:val="24"/>
    </w:rPr>
  </w:style>
  <w:style w:type="paragraph" w:customStyle="1" w:styleId="Considrant">
    <w:name w:val="Considérant"/>
    <w:basedOn w:val="Normal"/>
    <w:pPr>
      <w:numPr>
        <w:numId w:val="51"/>
      </w:numPr>
      <w:spacing w:before="120" w:after="120"/>
      <w:jc w:val="both"/>
    </w:pPr>
    <w:rPr>
      <w:rFonts w:ascii="Times New Roman" w:eastAsia="Times New Roman" w:hAnsi="Times New Roman" w:cs="Times New Roman"/>
      <w:sz w:val="24"/>
    </w:rPr>
  </w:style>
  <w:style w:type="paragraph" w:customStyle="1" w:styleId="Datedadoption">
    <w:name w:val="Date d'adoption"/>
    <w:basedOn w:val="Normal"/>
    <w:next w:val="Titreobjet"/>
    <w:pPr>
      <w:spacing w:before="360"/>
      <w:jc w:val="center"/>
    </w:pPr>
    <w:rPr>
      <w:rFonts w:ascii="Times New Roman" w:eastAsia="Times New Roman" w:hAnsi="Times New Roman" w:cs="Times New Roman"/>
      <w:b/>
      <w:sz w:val="24"/>
    </w:rPr>
  </w:style>
  <w:style w:type="paragraph" w:customStyle="1" w:styleId="Fait">
    <w:name w:val="Fait à"/>
    <w:basedOn w:val="Normal"/>
    <w:next w:val="Institutionquisigne"/>
    <w:pPr>
      <w:keepNext/>
      <w:spacing w:before="120"/>
      <w:jc w:val="both"/>
    </w:pPr>
    <w:rPr>
      <w:rFonts w:ascii="Times New Roman" w:eastAsia="Times New Roman" w:hAnsi="Times New Roman" w:cs="Times New Roman"/>
      <w:sz w:val="24"/>
    </w:rPr>
  </w:style>
  <w:style w:type="paragraph" w:customStyle="1" w:styleId="Formuledadoption">
    <w:name w:val="Formule d'adoption"/>
    <w:basedOn w:val="Normal"/>
    <w:next w:val="Titrearticle"/>
    <w:pPr>
      <w:keepNext/>
      <w:spacing w:before="120" w:after="120"/>
      <w:jc w:val="both"/>
    </w:pPr>
    <w:rPr>
      <w:rFonts w:ascii="Times New Roman" w:eastAsia="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jc w:val="both"/>
    </w:pPr>
    <w:rPr>
      <w:rFonts w:ascii="Times New Roman" w:eastAsia="Times New Roman" w:hAnsi="Times New Roman" w:cs="Times New Roman"/>
      <w:i/>
      <w:sz w:val="24"/>
    </w:rPr>
  </w:style>
  <w:style w:type="paragraph" w:customStyle="1" w:styleId="Personnequisigne">
    <w:name w:val="Personne qui signe"/>
    <w:basedOn w:val="Normal"/>
    <w:next w:val="Institutionquisigne"/>
    <w:pPr>
      <w:tabs>
        <w:tab w:val="left" w:pos="4252"/>
      </w:tabs>
    </w:pPr>
    <w:rPr>
      <w:rFonts w:ascii="Times New Roman" w:eastAsia="Times New Roman" w:hAnsi="Times New Roman" w:cs="Times New Roman"/>
      <w:i/>
      <w:sz w:val="24"/>
    </w:rPr>
  </w:style>
  <w:style w:type="paragraph" w:customStyle="1" w:styleId="Titrearticle">
    <w:name w:val="Titre article"/>
    <w:basedOn w:val="Normal"/>
    <w:next w:val="Normal"/>
    <w:pPr>
      <w:keepNext/>
      <w:spacing w:before="360" w:after="120"/>
      <w:jc w:val="center"/>
    </w:pPr>
    <w:rPr>
      <w:rFonts w:ascii="Times New Roman" w:eastAsia="Times New Roman" w:hAnsi="Times New Roman" w:cs="Times New Roman"/>
      <w:i/>
      <w:sz w:val="24"/>
    </w:rPr>
  </w:style>
  <w:style w:type="paragraph" w:customStyle="1" w:styleId="Titreobjet">
    <w:name w:val="Titre objet"/>
    <w:basedOn w:val="Normal"/>
    <w:next w:val="Normal"/>
    <w:pPr>
      <w:spacing w:before="360" w:after="360"/>
      <w:jc w:val="center"/>
    </w:pPr>
    <w:rPr>
      <w:rFonts w:ascii="Times New Roman" w:eastAsia="Times New Roman" w:hAnsi="Times New Roman" w:cs="Times New Roman"/>
      <w:b/>
      <w:sz w:val="24"/>
    </w:rPr>
  </w:style>
  <w:style w:type="paragraph" w:customStyle="1" w:styleId="Typedudocument">
    <w:name w:val="Type du document"/>
    <w:basedOn w:val="Normal"/>
    <w:next w:val="Titreobjet"/>
    <w:pPr>
      <w:spacing w:before="360"/>
      <w:jc w:val="center"/>
    </w:pPr>
    <w:rPr>
      <w:rFonts w:ascii="Times New Roman" w:eastAsia="Times New Roman" w:hAnsi="Times New Roman" w:cs="Times New Roman"/>
      <w:b/>
      <w:sz w:val="24"/>
    </w:rPr>
  </w:style>
  <w:style w:type="paragraph" w:customStyle="1" w:styleId="Pagedecouverture">
    <w:name w:val="Page de couverture"/>
    <w:basedOn w:val="Normal"/>
    <w:next w:val="Normal"/>
    <w:pPr>
      <w:spacing w:before="120" w:after="120"/>
      <w:jc w:val="both"/>
    </w:pPr>
    <w:rPr>
      <w:rFonts w:ascii="Times New Roman" w:eastAsia="Times New Roman" w:hAnsi="Times New Roman" w:cs="Times New Roman"/>
      <w:sz w:val="24"/>
    </w:rPr>
  </w:style>
  <w:style w:type="paragraph" w:customStyle="1" w:styleId="Institutionquiagit">
    <w:name w:val="Institution qui agit"/>
    <w:basedOn w:val="Normal"/>
    <w:next w:val="Normal"/>
    <w:pPr>
      <w:keepNext/>
      <w:spacing w:before="600" w:after="120"/>
      <w:jc w:val="both"/>
    </w:pPr>
    <w:rPr>
      <w:rFonts w:ascii="Times New Roman" w:eastAsia="Times New Roman" w:hAnsi="Times New Roman" w:cs="Times New Roman"/>
      <w:sz w:val="24"/>
    </w:rPr>
  </w:style>
  <w:style w:type="paragraph" w:styleId="ListParagraph">
    <w:name w:val="List Paragraph"/>
    <w:aliases w:val="Paragraphe EI,Paragraphe de liste1,EC,Paragraphe de liste2,Colorful List Accent 1,Liste couleur - Accent 11,Paragraphe de liste11,RETRAIT 1,List Paragraph1,Colorful List - Accent 11,Párrafo de lista"/>
    <w:basedOn w:val="Normal"/>
    <w:link w:val="ListParagraphChar"/>
    <w:uiPriority w:val="34"/>
    <w:qFormat/>
    <w:pPr>
      <w:ind w:left="720"/>
    </w:pPr>
    <w:rPr>
      <w:rFonts w:ascii="Calibri" w:eastAsia="Calibri" w:hAnsi="Calibri" w:cs="Times New Roman"/>
      <w:szCs w:val="22"/>
    </w:rPr>
  </w:style>
  <w:style w:type="paragraph" w:customStyle="1" w:styleId="Questionforconsultation">
    <w:name w:val="Question for consultation"/>
    <w:basedOn w:val="ListParagraph"/>
    <w:link w:val="QuestionforconsultationChar"/>
    <w:qFormat/>
    <w:pPr>
      <w:numPr>
        <w:numId w:val="52"/>
      </w:numPr>
      <w:pBdr>
        <w:top w:val="single" w:sz="4" w:space="1" w:color="auto"/>
        <w:left w:val="single" w:sz="4" w:space="4" w:color="auto"/>
        <w:bottom w:val="single" w:sz="4" w:space="1" w:color="auto"/>
        <w:right w:val="single" w:sz="4" w:space="4" w:color="auto"/>
      </w:pBdr>
      <w:ind w:left="1134" w:hanging="1134"/>
      <w:contextualSpacing/>
      <w:jc w:val="both"/>
    </w:pPr>
    <w:rPr>
      <w:rFonts w:ascii="Times New Roman" w:hAnsi="Times New Roman"/>
    </w:rPr>
  </w:style>
  <w:style w:type="paragraph" w:customStyle="1" w:styleId="doc-ti">
    <w:name w:val="doc-ti"/>
    <w:basedOn w:val="Normal"/>
    <w:pPr>
      <w:spacing w:before="100" w:beforeAutospacing="1" w:after="100" w:afterAutospacing="1"/>
    </w:pPr>
    <w:rPr>
      <w:rFonts w:ascii="Times New Roman" w:eastAsia="Times New Roman" w:hAnsi="Times New Roman" w:cs="Times New Roman"/>
      <w:sz w:val="24"/>
    </w:rPr>
  </w:style>
  <w:style w:type="character" w:customStyle="1" w:styleId="ListParagraphChar">
    <w:name w:val="List Paragraph Char"/>
    <w:aliases w:val="Paragraphe EI Char,Paragraphe de liste1 Char,EC Char,Paragraphe de liste2 Char,Colorful List Accent 1 Char,Liste couleur - Accent 11 Char,Paragraphe de liste11 Char,RETRAIT 1 Char,List Paragraph1 Char,Colorful List - Accent 11 Char"/>
    <w:basedOn w:val="DefaultParagraphFont"/>
    <w:link w:val="ListParagraph"/>
    <w:uiPriority w:val="34"/>
    <w:rPr>
      <w:rFonts w:ascii="Calibri" w:eastAsia="Calibri" w:hAnsi="Calibri" w:cs="Times New Roman"/>
    </w:rPr>
  </w:style>
  <w:style w:type="character" w:customStyle="1" w:styleId="QuestionforconsultationChar">
    <w:name w:val="Question for consultation Char"/>
    <w:basedOn w:val="ListParagraphChar"/>
    <w:link w:val="Questionforconsultation"/>
    <w:rPr>
      <w:rFonts w:ascii="Times New Roman" w:eastAsia="Calibri" w:hAnsi="Times New Roman" w:cs="Times New Roman"/>
    </w:rPr>
  </w:style>
  <w:style w:type="paragraph" w:customStyle="1" w:styleId="Normal1">
    <w:name w:val="Normal1"/>
    <w:basedOn w:val="Normal"/>
    <w:pPr>
      <w:spacing w:before="100" w:beforeAutospacing="1" w:after="100" w:afterAutospacing="1"/>
    </w:pPr>
    <w:rPr>
      <w:rFonts w:ascii="Times New Roman" w:eastAsia="Times New Roman" w:hAnsi="Times New Roman" w:cs="Times New Roman"/>
      <w:sz w:val="24"/>
    </w:rPr>
  </w:style>
  <w:style w:type="character" w:customStyle="1" w:styleId="super">
    <w:name w:val="super"/>
    <w:basedOn w:val="DefaultParagraphFont"/>
  </w:style>
  <w:style w:type="paragraph" w:customStyle="1" w:styleId="ti-art">
    <w:name w:val="ti-art"/>
    <w:basedOn w:val="Normal"/>
    <w:pPr>
      <w:spacing w:before="100" w:beforeAutospacing="1" w:after="100" w:afterAutospacing="1"/>
    </w:pPr>
    <w:rPr>
      <w:rFonts w:ascii="Times New Roman" w:eastAsia="Times New Roman" w:hAnsi="Times New Roman" w:cs="Times New Roman"/>
      <w:sz w:val="24"/>
    </w:rPr>
  </w:style>
  <w:style w:type="paragraph" w:customStyle="1" w:styleId="sti-art">
    <w:name w:val="sti-art"/>
    <w:basedOn w:val="Normal"/>
    <w:pPr>
      <w:spacing w:before="100" w:beforeAutospacing="1" w:after="100" w:afterAutospacing="1"/>
    </w:pPr>
    <w:rPr>
      <w:rFonts w:ascii="Times New Roman" w:eastAsia="Times New Roman" w:hAnsi="Times New Roman" w:cs="Times New Roman"/>
      <w:sz w:val="24"/>
    </w:rPr>
  </w:style>
  <w:style w:type="character" w:customStyle="1" w:styleId="apple-converted-space">
    <w:name w:val="apple-converted-space"/>
    <w:basedOn w:val="DefaultParagraphFont"/>
  </w:style>
  <w:style w:type="character" w:customStyle="1" w:styleId="italic">
    <w:name w:val="italic"/>
    <w:basedOn w:val="DefaultParagraphFont"/>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rFonts w:eastAsiaTheme="minorEastAsia"/>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Pr>
      <w:rFonts w:eastAsiaTheme="minorEastAsia"/>
      <w:b/>
      <w:bCs/>
      <w:sz w:val="20"/>
      <w:szCs w:val="20"/>
    </w:rPr>
  </w:style>
  <w:style w:type="paragraph" w:customStyle="1" w:styleId="Point0number">
    <w:name w:val="Point 0 (number)"/>
    <w:basedOn w:val="Normal"/>
    <w:pPr>
      <w:numPr>
        <w:numId w:val="53"/>
      </w:numPr>
      <w:spacing w:before="120" w:after="120"/>
      <w:jc w:val="both"/>
    </w:pPr>
    <w:rPr>
      <w:rFonts w:ascii="Times New Roman" w:eastAsiaTheme="minorHAnsi" w:hAnsi="Times New Roman" w:cs="Times New Roman"/>
      <w:sz w:val="24"/>
      <w:szCs w:val="22"/>
    </w:rPr>
  </w:style>
  <w:style w:type="paragraph" w:customStyle="1" w:styleId="Point1number">
    <w:name w:val="Point 1 (number)"/>
    <w:basedOn w:val="Normal"/>
    <w:pPr>
      <w:numPr>
        <w:ilvl w:val="2"/>
        <w:numId w:val="53"/>
      </w:numPr>
      <w:spacing w:before="120" w:after="120"/>
      <w:jc w:val="both"/>
    </w:pPr>
    <w:rPr>
      <w:rFonts w:ascii="Times New Roman" w:eastAsiaTheme="minorHAnsi" w:hAnsi="Times New Roman" w:cs="Times New Roman"/>
      <w:sz w:val="24"/>
      <w:szCs w:val="22"/>
    </w:rPr>
  </w:style>
  <w:style w:type="paragraph" w:customStyle="1" w:styleId="Point2number">
    <w:name w:val="Point 2 (number)"/>
    <w:basedOn w:val="Normal"/>
    <w:pPr>
      <w:numPr>
        <w:ilvl w:val="4"/>
        <w:numId w:val="53"/>
      </w:numPr>
      <w:spacing w:before="120" w:after="120"/>
      <w:jc w:val="both"/>
    </w:pPr>
    <w:rPr>
      <w:rFonts w:ascii="Times New Roman" w:eastAsiaTheme="minorHAnsi" w:hAnsi="Times New Roman" w:cs="Times New Roman"/>
      <w:sz w:val="24"/>
      <w:szCs w:val="22"/>
    </w:rPr>
  </w:style>
  <w:style w:type="paragraph" w:customStyle="1" w:styleId="Point3number">
    <w:name w:val="Point 3 (number)"/>
    <w:basedOn w:val="Normal"/>
    <w:pPr>
      <w:numPr>
        <w:ilvl w:val="6"/>
        <w:numId w:val="53"/>
      </w:numPr>
      <w:spacing w:before="120" w:after="120"/>
      <w:jc w:val="both"/>
    </w:pPr>
    <w:rPr>
      <w:rFonts w:ascii="Times New Roman" w:eastAsiaTheme="minorHAnsi" w:hAnsi="Times New Roman" w:cs="Times New Roman"/>
      <w:sz w:val="24"/>
      <w:szCs w:val="22"/>
    </w:rPr>
  </w:style>
  <w:style w:type="paragraph" w:customStyle="1" w:styleId="Point0letter">
    <w:name w:val="Point 0 (letter)"/>
    <w:basedOn w:val="Normal"/>
    <w:pPr>
      <w:numPr>
        <w:ilvl w:val="1"/>
        <w:numId w:val="53"/>
      </w:numPr>
      <w:spacing w:before="120" w:after="120"/>
      <w:jc w:val="both"/>
    </w:pPr>
    <w:rPr>
      <w:rFonts w:ascii="Times New Roman" w:eastAsiaTheme="minorHAnsi" w:hAnsi="Times New Roman" w:cs="Times New Roman"/>
      <w:sz w:val="24"/>
      <w:szCs w:val="22"/>
    </w:rPr>
  </w:style>
  <w:style w:type="paragraph" w:customStyle="1" w:styleId="Point1letter">
    <w:name w:val="Point 1 (letter)"/>
    <w:basedOn w:val="Normal"/>
    <w:pPr>
      <w:numPr>
        <w:ilvl w:val="3"/>
        <w:numId w:val="53"/>
      </w:numPr>
      <w:spacing w:before="120" w:after="120"/>
      <w:jc w:val="both"/>
    </w:pPr>
    <w:rPr>
      <w:rFonts w:ascii="Times New Roman" w:eastAsiaTheme="minorHAnsi" w:hAnsi="Times New Roman" w:cs="Times New Roman"/>
      <w:sz w:val="24"/>
      <w:szCs w:val="22"/>
    </w:rPr>
  </w:style>
  <w:style w:type="paragraph" w:customStyle="1" w:styleId="Point2letter">
    <w:name w:val="Point 2 (letter)"/>
    <w:basedOn w:val="Normal"/>
    <w:pPr>
      <w:numPr>
        <w:ilvl w:val="5"/>
        <w:numId w:val="53"/>
      </w:numPr>
      <w:spacing w:before="120" w:after="120"/>
      <w:jc w:val="both"/>
    </w:pPr>
    <w:rPr>
      <w:rFonts w:ascii="Times New Roman" w:eastAsiaTheme="minorHAnsi" w:hAnsi="Times New Roman" w:cs="Times New Roman"/>
      <w:sz w:val="24"/>
      <w:szCs w:val="22"/>
    </w:rPr>
  </w:style>
  <w:style w:type="paragraph" w:customStyle="1" w:styleId="Point3letter">
    <w:name w:val="Point 3 (letter)"/>
    <w:basedOn w:val="Normal"/>
    <w:pPr>
      <w:numPr>
        <w:ilvl w:val="7"/>
        <w:numId w:val="53"/>
      </w:numPr>
      <w:spacing w:before="120" w:after="120"/>
      <w:jc w:val="both"/>
    </w:pPr>
    <w:rPr>
      <w:rFonts w:ascii="Times New Roman" w:eastAsiaTheme="minorHAnsi" w:hAnsi="Times New Roman" w:cs="Times New Roman"/>
      <w:sz w:val="24"/>
      <w:szCs w:val="22"/>
    </w:rPr>
  </w:style>
  <w:style w:type="paragraph" w:customStyle="1" w:styleId="Point4letter">
    <w:name w:val="Point 4 (letter)"/>
    <w:basedOn w:val="Normal"/>
    <w:pPr>
      <w:numPr>
        <w:ilvl w:val="8"/>
        <w:numId w:val="53"/>
      </w:numPr>
      <w:spacing w:before="120" w:after="120"/>
      <w:jc w:val="both"/>
    </w:pPr>
    <w:rPr>
      <w:rFonts w:ascii="Times New Roman" w:eastAsiaTheme="minorHAnsi" w:hAnsi="Times New Roman" w:cs="Times New Roman"/>
      <w:sz w:val="24"/>
      <w:szCs w:val="22"/>
    </w:rPr>
  </w:style>
  <w:style w:type="paragraph" w:styleId="BodyText">
    <w:name w:val="Body Text"/>
    <w:basedOn w:val="Normal"/>
    <w:link w:val="BodyTextChar"/>
    <w:uiPriority w:val="1"/>
    <w:qFormat/>
    <w:pPr>
      <w:widowControl w:val="0"/>
      <w:ind w:left="20"/>
    </w:pPr>
    <w:rPr>
      <w:rFonts w:ascii="Cambria" w:eastAsia="Cambria" w:hAnsi="Cambria"/>
      <w:sz w:val="19"/>
      <w:szCs w:val="19"/>
    </w:rPr>
  </w:style>
  <w:style w:type="character" w:customStyle="1" w:styleId="BodyTextChar">
    <w:name w:val="Body Text Char"/>
    <w:basedOn w:val="DefaultParagraphFont"/>
    <w:link w:val="BodyText"/>
    <w:uiPriority w:val="1"/>
    <w:rPr>
      <w:rFonts w:ascii="Cambria" w:eastAsia="Cambria" w:hAnsi="Cambria"/>
      <w:sz w:val="19"/>
      <w:szCs w:val="19"/>
    </w:rPr>
  </w:style>
  <w:style w:type="paragraph" w:customStyle="1" w:styleId="TableParagraph">
    <w:name w:val="Table Paragraph"/>
    <w:basedOn w:val="Normal"/>
    <w:uiPriority w:val="1"/>
    <w:qFormat/>
    <w:pPr>
      <w:widowControl w:val="0"/>
    </w:pPr>
    <w:rPr>
      <w:rFonts w:eastAsiaTheme="minorHAnsi"/>
      <w:szCs w:val="22"/>
    </w:rPr>
  </w:style>
  <w:style w:type="paragraph" w:customStyle="1" w:styleId="Instructionsberschrift2">
    <w:name w:val="Instructions Überschrift 2"/>
    <w:basedOn w:val="Heading2"/>
    <w:link w:val="Instructionsberschrift2Char"/>
    <w:pPr>
      <w:keepNext/>
      <w:pBdr>
        <w:bottom w:val="none" w:sz="0" w:space="0" w:color="auto"/>
      </w:pBdr>
      <w:spacing w:before="240" w:after="240" w:line="240" w:lineRule="auto"/>
      <w:jc w:val="both"/>
    </w:pPr>
    <w:rPr>
      <w:rFonts w:ascii="Verdana" w:eastAsia="Times New Roman" w:hAnsi="Verdana" w:cs="Arial"/>
      <w:color w:val="auto"/>
      <w:kern w:val="0"/>
      <w:sz w:val="20"/>
      <w:szCs w:val="24"/>
      <w:u w:val="single"/>
    </w:rPr>
  </w:style>
  <w:style w:type="paragraph" w:customStyle="1" w:styleId="InstructionsText">
    <w:name w:val="Instructions Text"/>
    <w:basedOn w:val="Normal"/>
    <w:link w:val="InstructionsTextChar"/>
    <w:autoRedefine/>
    <w:pPr>
      <w:spacing w:before="108"/>
      <w:ind w:firstLine="221"/>
      <w:jc w:val="both"/>
    </w:pPr>
    <w:rPr>
      <w:rFonts w:asciiTheme="majorHAnsi" w:eastAsia="Times New Roman" w:hAnsiTheme="majorHAnsi" w:cs="Arial"/>
      <w:szCs w:val="22"/>
    </w:rPr>
  </w:style>
  <w:style w:type="character" w:customStyle="1" w:styleId="InstructionsTextChar">
    <w:name w:val="Instructions Text Char"/>
    <w:link w:val="InstructionsText"/>
    <w:locked/>
    <w:rPr>
      <w:rFonts w:asciiTheme="majorHAnsi" w:eastAsia="Times New Roman" w:hAnsiTheme="majorHAnsi" w:cs="Arial"/>
    </w:rPr>
  </w:style>
  <w:style w:type="paragraph" w:customStyle="1" w:styleId="InstructionsText2">
    <w:name w:val="Instructions Text 2"/>
    <w:basedOn w:val="InstructionsText"/>
    <w:qFormat/>
    <w:pPr>
      <w:numPr>
        <w:numId w:val="72"/>
      </w:numPr>
      <w:spacing w:after="240"/>
    </w:pPr>
  </w:style>
  <w:style w:type="character" w:customStyle="1" w:styleId="Instructionsberschrift2Char">
    <w:name w:val="Instructions Überschrift 2 Char"/>
    <w:link w:val="Instructionsberschrift2"/>
    <w:locked/>
    <w:rPr>
      <w:rFonts w:ascii="Verdana" w:eastAsia="Times New Roman" w:hAnsi="Verdana" w:cs="Arial"/>
      <w:sz w:val="20"/>
      <w:szCs w:val="24"/>
      <w:u w:val="single"/>
    </w:rPr>
  </w:style>
  <w:style w:type="paragraph" w:styleId="NormalWeb">
    <w:name w:val="Normal (Web)"/>
    <w:basedOn w:val="Normal"/>
    <w:uiPriority w:val="99"/>
    <w:unhideWhenUsed/>
    <w:pPr>
      <w:spacing w:before="100" w:beforeAutospacing="1" w:after="100" w:afterAutospacing="1"/>
    </w:pPr>
    <w:rPr>
      <w:rFonts w:ascii="Times New Roman" w:eastAsiaTheme="minorHAnsi" w:hAnsi="Times New Roman" w:cs="Times New Roman"/>
      <w:sz w:val="24"/>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CM4">
    <w:name w:val="CM4"/>
    <w:basedOn w:val="Default"/>
    <w:next w:val="Default"/>
    <w:uiPriority w:val="99"/>
    <w:rPr>
      <w:rFonts w:ascii="EUAlbertina" w:hAnsi="EUAlbertina" w:cstheme="minorBidi"/>
      <w:color w:val="auto"/>
    </w:rPr>
  </w:style>
  <w:style w:type="paragraph" w:customStyle="1" w:styleId="Baseparagraphnumbered">
    <w:name w:val="Base paragraph numbered"/>
    <w:basedOn w:val="Normal"/>
    <w:link w:val="BaseparagraphnumberedChar"/>
    <w:qFormat/>
    <w:pPr>
      <w:numPr>
        <w:numId w:val="59"/>
      </w:numPr>
      <w:spacing w:after="240"/>
      <w:jc w:val="both"/>
    </w:pPr>
    <w:rPr>
      <w:rFonts w:ascii="Times New Roman" w:eastAsia="Times New Roman" w:hAnsi="Times New Roman" w:cs="Times New Roman"/>
      <w:sz w:val="24"/>
    </w:rPr>
  </w:style>
  <w:style w:type="character" w:customStyle="1" w:styleId="BaseparagraphnumberedChar">
    <w:name w:val="Base paragraph numbered Char"/>
    <w:link w:val="Baseparagraphnumbered"/>
    <w:rPr>
      <w:rFonts w:ascii="Times New Roman" w:eastAsia="Times New Roman" w:hAnsi="Times New Roman" w:cs="Times New Roman"/>
      <w:sz w:val="24"/>
      <w:szCs w:val="24"/>
    </w:rPr>
  </w:style>
  <w:style w:type="paragraph" w:styleId="Revision">
    <w:name w:val="Revision"/>
    <w:hidden/>
    <w:uiPriority w:val="99"/>
    <w:semiHidden/>
    <w:pPr>
      <w:spacing w:after="0" w:line="240" w:lineRule="auto"/>
    </w:pPr>
    <w:rPr>
      <w:rFonts w:eastAsiaTheme="minorEastAsia"/>
      <w:szCs w:val="24"/>
    </w:rPr>
  </w:style>
  <w:style w:type="character" w:styleId="Emphasis">
    <w:name w:val="Emphasis"/>
    <w:basedOn w:val="DefaultParagraphFont"/>
    <w:uiPriority w:val="20"/>
    <w:qFormat/>
    <w:rPr>
      <w:i/>
      <w:iCs/>
    </w:rPr>
  </w:style>
  <w:style w:type="character" w:customStyle="1" w:styleId="InstructionsTabelleberschrift">
    <w:name w:val="Instructions Tabelle Überschrift"/>
    <w:qFormat/>
    <w:rPr>
      <w:rFonts w:ascii="Verdana" w:hAnsi="Verdana" w:cs="Times New Roman"/>
      <w:b/>
      <w:bCs/>
      <w:sz w:val="20"/>
      <w:u w:val="single"/>
    </w:rPr>
  </w:style>
  <w:style w:type="paragraph" w:customStyle="1" w:styleId="Instructionsberschrift3">
    <w:name w:val="Instructions Überschrift 3"/>
    <w:basedOn w:val="Numberedtitlelevel3"/>
    <w:pPr>
      <w:numPr>
        <w:ilvl w:val="2"/>
        <w:numId w:val="260"/>
      </w:numPr>
    </w:pPr>
    <w:rPr>
      <w:rFonts w:ascii="Times New Roman" w:hAnsi="Times New Roman" w:cs="Times New Roman"/>
      <w:b w:val="0"/>
      <w:color w:val="000000" w:themeColor="text1"/>
      <w:sz w:val="20"/>
      <w:szCs w:val="20"/>
      <w:u w:val="single"/>
    </w:rPr>
  </w:style>
  <w:style w:type="table" w:customStyle="1" w:styleId="TableGrid0">
    <w:name w:val="Table Grid0"/>
    <w:pPr>
      <w:spacing w:after="0" w:line="240" w:lineRule="auto"/>
    </w:pPr>
    <w:rPr>
      <w:rFonts w:eastAsiaTheme="minorEastAsia"/>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ql-indent-1">
    <w:name w:val="ql-indent-1"/>
    <w:basedOn w:val="Normal"/>
    <w:pPr>
      <w:spacing w:before="100" w:beforeAutospacing="1" w:after="100" w:afterAutospacing="1"/>
    </w:pPr>
    <w:rPr>
      <w:rFonts w:ascii="Times New Roman" w:eastAsia="Times New Roman" w:hAnsi="Times New Roman" w:cs="Times New Roman"/>
      <w:sz w:val="24"/>
    </w:rPr>
  </w:style>
  <w:style w:type="paragraph" w:customStyle="1" w:styleId="ql-indent-3">
    <w:name w:val="ql-indent-3"/>
    <w:basedOn w:val="Normal"/>
    <w:pPr>
      <w:spacing w:before="100" w:beforeAutospacing="1" w:after="100" w:afterAutospacing="1"/>
    </w:pPr>
    <w:rPr>
      <w:rFonts w:ascii="Times New Roman" w:eastAsia="Times New Roman" w:hAnsi="Times New Roman" w:cs="Times New Roman"/>
      <w:sz w:val="24"/>
    </w:rPr>
  </w:style>
  <w:style w:type="paragraph" w:customStyle="1" w:styleId="norm">
    <w:name w:val="norm"/>
    <w:basedOn w:val="Normal"/>
    <w:pPr>
      <w:spacing w:before="100" w:beforeAutospacing="1" w:after="100" w:afterAutospacing="1"/>
    </w:pPr>
    <w:rPr>
      <w:rFonts w:ascii="Times New Roman" w:eastAsia="Times New Roman" w:hAnsi="Times New Roman" w:cs="Times New Roman"/>
      <w:sz w:val="24"/>
    </w:rPr>
  </w:style>
  <w:style w:type="table" w:customStyle="1" w:styleId="TableGrid1">
    <w:name w:val="Table Grid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rFonts w:eastAsiaTheme="minorHAnsi"/>
      <w:sz w:val="20"/>
      <w:szCs w:val="20"/>
    </w:rPr>
  </w:style>
  <w:style w:type="character" w:customStyle="1" w:styleId="EndnoteTextChar1">
    <w:name w:val="Endnote Text Char1"/>
    <w:basedOn w:val="DefaultParagraphFont"/>
    <w:uiPriority w:val="99"/>
    <w:semiHidden/>
    <w:rPr>
      <w:rFonts w:eastAsiaTheme="minorEastAsia"/>
      <w:sz w:val="20"/>
      <w:szCs w:val="20"/>
    </w:rPr>
  </w:style>
  <w:style w:type="table" w:customStyle="1" w:styleId="TableGrid11">
    <w:name w:val="Table Grid1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376B0"/>
    <w:rPr>
      <w:color w:val="605E5C"/>
      <w:shd w:val="clear" w:color="auto" w:fill="E1DFDD"/>
    </w:rPr>
  </w:style>
  <w:style w:type="character" w:customStyle="1" w:styleId="PrrafodelistaCar">
    <w:name w:val="Párrafo de lista Car"/>
    <w:aliases w:val="Paragraphe EI Car,Paragraphe de liste1 Car,EC Car,Paragraphe de liste2 Car,Colorful List Accent 1 Car,Liste couleur - Accent 11 Car,Paragraphe de liste11 Car,RETRAIT 1 Car,List Paragraph1 Car,Colorful List - Accent 11 Car"/>
    <w:basedOn w:val="DefaultParagraphFont"/>
    <w:uiPriority w:val="34"/>
    <w:locked/>
    <w:rsid w:val="0046145A"/>
    <w:rPr>
      <w:rFonts w:ascii="Aptos" w:hAnsi="Aptos"/>
      <w14:ligatures w14:val="standardContextual"/>
    </w:rPr>
  </w:style>
  <w:style w:type="paragraph" w:customStyle="1" w:styleId="P68B1DB1-ListParagraph1">
    <w:name w:val="P68B1DB1-ListParagraph1"/>
    <w:basedOn w:val="ListParagraph"/>
    <w:rPr>
      <w:rFonts w:ascii="Times New Roman" w:hAnsi="Times New Roman"/>
      <w:b/>
      <w:color w:val="000000" w:themeColor="text1"/>
      <w:sz w:val="20"/>
      <w:szCs w:val="20"/>
    </w:rPr>
  </w:style>
  <w:style w:type="paragraph" w:customStyle="1" w:styleId="P68B1DB1-TOC22">
    <w:name w:val="P68B1DB1-TOC22"/>
    <w:basedOn w:val="TOC2"/>
    <w:rPr>
      <w:sz w:val="20"/>
      <w:szCs w:val="20"/>
    </w:rPr>
  </w:style>
  <w:style w:type="paragraph" w:customStyle="1" w:styleId="P68B1DB1-Normal3">
    <w:name w:val="P68B1DB1-Normal3"/>
    <w:basedOn w:val="Normal"/>
    <w:rPr>
      <w:rFonts w:ascii="Times New Roman" w:hAnsi="Times New Roman" w:cs="Times New Roman"/>
      <w:color w:val="000000" w:themeColor="text1"/>
      <w:sz w:val="20"/>
      <w:szCs w:val="20"/>
    </w:rPr>
  </w:style>
  <w:style w:type="paragraph" w:customStyle="1" w:styleId="P68B1DB1-Instructionsberschrift24">
    <w:name w:val="P68B1DB1-Instructionsberschrift24"/>
    <w:basedOn w:val="Instructionsberschrift2"/>
    <w:rPr>
      <w:rFonts w:ascii="Times New Roman" w:hAnsi="Times New Roman" w:cs="Times New Roman"/>
      <w:szCs w:val="20"/>
    </w:rPr>
  </w:style>
  <w:style w:type="paragraph" w:customStyle="1" w:styleId="P68B1DB1-Instructionsberschrift25">
    <w:name w:val="P68B1DB1-Instructionsberschrift25"/>
    <w:basedOn w:val="Instructionsberschrift2"/>
    <w:rPr>
      <w:rFonts w:ascii="Times New Roman" w:hAnsi="Times New Roman" w:cs="Times New Roman"/>
    </w:rPr>
  </w:style>
  <w:style w:type="paragraph" w:customStyle="1" w:styleId="P68B1DB1-InstructionsText26">
    <w:name w:val="P68B1DB1-InstructionsText26"/>
    <w:basedOn w:val="InstructionsText2"/>
    <w:rPr>
      <w:rFonts w:ascii="Times New Roman" w:hAnsi="Times New Roman" w:cs="Times New Roman"/>
      <w:sz w:val="20"/>
      <w:szCs w:val="20"/>
    </w:rPr>
  </w:style>
  <w:style w:type="paragraph" w:customStyle="1" w:styleId="P68B1DB1-body7">
    <w:name w:val="P68B1DB1-body7"/>
    <w:basedOn w:val="body"/>
    <w:rPr>
      <w:rFonts w:ascii="Times New Roman" w:hAnsi="Times New Roman" w:cs="Times New Roman"/>
      <w:color w:val="000000" w:themeColor="text1"/>
      <w:sz w:val="20"/>
      <w:szCs w:val="20"/>
    </w:rPr>
  </w:style>
  <w:style w:type="paragraph" w:customStyle="1" w:styleId="P68B1DB1-ListParagraph8">
    <w:name w:val="P68B1DB1-ListParagraph8"/>
    <w:basedOn w:val="ListParagraph"/>
    <w:rPr>
      <w:rFonts w:ascii="Times New Roman" w:hAnsi="Times New Roman"/>
      <w:color w:val="000000" w:themeColor="text1"/>
      <w:sz w:val="20"/>
      <w:szCs w:val="20"/>
    </w:rPr>
  </w:style>
  <w:style w:type="paragraph" w:customStyle="1" w:styleId="P68B1DB1-ListParagraph9">
    <w:name w:val="P68B1DB1-ListParagraph9"/>
    <w:basedOn w:val="ListParagraph"/>
    <w:rPr>
      <w:rFonts w:ascii="Times New Roman" w:hAnsi="Times New Roman"/>
    </w:rPr>
  </w:style>
  <w:style w:type="paragraph" w:customStyle="1" w:styleId="P68B1DB1-Instructionsberschrift310">
    <w:name w:val="P68B1DB1-Instructionsberschrift310"/>
    <w:basedOn w:val="Instructionsberschrift3"/>
    <w:rPr>
      <w:u w:val="none"/>
    </w:rPr>
  </w:style>
  <w:style w:type="paragraph" w:customStyle="1" w:styleId="P68B1DB1-numberedparagraph11">
    <w:name w:val="P68B1DB1-numberedparagraph11"/>
    <w:basedOn w:val="numberedparagraph"/>
    <w:rPr>
      <w:rFonts w:ascii="Times New Roman" w:hAnsi="Times New Roman" w:cs="Times New Roman"/>
    </w:rPr>
  </w:style>
  <w:style w:type="paragraph" w:customStyle="1" w:styleId="P68B1DB1-Instructionsberschrift312">
    <w:name w:val="P68B1DB1-Instructionsberschrift312"/>
    <w:basedOn w:val="Instructionsberschrift3"/>
    <w:rPr>
      <w:b/>
    </w:rPr>
  </w:style>
  <w:style w:type="paragraph" w:customStyle="1" w:styleId="P68B1DB1-TableParagraph13">
    <w:name w:val="P68B1DB1-TableParagraph13"/>
    <w:basedOn w:val="TableParagraph"/>
    <w:rPr>
      <w:rFonts w:ascii="Times New Roman" w:hAnsi="Times New Roman" w:cs="Times New Roman"/>
      <w:color w:val="000000" w:themeColor="text1"/>
      <w:sz w:val="20"/>
      <w:szCs w:val="20"/>
    </w:rPr>
  </w:style>
  <w:style w:type="paragraph" w:customStyle="1" w:styleId="P68B1DB1-TableParagraph14">
    <w:name w:val="P68B1DB1-TableParagraph14"/>
    <w:basedOn w:val="TableParagraph"/>
    <w:rPr>
      <w:rFonts w:ascii="Times New Roman" w:hAnsi="Times New Roman" w:cs="Times New Roman"/>
      <w:b/>
      <w:color w:val="000000" w:themeColor="text1"/>
      <w:sz w:val="20"/>
      <w:szCs w:val="20"/>
    </w:rPr>
  </w:style>
  <w:style w:type="paragraph" w:customStyle="1" w:styleId="P68B1DB1-TableParagraph15">
    <w:name w:val="P68B1DB1-TableParagraph15"/>
    <w:basedOn w:val="TableParagraph"/>
    <w:rPr>
      <w:rFonts w:ascii="Times New Roman" w:eastAsia="Book Antiqua" w:hAnsi="Times New Roman" w:cs="Times New Roman"/>
      <w:color w:val="000000" w:themeColor="text1"/>
      <w:sz w:val="20"/>
      <w:szCs w:val="20"/>
    </w:rPr>
  </w:style>
  <w:style w:type="paragraph" w:customStyle="1" w:styleId="P68B1DB1-TableParagraph16">
    <w:name w:val="P68B1DB1-TableParagraph16"/>
    <w:basedOn w:val="TableParagraph"/>
    <w:rPr>
      <w:rFonts w:ascii="Times New Roman" w:hAnsi="Times New Roman" w:cs="Times New Roman"/>
    </w:rPr>
  </w:style>
  <w:style w:type="paragraph" w:customStyle="1" w:styleId="P68B1DB1-TableParagraph17">
    <w:name w:val="P68B1DB1-TableParagraph17"/>
    <w:basedOn w:val="TableParagraph"/>
    <w:rPr>
      <w:rFonts w:ascii="Times New Roman" w:eastAsia="Cambria" w:hAnsi="Times New Roman" w:cs="Times New Roman"/>
      <w:color w:val="000000" w:themeColor="text1"/>
      <w:sz w:val="20"/>
      <w:szCs w:val="20"/>
    </w:rPr>
  </w:style>
  <w:style w:type="paragraph" w:customStyle="1" w:styleId="P68B1DB1-Normal18">
    <w:name w:val="P68B1DB1-Normal18"/>
    <w:basedOn w:val="Normal"/>
    <w:rPr>
      <w:rFonts w:ascii="Times New Roman" w:eastAsia="Cambria" w:hAnsi="Times New Roman" w:cs="Times New Roman"/>
      <w:color w:val="000000" w:themeColor="text1"/>
      <w:sz w:val="20"/>
      <w:szCs w:val="20"/>
    </w:rPr>
  </w:style>
  <w:style w:type="paragraph" w:customStyle="1" w:styleId="P68B1DB1-Normal19">
    <w:name w:val="P68B1DB1-Normal19"/>
    <w:basedOn w:val="Normal"/>
    <w:rPr>
      <w:rFonts w:ascii="Times New Roman" w:hAnsi="Times New Roman" w:cs="Times New Roman"/>
      <w:sz w:val="20"/>
      <w:szCs w:val="20"/>
    </w:rPr>
  </w:style>
  <w:style w:type="paragraph" w:customStyle="1" w:styleId="P68B1DB1-TableParagraph20">
    <w:name w:val="P68B1DB1-TableParagraph20"/>
    <w:basedOn w:val="TableParagraph"/>
    <w:rPr>
      <w:rFonts w:ascii="Times New Roman" w:eastAsia="Cambria" w:hAnsi="Times New Roman" w:cs="Times New Roman"/>
      <w:sz w:val="20"/>
      <w:szCs w:val="20"/>
    </w:rPr>
  </w:style>
  <w:style w:type="paragraph" w:customStyle="1" w:styleId="P68B1DB1-Normal21">
    <w:name w:val="P68B1DB1-Normal21"/>
    <w:basedOn w:val="Normal"/>
    <w:rPr>
      <w:rFonts w:ascii="Times New Roman" w:eastAsia="Cambria" w:hAnsi="Times New Roman" w:cs="Times New Roman"/>
      <w:sz w:val="20"/>
      <w:szCs w:val="20"/>
    </w:rPr>
  </w:style>
  <w:style w:type="paragraph" w:customStyle="1" w:styleId="P68B1DB1-InstructionsText22">
    <w:name w:val="P68B1DB1-InstructionsText22"/>
    <w:basedOn w:val="InstructionsText"/>
    <w:rPr>
      <w:rFonts w:ascii="Times New Roman" w:hAnsi="Times New Roman" w:cs="Times New Roman"/>
      <w:color w:val="000000" w:themeColor="text1"/>
      <w:sz w:val="20"/>
      <w:szCs w:val="20"/>
    </w:rPr>
  </w:style>
  <w:style w:type="paragraph" w:customStyle="1" w:styleId="P68B1DB1-ListParagraph23">
    <w:name w:val="P68B1DB1-ListParagraph23"/>
    <w:basedOn w:val="ListParagraph"/>
    <w:rPr>
      <w:rFonts w:ascii="Times New Roman" w:eastAsiaTheme="minorEastAsia" w:hAnsi="Times New Roman"/>
      <w:color w:val="000000" w:themeColor="text1"/>
      <w:sz w:val="20"/>
      <w:szCs w:val="20"/>
      <w:u w:val="single"/>
    </w:rPr>
  </w:style>
  <w:style w:type="paragraph" w:customStyle="1" w:styleId="P68B1DB1-TableParagraph24">
    <w:name w:val="P68B1DB1-TableParagraph24"/>
    <w:basedOn w:val="TableParagraph"/>
    <w:rPr>
      <w:rFonts w:ascii="Times New Roman" w:eastAsia="Cambria" w:hAnsi="Times New Roman" w:cs="Times New Roman"/>
      <w:color w:val="000000" w:themeColor="text1"/>
      <w:sz w:val="20"/>
      <w:szCs w:val="20"/>
      <w:u w:val="single"/>
    </w:rPr>
  </w:style>
  <w:style w:type="paragraph" w:customStyle="1" w:styleId="P68B1DB1-ListParagraph25">
    <w:name w:val="P68B1DB1-ListParagraph25"/>
    <w:basedOn w:val="ListParagraph"/>
    <w:rPr>
      <w:rFonts w:ascii="Times New Roman" w:eastAsia="Cambria" w:hAnsi="Times New Roman"/>
      <w:color w:val="000000" w:themeColor="text1"/>
      <w:sz w:val="20"/>
      <w:szCs w:val="20"/>
    </w:rPr>
  </w:style>
  <w:style w:type="paragraph" w:customStyle="1" w:styleId="P68B1DB1-body26">
    <w:name w:val="P68B1DB1-body26"/>
    <w:basedOn w:val="body"/>
    <w:rPr>
      <w:u w:val="single"/>
    </w:rPr>
  </w:style>
  <w:style w:type="paragraph" w:customStyle="1" w:styleId="P68B1DB1-List127">
    <w:name w:val="P68B1DB1-List127"/>
    <w:basedOn w:val="List1"/>
    <w:rPr>
      <w:rFonts w:ascii="Times New Roman" w:eastAsia="Cambria" w:hAnsi="Times New Roman" w:cs="Times New Roman"/>
      <w:color w:val="000000" w:themeColor="text1"/>
      <w:sz w:val="20"/>
      <w:szCs w:val="20"/>
    </w:rPr>
  </w:style>
  <w:style w:type="paragraph" w:customStyle="1" w:styleId="P68B1DB1-TableParagraph28">
    <w:name w:val="P68B1DB1-TableParagraph28"/>
    <w:basedOn w:val="TableParagraph"/>
    <w:rPr>
      <w:rFonts w:ascii="Times New Roman" w:eastAsia="Cambria" w:hAnsi="Times New Roman" w:cs="Times New Roman"/>
      <w:b/>
      <w:color w:val="000000" w:themeColor="text1"/>
      <w:sz w:val="20"/>
      <w:szCs w:val="20"/>
      <w:u w:val="single"/>
    </w:rPr>
  </w:style>
  <w:style w:type="paragraph" w:customStyle="1" w:styleId="P68B1DB1-InstructionsText229">
    <w:name w:val="P68B1DB1-InstructionsText229"/>
    <w:basedOn w:val="InstructionsText2"/>
    <w:rPr>
      <w:rFonts w:ascii="Times New Roman" w:hAnsi="Times New Roman" w:cs="Times New Roman"/>
    </w:rPr>
  </w:style>
  <w:style w:type="paragraph" w:customStyle="1" w:styleId="P68B1DB1-body30">
    <w:name w:val="P68B1DB1-body30"/>
    <w:basedOn w:val="body"/>
    <w:rPr>
      <w:rFonts w:ascii="Times New Roman" w:hAnsi="Times New Roman" w:cs="Times New Roman"/>
      <w:sz w:val="20"/>
      <w:szCs w:val="20"/>
      <w:u w:val="single"/>
    </w:rPr>
  </w:style>
  <w:style w:type="paragraph" w:customStyle="1" w:styleId="P68B1DB1-Normal31">
    <w:name w:val="P68B1DB1-Normal31"/>
    <w:basedOn w:val="Normal"/>
    <w:rPr>
      <w:rFonts w:ascii="Times New Roman" w:eastAsia="Times New Roman" w:hAnsi="Times New Roman" w:cs="Times New Roman"/>
      <w:sz w:val="20"/>
      <w:szCs w:val="20"/>
    </w:rPr>
  </w:style>
  <w:style w:type="paragraph" w:customStyle="1" w:styleId="P68B1DB1-ListParagraph32">
    <w:name w:val="P68B1DB1-ListParagraph32"/>
    <w:basedOn w:val="ListParagraph"/>
    <w:rPr>
      <w:rFonts w:ascii="Times New Roman" w:eastAsia="Times New Roman" w:hAnsi="Times New Roman"/>
      <w:sz w:val="20"/>
      <w:szCs w:val="20"/>
    </w:rPr>
  </w:style>
  <w:style w:type="paragraph" w:customStyle="1" w:styleId="P68B1DB1-TableParagraph33">
    <w:name w:val="P68B1DB1-TableParagraph33"/>
    <w:basedOn w:val="TableParagraph"/>
    <w:rPr>
      <w:rFonts w:ascii="Times New Roman" w:eastAsia="Times New Roman" w:hAnsi="Times New Roman"/>
      <w:sz w:val="20"/>
      <w:szCs w:val="20"/>
    </w:rPr>
  </w:style>
  <w:style w:type="paragraph" w:customStyle="1" w:styleId="P68B1DB1-Normal34">
    <w:name w:val="P68B1DB1-Normal34"/>
    <w:basedOn w:val="Normal"/>
    <w:rPr>
      <w:rFonts w:ascii="Times New Roman" w:eastAsia="Times New Roman" w:hAnsi="Times New Roman"/>
      <w:sz w:val="20"/>
      <w:szCs w:val="20"/>
    </w:rPr>
  </w:style>
  <w:style w:type="paragraph" w:customStyle="1" w:styleId="P68B1DB1-Normal35">
    <w:name w:val="P68B1DB1-Normal35"/>
    <w:basedOn w:val="Normal"/>
    <w:rPr>
      <w:rFonts w:ascii="Times New Roman" w:eastAsia="Times New Roman" w:hAnsi="Times New Roman" w:cs="Times New Roman"/>
      <w:b/>
      <w:color w:val="000000" w:themeColor="text1"/>
      <w:sz w:val="20"/>
      <w:szCs w:val="20"/>
    </w:rPr>
  </w:style>
  <w:style w:type="paragraph" w:customStyle="1" w:styleId="P68B1DB1-Normal36">
    <w:name w:val="P68B1DB1-Normal36"/>
    <w:basedOn w:val="Normal"/>
    <w:rPr>
      <w:rFonts w:ascii="Times New Roman" w:eastAsia="Times New Roman" w:hAnsi="Times New Roman" w:cs="Times New Roman"/>
      <w:color w:val="000000" w:themeColor="text1"/>
      <w:sz w:val="20"/>
      <w:szCs w:val="20"/>
    </w:rPr>
  </w:style>
  <w:style w:type="paragraph" w:customStyle="1" w:styleId="P68B1DB1-ListParagraph37">
    <w:name w:val="P68B1DB1-ListParagraph37"/>
    <w:basedOn w:val="ListParagraph"/>
    <w:rPr>
      <w:rFonts w:ascii="Times New Roman" w:eastAsia="Times New Roman" w:hAnsi="Times New Roman"/>
      <w:color w:val="000000" w:themeColor="text1"/>
      <w:sz w:val="20"/>
      <w:szCs w:val="20"/>
    </w:rPr>
  </w:style>
  <w:style w:type="paragraph" w:customStyle="1" w:styleId="P68B1DB1-ListParagraph38">
    <w:name w:val="P68B1DB1-ListParagraph38"/>
    <w:basedOn w:val="ListParagraph"/>
    <w:rPr>
      <w:rFonts w:ascii="Times New Roman" w:eastAsiaTheme="minorHAnsi" w:hAnsi="Times New Roman"/>
      <w:color w:val="000000" w:themeColor="text1"/>
      <w:sz w:val="20"/>
      <w:szCs w:val="20"/>
    </w:rPr>
  </w:style>
  <w:style w:type="paragraph" w:customStyle="1" w:styleId="P68B1DB1-ListParagraph39">
    <w:name w:val="P68B1DB1-ListParagraph39"/>
    <w:basedOn w:val="ListParagraph"/>
    <w:rPr>
      <w:rFonts w:ascii="Times New Roman" w:eastAsiaTheme="minorEastAsia" w:hAnsi="Times New Roman"/>
      <w:color w:val="000000" w:themeColor="text1"/>
      <w:sz w:val="20"/>
      <w:szCs w:val="20"/>
    </w:rPr>
  </w:style>
  <w:style w:type="paragraph" w:customStyle="1" w:styleId="P68B1DB1-TableParagraph40">
    <w:name w:val="P68B1DB1-TableParagraph40"/>
    <w:basedOn w:val="TableParagraph"/>
    <w:rPr>
      <w:rFonts w:ascii="Times New Roman" w:eastAsia="Times New Roman" w:hAnsi="Times New Roman" w:cs="Times New Roman"/>
      <w:sz w:val="20"/>
      <w:szCs w:val="20"/>
    </w:rPr>
  </w:style>
  <w:style w:type="paragraph" w:customStyle="1" w:styleId="P68B1DB1-TableParagraph41">
    <w:name w:val="P68B1DB1-TableParagraph41"/>
    <w:basedOn w:val="TableParagraph"/>
    <w:rPr>
      <w:sz w:val="20"/>
      <w:szCs w:val="20"/>
    </w:rPr>
  </w:style>
  <w:style w:type="paragraph" w:customStyle="1" w:styleId="P68B1DB1-Normal42">
    <w:name w:val="P68B1DB1-Normal42"/>
    <w:basedOn w:val="Normal"/>
    <w:rPr>
      <w:rFonts w:ascii="Times New Roman" w:eastAsiaTheme="minorHAnsi" w:hAnsi="Times New Roman" w:cs="Times New Roman"/>
      <w:b/>
      <w:color w:val="000000" w:themeColor="text1"/>
      <w:sz w:val="20"/>
      <w:szCs w:val="20"/>
    </w:rPr>
  </w:style>
  <w:style w:type="paragraph" w:customStyle="1" w:styleId="P68B1DB1-Normal43">
    <w:name w:val="P68B1DB1-Normal43"/>
    <w:basedOn w:val="Normal"/>
    <w:rPr>
      <w:rFonts w:ascii="Times New Roman" w:eastAsiaTheme="minorHAnsi" w:hAnsi="Times New Roman" w:cs="Times New Roman"/>
      <w:color w:val="000000" w:themeColor="text1"/>
      <w:sz w:val="20"/>
      <w:szCs w:val="20"/>
    </w:rPr>
  </w:style>
  <w:style w:type="paragraph" w:customStyle="1" w:styleId="P68B1DB1-Instructionsberschrift244">
    <w:name w:val="P68B1DB1-Instructionsberschrift244"/>
    <w:basedOn w:val="Instructionsberschrift2"/>
    <w:rPr>
      <w:rFonts w:ascii="Times New Roman" w:eastAsia="Calibri" w:hAnsi="Times New Roman" w:cs="Times New Roman"/>
    </w:rPr>
  </w:style>
  <w:style w:type="paragraph" w:customStyle="1" w:styleId="P68B1DB1-Normal45">
    <w:name w:val="P68B1DB1-Normal45"/>
    <w:basedOn w:val="Normal"/>
    <w:rPr>
      <w:rFonts w:ascii="Times New Roman" w:eastAsia="Calibri" w:hAnsi="Times New Roman" w:cs="Times New Roman"/>
      <w:sz w:val="20"/>
    </w:rPr>
  </w:style>
  <w:style w:type="paragraph" w:customStyle="1" w:styleId="P68B1DB1-Instructionsberschrift346">
    <w:name w:val="P68B1DB1-Instructionsberschrift346"/>
    <w:basedOn w:val="Instructionsberschrift3"/>
    <w:rPr>
      <w:rFonts w:eastAsia="MS Mincho"/>
      <w:u w:val="none"/>
    </w:rPr>
  </w:style>
  <w:style w:type="paragraph" w:customStyle="1" w:styleId="P68B1DB1-Instructionsberschrift347">
    <w:name w:val="P68B1DB1-Instructionsberschrift347"/>
    <w:basedOn w:val="Instructionsberschrift3"/>
    <w:rPr>
      <w:color w:val="auto"/>
      <w:u w:val="none"/>
    </w:rPr>
  </w:style>
  <w:style w:type="paragraph" w:customStyle="1" w:styleId="P68B1DB1-Instructionsberschrift348">
    <w:name w:val="P68B1DB1-Instructionsberschrift348"/>
    <w:basedOn w:val="Instructionsberschrift3"/>
    <w:rPr>
      <w:rFonts w:eastAsia="MS Mincho"/>
      <w:szCs w:val="24"/>
      <w:u w:val="none"/>
    </w:rPr>
  </w:style>
  <w:style w:type="paragraph" w:customStyle="1" w:styleId="P68B1DB1-Normal49">
    <w:name w:val="P68B1DB1-Normal49"/>
    <w:basedOn w:val="Normal"/>
    <w:rPr>
      <w:rFonts w:ascii="Times New Roman" w:eastAsia="Calibri" w:hAnsi="Times New Roman" w:cs="Times New Roman"/>
      <w:b/>
      <w:sz w:val="20"/>
      <w:szCs w:val="20"/>
    </w:rPr>
  </w:style>
  <w:style w:type="paragraph" w:customStyle="1" w:styleId="P68B1DB1-Normal50">
    <w:name w:val="P68B1DB1-Normal50"/>
    <w:basedOn w:val="Normal"/>
    <w:rPr>
      <w:rFonts w:ascii="Times New Roman" w:eastAsia="Calibri" w:hAnsi="Times New Roman" w:cs="Times New Roman"/>
      <w:sz w:val="20"/>
      <w:szCs w:val="20"/>
    </w:rPr>
  </w:style>
  <w:style w:type="paragraph" w:customStyle="1" w:styleId="P68B1DB1-Normal51">
    <w:name w:val="P68B1DB1-Normal51"/>
    <w:basedOn w:val="Normal"/>
    <w:rPr>
      <w:rFonts w:ascii="Times New Roman" w:eastAsia="Calibri" w:hAnsi="Times New Roman" w:cs="Times New Roman"/>
      <w:i/>
      <w:sz w:val="20"/>
      <w:szCs w:val="20"/>
    </w:rPr>
  </w:style>
  <w:style w:type="paragraph" w:customStyle="1" w:styleId="P68B1DB1-Normal52">
    <w:name w:val="P68B1DB1-Normal52"/>
    <w:basedOn w:val="Normal"/>
    <w:rPr>
      <w:rFonts w:ascii="Times New Roman" w:eastAsia="MS Mincho" w:hAnsi="Times New Roman" w:cs="Times New Roman"/>
      <w:sz w:val="20"/>
      <w:szCs w:val="20"/>
    </w:rPr>
  </w:style>
  <w:style w:type="paragraph" w:customStyle="1" w:styleId="P68B1DB1-ListParagraph53">
    <w:name w:val="P68B1DB1-ListParagraph53"/>
    <w:basedOn w:val="ListParagraph"/>
    <w:rPr>
      <w:rFonts w:ascii="Times New Roman" w:eastAsia="MS Mincho" w:hAnsi="Times New Roman"/>
      <w:sz w:val="20"/>
      <w:szCs w:val="20"/>
    </w:rPr>
  </w:style>
  <w:style w:type="paragraph" w:customStyle="1" w:styleId="P68B1DB1-Normal54">
    <w:name w:val="P68B1DB1-Normal54"/>
    <w:basedOn w:val="Normal"/>
    <w:rPr>
      <w:rFonts w:ascii="Times New Roman" w:eastAsia="MS Mincho" w:hAnsi="Times New Roman" w:cs="Times New Roman"/>
      <w:szCs w:val="20"/>
    </w:rPr>
  </w:style>
  <w:style w:type="paragraph" w:customStyle="1" w:styleId="P68B1DB1-Normal55">
    <w:name w:val="P68B1DB1-Normal55"/>
    <w:basedOn w:val="Normal"/>
    <w:rPr>
      <w:rFonts w:ascii="Times New Roman" w:eastAsia="Calibri" w:hAnsi="Times New Roman" w:cs="Times New Roman"/>
      <w:b/>
      <w:sz w:val="20"/>
    </w:rPr>
  </w:style>
  <w:style w:type="paragraph" w:customStyle="1" w:styleId="P68B1DB1-Normal56">
    <w:name w:val="P68B1DB1-Normal56"/>
    <w:basedOn w:val="Normal"/>
    <w:rPr>
      <w:rFonts w:ascii="Times New Roman" w:eastAsia="Calibri" w:hAnsi="Times New Roman" w:cs="Times New Roman"/>
      <w:i/>
      <w:sz w:val="20"/>
    </w:rPr>
  </w:style>
  <w:style w:type="paragraph" w:customStyle="1" w:styleId="P68B1DB1-Normal57">
    <w:name w:val="P68B1DB1-Normal57"/>
    <w:basedOn w:val="Normal"/>
    <w:rPr>
      <w:rFonts w:ascii="Times New Roman" w:hAnsi="Times New Roman"/>
      <w:color w:val="000000" w:themeColor="text1"/>
      <w:sz w:val="20"/>
      <w:szCs w:val="20"/>
    </w:rPr>
  </w:style>
  <w:style w:type="paragraph" w:customStyle="1" w:styleId="P68B1DB1-ListParagraph58">
    <w:name w:val="P68B1DB1-ListParagraph58"/>
    <w:basedOn w:val="ListParagraph"/>
    <w:rPr>
      <w:rFonts w:ascii="Times New Roman" w:hAnsi="Times New Roman"/>
      <w:sz w:val="20"/>
    </w:rPr>
  </w:style>
  <w:style w:type="paragraph" w:customStyle="1" w:styleId="P68B1DB1-NormalWeb59">
    <w:name w:val="P68B1DB1-NormalWeb59"/>
    <w:basedOn w:val="NormalWeb"/>
    <w:rPr>
      <w:rFonts w:eastAsia="Calibri"/>
      <w:sz w:val="20"/>
    </w:rPr>
  </w:style>
  <w:style w:type="paragraph" w:customStyle="1" w:styleId="P68B1DB1-ListParagraph60">
    <w:name w:val="P68B1DB1-ListParagraph60"/>
    <w:basedOn w:val="ListParagraph"/>
    <w:rPr>
      <w:rFonts w:ascii="Times New Roman" w:hAnsi="Times New Roman"/>
      <w:sz w:val="20"/>
      <w:szCs w:val="20"/>
    </w:rPr>
  </w:style>
  <w:style w:type="paragraph" w:customStyle="1" w:styleId="P68B1DB1-Normal61">
    <w:name w:val="P68B1DB1-Normal61"/>
    <w:basedOn w:val="Normal"/>
    <w:rPr>
      <w:rFonts w:ascii="Times New Roman" w:hAnsi="Times New Roman"/>
      <w:b/>
      <w:sz w:val="20"/>
      <w:szCs w:val="20"/>
    </w:rPr>
  </w:style>
  <w:style w:type="paragraph" w:customStyle="1" w:styleId="P68B1DB1-Normal62">
    <w:name w:val="P68B1DB1-Normal62"/>
    <w:basedOn w:val="Normal"/>
    <w:rPr>
      <w:rFonts w:ascii="Times New Roman" w:hAnsi="Times New Roman"/>
      <w:sz w:val="20"/>
      <w:szCs w:val="20"/>
    </w:rPr>
  </w:style>
  <w:style w:type="paragraph" w:customStyle="1" w:styleId="P68B1DB1-Normal63">
    <w:name w:val="P68B1DB1-Normal63"/>
    <w:basedOn w:val="Normal"/>
    <w:rPr>
      <w:rFonts w:ascii="Times New Roman" w:eastAsia="MS Mincho" w:hAnsi="Times New Roman"/>
      <w:sz w:val="20"/>
      <w:szCs w:val="20"/>
    </w:rPr>
  </w:style>
  <w:style w:type="paragraph" w:customStyle="1" w:styleId="P68B1DB1-Normal64">
    <w:name w:val="P68B1DB1-Normal64"/>
    <w:basedOn w:val="Normal"/>
    <w:rPr>
      <w:rFonts w:ascii="Times New Roman" w:hAnsi="Times New Roman"/>
      <w:sz w:val="20"/>
    </w:rPr>
  </w:style>
  <w:style w:type="paragraph" w:customStyle="1" w:styleId="P68B1DB1-Normal65">
    <w:name w:val="P68B1DB1-Normal65"/>
    <w:basedOn w:val="Normal"/>
    <w:rPr>
      <w:rFonts w:ascii="Times New Roman" w:hAnsi="Times New Roman"/>
      <w:b/>
      <w:sz w:val="20"/>
    </w:rPr>
  </w:style>
  <w:style w:type="paragraph" w:customStyle="1" w:styleId="P68B1DB1-Normal66">
    <w:name w:val="P68B1DB1-Normal66"/>
    <w:basedOn w:val="Normal"/>
    <w:rPr>
      <w:rFonts w:ascii="Times New Roman" w:eastAsia="MS Mincho" w:hAnsi="Times New Roman"/>
      <w:sz w:val="20"/>
    </w:rPr>
  </w:style>
  <w:style w:type="paragraph" w:customStyle="1" w:styleId="P68B1DB1-Normal67">
    <w:name w:val="P68B1DB1-Normal67"/>
    <w:basedOn w:val="Normal"/>
    <w:rPr>
      <w:rFonts w:ascii="Times New Roman" w:hAnsi="Times New Roman"/>
    </w:rPr>
  </w:style>
  <w:style w:type="paragraph" w:customStyle="1" w:styleId="P68B1DB1-Instructionsberschrift368">
    <w:name w:val="P68B1DB1-Instructionsberschrift368"/>
    <w:basedOn w:val="Instructionsberschrift3"/>
    <w:rPr>
      <w:rFonts w:eastAsia="MS Mincho"/>
      <w:color w:val="auto"/>
      <w:szCs w:val="24"/>
      <w:u w:val="none"/>
    </w:rPr>
  </w:style>
  <w:style w:type="paragraph" w:customStyle="1" w:styleId="P68B1DB1-Instructionsberschrift269">
    <w:name w:val="P68B1DB1-Instructionsberschrift269"/>
    <w:basedOn w:val="Instructionsberschrift2"/>
    <w:rPr>
      <w:rFonts w:ascii="Times New Roman" w:eastAsia="MS Mincho" w:hAnsi="Times New Roman" w:cs="Times New Roman"/>
      <w:szCs w:val="20"/>
    </w:rPr>
  </w:style>
  <w:style w:type="paragraph" w:customStyle="1" w:styleId="P68B1DB1-Normal70">
    <w:name w:val="P68B1DB1-Normal70"/>
    <w:basedOn w:val="Normal"/>
    <w:rPr>
      <w:rFonts w:ascii="Times New Roman" w:eastAsia="Calibri" w:hAnsi="Times New Roman" w:cs="Times New Roman"/>
      <w:u w:val="single"/>
    </w:rPr>
  </w:style>
  <w:style w:type="paragraph" w:customStyle="1" w:styleId="P68B1DB1-Instructionsberschrift271">
    <w:name w:val="P68B1DB1-Instructionsberschrift271"/>
    <w:basedOn w:val="Instructionsberschrift2"/>
    <w:rPr>
      <w:rFonts w:ascii="Times New Roman" w:eastAsia="Calibri" w:hAnsi="Times New Roman" w:cs="Times New Roman"/>
      <w:szCs w:val="20"/>
    </w:rPr>
  </w:style>
  <w:style w:type="paragraph" w:customStyle="1" w:styleId="P68B1DB1-Numberedtitlelevel372">
    <w:name w:val="P68B1DB1-Numberedtitlelevel372"/>
    <w:basedOn w:val="Numberedtitlelevel3"/>
    <w:rPr>
      <w:rFonts w:ascii="Times New Roman" w:hAnsi="Times New Roman" w:cs="Times New Roman"/>
      <w:b w:val="0"/>
      <w:color w:val="000000" w:themeColor="text1"/>
      <w:sz w:val="20"/>
      <w:szCs w:val="20"/>
      <w:u w:val="single"/>
    </w:rPr>
  </w:style>
  <w:style w:type="paragraph" w:customStyle="1" w:styleId="P68B1DB1-TableParagraph73">
    <w:name w:val="P68B1DB1-TableParagraph73"/>
    <w:basedOn w:val="TableParagraph"/>
    <w:rPr>
      <w:rFonts w:ascii="Times New Roman" w:eastAsia="Times New Roman" w:hAnsi="Times New Roman" w:cs="Times New Roman"/>
      <w:b/>
      <w:sz w:val="20"/>
      <w:szCs w:val="20"/>
    </w:rPr>
  </w:style>
  <w:style w:type="paragraph" w:customStyle="1" w:styleId="P68B1DB1-Normal74">
    <w:name w:val="P68B1DB1-Normal74"/>
    <w:basedOn w:val="Normal"/>
    <w:rPr>
      <w:rFonts w:ascii="Times New Roman" w:eastAsia="Times New Roman" w:hAnsi="Times New Roman" w:cs="Times New Roman"/>
      <w:i/>
      <w:sz w:val="20"/>
      <w:szCs w:val="20"/>
    </w:rPr>
  </w:style>
  <w:style w:type="paragraph" w:customStyle="1" w:styleId="P68B1DB1-TableParagraph75">
    <w:name w:val="P68B1DB1-TableParagraph75"/>
    <w:basedOn w:val="TableParagraph"/>
    <w:rPr>
      <w:rFonts w:ascii="Times New Roman" w:eastAsia="Times New Roman" w:hAnsi="Times New Roman" w:cs="Times New Roman"/>
      <w:b/>
      <w:i/>
      <w:sz w:val="20"/>
      <w:szCs w:val="20"/>
    </w:rPr>
  </w:style>
  <w:style w:type="paragraph" w:customStyle="1" w:styleId="P68B1DB1-Normal76">
    <w:name w:val="P68B1DB1-Normal76"/>
    <w:basedOn w:val="Normal"/>
    <w:rPr>
      <w:rFonts w:ascii="Times New Roman" w:eastAsia="Times New Roman" w:hAnsi="Times New Roman" w:cs="Times New Roman"/>
      <w:b/>
      <w:sz w:val="20"/>
      <w:szCs w:val="20"/>
    </w:rPr>
  </w:style>
  <w:style w:type="paragraph" w:customStyle="1" w:styleId="P68B1DB1-Normal77">
    <w:name w:val="P68B1DB1-Normal77"/>
    <w:basedOn w:val="Normal"/>
    <w:rPr>
      <w:rFonts w:ascii="Times New Roman" w:eastAsia="Times New Roman" w:hAnsi="Times New Roman" w:cs="Times New Roman"/>
      <w:b/>
      <w:i/>
      <w:sz w:val="20"/>
      <w:szCs w:val="20"/>
    </w:rPr>
  </w:style>
  <w:style w:type="paragraph" w:customStyle="1" w:styleId="P68B1DB1-Normal78">
    <w:name w:val="P68B1DB1-Normal78"/>
    <w:basedOn w:val="Normal"/>
    <w:rPr>
      <w:rFonts w:ascii="Times New Roman" w:hAnsi="Times New Roman" w:cs="Times New Roman"/>
    </w:rPr>
  </w:style>
  <w:style w:type="paragraph" w:customStyle="1" w:styleId="P68B1DB1-InstructionsText279">
    <w:name w:val="P68B1DB1-InstructionsText279"/>
    <w:basedOn w:val="InstructionsText2"/>
    <w:rPr>
      <w:rFonts w:ascii="Times New Roman" w:eastAsiaTheme="majorEastAsia" w:hAnsi="Times New Roman" w:cs="Times New Roman"/>
      <w:sz w:val="20"/>
      <w:szCs w:val="20"/>
    </w:rPr>
  </w:style>
  <w:style w:type="paragraph" w:customStyle="1" w:styleId="P68B1DB1-ListParagraph80">
    <w:name w:val="P68B1DB1-ListParagraph80"/>
    <w:basedOn w:val="ListParagraph"/>
    <w:rPr>
      <w:rFonts w:ascii="Times New Roman" w:eastAsiaTheme="majorEastAsia" w:hAnsi="Times New Roman"/>
      <w:sz w:val="20"/>
      <w:szCs w:val="20"/>
    </w:rPr>
  </w:style>
  <w:style w:type="paragraph" w:customStyle="1" w:styleId="P68B1DB1-Heading481">
    <w:name w:val="P68B1DB1-Heading481"/>
    <w:basedOn w:val="Heading4"/>
    <w:rPr>
      <w:rFonts w:ascii="Times New Roman" w:eastAsia="Times New Roman" w:hAnsi="Times New Roman" w:cs="Times New Roman"/>
      <w:color w:val="auto"/>
      <w:sz w:val="20"/>
      <w:szCs w:val="20"/>
    </w:rPr>
  </w:style>
  <w:style w:type="paragraph" w:customStyle="1" w:styleId="P68B1DB1-Heading482">
    <w:name w:val="P68B1DB1-Heading482"/>
    <w:basedOn w:val="Heading4"/>
    <w:rPr>
      <w:rFonts w:ascii="Times New Roman" w:eastAsia="Times New Roman" w:hAnsi="Times New Roman" w:cs="Times New Roman"/>
      <w:b w:val="0"/>
      <w:bCs w:val="0"/>
      <w:i w:val="0"/>
      <w:iCs w:val="0"/>
      <w:color w:val="auto"/>
      <w:sz w:val="20"/>
      <w:szCs w:val="20"/>
    </w:rPr>
  </w:style>
  <w:style w:type="paragraph" w:customStyle="1" w:styleId="P68B1DB1-Numberedtitlelevel383">
    <w:name w:val="P68B1DB1-Numberedtitlelevel383"/>
    <w:basedOn w:val="Numberedtitlelevel3"/>
    <w:rPr>
      <w:rFonts w:ascii="Times New Roman" w:hAnsi="Times New Roman" w:cs="Times New Roman"/>
      <w:color w:val="000000" w:themeColor="text1"/>
      <w:sz w:val="20"/>
      <w:szCs w:val="20"/>
      <w:u w:val="single"/>
    </w:rPr>
  </w:style>
  <w:style w:type="paragraph" w:customStyle="1" w:styleId="P68B1DB1-Instructionsberschrift284">
    <w:name w:val="P68B1DB1-Instructionsberschrift284"/>
    <w:basedOn w:val="Instructionsberschrift2"/>
    <w:rPr>
      <w:rFonts w:ascii="Times New Roman" w:eastAsiaTheme="minorEastAsia" w:hAnsi="Times New Roman" w:cs="Times New Roman"/>
    </w:rPr>
  </w:style>
  <w:style w:type="paragraph" w:customStyle="1" w:styleId="P68B1DB1-Numberedtitlelevel385">
    <w:name w:val="P68B1DB1-Numberedtitlelevel385"/>
    <w:basedOn w:val="Numberedtitlelevel3"/>
    <w:rPr>
      <w:rFonts w:ascii="Times New Roman" w:eastAsia="Times New Roman" w:hAnsi="Times New Roman" w:cs="Times New Roman"/>
      <w:b w:val="0"/>
      <w:color w:val="auto"/>
      <w:sz w:val="20"/>
      <w:szCs w:val="20"/>
    </w:rPr>
  </w:style>
  <w:style w:type="paragraph" w:customStyle="1" w:styleId="P68B1DB1-InstructionsText286">
    <w:name w:val="P68B1DB1-InstructionsText286"/>
    <w:basedOn w:val="InstructionsText2"/>
    <w:rPr>
      <w:rFonts w:ascii="Times New Roman" w:eastAsia="Cambria" w:hAnsi="Times New Roman" w:cs="Times New Roman"/>
      <w:sz w:val="20"/>
      <w:szCs w:val="20"/>
    </w:rPr>
  </w:style>
  <w:style w:type="paragraph" w:customStyle="1" w:styleId="P68B1DB1-InstructionsText287">
    <w:name w:val="P68B1DB1-InstructionsText287"/>
    <w:basedOn w:val="InstructionsText2"/>
    <w:rPr>
      <w:rFonts w:ascii="Times New Roman" w:hAnsi="Times New Roman" w:cs="Times New Roman"/>
      <w:color w:val="000000" w:themeColor="text1"/>
      <w:sz w:val="20"/>
      <w:szCs w:val="20"/>
      <w:u w:val="single"/>
    </w:rPr>
  </w:style>
  <w:style w:type="paragraph" w:customStyle="1" w:styleId="P68B1DB1-Numberedtitlelevel388">
    <w:name w:val="P68B1DB1-Numberedtitlelevel388"/>
    <w:basedOn w:val="Numberedtitlelevel3"/>
    <w:rPr>
      <w:rFonts w:ascii="Times New Roman" w:hAnsi="Times New Roman" w:cs="Times New Roman"/>
      <w:b w:val="0"/>
      <w:color w:val="auto"/>
      <w:sz w:val="20"/>
      <w:szCs w:val="20"/>
    </w:rPr>
  </w:style>
  <w:style w:type="paragraph" w:customStyle="1" w:styleId="P68B1DB1-Instructionsberschrift289">
    <w:name w:val="P68B1DB1-Instructionsberschrift289"/>
    <w:basedOn w:val="Instructionsberschrift2"/>
    <w:rPr>
      <w:rFonts w:ascii="Times New Roman" w:hAnsi="Times New Roman" w:cs="Times New Roman"/>
      <w:u w:val="none"/>
    </w:rPr>
  </w:style>
  <w:style w:type="paragraph" w:customStyle="1" w:styleId="P68B1DB1-Normal90">
    <w:name w:val="P68B1DB1-Normal90"/>
    <w:basedOn w:val="Normal"/>
    <w:rPr>
      <w:rFonts w:eastAsia="Times New Roman" w:cs="Calibri"/>
      <w:b/>
      <w:color w:val="000000"/>
      <w:sz w:val="18"/>
      <w:szCs w:val="18"/>
    </w:rPr>
  </w:style>
  <w:style w:type="paragraph" w:customStyle="1" w:styleId="P68B1DB1-Normal91">
    <w:name w:val="P68B1DB1-Normal91"/>
    <w:basedOn w:val="Normal"/>
    <w:rPr>
      <w:rFonts w:eastAsia="Times New Roman" w:cs="Calibri"/>
      <w:color w:val="000000"/>
      <w:sz w:val="18"/>
      <w:szCs w:val="18"/>
    </w:rPr>
  </w:style>
  <w:style w:type="paragraph" w:customStyle="1" w:styleId="P68B1DB1-Normal92">
    <w:name w:val="P68B1DB1-Normal92"/>
    <w:basedOn w:val="Normal"/>
    <w:rPr>
      <w:b/>
      <w:sz w:val="18"/>
      <w:szCs w:val="18"/>
    </w:rPr>
  </w:style>
  <w:style w:type="paragraph" w:customStyle="1" w:styleId="P68B1DB1-Normal93">
    <w:name w:val="P68B1DB1-Normal93"/>
    <w:basedOn w:val="Normal"/>
    <w:rPr>
      <w:rFonts w:ascii="Calibri" w:eastAsia="Calibri" w:hAnsi="Calibri" w:cs="Calibri"/>
      <w:color w:val="000000"/>
      <w:sz w:val="24"/>
    </w:rPr>
  </w:style>
  <w:style w:type="paragraph" w:customStyle="1" w:styleId="P68B1DB1-Header94">
    <w:name w:val="P68B1DB1-Header94"/>
    <w:basedOn w:val="Heade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2988">
      <w:bodyDiv w:val="1"/>
      <w:marLeft w:val="0"/>
      <w:marRight w:val="0"/>
      <w:marTop w:val="0"/>
      <w:marBottom w:val="0"/>
      <w:divBdr>
        <w:top w:val="none" w:sz="0" w:space="0" w:color="auto"/>
        <w:left w:val="none" w:sz="0" w:space="0" w:color="auto"/>
        <w:bottom w:val="none" w:sz="0" w:space="0" w:color="auto"/>
        <w:right w:val="none" w:sz="0" w:space="0" w:color="auto"/>
      </w:divBdr>
    </w:div>
    <w:div w:id="76292858">
      <w:bodyDiv w:val="1"/>
      <w:marLeft w:val="0"/>
      <w:marRight w:val="0"/>
      <w:marTop w:val="0"/>
      <w:marBottom w:val="0"/>
      <w:divBdr>
        <w:top w:val="none" w:sz="0" w:space="0" w:color="auto"/>
        <w:left w:val="none" w:sz="0" w:space="0" w:color="auto"/>
        <w:bottom w:val="none" w:sz="0" w:space="0" w:color="auto"/>
        <w:right w:val="none" w:sz="0" w:space="0" w:color="auto"/>
      </w:divBdr>
    </w:div>
    <w:div w:id="124078880">
      <w:bodyDiv w:val="1"/>
      <w:marLeft w:val="0"/>
      <w:marRight w:val="0"/>
      <w:marTop w:val="0"/>
      <w:marBottom w:val="0"/>
      <w:divBdr>
        <w:top w:val="none" w:sz="0" w:space="0" w:color="auto"/>
        <w:left w:val="none" w:sz="0" w:space="0" w:color="auto"/>
        <w:bottom w:val="none" w:sz="0" w:space="0" w:color="auto"/>
        <w:right w:val="none" w:sz="0" w:space="0" w:color="auto"/>
      </w:divBdr>
    </w:div>
    <w:div w:id="195777798">
      <w:bodyDiv w:val="1"/>
      <w:marLeft w:val="0"/>
      <w:marRight w:val="0"/>
      <w:marTop w:val="0"/>
      <w:marBottom w:val="0"/>
      <w:divBdr>
        <w:top w:val="none" w:sz="0" w:space="0" w:color="auto"/>
        <w:left w:val="none" w:sz="0" w:space="0" w:color="auto"/>
        <w:bottom w:val="none" w:sz="0" w:space="0" w:color="auto"/>
        <w:right w:val="none" w:sz="0" w:space="0" w:color="auto"/>
      </w:divBdr>
      <w:divsChild>
        <w:div w:id="2133983776">
          <w:marLeft w:val="0"/>
          <w:marRight w:val="0"/>
          <w:marTop w:val="120"/>
          <w:marBottom w:val="0"/>
          <w:divBdr>
            <w:top w:val="none" w:sz="0" w:space="0" w:color="auto"/>
            <w:left w:val="none" w:sz="0" w:space="0" w:color="auto"/>
            <w:bottom w:val="none" w:sz="0" w:space="0" w:color="auto"/>
            <w:right w:val="none" w:sz="0" w:space="0" w:color="auto"/>
          </w:divBdr>
        </w:div>
        <w:div w:id="233244626">
          <w:marLeft w:val="0"/>
          <w:marRight w:val="0"/>
          <w:marTop w:val="0"/>
          <w:marBottom w:val="0"/>
          <w:divBdr>
            <w:top w:val="none" w:sz="0" w:space="0" w:color="auto"/>
            <w:left w:val="none" w:sz="0" w:space="0" w:color="auto"/>
            <w:bottom w:val="none" w:sz="0" w:space="0" w:color="auto"/>
            <w:right w:val="none" w:sz="0" w:space="0" w:color="auto"/>
          </w:divBdr>
        </w:div>
      </w:divsChild>
    </w:div>
    <w:div w:id="236551278">
      <w:bodyDiv w:val="1"/>
      <w:marLeft w:val="0"/>
      <w:marRight w:val="0"/>
      <w:marTop w:val="0"/>
      <w:marBottom w:val="0"/>
      <w:divBdr>
        <w:top w:val="none" w:sz="0" w:space="0" w:color="auto"/>
        <w:left w:val="none" w:sz="0" w:space="0" w:color="auto"/>
        <w:bottom w:val="none" w:sz="0" w:space="0" w:color="auto"/>
        <w:right w:val="none" w:sz="0" w:space="0" w:color="auto"/>
      </w:divBdr>
    </w:div>
    <w:div w:id="260647293">
      <w:bodyDiv w:val="1"/>
      <w:marLeft w:val="0"/>
      <w:marRight w:val="0"/>
      <w:marTop w:val="0"/>
      <w:marBottom w:val="0"/>
      <w:divBdr>
        <w:top w:val="none" w:sz="0" w:space="0" w:color="auto"/>
        <w:left w:val="none" w:sz="0" w:space="0" w:color="auto"/>
        <w:bottom w:val="none" w:sz="0" w:space="0" w:color="auto"/>
        <w:right w:val="none" w:sz="0" w:space="0" w:color="auto"/>
      </w:divBdr>
    </w:div>
    <w:div w:id="317619041">
      <w:bodyDiv w:val="1"/>
      <w:marLeft w:val="0"/>
      <w:marRight w:val="0"/>
      <w:marTop w:val="0"/>
      <w:marBottom w:val="0"/>
      <w:divBdr>
        <w:top w:val="none" w:sz="0" w:space="0" w:color="auto"/>
        <w:left w:val="none" w:sz="0" w:space="0" w:color="auto"/>
        <w:bottom w:val="none" w:sz="0" w:space="0" w:color="auto"/>
        <w:right w:val="none" w:sz="0" w:space="0" w:color="auto"/>
      </w:divBdr>
    </w:div>
    <w:div w:id="529950855">
      <w:bodyDiv w:val="1"/>
      <w:marLeft w:val="0"/>
      <w:marRight w:val="0"/>
      <w:marTop w:val="0"/>
      <w:marBottom w:val="0"/>
      <w:divBdr>
        <w:top w:val="none" w:sz="0" w:space="0" w:color="auto"/>
        <w:left w:val="none" w:sz="0" w:space="0" w:color="auto"/>
        <w:bottom w:val="none" w:sz="0" w:space="0" w:color="auto"/>
        <w:right w:val="none" w:sz="0" w:space="0" w:color="auto"/>
      </w:divBdr>
    </w:div>
    <w:div w:id="674499920">
      <w:bodyDiv w:val="1"/>
      <w:marLeft w:val="0"/>
      <w:marRight w:val="0"/>
      <w:marTop w:val="0"/>
      <w:marBottom w:val="0"/>
      <w:divBdr>
        <w:top w:val="none" w:sz="0" w:space="0" w:color="auto"/>
        <w:left w:val="none" w:sz="0" w:space="0" w:color="auto"/>
        <w:bottom w:val="none" w:sz="0" w:space="0" w:color="auto"/>
        <w:right w:val="none" w:sz="0" w:space="0" w:color="auto"/>
      </w:divBdr>
    </w:div>
    <w:div w:id="695078397">
      <w:bodyDiv w:val="1"/>
      <w:marLeft w:val="0"/>
      <w:marRight w:val="0"/>
      <w:marTop w:val="0"/>
      <w:marBottom w:val="0"/>
      <w:divBdr>
        <w:top w:val="none" w:sz="0" w:space="0" w:color="auto"/>
        <w:left w:val="none" w:sz="0" w:space="0" w:color="auto"/>
        <w:bottom w:val="none" w:sz="0" w:space="0" w:color="auto"/>
        <w:right w:val="none" w:sz="0" w:space="0" w:color="auto"/>
      </w:divBdr>
    </w:div>
    <w:div w:id="713970764">
      <w:bodyDiv w:val="1"/>
      <w:marLeft w:val="0"/>
      <w:marRight w:val="0"/>
      <w:marTop w:val="0"/>
      <w:marBottom w:val="0"/>
      <w:divBdr>
        <w:top w:val="none" w:sz="0" w:space="0" w:color="auto"/>
        <w:left w:val="none" w:sz="0" w:space="0" w:color="auto"/>
        <w:bottom w:val="none" w:sz="0" w:space="0" w:color="auto"/>
        <w:right w:val="none" w:sz="0" w:space="0" w:color="auto"/>
      </w:divBdr>
    </w:div>
    <w:div w:id="773789282">
      <w:bodyDiv w:val="1"/>
      <w:marLeft w:val="0"/>
      <w:marRight w:val="0"/>
      <w:marTop w:val="0"/>
      <w:marBottom w:val="0"/>
      <w:divBdr>
        <w:top w:val="none" w:sz="0" w:space="0" w:color="auto"/>
        <w:left w:val="none" w:sz="0" w:space="0" w:color="auto"/>
        <w:bottom w:val="none" w:sz="0" w:space="0" w:color="auto"/>
        <w:right w:val="none" w:sz="0" w:space="0" w:color="auto"/>
      </w:divBdr>
    </w:div>
    <w:div w:id="809515557">
      <w:bodyDiv w:val="1"/>
      <w:marLeft w:val="0"/>
      <w:marRight w:val="0"/>
      <w:marTop w:val="0"/>
      <w:marBottom w:val="0"/>
      <w:divBdr>
        <w:top w:val="none" w:sz="0" w:space="0" w:color="auto"/>
        <w:left w:val="none" w:sz="0" w:space="0" w:color="auto"/>
        <w:bottom w:val="none" w:sz="0" w:space="0" w:color="auto"/>
        <w:right w:val="none" w:sz="0" w:space="0" w:color="auto"/>
      </w:divBdr>
    </w:div>
    <w:div w:id="824517146">
      <w:bodyDiv w:val="1"/>
      <w:marLeft w:val="0"/>
      <w:marRight w:val="0"/>
      <w:marTop w:val="0"/>
      <w:marBottom w:val="0"/>
      <w:divBdr>
        <w:top w:val="none" w:sz="0" w:space="0" w:color="auto"/>
        <w:left w:val="none" w:sz="0" w:space="0" w:color="auto"/>
        <w:bottom w:val="none" w:sz="0" w:space="0" w:color="auto"/>
        <w:right w:val="none" w:sz="0" w:space="0" w:color="auto"/>
      </w:divBdr>
    </w:div>
    <w:div w:id="827524307">
      <w:bodyDiv w:val="1"/>
      <w:marLeft w:val="0"/>
      <w:marRight w:val="0"/>
      <w:marTop w:val="0"/>
      <w:marBottom w:val="0"/>
      <w:divBdr>
        <w:top w:val="none" w:sz="0" w:space="0" w:color="auto"/>
        <w:left w:val="none" w:sz="0" w:space="0" w:color="auto"/>
        <w:bottom w:val="none" w:sz="0" w:space="0" w:color="auto"/>
        <w:right w:val="none" w:sz="0" w:space="0" w:color="auto"/>
      </w:divBdr>
    </w:div>
    <w:div w:id="846289926">
      <w:bodyDiv w:val="1"/>
      <w:marLeft w:val="0"/>
      <w:marRight w:val="0"/>
      <w:marTop w:val="0"/>
      <w:marBottom w:val="0"/>
      <w:divBdr>
        <w:top w:val="none" w:sz="0" w:space="0" w:color="auto"/>
        <w:left w:val="none" w:sz="0" w:space="0" w:color="auto"/>
        <w:bottom w:val="none" w:sz="0" w:space="0" w:color="auto"/>
        <w:right w:val="none" w:sz="0" w:space="0" w:color="auto"/>
      </w:divBdr>
    </w:div>
    <w:div w:id="847601636">
      <w:bodyDiv w:val="1"/>
      <w:marLeft w:val="0"/>
      <w:marRight w:val="0"/>
      <w:marTop w:val="0"/>
      <w:marBottom w:val="0"/>
      <w:divBdr>
        <w:top w:val="none" w:sz="0" w:space="0" w:color="auto"/>
        <w:left w:val="none" w:sz="0" w:space="0" w:color="auto"/>
        <w:bottom w:val="none" w:sz="0" w:space="0" w:color="auto"/>
        <w:right w:val="none" w:sz="0" w:space="0" w:color="auto"/>
      </w:divBdr>
    </w:div>
    <w:div w:id="866332713">
      <w:bodyDiv w:val="1"/>
      <w:marLeft w:val="0"/>
      <w:marRight w:val="0"/>
      <w:marTop w:val="0"/>
      <w:marBottom w:val="0"/>
      <w:divBdr>
        <w:top w:val="none" w:sz="0" w:space="0" w:color="auto"/>
        <w:left w:val="none" w:sz="0" w:space="0" w:color="auto"/>
        <w:bottom w:val="none" w:sz="0" w:space="0" w:color="auto"/>
        <w:right w:val="none" w:sz="0" w:space="0" w:color="auto"/>
      </w:divBdr>
    </w:div>
    <w:div w:id="938098268">
      <w:bodyDiv w:val="1"/>
      <w:marLeft w:val="0"/>
      <w:marRight w:val="0"/>
      <w:marTop w:val="0"/>
      <w:marBottom w:val="0"/>
      <w:divBdr>
        <w:top w:val="none" w:sz="0" w:space="0" w:color="auto"/>
        <w:left w:val="none" w:sz="0" w:space="0" w:color="auto"/>
        <w:bottom w:val="none" w:sz="0" w:space="0" w:color="auto"/>
        <w:right w:val="none" w:sz="0" w:space="0" w:color="auto"/>
      </w:divBdr>
    </w:div>
    <w:div w:id="1005669059">
      <w:bodyDiv w:val="1"/>
      <w:marLeft w:val="0"/>
      <w:marRight w:val="0"/>
      <w:marTop w:val="0"/>
      <w:marBottom w:val="0"/>
      <w:divBdr>
        <w:top w:val="none" w:sz="0" w:space="0" w:color="auto"/>
        <w:left w:val="none" w:sz="0" w:space="0" w:color="auto"/>
        <w:bottom w:val="none" w:sz="0" w:space="0" w:color="auto"/>
        <w:right w:val="none" w:sz="0" w:space="0" w:color="auto"/>
      </w:divBdr>
    </w:div>
    <w:div w:id="1159618785">
      <w:bodyDiv w:val="1"/>
      <w:marLeft w:val="0"/>
      <w:marRight w:val="0"/>
      <w:marTop w:val="0"/>
      <w:marBottom w:val="0"/>
      <w:divBdr>
        <w:top w:val="none" w:sz="0" w:space="0" w:color="auto"/>
        <w:left w:val="none" w:sz="0" w:space="0" w:color="auto"/>
        <w:bottom w:val="none" w:sz="0" w:space="0" w:color="auto"/>
        <w:right w:val="none" w:sz="0" w:space="0" w:color="auto"/>
      </w:divBdr>
    </w:div>
    <w:div w:id="1175147099">
      <w:bodyDiv w:val="1"/>
      <w:marLeft w:val="0"/>
      <w:marRight w:val="0"/>
      <w:marTop w:val="0"/>
      <w:marBottom w:val="0"/>
      <w:divBdr>
        <w:top w:val="none" w:sz="0" w:space="0" w:color="auto"/>
        <w:left w:val="none" w:sz="0" w:space="0" w:color="auto"/>
        <w:bottom w:val="none" w:sz="0" w:space="0" w:color="auto"/>
        <w:right w:val="none" w:sz="0" w:space="0" w:color="auto"/>
      </w:divBdr>
    </w:div>
    <w:div w:id="1264335604">
      <w:bodyDiv w:val="1"/>
      <w:marLeft w:val="0"/>
      <w:marRight w:val="0"/>
      <w:marTop w:val="0"/>
      <w:marBottom w:val="0"/>
      <w:divBdr>
        <w:top w:val="none" w:sz="0" w:space="0" w:color="auto"/>
        <w:left w:val="none" w:sz="0" w:space="0" w:color="auto"/>
        <w:bottom w:val="none" w:sz="0" w:space="0" w:color="auto"/>
        <w:right w:val="none" w:sz="0" w:space="0" w:color="auto"/>
      </w:divBdr>
    </w:div>
    <w:div w:id="1287001860">
      <w:bodyDiv w:val="1"/>
      <w:marLeft w:val="0"/>
      <w:marRight w:val="0"/>
      <w:marTop w:val="0"/>
      <w:marBottom w:val="0"/>
      <w:divBdr>
        <w:top w:val="none" w:sz="0" w:space="0" w:color="auto"/>
        <w:left w:val="none" w:sz="0" w:space="0" w:color="auto"/>
        <w:bottom w:val="none" w:sz="0" w:space="0" w:color="auto"/>
        <w:right w:val="none" w:sz="0" w:space="0" w:color="auto"/>
      </w:divBdr>
    </w:div>
    <w:div w:id="1302812721">
      <w:bodyDiv w:val="1"/>
      <w:marLeft w:val="0"/>
      <w:marRight w:val="0"/>
      <w:marTop w:val="0"/>
      <w:marBottom w:val="0"/>
      <w:divBdr>
        <w:top w:val="none" w:sz="0" w:space="0" w:color="auto"/>
        <w:left w:val="none" w:sz="0" w:space="0" w:color="auto"/>
        <w:bottom w:val="none" w:sz="0" w:space="0" w:color="auto"/>
        <w:right w:val="none" w:sz="0" w:space="0" w:color="auto"/>
      </w:divBdr>
    </w:div>
    <w:div w:id="1347171786">
      <w:bodyDiv w:val="1"/>
      <w:marLeft w:val="0"/>
      <w:marRight w:val="0"/>
      <w:marTop w:val="0"/>
      <w:marBottom w:val="0"/>
      <w:divBdr>
        <w:top w:val="none" w:sz="0" w:space="0" w:color="auto"/>
        <w:left w:val="none" w:sz="0" w:space="0" w:color="auto"/>
        <w:bottom w:val="none" w:sz="0" w:space="0" w:color="auto"/>
        <w:right w:val="none" w:sz="0" w:space="0" w:color="auto"/>
      </w:divBdr>
    </w:div>
    <w:div w:id="1367751175">
      <w:bodyDiv w:val="1"/>
      <w:marLeft w:val="0"/>
      <w:marRight w:val="0"/>
      <w:marTop w:val="0"/>
      <w:marBottom w:val="0"/>
      <w:divBdr>
        <w:top w:val="none" w:sz="0" w:space="0" w:color="auto"/>
        <w:left w:val="none" w:sz="0" w:space="0" w:color="auto"/>
        <w:bottom w:val="none" w:sz="0" w:space="0" w:color="auto"/>
        <w:right w:val="none" w:sz="0" w:space="0" w:color="auto"/>
      </w:divBdr>
    </w:div>
    <w:div w:id="1462071193">
      <w:bodyDiv w:val="1"/>
      <w:marLeft w:val="0"/>
      <w:marRight w:val="0"/>
      <w:marTop w:val="0"/>
      <w:marBottom w:val="0"/>
      <w:divBdr>
        <w:top w:val="none" w:sz="0" w:space="0" w:color="auto"/>
        <w:left w:val="none" w:sz="0" w:space="0" w:color="auto"/>
        <w:bottom w:val="none" w:sz="0" w:space="0" w:color="auto"/>
        <w:right w:val="none" w:sz="0" w:space="0" w:color="auto"/>
      </w:divBdr>
    </w:div>
    <w:div w:id="1540239448">
      <w:bodyDiv w:val="1"/>
      <w:marLeft w:val="0"/>
      <w:marRight w:val="0"/>
      <w:marTop w:val="0"/>
      <w:marBottom w:val="0"/>
      <w:divBdr>
        <w:top w:val="none" w:sz="0" w:space="0" w:color="auto"/>
        <w:left w:val="none" w:sz="0" w:space="0" w:color="auto"/>
        <w:bottom w:val="none" w:sz="0" w:space="0" w:color="auto"/>
        <w:right w:val="none" w:sz="0" w:space="0" w:color="auto"/>
      </w:divBdr>
    </w:div>
    <w:div w:id="1587953271">
      <w:bodyDiv w:val="1"/>
      <w:marLeft w:val="0"/>
      <w:marRight w:val="0"/>
      <w:marTop w:val="0"/>
      <w:marBottom w:val="0"/>
      <w:divBdr>
        <w:top w:val="none" w:sz="0" w:space="0" w:color="auto"/>
        <w:left w:val="none" w:sz="0" w:space="0" w:color="auto"/>
        <w:bottom w:val="none" w:sz="0" w:space="0" w:color="auto"/>
        <w:right w:val="none" w:sz="0" w:space="0" w:color="auto"/>
      </w:divBdr>
    </w:div>
    <w:div w:id="1589803825">
      <w:bodyDiv w:val="1"/>
      <w:marLeft w:val="0"/>
      <w:marRight w:val="0"/>
      <w:marTop w:val="0"/>
      <w:marBottom w:val="0"/>
      <w:divBdr>
        <w:top w:val="none" w:sz="0" w:space="0" w:color="auto"/>
        <w:left w:val="none" w:sz="0" w:space="0" w:color="auto"/>
        <w:bottom w:val="none" w:sz="0" w:space="0" w:color="auto"/>
        <w:right w:val="none" w:sz="0" w:space="0" w:color="auto"/>
      </w:divBdr>
    </w:div>
    <w:div w:id="1656642731">
      <w:bodyDiv w:val="1"/>
      <w:marLeft w:val="0"/>
      <w:marRight w:val="0"/>
      <w:marTop w:val="0"/>
      <w:marBottom w:val="0"/>
      <w:divBdr>
        <w:top w:val="none" w:sz="0" w:space="0" w:color="auto"/>
        <w:left w:val="none" w:sz="0" w:space="0" w:color="auto"/>
        <w:bottom w:val="none" w:sz="0" w:space="0" w:color="auto"/>
        <w:right w:val="none" w:sz="0" w:space="0" w:color="auto"/>
      </w:divBdr>
    </w:div>
    <w:div w:id="1702129057">
      <w:bodyDiv w:val="1"/>
      <w:marLeft w:val="0"/>
      <w:marRight w:val="0"/>
      <w:marTop w:val="0"/>
      <w:marBottom w:val="0"/>
      <w:divBdr>
        <w:top w:val="none" w:sz="0" w:space="0" w:color="auto"/>
        <w:left w:val="none" w:sz="0" w:space="0" w:color="auto"/>
        <w:bottom w:val="none" w:sz="0" w:space="0" w:color="auto"/>
        <w:right w:val="none" w:sz="0" w:space="0" w:color="auto"/>
      </w:divBdr>
    </w:div>
    <w:div w:id="1721401296">
      <w:bodyDiv w:val="1"/>
      <w:marLeft w:val="0"/>
      <w:marRight w:val="0"/>
      <w:marTop w:val="0"/>
      <w:marBottom w:val="0"/>
      <w:divBdr>
        <w:top w:val="none" w:sz="0" w:space="0" w:color="auto"/>
        <w:left w:val="none" w:sz="0" w:space="0" w:color="auto"/>
        <w:bottom w:val="none" w:sz="0" w:space="0" w:color="auto"/>
        <w:right w:val="none" w:sz="0" w:space="0" w:color="auto"/>
      </w:divBdr>
    </w:div>
    <w:div w:id="1722945214">
      <w:bodyDiv w:val="1"/>
      <w:marLeft w:val="0"/>
      <w:marRight w:val="0"/>
      <w:marTop w:val="0"/>
      <w:marBottom w:val="0"/>
      <w:divBdr>
        <w:top w:val="none" w:sz="0" w:space="0" w:color="auto"/>
        <w:left w:val="none" w:sz="0" w:space="0" w:color="auto"/>
        <w:bottom w:val="none" w:sz="0" w:space="0" w:color="auto"/>
        <w:right w:val="none" w:sz="0" w:space="0" w:color="auto"/>
      </w:divBdr>
    </w:div>
    <w:div w:id="1813332176">
      <w:bodyDiv w:val="1"/>
      <w:marLeft w:val="0"/>
      <w:marRight w:val="0"/>
      <w:marTop w:val="0"/>
      <w:marBottom w:val="0"/>
      <w:divBdr>
        <w:top w:val="none" w:sz="0" w:space="0" w:color="auto"/>
        <w:left w:val="none" w:sz="0" w:space="0" w:color="auto"/>
        <w:bottom w:val="none" w:sz="0" w:space="0" w:color="auto"/>
        <w:right w:val="none" w:sz="0" w:space="0" w:color="auto"/>
      </w:divBdr>
    </w:div>
    <w:div w:id="1831828968">
      <w:bodyDiv w:val="1"/>
      <w:marLeft w:val="0"/>
      <w:marRight w:val="0"/>
      <w:marTop w:val="0"/>
      <w:marBottom w:val="0"/>
      <w:divBdr>
        <w:top w:val="none" w:sz="0" w:space="0" w:color="auto"/>
        <w:left w:val="none" w:sz="0" w:space="0" w:color="auto"/>
        <w:bottom w:val="none" w:sz="0" w:space="0" w:color="auto"/>
        <w:right w:val="none" w:sz="0" w:space="0" w:color="auto"/>
      </w:divBdr>
    </w:div>
    <w:div w:id="1843740471">
      <w:bodyDiv w:val="1"/>
      <w:marLeft w:val="0"/>
      <w:marRight w:val="0"/>
      <w:marTop w:val="0"/>
      <w:marBottom w:val="0"/>
      <w:divBdr>
        <w:top w:val="none" w:sz="0" w:space="0" w:color="auto"/>
        <w:left w:val="none" w:sz="0" w:space="0" w:color="auto"/>
        <w:bottom w:val="none" w:sz="0" w:space="0" w:color="auto"/>
        <w:right w:val="none" w:sz="0" w:space="0" w:color="auto"/>
      </w:divBdr>
    </w:div>
    <w:div w:id="1933272222">
      <w:bodyDiv w:val="1"/>
      <w:marLeft w:val="0"/>
      <w:marRight w:val="0"/>
      <w:marTop w:val="0"/>
      <w:marBottom w:val="0"/>
      <w:divBdr>
        <w:top w:val="none" w:sz="0" w:space="0" w:color="auto"/>
        <w:left w:val="none" w:sz="0" w:space="0" w:color="auto"/>
        <w:bottom w:val="none" w:sz="0" w:space="0" w:color="auto"/>
        <w:right w:val="none" w:sz="0" w:space="0" w:color="auto"/>
      </w:divBdr>
    </w:div>
    <w:div w:id="2000233818">
      <w:bodyDiv w:val="1"/>
      <w:marLeft w:val="0"/>
      <w:marRight w:val="0"/>
      <w:marTop w:val="0"/>
      <w:marBottom w:val="0"/>
      <w:divBdr>
        <w:top w:val="none" w:sz="0" w:space="0" w:color="auto"/>
        <w:left w:val="none" w:sz="0" w:space="0" w:color="auto"/>
        <w:bottom w:val="none" w:sz="0" w:space="0" w:color="auto"/>
        <w:right w:val="none" w:sz="0" w:space="0" w:color="auto"/>
      </w:divBdr>
    </w:div>
    <w:div w:id="2020546108">
      <w:bodyDiv w:val="1"/>
      <w:marLeft w:val="0"/>
      <w:marRight w:val="0"/>
      <w:marTop w:val="0"/>
      <w:marBottom w:val="0"/>
      <w:divBdr>
        <w:top w:val="none" w:sz="0" w:space="0" w:color="auto"/>
        <w:left w:val="none" w:sz="0" w:space="0" w:color="auto"/>
        <w:bottom w:val="none" w:sz="0" w:space="0" w:color="auto"/>
        <w:right w:val="none" w:sz="0" w:space="0" w:color="auto"/>
      </w:divBdr>
    </w:div>
    <w:div w:id="2073964584">
      <w:bodyDiv w:val="1"/>
      <w:marLeft w:val="0"/>
      <w:marRight w:val="0"/>
      <w:marTop w:val="0"/>
      <w:marBottom w:val="0"/>
      <w:divBdr>
        <w:top w:val="none" w:sz="0" w:space="0" w:color="auto"/>
        <w:left w:val="none" w:sz="0" w:space="0" w:color="auto"/>
        <w:bottom w:val="none" w:sz="0" w:space="0" w:color="auto"/>
        <w:right w:val="none" w:sz="0" w:space="0" w:color="auto"/>
      </w:divBdr>
    </w:div>
    <w:div w:id="2100130620">
      <w:bodyDiv w:val="1"/>
      <w:marLeft w:val="0"/>
      <w:marRight w:val="0"/>
      <w:marTop w:val="0"/>
      <w:marBottom w:val="0"/>
      <w:divBdr>
        <w:top w:val="none" w:sz="0" w:space="0" w:color="auto"/>
        <w:left w:val="none" w:sz="0" w:space="0" w:color="auto"/>
        <w:bottom w:val="none" w:sz="0" w:space="0" w:color="auto"/>
        <w:right w:val="none" w:sz="0" w:space="0" w:color="auto"/>
      </w:divBdr>
    </w:div>
    <w:div w:id="213328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iroc.org" TargetMode="External"/><Relationship Id="rId5" Type="http://schemas.openxmlformats.org/officeDocument/2006/relationships/numbering" Target="numbering.xml"/><Relationship Id="rId15"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word-edit.officeapps.live.com/we/wordeditorframe.aspx?ui=en-us&amp;rs=en-us&amp;wopisrc=https%3A%2F%2Febaonline.sharepoint.com%2Fsites%2FITSResRep%2F_vti_bin%2Fwopi.ashx%2Ffiles%2F96ea38be104a4d74b71acda38ddd2ded&amp;wdenableroaming=1&amp;mscc=1&amp;hid=-111&amp;uiembed=1&amp;uih=teams&amp;hhdr=1&amp;dchat=1&amp;sc=%7B%22pmo%22%3A%22https%3A%2F%2Fteams.microsoft.com%22%2C%22pmshare%22%3Atrue%2C%22surl%22%3A%22%22%2C%22curl%22%3A%22%22%2C%22vurl%22%3A%22%22%2C%22eurl%22%3A%22https%3A%2F%2Fteams.microsoft.com%2Ffiles%2Fapps%2Fcom.microsoft.teams.files%2Ffiles%2F3356859179%2Fopen%3Fagent%3Dpostmessage%26objectUrl%3Dhttps%253A%252F%252Febaonline.sharepoint.com%252Fsites%252FITSResRep%252FShared%2520Documents%252FGeneral%252F20210517%2520Annex%2520II%2520(Instructions)%2520(tv).docx%26fileId%3D96EA38BE-104A-4D74-B71A-CDA38DDD2DED%26fileType%3Ddocx%26scenarioId%3D111%26locale%3Den-us%26theme%3Ddefault%26version%3D21043007800%26setting%3Dring.id%3Ageneral%26setting%3DcreatedTime%3A1625831342227%22%7D&amp;wdorigin=TEAMS-WEB.teams.undefined&amp;wdhostclicktime=1625831341357&amp;jsapi=1&amp;jsapiver=v1&amp;newsession=1&amp;corrid=9cb0b368-e356-4dda-b2b6-733b44dda51b&amp;usid=9cb0b368-e356-4dda-b2b6-733b44dda51b&amp;sftc=1&amp;sams=1&amp;accloop=1&amp;sdr=6&amp;scnd=1&amp;hbcv=1&amp;htv=1&amp;nbmd=1&amp;instantedit=1&amp;wopicomplete=1&amp;wdredirectionreason=Unified_SingleFlush&amp;rct=Medium&amp;ctp=LeastProtecte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4/311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B2671E3DAA274C89DACECC5CECCBB8" ma:contentTypeVersion="12" ma:contentTypeDescription="Create a new document." ma:contentTypeScope="" ma:versionID="070dc083818780dc567d45c6955e1e67">
  <xsd:schema xmlns:xsd="http://www.w3.org/2001/XMLSchema" xmlns:xs="http://www.w3.org/2001/XMLSchema" xmlns:p="http://schemas.microsoft.com/office/2006/metadata/properties" xmlns:ns2="fa427300-7f5d-452c-b5c3-f39f7814d426" xmlns:ns3="6cb8331c-4f20-4b36-9838-191c4ac52f93" targetNamespace="http://schemas.microsoft.com/office/2006/metadata/properties" ma:root="true" ma:fieldsID="dfa59396d8adf247419ec6c72ae98b68" ns2:_="" ns3:_="">
    <xsd:import namespace="fa427300-7f5d-452c-b5c3-f39f7814d426"/>
    <xsd:import namespace="6cb8331c-4f20-4b36-9838-191c4ac52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27300-7f5d-452c-b5c3-f39f7814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b8331c-4f20-4b36-9838-191c4ac52f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3495-2AAF-4864-9657-EF708C1A4EA3}">
  <ds:schemaRefs>
    <ds:schemaRef ds:uri="http://schemas.microsoft.com/sharepoint/v3/contenttype/forms"/>
  </ds:schemaRefs>
</ds:datastoreItem>
</file>

<file path=customXml/itemProps2.xml><?xml version="1.0" encoding="utf-8"?>
<ds:datastoreItem xmlns:ds="http://schemas.openxmlformats.org/officeDocument/2006/customXml" ds:itemID="{831D0DEE-19BF-4267-8504-BC231A3C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27300-7f5d-452c-b5c3-f39f7814d426"/>
    <ds:schemaRef ds:uri="6cb8331c-4f20-4b36-9838-191c4ac52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8EF0B-2BAD-4B12-9190-3D3A50D9EE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6D94E3-D2E2-4C29-BE1B-0CB7BAC142C0}">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1</TotalTime>
  <Pages>109</Pages>
  <Words>40752</Words>
  <Characters>232290</Characters>
  <Application>Microsoft Office Word</Application>
  <DocSecurity>0</DocSecurity>
  <Lines>1935</Lines>
  <Paragraphs>544</Paragraphs>
  <ScaleCrop>false</ScaleCrop>
  <Company/>
  <LinksUpToDate>false</LinksUpToDate>
  <CharactersWithSpaces>272498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Kornelia Wilinska</cp:lastModifiedBy>
  <cp:revision>3</cp:revision>
  <dcterms:created xsi:type="dcterms:W3CDTF">2025-09-08T13:11:00Z</dcterms:created>
  <dcterms:modified xsi:type="dcterms:W3CDTF">2025-09-08T15:27:00Z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0x01010039B2671E3DAA274C89DACECC5CECCBB8</vt:lpwstr>
  </property>
  <property fmtid="{D5CDD505-2E9C-101B-9397-08002B2CF9AE}" pid="3" name="_dlc_DocIdItemGuid">
    <vt:lpwstr>9d716253-81f4-4e26-8708-2721b02b61da</vt:lpwstr>
  </property>
  <property fmtid="{D5CDD505-2E9C-101B-9397-08002B2CF9AE}" pid="4" name="f197afdb08d545b88364d84d5f12dbd8">
    <vt:lpwstr>11.01.005.050.010 Resolution Projects - LDT 1|39dd8d8f-bc69-4518-b38b-aa8718ae2236</vt:lpwstr>
  </property>
  <property fmtid="{D5CDD505-2E9C-101B-9397-08002B2CF9AE}" pid="5" name="SRBFilePlan">
    <vt:lpwstr>4;#11.01.005.050.010 Resolution Projects - LDT 1|39dd8d8f-bc69-4518-b38b-aa8718ae2236</vt:lpwstr>
  </property>
</Properties>
</file>