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E1B2AE" w14:textId="77777777" w:rsidR="00393915" w:rsidRDefault="00393915">
      <w:pPr>
        <w:pStyle w:val="abbreviation"/>
      </w:pPr>
    </w:p>
    <w:p w14:paraId="7FE1B2AF" w14:textId="77777777" w:rsidR="00393915" w:rsidRDefault="00F24D68">
      <w:pPr>
        <w:pStyle w:val="P68B1DB1-ListParagraph1"/>
        <w:jc w:val="center"/>
        <w:rPr>
          <w:bCs/>
        </w:rPr>
      </w:pPr>
      <w:r>
        <w:t>Prilog II.: Upute</w:t>
      </w:r>
    </w:p>
    <w:p w14:paraId="7FE1B2B0" w14:textId="77777777" w:rsidR="00393915" w:rsidRDefault="00393915">
      <w:pPr>
        <w:rPr>
          <w:rFonts w:ascii="Times New Roman" w:hAnsi="Times New Roman" w:cs="Times New Roman"/>
          <w:b/>
          <w:color w:val="000000" w:themeColor="text1"/>
          <w:sz w:val="20"/>
          <w:szCs w:val="20"/>
        </w:rPr>
      </w:pPr>
    </w:p>
    <w:p w14:paraId="7FE1B2B1" w14:textId="77777777" w:rsidR="00393915" w:rsidRDefault="00393915">
      <w:pPr>
        <w:rPr>
          <w:rFonts w:ascii="Times New Roman" w:hAnsi="Times New Roman" w:cs="Times New Roman"/>
          <w:b/>
          <w:color w:val="000000" w:themeColor="text1"/>
          <w:sz w:val="20"/>
          <w:szCs w:val="20"/>
        </w:rPr>
      </w:pPr>
    </w:p>
    <w:p w14:paraId="25B005FB" w14:textId="290398DF" w:rsidR="00F24D68" w:rsidRDefault="00F24D68">
      <w:pPr>
        <w:pStyle w:val="TOC2"/>
        <w:rPr>
          <w:noProof/>
          <w:kern w:val="2"/>
          <w:sz w:val="24"/>
          <w:szCs w:val="24"/>
          <w:lang w:val="en-GB"/>
          <w14:ligatures w14:val="standardContextual"/>
        </w:rPr>
      </w:pPr>
      <w:r>
        <w:fldChar w:fldCharType="begin"/>
      </w:r>
      <w:r>
        <w:rPr>
          <w:bCs/>
          <w:sz w:val="20"/>
          <w:szCs w:val="20"/>
        </w:rPr>
        <w:instrText xml:space="preserve"> TOC \o "1-3" \h \z \t "Numbered tile level 1,1,Numbered title level 2,2" </w:instrText>
      </w:r>
      <w:r>
        <w:fldChar w:fldCharType="separate"/>
      </w:r>
      <w:hyperlink w:anchor="_Toc208244788" w:history="1">
        <w:r w:rsidRPr="0037565B">
          <w:rPr>
            <w:rStyle w:val="Hyperlink"/>
            <w:noProof/>
          </w:rPr>
          <w:t>I.</w:t>
        </w:r>
        <w:r>
          <w:rPr>
            <w:noProof/>
            <w:kern w:val="2"/>
            <w:sz w:val="24"/>
            <w:szCs w:val="24"/>
            <w:lang w:val="en-GB"/>
            <w14:ligatures w14:val="standardContextual"/>
          </w:rPr>
          <w:tab/>
        </w:r>
        <w:r w:rsidRPr="0037565B">
          <w:rPr>
            <w:rStyle w:val="Hyperlink"/>
            <w:noProof/>
          </w:rPr>
          <w:t>Opće upute</w:t>
        </w:r>
        <w:r>
          <w:rPr>
            <w:noProof/>
            <w:webHidden/>
          </w:rPr>
          <w:tab/>
        </w:r>
        <w:r>
          <w:rPr>
            <w:noProof/>
            <w:webHidden/>
          </w:rPr>
          <w:fldChar w:fldCharType="begin"/>
        </w:r>
        <w:r>
          <w:rPr>
            <w:noProof/>
            <w:webHidden/>
          </w:rPr>
          <w:instrText xml:space="preserve"> PAGEREF _Toc208244788 \h </w:instrText>
        </w:r>
        <w:r>
          <w:rPr>
            <w:noProof/>
            <w:webHidden/>
          </w:rPr>
        </w:r>
        <w:r>
          <w:rPr>
            <w:noProof/>
            <w:webHidden/>
          </w:rPr>
          <w:fldChar w:fldCharType="separate"/>
        </w:r>
        <w:r w:rsidR="00BD3206">
          <w:rPr>
            <w:noProof/>
            <w:webHidden/>
          </w:rPr>
          <w:t>3</w:t>
        </w:r>
        <w:r>
          <w:rPr>
            <w:noProof/>
            <w:webHidden/>
          </w:rPr>
          <w:fldChar w:fldCharType="end"/>
        </w:r>
      </w:hyperlink>
    </w:p>
    <w:p w14:paraId="6CE22A0D" w14:textId="5F3F76E8" w:rsidR="00F24D68" w:rsidRDefault="00F24D68">
      <w:pPr>
        <w:pStyle w:val="TOC2"/>
        <w:rPr>
          <w:noProof/>
          <w:kern w:val="2"/>
          <w:sz w:val="24"/>
          <w:szCs w:val="24"/>
          <w:lang w:val="en-GB"/>
          <w14:ligatures w14:val="standardContextual"/>
        </w:rPr>
      </w:pPr>
      <w:hyperlink w:anchor="_Toc208244789" w:history="1">
        <w:r w:rsidRPr="0037565B">
          <w:rPr>
            <w:rStyle w:val="Hyperlink"/>
            <w:noProof/>
          </w:rPr>
          <w:t>I.1</w:t>
        </w:r>
        <w:r>
          <w:rPr>
            <w:noProof/>
            <w:kern w:val="2"/>
            <w:sz w:val="24"/>
            <w:szCs w:val="24"/>
            <w:lang w:val="en-GB"/>
            <w14:ligatures w14:val="standardContextual"/>
          </w:rPr>
          <w:tab/>
        </w:r>
        <w:r w:rsidR="000745BC">
          <w:rPr>
            <w:rStyle w:val="Hyperlink"/>
            <w:noProof/>
          </w:rPr>
          <w:t>S</w:t>
        </w:r>
        <w:r w:rsidRPr="0037565B">
          <w:rPr>
            <w:rStyle w:val="Hyperlink"/>
            <w:noProof/>
          </w:rPr>
          <w:t>truktura</w:t>
        </w:r>
        <w:r>
          <w:rPr>
            <w:noProof/>
            <w:webHidden/>
          </w:rPr>
          <w:tab/>
        </w:r>
        <w:r>
          <w:rPr>
            <w:noProof/>
            <w:webHidden/>
          </w:rPr>
          <w:fldChar w:fldCharType="begin"/>
        </w:r>
        <w:r>
          <w:rPr>
            <w:noProof/>
            <w:webHidden/>
          </w:rPr>
          <w:instrText xml:space="preserve"> PAGEREF _Toc208244789 \h </w:instrText>
        </w:r>
        <w:r>
          <w:rPr>
            <w:noProof/>
            <w:webHidden/>
          </w:rPr>
        </w:r>
        <w:r>
          <w:rPr>
            <w:noProof/>
            <w:webHidden/>
          </w:rPr>
          <w:fldChar w:fldCharType="separate"/>
        </w:r>
        <w:r w:rsidR="00BD3206">
          <w:rPr>
            <w:noProof/>
            <w:webHidden/>
          </w:rPr>
          <w:t>3</w:t>
        </w:r>
        <w:r>
          <w:rPr>
            <w:noProof/>
            <w:webHidden/>
          </w:rPr>
          <w:fldChar w:fldCharType="end"/>
        </w:r>
      </w:hyperlink>
    </w:p>
    <w:p w14:paraId="3B741395" w14:textId="20C1790D" w:rsidR="00F24D68" w:rsidRDefault="00F24D68">
      <w:pPr>
        <w:pStyle w:val="TOC2"/>
        <w:rPr>
          <w:noProof/>
          <w:kern w:val="2"/>
          <w:sz w:val="24"/>
          <w:szCs w:val="24"/>
          <w:lang w:val="en-GB"/>
          <w14:ligatures w14:val="standardContextual"/>
        </w:rPr>
      </w:pPr>
      <w:hyperlink w:anchor="_Toc208244790" w:history="1">
        <w:r w:rsidRPr="0037565B">
          <w:rPr>
            <w:rStyle w:val="Hyperlink"/>
            <w:noProof/>
          </w:rPr>
          <w:t>I.2</w:t>
        </w:r>
        <w:r>
          <w:rPr>
            <w:noProof/>
            <w:kern w:val="2"/>
            <w:sz w:val="24"/>
            <w:szCs w:val="24"/>
            <w:lang w:val="en-GB"/>
            <w14:ligatures w14:val="standardContextual"/>
          </w:rPr>
          <w:tab/>
        </w:r>
        <w:r w:rsidRPr="0037565B">
          <w:rPr>
            <w:rStyle w:val="Hyperlink"/>
            <w:noProof/>
          </w:rPr>
          <w:t>Referentni dokument/i:</w:t>
        </w:r>
        <w:r>
          <w:rPr>
            <w:noProof/>
            <w:webHidden/>
          </w:rPr>
          <w:tab/>
        </w:r>
        <w:r>
          <w:rPr>
            <w:noProof/>
            <w:webHidden/>
          </w:rPr>
          <w:fldChar w:fldCharType="begin"/>
        </w:r>
        <w:r>
          <w:rPr>
            <w:noProof/>
            <w:webHidden/>
          </w:rPr>
          <w:instrText xml:space="preserve"> PAGEREF _Toc208244790 \h </w:instrText>
        </w:r>
        <w:r>
          <w:rPr>
            <w:noProof/>
            <w:webHidden/>
          </w:rPr>
        </w:r>
        <w:r>
          <w:rPr>
            <w:noProof/>
            <w:webHidden/>
          </w:rPr>
          <w:fldChar w:fldCharType="separate"/>
        </w:r>
        <w:r w:rsidR="00BD3206">
          <w:rPr>
            <w:noProof/>
            <w:webHidden/>
          </w:rPr>
          <w:t>4</w:t>
        </w:r>
        <w:r>
          <w:rPr>
            <w:noProof/>
            <w:webHidden/>
          </w:rPr>
          <w:fldChar w:fldCharType="end"/>
        </w:r>
      </w:hyperlink>
    </w:p>
    <w:p w14:paraId="6F201378" w14:textId="394DA83D" w:rsidR="00F24D68" w:rsidRDefault="00F24D68">
      <w:pPr>
        <w:pStyle w:val="TOC2"/>
        <w:rPr>
          <w:noProof/>
          <w:kern w:val="2"/>
          <w:sz w:val="24"/>
          <w:szCs w:val="24"/>
          <w:lang w:val="en-GB"/>
          <w14:ligatures w14:val="standardContextual"/>
        </w:rPr>
      </w:pPr>
      <w:hyperlink w:anchor="_Toc208244791" w:history="1">
        <w:r w:rsidRPr="0037565B">
          <w:rPr>
            <w:rStyle w:val="Hyperlink"/>
            <w:noProof/>
          </w:rPr>
          <w:t>I.3</w:t>
        </w:r>
        <w:r>
          <w:rPr>
            <w:noProof/>
            <w:kern w:val="2"/>
            <w:sz w:val="24"/>
            <w:szCs w:val="24"/>
            <w:lang w:val="en-GB"/>
            <w14:ligatures w14:val="standardContextual"/>
          </w:rPr>
          <w:tab/>
        </w:r>
        <w:r w:rsidRPr="0037565B">
          <w:rPr>
            <w:rStyle w:val="Hyperlink"/>
            <w:noProof/>
          </w:rPr>
          <w:t>Računovodstveni standardi</w:t>
        </w:r>
        <w:r>
          <w:rPr>
            <w:noProof/>
            <w:webHidden/>
          </w:rPr>
          <w:tab/>
        </w:r>
        <w:r>
          <w:rPr>
            <w:noProof/>
            <w:webHidden/>
          </w:rPr>
          <w:fldChar w:fldCharType="begin"/>
        </w:r>
        <w:r>
          <w:rPr>
            <w:noProof/>
            <w:webHidden/>
          </w:rPr>
          <w:instrText xml:space="preserve"> PAGEREF _Toc208244791 \h </w:instrText>
        </w:r>
        <w:r>
          <w:rPr>
            <w:noProof/>
            <w:webHidden/>
          </w:rPr>
        </w:r>
        <w:r>
          <w:rPr>
            <w:noProof/>
            <w:webHidden/>
          </w:rPr>
          <w:fldChar w:fldCharType="separate"/>
        </w:r>
        <w:r w:rsidR="00BD3206">
          <w:rPr>
            <w:noProof/>
            <w:webHidden/>
          </w:rPr>
          <w:t>5</w:t>
        </w:r>
        <w:r>
          <w:rPr>
            <w:noProof/>
            <w:webHidden/>
          </w:rPr>
          <w:fldChar w:fldCharType="end"/>
        </w:r>
      </w:hyperlink>
    </w:p>
    <w:p w14:paraId="3C97C25A" w14:textId="733BEEB2" w:rsidR="00F24D68" w:rsidRDefault="00F24D68">
      <w:pPr>
        <w:pStyle w:val="TOC2"/>
        <w:rPr>
          <w:noProof/>
          <w:kern w:val="2"/>
          <w:sz w:val="24"/>
          <w:szCs w:val="24"/>
          <w:lang w:val="en-GB"/>
          <w14:ligatures w14:val="standardContextual"/>
        </w:rPr>
      </w:pPr>
      <w:hyperlink w:anchor="_Toc208244792" w:history="1">
        <w:r w:rsidRPr="0037565B">
          <w:rPr>
            <w:rStyle w:val="Hyperlink"/>
            <w:noProof/>
          </w:rPr>
          <w:t>I.4</w:t>
        </w:r>
        <w:r>
          <w:rPr>
            <w:noProof/>
            <w:kern w:val="2"/>
            <w:sz w:val="24"/>
            <w:szCs w:val="24"/>
            <w:lang w:val="en-GB"/>
            <w14:ligatures w14:val="standardContextual"/>
          </w:rPr>
          <w:tab/>
        </w:r>
        <w:r w:rsidRPr="0037565B">
          <w:rPr>
            <w:rStyle w:val="Hyperlink"/>
            <w:noProof/>
          </w:rPr>
          <w:t>Izvješćivanje o nadzornim podacima</w:t>
        </w:r>
        <w:r>
          <w:rPr>
            <w:noProof/>
            <w:webHidden/>
          </w:rPr>
          <w:tab/>
        </w:r>
        <w:r>
          <w:rPr>
            <w:noProof/>
            <w:webHidden/>
          </w:rPr>
          <w:fldChar w:fldCharType="begin"/>
        </w:r>
        <w:r>
          <w:rPr>
            <w:noProof/>
            <w:webHidden/>
          </w:rPr>
          <w:instrText xml:space="preserve"> PAGEREF _Toc208244792 \h </w:instrText>
        </w:r>
        <w:r>
          <w:rPr>
            <w:noProof/>
            <w:webHidden/>
          </w:rPr>
        </w:r>
        <w:r>
          <w:rPr>
            <w:noProof/>
            <w:webHidden/>
          </w:rPr>
          <w:fldChar w:fldCharType="separate"/>
        </w:r>
        <w:r w:rsidR="00BD3206">
          <w:rPr>
            <w:noProof/>
            <w:webHidden/>
          </w:rPr>
          <w:t>5</w:t>
        </w:r>
        <w:r>
          <w:rPr>
            <w:noProof/>
            <w:webHidden/>
          </w:rPr>
          <w:fldChar w:fldCharType="end"/>
        </w:r>
      </w:hyperlink>
    </w:p>
    <w:p w14:paraId="2507D5EE" w14:textId="5D4107E4" w:rsidR="00F24D68" w:rsidRDefault="00F24D68">
      <w:pPr>
        <w:pStyle w:val="TOC2"/>
        <w:rPr>
          <w:noProof/>
          <w:kern w:val="2"/>
          <w:sz w:val="24"/>
          <w:szCs w:val="24"/>
          <w:lang w:val="en-GB"/>
          <w14:ligatures w14:val="standardContextual"/>
        </w:rPr>
      </w:pPr>
      <w:hyperlink w:anchor="_Toc208244793" w:history="1">
        <w:r w:rsidRPr="0037565B">
          <w:rPr>
            <w:rStyle w:val="Hyperlink"/>
            <w:noProof/>
          </w:rPr>
          <w:t>I.5</w:t>
        </w:r>
        <w:r>
          <w:rPr>
            <w:noProof/>
            <w:kern w:val="2"/>
            <w:sz w:val="24"/>
            <w:szCs w:val="24"/>
            <w:lang w:val="en-GB"/>
            <w14:ligatures w14:val="standardContextual"/>
          </w:rPr>
          <w:tab/>
        </w:r>
        <w:r w:rsidRPr="0037565B">
          <w:rPr>
            <w:rStyle w:val="Hyperlink"/>
            <w:noProof/>
          </w:rPr>
          <w:t>Opseg konsolidacije</w:t>
        </w:r>
        <w:r>
          <w:rPr>
            <w:noProof/>
            <w:webHidden/>
          </w:rPr>
          <w:tab/>
        </w:r>
        <w:r>
          <w:rPr>
            <w:noProof/>
            <w:webHidden/>
          </w:rPr>
          <w:fldChar w:fldCharType="begin"/>
        </w:r>
        <w:r>
          <w:rPr>
            <w:noProof/>
            <w:webHidden/>
          </w:rPr>
          <w:instrText xml:space="preserve"> PAGEREF _Toc208244793 \h </w:instrText>
        </w:r>
        <w:r>
          <w:rPr>
            <w:noProof/>
            <w:webHidden/>
          </w:rPr>
        </w:r>
        <w:r>
          <w:rPr>
            <w:noProof/>
            <w:webHidden/>
          </w:rPr>
          <w:fldChar w:fldCharType="separate"/>
        </w:r>
        <w:r w:rsidR="00BD3206">
          <w:rPr>
            <w:noProof/>
            <w:webHidden/>
          </w:rPr>
          <w:t>6</w:t>
        </w:r>
        <w:r>
          <w:rPr>
            <w:noProof/>
            <w:webHidden/>
          </w:rPr>
          <w:fldChar w:fldCharType="end"/>
        </w:r>
      </w:hyperlink>
    </w:p>
    <w:p w14:paraId="38A6E021" w14:textId="22D89EF4" w:rsidR="00F24D68" w:rsidRDefault="00F24D68">
      <w:pPr>
        <w:pStyle w:val="TOC2"/>
        <w:rPr>
          <w:noProof/>
          <w:kern w:val="2"/>
          <w:sz w:val="24"/>
          <w:szCs w:val="24"/>
          <w:lang w:val="en-GB"/>
          <w14:ligatures w14:val="standardContextual"/>
        </w:rPr>
      </w:pPr>
      <w:hyperlink w:anchor="_Toc208244794" w:history="1">
        <w:r w:rsidRPr="0037565B">
          <w:rPr>
            <w:rStyle w:val="Hyperlink"/>
            <w:noProof/>
          </w:rPr>
          <w:t>I.6</w:t>
        </w:r>
        <w:r>
          <w:rPr>
            <w:noProof/>
            <w:kern w:val="2"/>
            <w:sz w:val="24"/>
            <w:szCs w:val="24"/>
            <w:lang w:val="en-GB"/>
            <w14:ligatures w14:val="standardContextual"/>
          </w:rPr>
          <w:tab/>
        </w:r>
        <w:r w:rsidRPr="0037565B">
          <w:rPr>
            <w:rStyle w:val="Hyperlink"/>
            <w:noProof/>
          </w:rPr>
          <w:t>Označivanje brojevima i druga pravila</w:t>
        </w:r>
        <w:r>
          <w:rPr>
            <w:noProof/>
            <w:webHidden/>
          </w:rPr>
          <w:tab/>
        </w:r>
        <w:r>
          <w:rPr>
            <w:noProof/>
            <w:webHidden/>
          </w:rPr>
          <w:fldChar w:fldCharType="begin"/>
        </w:r>
        <w:r>
          <w:rPr>
            <w:noProof/>
            <w:webHidden/>
          </w:rPr>
          <w:instrText xml:space="preserve"> PAGEREF _Toc208244794 \h </w:instrText>
        </w:r>
        <w:r>
          <w:rPr>
            <w:noProof/>
            <w:webHidden/>
          </w:rPr>
        </w:r>
        <w:r>
          <w:rPr>
            <w:noProof/>
            <w:webHidden/>
          </w:rPr>
          <w:fldChar w:fldCharType="separate"/>
        </w:r>
        <w:r w:rsidR="00BD3206">
          <w:rPr>
            <w:noProof/>
            <w:webHidden/>
          </w:rPr>
          <w:t>6</w:t>
        </w:r>
        <w:r>
          <w:rPr>
            <w:noProof/>
            <w:webHidden/>
          </w:rPr>
          <w:fldChar w:fldCharType="end"/>
        </w:r>
      </w:hyperlink>
    </w:p>
    <w:p w14:paraId="74F13591" w14:textId="6B56CA68" w:rsidR="00F24D68" w:rsidRDefault="00F24D68">
      <w:pPr>
        <w:pStyle w:val="TOC2"/>
        <w:rPr>
          <w:noProof/>
          <w:kern w:val="2"/>
          <w:sz w:val="24"/>
          <w:szCs w:val="24"/>
          <w:lang w:val="en-GB"/>
          <w14:ligatures w14:val="standardContextual"/>
        </w:rPr>
      </w:pPr>
      <w:hyperlink w:anchor="_Toc208244795" w:history="1">
        <w:r w:rsidRPr="0037565B">
          <w:rPr>
            <w:rStyle w:val="Hyperlink"/>
            <w:noProof/>
          </w:rPr>
          <w:t>II.</w:t>
        </w:r>
        <w:r>
          <w:rPr>
            <w:noProof/>
            <w:kern w:val="2"/>
            <w:sz w:val="24"/>
            <w:szCs w:val="24"/>
            <w:lang w:val="en-GB"/>
            <w14:ligatures w14:val="standardContextual"/>
          </w:rPr>
          <w:tab/>
        </w:r>
        <w:r w:rsidRPr="0037565B">
          <w:rPr>
            <w:rStyle w:val="Hyperlink"/>
            <w:noProof/>
          </w:rPr>
          <w:t>Upute za predloške</w:t>
        </w:r>
        <w:r>
          <w:rPr>
            <w:noProof/>
            <w:webHidden/>
          </w:rPr>
          <w:tab/>
        </w:r>
        <w:r>
          <w:rPr>
            <w:noProof/>
            <w:webHidden/>
          </w:rPr>
          <w:fldChar w:fldCharType="begin"/>
        </w:r>
        <w:r>
          <w:rPr>
            <w:noProof/>
            <w:webHidden/>
          </w:rPr>
          <w:instrText xml:space="preserve"> PAGEREF _Toc208244795 \h </w:instrText>
        </w:r>
        <w:r>
          <w:rPr>
            <w:noProof/>
            <w:webHidden/>
          </w:rPr>
        </w:r>
        <w:r>
          <w:rPr>
            <w:noProof/>
            <w:webHidden/>
          </w:rPr>
          <w:fldChar w:fldCharType="separate"/>
        </w:r>
        <w:r w:rsidR="00BD3206">
          <w:rPr>
            <w:noProof/>
            <w:webHidden/>
          </w:rPr>
          <w:t>6</w:t>
        </w:r>
        <w:r>
          <w:rPr>
            <w:noProof/>
            <w:webHidden/>
          </w:rPr>
          <w:fldChar w:fldCharType="end"/>
        </w:r>
      </w:hyperlink>
    </w:p>
    <w:p w14:paraId="64A0E4E0" w14:textId="7B9FFAD4" w:rsidR="00F24D68" w:rsidRDefault="00F24D68">
      <w:pPr>
        <w:pStyle w:val="TOC2"/>
        <w:rPr>
          <w:noProof/>
          <w:kern w:val="2"/>
          <w:sz w:val="24"/>
          <w:szCs w:val="24"/>
          <w:lang w:val="en-GB"/>
          <w14:ligatures w14:val="standardContextual"/>
        </w:rPr>
      </w:pPr>
      <w:hyperlink w:anchor="_Toc208244796" w:history="1">
        <w:r w:rsidRPr="0037565B">
          <w:rPr>
            <w:rStyle w:val="Hyperlink"/>
            <w:noProof/>
          </w:rPr>
          <w:t>II.1</w:t>
        </w:r>
        <w:r>
          <w:rPr>
            <w:noProof/>
            <w:kern w:val="2"/>
            <w:sz w:val="24"/>
            <w:szCs w:val="24"/>
            <w:lang w:val="en-GB"/>
            <w14:ligatures w14:val="standardContextual"/>
          </w:rPr>
          <w:tab/>
        </w:r>
        <w:r w:rsidRPr="0037565B">
          <w:rPr>
            <w:rStyle w:val="Hyperlink"/>
            <w:noProof/>
          </w:rPr>
          <w:t>Z 01.01 – Pravne osobe (ORG 1)</w:t>
        </w:r>
        <w:r>
          <w:rPr>
            <w:noProof/>
            <w:webHidden/>
          </w:rPr>
          <w:tab/>
        </w:r>
        <w:r>
          <w:rPr>
            <w:noProof/>
            <w:webHidden/>
          </w:rPr>
          <w:fldChar w:fldCharType="begin"/>
        </w:r>
        <w:r>
          <w:rPr>
            <w:noProof/>
            <w:webHidden/>
          </w:rPr>
          <w:instrText xml:space="preserve"> PAGEREF _Toc208244796 \h </w:instrText>
        </w:r>
        <w:r>
          <w:rPr>
            <w:noProof/>
            <w:webHidden/>
          </w:rPr>
        </w:r>
        <w:r>
          <w:rPr>
            <w:noProof/>
            <w:webHidden/>
          </w:rPr>
          <w:fldChar w:fldCharType="separate"/>
        </w:r>
        <w:r w:rsidR="00BD3206">
          <w:rPr>
            <w:noProof/>
            <w:webHidden/>
          </w:rPr>
          <w:t>6</w:t>
        </w:r>
        <w:r>
          <w:rPr>
            <w:noProof/>
            <w:webHidden/>
          </w:rPr>
          <w:fldChar w:fldCharType="end"/>
        </w:r>
      </w:hyperlink>
    </w:p>
    <w:p w14:paraId="0B79401E" w14:textId="43668B61" w:rsidR="00F24D68" w:rsidRDefault="00F24D68">
      <w:pPr>
        <w:pStyle w:val="TOC2"/>
        <w:rPr>
          <w:noProof/>
          <w:kern w:val="2"/>
          <w:sz w:val="24"/>
          <w:szCs w:val="24"/>
          <w:lang w:val="en-GB"/>
          <w14:ligatures w14:val="standardContextual"/>
        </w:rPr>
      </w:pPr>
      <w:hyperlink w:anchor="_Toc208244797" w:history="1">
        <w:r w:rsidRPr="0037565B">
          <w:rPr>
            <w:rStyle w:val="Hyperlink"/>
            <w:noProof/>
          </w:rPr>
          <w:t>II.2</w:t>
        </w:r>
        <w:r>
          <w:rPr>
            <w:noProof/>
            <w:kern w:val="2"/>
            <w:sz w:val="24"/>
            <w:szCs w:val="24"/>
            <w:lang w:val="en-GB"/>
            <w14:ligatures w14:val="standardContextual"/>
          </w:rPr>
          <w:tab/>
        </w:r>
        <w:r w:rsidRPr="0037565B">
          <w:rPr>
            <w:rStyle w:val="Hyperlink"/>
            <w:noProof/>
          </w:rPr>
          <w:t>Z 01.02 – Vlasnička struktura (ORG 2)</w:t>
        </w:r>
        <w:r>
          <w:rPr>
            <w:noProof/>
            <w:webHidden/>
          </w:rPr>
          <w:tab/>
        </w:r>
        <w:r>
          <w:rPr>
            <w:noProof/>
            <w:webHidden/>
          </w:rPr>
          <w:fldChar w:fldCharType="begin"/>
        </w:r>
        <w:r>
          <w:rPr>
            <w:noProof/>
            <w:webHidden/>
          </w:rPr>
          <w:instrText xml:space="preserve"> PAGEREF _Toc208244797 \h </w:instrText>
        </w:r>
        <w:r>
          <w:rPr>
            <w:noProof/>
            <w:webHidden/>
          </w:rPr>
        </w:r>
        <w:r>
          <w:rPr>
            <w:noProof/>
            <w:webHidden/>
          </w:rPr>
          <w:fldChar w:fldCharType="separate"/>
        </w:r>
        <w:r w:rsidR="00BD3206">
          <w:rPr>
            <w:noProof/>
            <w:webHidden/>
          </w:rPr>
          <w:t>10</w:t>
        </w:r>
        <w:r>
          <w:rPr>
            <w:noProof/>
            <w:webHidden/>
          </w:rPr>
          <w:fldChar w:fldCharType="end"/>
        </w:r>
      </w:hyperlink>
    </w:p>
    <w:p w14:paraId="459D711A" w14:textId="4FFDE586" w:rsidR="00F24D68" w:rsidRDefault="00F24D68">
      <w:pPr>
        <w:pStyle w:val="TOC2"/>
        <w:rPr>
          <w:noProof/>
          <w:kern w:val="2"/>
          <w:sz w:val="24"/>
          <w:szCs w:val="24"/>
          <w:lang w:val="en-GB"/>
          <w14:ligatures w14:val="standardContextual"/>
        </w:rPr>
      </w:pPr>
      <w:hyperlink w:anchor="_Toc208244798" w:history="1">
        <w:r w:rsidRPr="0037565B">
          <w:rPr>
            <w:rStyle w:val="Hyperlink"/>
            <w:noProof/>
          </w:rPr>
          <w:t>II.3</w:t>
        </w:r>
        <w:r>
          <w:rPr>
            <w:noProof/>
            <w:kern w:val="2"/>
            <w:sz w:val="24"/>
            <w:szCs w:val="24"/>
            <w:lang w:val="en-GB"/>
            <w14:ligatures w14:val="standardContextual"/>
          </w:rPr>
          <w:tab/>
        </w:r>
        <w:r w:rsidRPr="0037565B">
          <w:rPr>
            <w:rStyle w:val="Hyperlink"/>
            <w:noProof/>
          </w:rPr>
          <w:t>Z 02.00 – Struktura obveza (LIAB 1)</w:t>
        </w:r>
        <w:r>
          <w:rPr>
            <w:noProof/>
            <w:webHidden/>
          </w:rPr>
          <w:tab/>
        </w:r>
        <w:r>
          <w:rPr>
            <w:noProof/>
            <w:webHidden/>
          </w:rPr>
          <w:fldChar w:fldCharType="begin"/>
        </w:r>
        <w:r>
          <w:rPr>
            <w:noProof/>
            <w:webHidden/>
          </w:rPr>
          <w:instrText xml:space="preserve"> PAGEREF _Toc208244798 \h </w:instrText>
        </w:r>
        <w:r>
          <w:rPr>
            <w:noProof/>
            <w:webHidden/>
          </w:rPr>
        </w:r>
        <w:r>
          <w:rPr>
            <w:noProof/>
            <w:webHidden/>
          </w:rPr>
          <w:fldChar w:fldCharType="separate"/>
        </w:r>
        <w:r w:rsidR="00BD3206">
          <w:rPr>
            <w:noProof/>
            <w:webHidden/>
          </w:rPr>
          <w:t>11</w:t>
        </w:r>
        <w:r>
          <w:rPr>
            <w:noProof/>
            <w:webHidden/>
          </w:rPr>
          <w:fldChar w:fldCharType="end"/>
        </w:r>
      </w:hyperlink>
    </w:p>
    <w:p w14:paraId="4408C0BF" w14:textId="5A5B24FD" w:rsidR="00F24D68" w:rsidRDefault="00F24D68">
      <w:pPr>
        <w:pStyle w:val="TOC2"/>
        <w:rPr>
          <w:noProof/>
          <w:kern w:val="2"/>
          <w:sz w:val="24"/>
          <w:szCs w:val="24"/>
          <w:lang w:val="en-GB"/>
          <w14:ligatures w14:val="standardContextual"/>
        </w:rPr>
      </w:pPr>
      <w:hyperlink w:anchor="_Toc208244799" w:history="1">
        <w:r w:rsidRPr="0037565B">
          <w:rPr>
            <w:rStyle w:val="Hyperlink"/>
            <w:noProof/>
          </w:rPr>
          <w:t>II.4</w:t>
        </w:r>
        <w:r>
          <w:rPr>
            <w:noProof/>
            <w:kern w:val="2"/>
            <w:sz w:val="24"/>
            <w:szCs w:val="24"/>
            <w:lang w:val="en-GB"/>
            <w14:ligatures w14:val="standardContextual"/>
          </w:rPr>
          <w:tab/>
        </w:r>
        <w:r w:rsidRPr="0037565B">
          <w:rPr>
            <w:rStyle w:val="Hyperlink"/>
            <w:noProof/>
          </w:rPr>
          <w:t>Predložak Z 03.01 – Kapitalni zahtjevi – kreditne institucije (LIAB 2)</w:t>
        </w:r>
        <w:r>
          <w:rPr>
            <w:noProof/>
            <w:webHidden/>
          </w:rPr>
          <w:tab/>
        </w:r>
        <w:r>
          <w:rPr>
            <w:noProof/>
            <w:webHidden/>
          </w:rPr>
          <w:fldChar w:fldCharType="begin"/>
        </w:r>
        <w:r>
          <w:rPr>
            <w:noProof/>
            <w:webHidden/>
          </w:rPr>
          <w:instrText xml:space="preserve"> PAGEREF _Toc208244799 \h </w:instrText>
        </w:r>
        <w:r>
          <w:rPr>
            <w:noProof/>
            <w:webHidden/>
          </w:rPr>
        </w:r>
        <w:r>
          <w:rPr>
            <w:noProof/>
            <w:webHidden/>
          </w:rPr>
          <w:fldChar w:fldCharType="separate"/>
        </w:r>
        <w:r w:rsidR="00BD3206">
          <w:rPr>
            <w:noProof/>
            <w:webHidden/>
          </w:rPr>
          <w:t>19</w:t>
        </w:r>
        <w:r>
          <w:rPr>
            <w:noProof/>
            <w:webHidden/>
          </w:rPr>
          <w:fldChar w:fldCharType="end"/>
        </w:r>
      </w:hyperlink>
    </w:p>
    <w:p w14:paraId="1ED7321C" w14:textId="75A6D98B" w:rsidR="00F24D68" w:rsidRDefault="00F24D68">
      <w:pPr>
        <w:pStyle w:val="TOC2"/>
        <w:rPr>
          <w:noProof/>
          <w:kern w:val="2"/>
          <w:sz w:val="24"/>
          <w:szCs w:val="24"/>
          <w:lang w:val="en-GB"/>
          <w14:ligatures w14:val="standardContextual"/>
        </w:rPr>
      </w:pPr>
      <w:hyperlink w:anchor="_Toc208244800" w:history="1">
        <w:r w:rsidRPr="0037565B">
          <w:rPr>
            <w:rStyle w:val="Hyperlink"/>
            <w:noProof/>
          </w:rPr>
          <w:t>II.5</w:t>
        </w:r>
        <w:r>
          <w:rPr>
            <w:noProof/>
            <w:kern w:val="2"/>
            <w:sz w:val="24"/>
            <w:szCs w:val="24"/>
            <w:lang w:val="en-GB"/>
            <w14:ligatures w14:val="standardContextual"/>
          </w:rPr>
          <w:tab/>
        </w:r>
        <w:r w:rsidRPr="0037565B">
          <w:rPr>
            <w:rStyle w:val="Hyperlink"/>
            <w:noProof/>
          </w:rPr>
          <w:t>Predložak Z 03.02 – Kapitalni zahtjevi – investicijska društva (LIAB 3)</w:t>
        </w:r>
        <w:r>
          <w:rPr>
            <w:noProof/>
            <w:webHidden/>
          </w:rPr>
          <w:tab/>
        </w:r>
        <w:r>
          <w:rPr>
            <w:noProof/>
            <w:webHidden/>
          </w:rPr>
          <w:fldChar w:fldCharType="begin"/>
        </w:r>
        <w:r>
          <w:rPr>
            <w:noProof/>
            <w:webHidden/>
          </w:rPr>
          <w:instrText xml:space="preserve"> PAGEREF _Toc208244800 \h </w:instrText>
        </w:r>
        <w:r>
          <w:rPr>
            <w:noProof/>
            <w:webHidden/>
          </w:rPr>
        </w:r>
        <w:r>
          <w:rPr>
            <w:noProof/>
            <w:webHidden/>
          </w:rPr>
          <w:fldChar w:fldCharType="separate"/>
        </w:r>
        <w:r w:rsidR="00BD3206">
          <w:rPr>
            <w:noProof/>
            <w:webHidden/>
          </w:rPr>
          <w:t>22</w:t>
        </w:r>
        <w:r>
          <w:rPr>
            <w:noProof/>
            <w:webHidden/>
          </w:rPr>
          <w:fldChar w:fldCharType="end"/>
        </w:r>
      </w:hyperlink>
    </w:p>
    <w:p w14:paraId="40AA2407" w14:textId="1CF4AF52" w:rsidR="00F24D68" w:rsidRDefault="00F24D68">
      <w:pPr>
        <w:pStyle w:val="TOC2"/>
        <w:rPr>
          <w:noProof/>
          <w:kern w:val="2"/>
          <w:sz w:val="24"/>
          <w:szCs w:val="24"/>
          <w:lang w:val="en-GB"/>
          <w14:ligatures w14:val="standardContextual"/>
        </w:rPr>
      </w:pPr>
      <w:hyperlink w:anchor="_Toc208244801" w:history="1">
        <w:r w:rsidRPr="0037565B">
          <w:rPr>
            <w:rStyle w:val="Hyperlink"/>
            <w:noProof/>
          </w:rPr>
          <w:t>II.6</w:t>
        </w:r>
        <w:r>
          <w:rPr>
            <w:noProof/>
            <w:kern w:val="2"/>
            <w:sz w:val="24"/>
            <w:szCs w:val="24"/>
            <w:lang w:val="en-GB"/>
            <w14:ligatures w14:val="standardContextual"/>
          </w:rPr>
          <w:tab/>
        </w:r>
        <w:r w:rsidRPr="0037565B">
          <w:rPr>
            <w:rStyle w:val="Hyperlink"/>
            <w:noProof/>
          </w:rPr>
          <w:t>Z 04.00 – Međusobne financijske veze unutar grupe (IFC)</w:t>
        </w:r>
        <w:r>
          <w:rPr>
            <w:noProof/>
            <w:webHidden/>
          </w:rPr>
          <w:tab/>
        </w:r>
        <w:r>
          <w:rPr>
            <w:noProof/>
            <w:webHidden/>
          </w:rPr>
          <w:fldChar w:fldCharType="begin"/>
        </w:r>
        <w:r>
          <w:rPr>
            <w:noProof/>
            <w:webHidden/>
          </w:rPr>
          <w:instrText xml:space="preserve"> PAGEREF _Toc208244801 \h </w:instrText>
        </w:r>
        <w:r>
          <w:rPr>
            <w:noProof/>
            <w:webHidden/>
          </w:rPr>
        </w:r>
        <w:r>
          <w:rPr>
            <w:noProof/>
            <w:webHidden/>
          </w:rPr>
          <w:fldChar w:fldCharType="separate"/>
        </w:r>
        <w:r w:rsidR="00BD3206">
          <w:rPr>
            <w:noProof/>
            <w:webHidden/>
          </w:rPr>
          <w:t>23</w:t>
        </w:r>
        <w:r>
          <w:rPr>
            <w:noProof/>
            <w:webHidden/>
          </w:rPr>
          <w:fldChar w:fldCharType="end"/>
        </w:r>
      </w:hyperlink>
    </w:p>
    <w:p w14:paraId="5A3501CC" w14:textId="71F6A026" w:rsidR="00F24D68" w:rsidRDefault="00F24D68">
      <w:pPr>
        <w:pStyle w:val="TOC2"/>
        <w:rPr>
          <w:noProof/>
          <w:kern w:val="2"/>
          <w:sz w:val="24"/>
          <w:szCs w:val="24"/>
          <w:lang w:val="en-GB"/>
          <w14:ligatures w14:val="standardContextual"/>
        </w:rPr>
      </w:pPr>
      <w:hyperlink w:anchor="_Toc208244802" w:history="1">
        <w:r w:rsidRPr="0037565B">
          <w:rPr>
            <w:rStyle w:val="Hyperlink"/>
            <w:noProof/>
          </w:rPr>
          <w:t>II.7</w:t>
        </w:r>
        <w:r>
          <w:rPr>
            <w:noProof/>
            <w:kern w:val="2"/>
            <w:sz w:val="24"/>
            <w:szCs w:val="24"/>
            <w:lang w:val="en-GB"/>
            <w14:ligatures w14:val="standardContextual"/>
          </w:rPr>
          <w:tab/>
        </w:r>
        <w:r w:rsidRPr="0037565B">
          <w:rPr>
            <w:rStyle w:val="Hyperlink"/>
            <w:noProof/>
          </w:rPr>
          <w:t>Glavne druge ugovorne strane (LIAB 5 i 6)</w:t>
        </w:r>
        <w:r>
          <w:rPr>
            <w:noProof/>
            <w:webHidden/>
          </w:rPr>
          <w:tab/>
        </w:r>
        <w:r>
          <w:rPr>
            <w:noProof/>
            <w:webHidden/>
          </w:rPr>
          <w:fldChar w:fldCharType="begin"/>
        </w:r>
        <w:r>
          <w:rPr>
            <w:noProof/>
            <w:webHidden/>
          </w:rPr>
          <w:instrText xml:space="preserve"> PAGEREF _Toc208244802 \h </w:instrText>
        </w:r>
        <w:r>
          <w:rPr>
            <w:noProof/>
            <w:webHidden/>
          </w:rPr>
        </w:r>
        <w:r>
          <w:rPr>
            <w:noProof/>
            <w:webHidden/>
          </w:rPr>
          <w:fldChar w:fldCharType="separate"/>
        </w:r>
        <w:r w:rsidR="00BD3206">
          <w:rPr>
            <w:noProof/>
            <w:webHidden/>
          </w:rPr>
          <w:t>25</w:t>
        </w:r>
        <w:r>
          <w:rPr>
            <w:noProof/>
            <w:webHidden/>
          </w:rPr>
          <w:fldChar w:fldCharType="end"/>
        </w:r>
      </w:hyperlink>
    </w:p>
    <w:p w14:paraId="3E92E678" w14:textId="1D6AB6F6" w:rsidR="00F24D68" w:rsidRDefault="00F24D68">
      <w:pPr>
        <w:pStyle w:val="TOC2"/>
        <w:rPr>
          <w:noProof/>
          <w:kern w:val="2"/>
          <w:sz w:val="24"/>
          <w:szCs w:val="24"/>
          <w:lang w:val="en-GB"/>
          <w14:ligatures w14:val="standardContextual"/>
        </w:rPr>
      </w:pPr>
      <w:hyperlink w:anchor="_Toc208244803" w:history="1">
        <w:r w:rsidRPr="0037565B">
          <w:rPr>
            <w:rStyle w:val="Hyperlink"/>
            <w:noProof/>
          </w:rPr>
          <w:t>II.8</w:t>
        </w:r>
        <w:r>
          <w:rPr>
            <w:noProof/>
            <w:kern w:val="2"/>
            <w:sz w:val="24"/>
            <w:szCs w:val="24"/>
            <w:lang w:val="en-GB"/>
            <w14:ligatures w14:val="standardContextual"/>
          </w:rPr>
          <w:tab/>
        </w:r>
        <w:r w:rsidRPr="0037565B">
          <w:rPr>
            <w:rStyle w:val="Hyperlink"/>
            <w:noProof/>
          </w:rPr>
          <w:t>Z 05.01 – Glavne druge ugovorne strane prema kojima postoje obveze (MCP 1)</w:t>
        </w:r>
        <w:r>
          <w:rPr>
            <w:noProof/>
            <w:webHidden/>
          </w:rPr>
          <w:tab/>
        </w:r>
        <w:r>
          <w:rPr>
            <w:noProof/>
            <w:webHidden/>
          </w:rPr>
          <w:fldChar w:fldCharType="begin"/>
        </w:r>
        <w:r>
          <w:rPr>
            <w:noProof/>
            <w:webHidden/>
          </w:rPr>
          <w:instrText xml:space="preserve"> PAGEREF _Toc208244803 \h </w:instrText>
        </w:r>
        <w:r>
          <w:rPr>
            <w:noProof/>
            <w:webHidden/>
          </w:rPr>
        </w:r>
        <w:r>
          <w:rPr>
            <w:noProof/>
            <w:webHidden/>
          </w:rPr>
          <w:fldChar w:fldCharType="separate"/>
        </w:r>
        <w:r w:rsidR="00BD3206">
          <w:rPr>
            <w:noProof/>
            <w:webHidden/>
          </w:rPr>
          <w:t>26</w:t>
        </w:r>
        <w:r>
          <w:rPr>
            <w:noProof/>
            <w:webHidden/>
          </w:rPr>
          <w:fldChar w:fldCharType="end"/>
        </w:r>
      </w:hyperlink>
    </w:p>
    <w:p w14:paraId="24A070FF" w14:textId="21F9B73D" w:rsidR="00F24D68" w:rsidRDefault="00F24D68">
      <w:pPr>
        <w:pStyle w:val="TOC2"/>
        <w:rPr>
          <w:noProof/>
          <w:kern w:val="2"/>
          <w:sz w:val="24"/>
          <w:szCs w:val="24"/>
          <w:lang w:val="en-GB"/>
          <w14:ligatures w14:val="standardContextual"/>
        </w:rPr>
      </w:pPr>
      <w:hyperlink w:anchor="_Toc208244804" w:history="1">
        <w:r w:rsidRPr="0037565B">
          <w:rPr>
            <w:rStyle w:val="Hyperlink"/>
            <w:noProof/>
          </w:rPr>
          <w:t>II.9</w:t>
        </w:r>
        <w:r>
          <w:rPr>
            <w:noProof/>
            <w:kern w:val="2"/>
            <w:sz w:val="24"/>
            <w:szCs w:val="24"/>
            <w:lang w:val="en-GB"/>
            <w14:ligatures w14:val="standardContextual"/>
          </w:rPr>
          <w:tab/>
        </w:r>
        <w:r w:rsidRPr="0037565B">
          <w:rPr>
            <w:rStyle w:val="Hyperlink"/>
            <w:noProof/>
          </w:rPr>
          <w:t>Z 05.02 – Glavne druge ugovorne strane izvan bilance (LIAB 6)</w:t>
        </w:r>
        <w:r>
          <w:rPr>
            <w:noProof/>
            <w:webHidden/>
          </w:rPr>
          <w:tab/>
        </w:r>
        <w:r>
          <w:rPr>
            <w:noProof/>
            <w:webHidden/>
          </w:rPr>
          <w:fldChar w:fldCharType="begin"/>
        </w:r>
        <w:r>
          <w:rPr>
            <w:noProof/>
            <w:webHidden/>
          </w:rPr>
          <w:instrText xml:space="preserve"> PAGEREF _Toc208244804 \h </w:instrText>
        </w:r>
        <w:r>
          <w:rPr>
            <w:noProof/>
            <w:webHidden/>
          </w:rPr>
        </w:r>
        <w:r>
          <w:rPr>
            <w:noProof/>
            <w:webHidden/>
          </w:rPr>
          <w:fldChar w:fldCharType="separate"/>
        </w:r>
        <w:r w:rsidR="00BD3206">
          <w:rPr>
            <w:noProof/>
            <w:webHidden/>
          </w:rPr>
          <w:t>28</w:t>
        </w:r>
        <w:r>
          <w:rPr>
            <w:noProof/>
            <w:webHidden/>
          </w:rPr>
          <w:fldChar w:fldCharType="end"/>
        </w:r>
      </w:hyperlink>
    </w:p>
    <w:p w14:paraId="3A1BB397" w14:textId="03F757A9" w:rsidR="00F24D68" w:rsidRDefault="00F24D68">
      <w:pPr>
        <w:pStyle w:val="TOC2"/>
        <w:rPr>
          <w:noProof/>
          <w:kern w:val="2"/>
          <w:sz w:val="24"/>
          <w:szCs w:val="24"/>
          <w:lang w:val="en-GB"/>
          <w14:ligatures w14:val="standardContextual"/>
        </w:rPr>
      </w:pPr>
      <w:hyperlink w:anchor="_Toc208244805" w:history="1">
        <w:r w:rsidRPr="0037565B">
          <w:rPr>
            <w:rStyle w:val="Hyperlink"/>
            <w:noProof/>
          </w:rPr>
          <w:t>II.10</w:t>
        </w:r>
        <w:r>
          <w:rPr>
            <w:noProof/>
            <w:kern w:val="2"/>
            <w:sz w:val="24"/>
            <w:szCs w:val="24"/>
            <w:lang w:val="en-GB"/>
            <w14:ligatures w14:val="standardContextual"/>
          </w:rPr>
          <w:tab/>
        </w:r>
        <w:r w:rsidRPr="0037565B">
          <w:rPr>
            <w:rStyle w:val="Hyperlink"/>
            <w:noProof/>
          </w:rPr>
          <w:t>Z 06.00 – Osiguranje depozita (LIAB 7)</w:t>
        </w:r>
        <w:r>
          <w:rPr>
            <w:noProof/>
            <w:webHidden/>
          </w:rPr>
          <w:tab/>
        </w:r>
        <w:r>
          <w:rPr>
            <w:noProof/>
            <w:webHidden/>
          </w:rPr>
          <w:fldChar w:fldCharType="begin"/>
        </w:r>
        <w:r>
          <w:rPr>
            <w:noProof/>
            <w:webHidden/>
          </w:rPr>
          <w:instrText xml:space="preserve"> PAGEREF _Toc208244805 \h </w:instrText>
        </w:r>
        <w:r>
          <w:rPr>
            <w:noProof/>
            <w:webHidden/>
          </w:rPr>
        </w:r>
        <w:r>
          <w:rPr>
            <w:noProof/>
            <w:webHidden/>
          </w:rPr>
          <w:fldChar w:fldCharType="separate"/>
        </w:r>
        <w:r w:rsidR="00BD3206">
          <w:rPr>
            <w:noProof/>
            <w:webHidden/>
          </w:rPr>
          <w:t>29</w:t>
        </w:r>
        <w:r>
          <w:rPr>
            <w:noProof/>
            <w:webHidden/>
          </w:rPr>
          <w:fldChar w:fldCharType="end"/>
        </w:r>
      </w:hyperlink>
    </w:p>
    <w:p w14:paraId="53C5703C" w14:textId="42EAA039" w:rsidR="00F24D68" w:rsidRDefault="00F24D68">
      <w:pPr>
        <w:pStyle w:val="TOC2"/>
        <w:rPr>
          <w:noProof/>
          <w:kern w:val="2"/>
          <w:sz w:val="24"/>
          <w:szCs w:val="24"/>
          <w:lang w:val="en-GB"/>
          <w14:ligatures w14:val="standardContextual"/>
        </w:rPr>
      </w:pPr>
      <w:hyperlink w:anchor="_Toc208244806" w:history="1">
        <w:r w:rsidRPr="0037565B">
          <w:rPr>
            <w:rStyle w:val="Hyperlink"/>
            <w:noProof/>
          </w:rPr>
          <w:t>II.11</w:t>
        </w:r>
        <w:r>
          <w:rPr>
            <w:noProof/>
            <w:kern w:val="2"/>
            <w:sz w:val="24"/>
            <w:szCs w:val="24"/>
            <w:lang w:val="en-GB"/>
            <w14:ligatures w14:val="standardContextual"/>
          </w:rPr>
          <w:tab/>
        </w:r>
        <w:r w:rsidRPr="0037565B">
          <w:rPr>
            <w:rStyle w:val="Hyperlink"/>
            <w:noProof/>
          </w:rPr>
          <w:t>Ključne funkcije i temeljne linije poslovanja</w:t>
        </w:r>
        <w:r>
          <w:rPr>
            <w:noProof/>
            <w:webHidden/>
          </w:rPr>
          <w:tab/>
        </w:r>
        <w:r>
          <w:rPr>
            <w:noProof/>
            <w:webHidden/>
          </w:rPr>
          <w:fldChar w:fldCharType="begin"/>
        </w:r>
        <w:r>
          <w:rPr>
            <w:noProof/>
            <w:webHidden/>
          </w:rPr>
          <w:instrText xml:space="preserve"> PAGEREF _Toc208244806 \h </w:instrText>
        </w:r>
        <w:r>
          <w:rPr>
            <w:noProof/>
            <w:webHidden/>
          </w:rPr>
        </w:r>
        <w:r>
          <w:rPr>
            <w:noProof/>
            <w:webHidden/>
          </w:rPr>
          <w:fldChar w:fldCharType="separate"/>
        </w:r>
        <w:r w:rsidR="00BD3206">
          <w:rPr>
            <w:noProof/>
            <w:webHidden/>
          </w:rPr>
          <w:t>32</w:t>
        </w:r>
        <w:r>
          <w:rPr>
            <w:noProof/>
            <w:webHidden/>
          </w:rPr>
          <w:fldChar w:fldCharType="end"/>
        </w:r>
      </w:hyperlink>
    </w:p>
    <w:p w14:paraId="586F9978" w14:textId="0976B880" w:rsidR="00F24D68" w:rsidRDefault="00F24D68">
      <w:pPr>
        <w:pStyle w:val="TOC2"/>
        <w:rPr>
          <w:noProof/>
          <w:kern w:val="2"/>
          <w:sz w:val="24"/>
          <w:szCs w:val="24"/>
          <w:lang w:val="en-GB"/>
          <w14:ligatures w14:val="standardContextual"/>
        </w:rPr>
      </w:pPr>
      <w:hyperlink w:anchor="_Toc208244807" w:history="1">
        <w:r w:rsidRPr="0037565B">
          <w:rPr>
            <w:rStyle w:val="Hyperlink"/>
            <w:noProof/>
          </w:rPr>
          <w:t>II.12</w:t>
        </w:r>
        <w:r>
          <w:rPr>
            <w:noProof/>
            <w:kern w:val="2"/>
            <w:sz w:val="24"/>
            <w:szCs w:val="24"/>
            <w:lang w:val="en-GB"/>
            <w14:ligatures w14:val="standardContextual"/>
          </w:rPr>
          <w:tab/>
        </w:r>
        <w:r w:rsidRPr="0037565B">
          <w:rPr>
            <w:rStyle w:val="Hyperlink"/>
            <w:noProof/>
          </w:rPr>
          <w:t>Z 07.01 – Procjena ključno</w:t>
        </w:r>
        <w:r w:rsidR="00447064">
          <w:rPr>
            <w:rStyle w:val="Hyperlink"/>
            <w:noProof/>
          </w:rPr>
          <w:t>sti</w:t>
        </w:r>
        <w:r w:rsidRPr="0037565B">
          <w:rPr>
            <w:rStyle w:val="Hyperlink"/>
            <w:noProof/>
          </w:rPr>
          <w:t xml:space="preserve"> </w:t>
        </w:r>
        <w:r w:rsidR="00C9381D">
          <w:rPr>
            <w:rStyle w:val="Hyperlink"/>
            <w:noProof/>
          </w:rPr>
          <w:t>ekonomskih</w:t>
        </w:r>
        <w:r w:rsidRPr="0037565B">
          <w:rPr>
            <w:rStyle w:val="Hyperlink"/>
            <w:noProof/>
          </w:rPr>
          <w:t xml:space="preserve"> funkcija (FUNC 1)</w:t>
        </w:r>
        <w:r>
          <w:rPr>
            <w:noProof/>
            <w:webHidden/>
          </w:rPr>
          <w:tab/>
        </w:r>
        <w:r>
          <w:rPr>
            <w:noProof/>
            <w:webHidden/>
          </w:rPr>
          <w:fldChar w:fldCharType="begin"/>
        </w:r>
        <w:r>
          <w:rPr>
            <w:noProof/>
            <w:webHidden/>
          </w:rPr>
          <w:instrText xml:space="preserve"> PAGEREF _Toc208244807 \h </w:instrText>
        </w:r>
        <w:r>
          <w:rPr>
            <w:noProof/>
            <w:webHidden/>
          </w:rPr>
        </w:r>
        <w:r>
          <w:rPr>
            <w:noProof/>
            <w:webHidden/>
          </w:rPr>
          <w:fldChar w:fldCharType="separate"/>
        </w:r>
        <w:r w:rsidR="00BD3206">
          <w:rPr>
            <w:noProof/>
            <w:webHidden/>
          </w:rPr>
          <w:t>34</w:t>
        </w:r>
        <w:r>
          <w:rPr>
            <w:noProof/>
            <w:webHidden/>
          </w:rPr>
          <w:fldChar w:fldCharType="end"/>
        </w:r>
      </w:hyperlink>
    </w:p>
    <w:p w14:paraId="4C5F6B1B" w14:textId="2A90ACA4" w:rsidR="00F24D68" w:rsidRDefault="00F24D68">
      <w:pPr>
        <w:pStyle w:val="TOC2"/>
        <w:rPr>
          <w:noProof/>
          <w:kern w:val="2"/>
          <w:sz w:val="24"/>
          <w:szCs w:val="24"/>
          <w:lang w:val="en-GB"/>
          <w14:ligatures w14:val="standardContextual"/>
        </w:rPr>
      </w:pPr>
      <w:hyperlink w:anchor="_Toc208244808" w:history="1">
        <w:r w:rsidRPr="0037565B">
          <w:rPr>
            <w:rStyle w:val="Hyperlink"/>
            <w:noProof/>
          </w:rPr>
          <w:t>II.13</w:t>
        </w:r>
        <w:r>
          <w:rPr>
            <w:noProof/>
            <w:kern w:val="2"/>
            <w:sz w:val="24"/>
            <w:szCs w:val="24"/>
            <w:lang w:val="en-GB"/>
            <w14:ligatures w14:val="standardContextual"/>
          </w:rPr>
          <w:tab/>
        </w:r>
        <w:r w:rsidRPr="0037565B">
          <w:rPr>
            <w:rStyle w:val="Hyperlink"/>
            <w:noProof/>
          </w:rPr>
          <w:t>Z 07.01.1 FUNC 1 DEP</w:t>
        </w:r>
        <w:r>
          <w:rPr>
            <w:noProof/>
            <w:webHidden/>
          </w:rPr>
          <w:tab/>
        </w:r>
        <w:r>
          <w:rPr>
            <w:noProof/>
            <w:webHidden/>
          </w:rPr>
          <w:fldChar w:fldCharType="begin"/>
        </w:r>
        <w:r>
          <w:rPr>
            <w:noProof/>
            <w:webHidden/>
          </w:rPr>
          <w:instrText xml:space="preserve"> PAGEREF _Toc208244808 \h </w:instrText>
        </w:r>
        <w:r>
          <w:rPr>
            <w:noProof/>
            <w:webHidden/>
          </w:rPr>
        </w:r>
        <w:r>
          <w:rPr>
            <w:noProof/>
            <w:webHidden/>
          </w:rPr>
          <w:fldChar w:fldCharType="separate"/>
        </w:r>
        <w:r w:rsidR="00BD3206">
          <w:rPr>
            <w:noProof/>
            <w:webHidden/>
          </w:rPr>
          <w:t>37</w:t>
        </w:r>
        <w:r>
          <w:rPr>
            <w:noProof/>
            <w:webHidden/>
          </w:rPr>
          <w:fldChar w:fldCharType="end"/>
        </w:r>
      </w:hyperlink>
    </w:p>
    <w:p w14:paraId="039CD4D6" w14:textId="0B3BD484" w:rsidR="00F24D68" w:rsidRDefault="00F24D68">
      <w:pPr>
        <w:pStyle w:val="TOC2"/>
        <w:rPr>
          <w:noProof/>
          <w:kern w:val="2"/>
          <w:sz w:val="24"/>
          <w:szCs w:val="24"/>
          <w:lang w:val="en-GB"/>
          <w14:ligatures w14:val="standardContextual"/>
        </w:rPr>
      </w:pPr>
      <w:hyperlink w:anchor="_Toc208244809" w:history="1">
        <w:r w:rsidRPr="0037565B">
          <w:rPr>
            <w:rStyle w:val="Hyperlink"/>
            <w:noProof/>
          </w:rPr>
          <w:t>II.14</w:t>
        </w:r>
        <w:r>
          <w:rPr>
            <w:noProof/>
            <w:kern w:val="2"/>
            <w:sz w:val="24"/>
            <w:szCs w:val="24"/>
            <w:lang w:val="en-GB"/>
            <w14:ligatures w14:val="standardContextual"/>
          </w:rPr>
          <w:tab/>
        </w:r>
        <w:r w:rsidRPr="0037565B">
          <w:rPr>
            <w:rStyle w:val="Hyperlink"/>
            <w:noProof/>
          </w:rPr>
          <w:t>Z 07.01.2 FUNC 1 LEN</w:t>
        </w:r>
        <w:r>
          <w:rPr>
            <w:noProof/>
            <w:webHidden/>
          </w:rPr>
          <w:tab/>
        </w:r>
        <w:r>
          <w:rPr>
            <w:noProof/>
            <w:webHidden/>
          </w:rPr>
          <w:fldChar w:fldCharType="begin"/>
        </w:r>
        <w:r>
          <w:rPr>
            <w:noProof/>
            <w:webHidden/>
          </w:rPr>
          <w:instrText xml:space="preserve"> PAGEREF _Toc208244809 \h </w:instrText>
        </w:r>
        <w:r>
          <w:rPr>
            <w:noProof/>
            <w:webHidden/>
          </w:rPr>
        </w:r>
        <w:r>
          <w:rPr>
            <w:noProof/>
            <w:webHidden/>
          </w:rPr>
          <w:fldChar w:fldCharType="separate"/>
        </w:r>
        <w:r w:rsidR="00BD3206">
          <w:rPr>
            <w:noProof/>
            <w:webHidden/>
          </w:rPr>
          <w:t>42</w:t>
        </w:r>
        <w:r>
          <w:rPr>
            <w:noProof/>
            <w:webHidden/>
          </w:rPr>
          <w:fldChar w:fldCharType="end"/>
        </w:r>
      </w:hyperlink>
    </w:p>
    <w:p w14:paraId="329DCA0B" w14:textId="724A6963" w:rsidR="00F24D68" w:rsidRDefault="00F24D68">
      <w:pPr>
        <w:pStyle w:val="TOC2"/>
        <w:rPr>
          <w:noProof/>
          <w:kern w:val="2"/>
          <w:sz w:val="24"/>
          <w:szCs w:val="24"/>
          <w:lang w:val="en-GB"/>
          <w14:ligatures w14:val="standardContextual"/>
        </w:rPr>
      </w:pPr>
      <w:hyperlink w:anchor="_Toc208244810" w:history="1">
        <w:r w:rsidRPr="0037565B">
          <w:rPr>
            <w:rStyle w:val="Hyperlink"/>
            <w:noProof/>
          </w:rPr>
          <w:t>II.15</w:t>
        </w:r>
        <w:r>
          <w:rPr>
            <w:noProof/>
            <w:kern w:val="2"/>
            <w:sz w:val="24"/>
            <w:szCs w:val="24"/>
            <w:lang w:val="en-GB"/>
            <w14:ligatures w14:val="standardContextual"/>
          </w:rPr>
          <w:tab/>
        </w:r>
        <w:r w:rsidRPr="0037565B">
          <w:rPr>
            <w:rStyle w:val="Hyperlink"/>
            <w:noProof/>
          </w:rPr>
          <w:t>Z 07.01.3 FUNC 1 P</w:t>
        </w:r>
        <w:r w:rsidR="00D4485A">
          <w:rPr>
            <w:rStyle w:val="Hyperlink"/>
            <w:noProof/>
          </w:rPr>
          <w:t>AY</w:t>
        </w:r>
        <w:r>
          <w:rPr>
            <w:noProof/>
            <w:webHidden/>
          </w:rPr>
          <w:tab/>
        </w:r>
        <w:r>
          <w:rPr>
            <w:noProof/>
            <w:webHidden/>
          </w:rPr>
          <w:fldChar w:fldCharType="begin"/>
        </w:r>
        <w:r>
          <w:rPr>
            <w:noProof/>
            <w:webHidden/>
          </w:rPr>
          <w:instrText xml:space="preserve"> PAGEREF _Toc208244810 \h </w:instrText>
        </w:r>
        <w:r>
          <w:rPr>
            <w:noProof/>
            <w:webHidden/>
          </w:rPr>
        </w:r>
        <w:r>
          <w:rPr>
            <w:noProof/>
            <w:webHidden/>
          </w:rPr>
          <w:fldChar w:fldCharType="separate"/>
        </w:r>
        <w:r w:rsidR="00BD3206">
          <w:rPr>
            <w:noProof/>
            <w:webHidden/>
          </w:rPr>
          <w:t>47</w:t>
        </w:r>
        <w:r>
          <w:rPr>
            <w:noProof/>
            <w:webHidden/>
          </w:rPr>
          <w:fldChar w:fldCharType="end"/>
        </w:r>
      </w:hyperlink>
    </w:p>
    <w:p w14:paraId="6A5CD997" w14:textId="2BB9FA1F" w:rsidR="00F24D68" w:rsidRDefault="00F24D68">
      <w:pPr>
        <w:pStyle w:val="TOC2"/>
        <w:rPr>
          <w:noProof/>
          <w:kern w:val="2"/>
          <w:sz w:val="24"/>
          <w:szCs w:val="24"/>
          <w:lang w:val="en-GB"/>
          <w14:ligatures w14:val="standardContextual"/>
        </w:rPr>
      </w:pPr>
      <w:hyperlink w:anchor="_Toc208244811" w:history="1">
        <w:r w:rsidRPr="0037565B">
          <w:rPr>
            <w:rStyle w:val="Hyperlink"/>
            <w:noProof/>
          </w:rPr>
          <w:t>II.13.</w:t>
        </w:r>
        <w:r>
          <w:rPr>
            <w:noProof/>
            <w:kern w:val="2"/>
            <w:sz w:val="24"/>
            <w:szCs w:val="24"/>
            <w:lang w:val="en-GB"/>
            <w14:ligatures w14:val="standardContextual"/>
          </w:rPr>
          <w:tab/>
        </w:r>
        <w:r w:rsidRPr="0037565B">
          <w:rPr>
            <w:rStyle w:val="Hyperlink"/>
            <w:noProof/>
          </w:rPr>
          <w:t>Z 07.01.4 FUNC 1 CM</w:t>
        </w:r>
        <w:r>
          <w:rPr>
            <w:noProof/>
            <w:webHidden/>
          </w:rPr>
          <w:tab/>
        </w:r>
        <w:r>
          <w:rPr>
            <w:noProof/>
            <w:webHidden/>
          </w:rPr>
          <w:fldChar w:fldCharType="begin"/>
        </w:r>
        <w:r>
          <w:rPr>
            <w:noProof/>
            <w:webHidden/>
          </w:rPr>
          <w:instrText xml:space="preserve"> PAGEREF _Toc208244811 \h </w:instrText>
        </w:r>
        <w:r>
          <w:rPr>
            <w:noProof/>
            <w:webHidden/>
          </w:rPr>
        </w:r>
        <w:r>
          <w:rPr>
            <w:noProof/>
            <w:webHidden/>
          </w:rPr>
          <w:fldChar w:fldCharType="separate"/>
        </w:r>
        <w:r w:rsidR="00BD3206">
          <w:rPr>
            <w:noProof/>
            <w:webHidden/>
          </w:rPr>
          <w:t>53</w:t>
        </w:r>
        <w:r>
          <w:rPr>
            <w:noProof/>
            <w:webHidden/>
          </w:rPr>
          <w:fldChar w:fldCharType="end"/>
        </w:r>
      </w:hyperlink>
    </w:p>
    <w:p w14:paraId="07146EA5" w14:textId="18BD342E" w:rsidR="00F24D68" w:rsidRDefault="00F24D68">
      <w:pPr>
        <w:pStyle w:val="TOC2"/>
        <w:rPr>
          <w:noProof/>
          <w:kern w:val="2"/>
          <w:sz w:val="24"/>
          <w:szCs w:val="24"/>
          <w:lang w:val="en-GB"/>
          <w14:ligatures w14:val="standardContextual"/>
        </w:rPr>
      </w:pPr>
      <w:hyperlink w:anchor="_Toc208244812" w:history="1">
        <w:r w:rsidRPr="0037565B">
          <w:rPr>
            <w:rStyle w:val="Hyperlink"/>
            <w:noProof/>
          </w:rPr>
          <w:t>II.13.</w:t>
        </w:r>
        <w:r>
          <w:rPr>
            <w:noProof/>
            <w:kern w:val="2"/>
            <w:sz w:val="24"/>
            <w:szCs w:val="24"/>
            <w:lang w:val="en-GB"/>
            <w14:ligatures w14:val="standardContextual"/>
          </w:rPr>
          <w:tab/>
        </w:r>
        <w:r w:rsidRPr="0037565B">
          <w:rPr>
            <w:rStyle w:val="Hyperlink"/>
            <w:noProof/>
          </w:rPr>
          <w:t>Z 07.01.5 FUNC 1 WF</w:t>
        </w:r>
        <w:r>
          <w:rPr>
            <w:noProof/>
            <w:webHidden/>
          </w:rPr>
          <w:tab/>
        </w:r>
        <w:r>
          <w:rPr>
            <w:noProof/>
            <w:webHidden/>
          </w:rPr>
          <w:fldChar w:fldCharType="begin"/>
        </w:r>
        <w:r>
          <w:rPr>
            <w:noProof/>
            <w:webHidden/>
          </w:rPr>
          <w:instrText xml:space="preserve"> PAGEREF _Toc208244812 \h </w:instrText>
        </w:r>
        <w:r>
          <w:rPr>
            <w:noProof/>
            <w:webHidden/>
          </w:rPr>
        </w:r>
        <w:r>
          <w:rPr>
            <w:noProof/>
            <w:webHidden/>
          </w:rPr>
          <w:fldChar w:fldCharType="separate"/>
        </w:r>
        <w:r w:rsidR="00BD3206">
          <w:rPr>
            <w:noProof/>
            <w:webHidden/>
          </w:rPr>
          <w:t>58</w:t>
        </w:r>
        <w:r>
          <w:rPr>
            <w:noProof/>
            <w:webHidden/>
          </w:rPr>
          <w:fldChar w:fldCharType="end"/>
        </w:r>
      </w:hyperlink>
    </w:p>
    <w:p w14:paraId="35E55BED" w14:textId="2D6D582A" w:rsidR="00F24D68" w:rsidRDefault="00F24D68">
      <w:pPr>
        <w:pStyle w:val="TOC2"/>
        <w:rPr>
          <w:noProof/>
          <w:kern w:val="2"/>
          <w:sz w:val="24"/>
          <w:szCs w:val="24"/>
          <w:lang w:val="en-GB"/>
          <w14:ligatures w14:val="standardContextual"/>
        </w:rPr>
      </w:pPr>
      <w:hyperlink w:anchor="_Toc208244813" w:history="1">
        <w:r w:rsidRPr="0037565B">
          <w:rPr>
            <w:rStyle w:val="Hyperlink"/>
            <w:noProof/>
          </w:rPr>
          <w:t>II.16</w:t>
        </w:r>
        <w:r>
          <w:rPr>
            <w:noProof/>
            <w:kern w:val="2"/>
            <w:sz w:val="24"/>
            <w:szCs w:val="24"/>
            <w:lang w:val="en-GB"/>
            <w14:ligatures w14:val="standardContextual"/>
          </w:rPr>
          <w:tab/>
        </w:r>
        <w:r w:rsidRPr="0037565B">
          <w:rPr>
            <w:rStyle w:val="Hyperlink"/>
            <w:noProof/>
          </w:rPr>
          <w:t xml:space="preserve">Z 07.02 – </w:t>
        </w:r>
        <w:r w:rsidR="00EB5410">
          <w:rPr>
            <w:rStyle w:val="Hyperlink"/>
            <w:noProof/>
          </w:rPr>
          <w:t>Mapiranje</w:t>
        </w:r>
        <w:r w:rsidRPr="0037565B">
          <w:rPr>
            <w:rStyle w:val="Hyperlink"/>
            <w:noProof/>
          </w:rPr>
          <w:t xml:space="preserve"> </w:t>
        </w:r>
        <w:r w:rsidR="00A54464">
          <w:rPr>
            <w:rStyle w:val="Hyperlink"/>
            <w:noProof/>
          </w:rPr>
          <w:t>ekonomskih</w:t>
        </w:r>
        <w:r w:rsidRPr="0037565B">
          <w:rPr>
            <w:rStyle w:val="Hyperlink"/>
            <w:noProof/>
          </w:rPr>
          <w:t xml:space="preserve"> funkcija </w:t>
        </w:r>
        <w:r w:rsidR="00EB5410">
          <w:rPr>
            <w:rStyle w:val="Hyperlink"/>
            <w:noProof/>
          </w:rPr>
          <w:t>na</w:t>
        </w:r>
        <w:r w:rsidRPr="0037565B">
          <w:rPr>
            <w:rStyle w:val="Hyperlink"/>
            <w:noProof/>
          </w:rPr>
          <w:t xml:space="preserve"> pravn</w:t>
        </w:r>
        <w:r w:rsidR="00EB5410">
          <w:rPr>
            <w:rStyle w:val="Hyperlink"/>
            <w:noProof/>
          </w:rPr>
          <w:t>e</w:t>
        </w:r>
        <w:r w:rsidRPr="0037565B">
          <w:rPr>
            <w:rStyle w:val="Hyperlink"/>
            <w:noProof/>
          </w:rPr>
          <w:t xml:space="preserve"> osob</w:t>
        </w:r>
        <w:r w:rsidR="00EB5410">
          <w:rPr>
            <w:rStyle w:val="Hyperlink"/>
            <w:noProof/>
          </w:rPr>
          <w:t>e</w:t>
        </w:r>
        <w:r w:rsidRPr="0037565B">
          <w:rPr>
            <w:rStyle w:val="Hyperlink"/>
            <w:noProof/>
          </w:rPr>
          <w:t>(FUNC 2)</w:t>
        </w:r>
        <w:r>
          <w:rPr>
            <w:noProof/>
            <w:webHidden/>
          </w:rPr>
          <w:tab/>
        </w:r>
        <w:r>
          <w:rPr>
            <w:noProof/>
            <w:webHidden/>
          </w:rPr>
          <w:fldChar w:fldCharType="begin"/>
        </w:r>
        <w:r>
          <w:rPr>
            <w:noProof/>
            <w:webHidden/>
          </w:rPr>
          <w:instrText xml:space="preserve"> PAGEREF _Toc208244813 \h </w:instrText>
        </w:r>
        <w:r>
          <w:rPr>
            <w:noProof/>
            <w:webHidden/>
          </w:rPr>
        </w:r>
        <w:r>
          <w:rPr>
            <w:noProof/>
            <w:webHidden/>
          </w:rPr>
          <w:fldChar w:fldCharType="separate"/>
        </w:r>
        <w:r w:rsidR="00BD3206">
          <w:rPr>
            <w:noProof/>
            <w:webHidden/>
          </w:rPr>
          <w:t>62</w:t>
        </w:r>
        <w:r>
          <w:rPr>
            <w:noProof/>
            <w:webHidden/>
          </w:rPr>
          <w:fldChar w:fldCharType="end"/>
        </w:r>
      </w:hyperlink>
    </w:p>
    <w:p w14:paraId="3B045E7A" w14:textId="04C9BDA6" w:rsidR="00F24D68" w:rsidRDefault="00F24D68">
      <w:pPr>
        <w:pStyle w:val="TOC2"/>
        <w:rPr>
          <w:noProof/>
          <w:kern w:val="2"/>
          <w:sz w:val="24"/>
          <w:szCs w:val="24"/>
          <w:lang w:val="en-GB"/>
          <w14:ligatures w14:val="standardContextual"/>
        </w:rPr>
      </w:pPr>
      <w:hyperlink w:anchor="_Toc208244814" w:history="1">
        <w:r w:rsidRPr="0037565B">
          <w:rPr>
            <w:rStyle w:val="Hyperlink"/>
            <w:noProof/>
          </w:rPr>
          <w:t>II.17</w:t>
        </w:r>
        <w:r>
          <w:rPr>
            <w:noProof/>
            <w:kern w:val="2"/>
            <w:sz w:val="24"/>
            <w:szCs w:val="24"/>
            <w:lang w:val="en-GB"/>
            <w14:ligatures w14:val="standardContextual"/>
          </w:rPr>
          <w:tab/>
        </w:r>
        <w:r w:rsidRPr="0037565B">
          <w:rPr>
            <w:rStyle w:val="Hyperlink"/>
            <w:noProof/>
          </w:rPr>
          <w:t xml:space="preserve">Z 07.03 – </w:t>
        </w:r>
        <w:r w:rsidR="00EB5410">
          <w:rPr>
            <w:rStyle w:val="Hyperlink"/>
            <w:noProof/>
          </w:rPr>
          <w:t>Mapiranje</w:t>
        </w:r>
        <w:r w:rsidRPr="0037565B">
          <w:rPr>
            <w:rStyle w:val="Hyperlink"/>
            <w:noProof/>
          </w:rPr>
          <w:t xml:space="preserve"> temeljnih linija poslovanja </w:t>
        </w:r>
        <w:r w:rsidR="00EB5410">
          <w:rPr>
            <w:rStyle w:val="Hyperlink"/>
            <w:noProof/>
          </w:rPr>
          <w:t>na</w:t>
        </w:r>
        <w:r w:rsidRPr="0037565B">
          <w:rPr>
            <w:rStyle w:val="Hyperlink"/>
            <w:noProof/>
          </w:rPr>
          <w:t xml:space="preserve"> pravn</w:t>
        </w:r>
        <w:r w:rsidR="00EB5410">
          <w:rPr>
            <w:rStyle w:val="Hyperlink"/>
            <w:noProof/>
          </w:rPr>
          <w:t>e</w:t>
        </w:r>
        <w:r w:rsidRPr="0037565B">
          <w:rPr>
            <w:rStyle w:val="Hyperlink"/>
            <w:noProof/>
          </w:rPr>
          <w:t xml:space="preserve"> osob</w:t>
        </w:r>
        <w:r w:rsidR="00EB5410">
          <w:rPr>
            <w:rStyle w:val="Hyperlink"/>
            <w:noProof/>
          </w:rPr>
          <w:t>e</w:t>
        </w:r>
        <w:r w:rsidRPr="0037565B">
          <w:rPr>
            <w:rStyle w:val="Hyperlink"/>
            <w:noProof/>
          </w:rPr>
          <w:t xml:space="preserve"> (FUNC 3)</w:t>
        </w:r>
        <w:r>
          <w:rPr>
            <w:noProof/>
            <w:webHidden/>
          </w:rPr>
          <w:tab/>
        </w:r>
        <w:r>
          <w:rPr>
            <w:noProof/>
            <w:webHidden/>
          </w:rPr>
          <w:fldChar w:fldCharType="begin"/>
        </w:r>
        <w:r>
          <w:rPr>
            <w:noProof/>
            <w:webHidden/>
          </w:rPr>
          <w:instrText xml:space="preserve"> PAGEREF _Toc208244814 \h </w:instrText>
        </w:r>
        <w:r>
          <w:rPr>
            <w:noProof/>
            <w:webHidden/>
          </w:rPr>
        </w:r>
        <w:r>
          <w:rPr>
            <w:noProof/>
            <w:webHidden/>
          </w:rPr>
          <w:fldChar w:fldCharType="separate"/>
        </w:r>
        <w:r w:rsidR="00BD3206">
          <w:rPr>
            <w:noProof/>
            <w:webHidden/>
          </w:rPr>
          <w:t>63</w:t>
        </w:r>
        <w:r>
          <w:rPr>
            <w:noProof/>
            <w:webHidden/>
          </w:rPr>
          <w:fldChar w:fldCharType="end"/>
        </w:r>
      </w:hyperlink>
    </w:p>
    <w:p w14:paraId="31A93DD2" w14:textId="06935D05" w:rsidR="00F24D68" w:rsidRDefault="00F24D68">
      <w:pPr>
        <w:pStyle w:val="TOC2"/>
        <w:rPr>
          <w:noProof/>
          <w:kern w:val="2"/>
          <w:sz w:val="24"/>
          <w:szCs w:val="24"/>
          <w:lang w:val="en-GB"/>
          <w14:ligatures w14:val="standardContextual"/>
        </w:rPr>
      </w:pPr>
      <w:hyperlink w:anchor="_Toc208244815" w:history="1">
        <w:r w:rsidRPr="0037565B">
          <w:rPr>
            <w:rStyle w:val="Hyperlink"/>
            <w:noProof/>
          </w:rPr>
          <w:t>II.18</w:t>
        </w:r>
        <w:r>
          <w:rPr>
            <w:noProof/>
            <w:kern w:val="2"/>
            <w:sz w:val="24"/>
            <w:szCs w:val="24"/>
            <w:lang w:val="en-GB"/>
            <w14:ligatures w14:val="standardContextual"/>
          </w:rPr>
          <w:tab/>
        </w:r>
        <w:r w:rsidRPr="0037565B">
          <w:rPr>
            <w:rStyle w:val="Hyperlink"/>
            <w:noProof/>
          </w:rPr>
          <w:t xml:space="preserve">Z 07.04 – </w:t>
        </w:r>
        <w:r w:rsidR="00EB5410">
          <w:rPr>
            <w:rStyle w:val="Hyperlink"/>
            <w:noProof/>
          </w:rPr>
          <w:t>Mapiranje</w:t>
        </w:r>
        <w:r w:rsidRPr="0037565B">
          <w:rPr>
            <w:rStyle w:val="Hyperlink"/>
            <w:noProof/>
          </w:rPr>
          <w:t xml:space="preserve"> ključnih funkcija </w:t>
        </w:r>
        <w:r w:rsidR="00EB5410">
          <w:rPr>
            <w:rStyle w:val="Hyperlink"/>
            <w:noProof/>
          </w:rPr>
          <w:t>na</w:t>
        </w:r>
        <w:r w:rsidRPr="0037565B">
          <w:rPr>
            <w:rStyle w:val="Hyperlink"/>
            <w:noProof/>
          </w:rPr>
          <w:t xml:space="preserve"> temeljn</w:t>
        </w:r>
        <w:r w:rsidR="00C52D64">
          <w:rPr>
            <w:rStyle w:val="Hyperlink"/>
            <w:noProof/>
          </w:rPr>
          <w:t>e</w:t>
        </w:r>
        <w:r w:rsidRPr="0037565B">
          <w:rPr>
            <w:rStyle w:val="Hyperlink"/>
            <w:noProof/>
          </w:rPr>
          <w:t xml:space="preserve"> linij</w:t>
        </w:r>
        <w:r w:rsidR="00C52D64">
          <w:rPr>
            <w:rStyle w:val="Hyperlink"/>
            <w:noProof/>
          </w:rPr>
          <w:t>e</w:t>
        </w:r>
        <w:r w:rsidRPr="0037565B">
          <w:rPr>
            <w:rStyle w:val="Hyperlink"/>
            <w:noProof/>
          </w:rPr>
          <w:t xml:space="preserve"> poslovanja (FUNC 4)</w:t>
        </w:r>
        <w:r>
          <w:rPr>
            <w:noProof/>
            <w:webHidden/>
          </w:rPr>
          <w:tab/>
        </w:r>
        <w:r>
          <w:rPr>
            <w:noProof/>
            <w:webHidden/>
          </w:rPr>
          <w:fldChar w:fldCharType="begin"/>
        </w:r>
        <w:r>
          <w:rPr>
            <w:noProof/>
            <w:webHidden/>
          </w:rPr>
          <w:instrText xml:space="preserve"> PAGEREF _Toc208244815 \h </w:instrText>
        </w:r>
        <w:r>
          <w:rPr>
            <w:noProof/>
            <w:webHidden/>
          </w:rPr>
        </w:r>
        <w:r>
          <w:rPr>
            <w:noProof/>
            <w:webHidden/>
          </w:rPr>
          <w:fldChar w:fldCharType="separate"/>
        </w:r>
        <w:r w:rsidR="00BD3206">
          <w:rPr>
            <w:noProof/>
            <w:webHidden/>
          </w:rPr>
          <w:t>64</w:t>
        </w:r>
        <w:r>
          <w:rPr>
            <w:noProof/>
            <w:webHidden/>
          </w:rPr>
          <w:fldChar w:fldCharType="end"/>
        </w:r>
      </w:hyperlink>
    </w:p>
    <w:p w14:paraId="44B5706A" w14:textId="5E642C2E" w:rsidR="00F24D68" w:rsidRDefault="00F24D68">
      <w:pPr>
        <w:pStyle w:val="TOC2"/>
        <w:rPr>
          <w:noProof/>
          <w:kern w:val="2"/>
          <w:sz w:val="24"/>
          <w:szCs w:val="24"/>
          <w:lang w:val="en-GB"/>
          <w14:ligatures w14:val="standardContextual"/>
        </w:rPr>
      </w:pPr>
      <w:hyperlink w:anchor="_Toc208244816" w:history="1">
        <w:r w:rsidRPr="0037565B">
          <w:rPr>
            <w:rStyle w:val="Hyperlink"/>
            <w:noProof/>
          </w:rPr>
          <w:t>II.19</w:t>
        </w:r>
        <w:r>
          <w:rPr>
            <w:noProof/>
            <w:kern w:val="2"/>
            <w:sz w:val="24"/>
            <w:szCs w:val="24"/>
            <w:lang w:val="en-GB"/>
            <w14:ligatures w14:val="standardContextual"/>
          </w:rPr>
          <w:tab/>
        </w:r>
        <w:r w:rsidRPr="0037565B">
          <w:rPr>
            <w:rStyle w:val="Hyperlink"/>
            <w:noProof/>
          </w:rPr>
          <w:t>Relevantne usluge</w:t>
        </w:r>
        <w:r>
          <w:rPr>
            <w:noProof/>
            <w:webHidden/>
          </w:rPr>
          <w:tab/>
        </w:r>
        <w:r>
          <w:rPr>
            <w:noProof/>
            <w:webHidden/>
          </w:rPr>
          <w:fldChar w:fldCharType="begin"/>
        </w:r>
        <w:r>
          <w:rPr>
            <w:noProof/>
            <w:webHidden/>
          </w:rPr>
          <w:instrText xml:space="preserve"> PAGEREF _Toc208244816 \h </w:instrText>
        </w:r>
        <w:r>
          <w:rPr>
            <w:noProof/>
            <w:webHidden/>
          </w:rPr>
        </w:r>
        <w:r>
          <w:rPr>
            <w:noProof/>
            <w:webHidden/>
          </w:rPr>
          <w:fldChar w:fldCharType="separate"/>
        </w:r>
        <w:r w:rsidR="00BD3206">
          <w:rPr>
            <w:noProof/>
            <w:webHidden/>
          </w:rPr>
          <w:t>65</w:t>
        </w:r>
        <w:r>
          <w:rPr>
            <w:noProof/>
            <w:webHidden/>
          </w:rPr>
          <w:fldChar w:fldCharType="end"/>
        </w:r>
      </w:hyperlink>
    </w:p>
    <w:p w14:paraId="7FA66526" w14:textId="43FFD6B9" w:rsidR="00F24D68" w:rsidRDefault="00F24D68">
      <w:pPr>
        <w:pStyle w:val="TOC2"/>
        <w:rPr>
          <w:noProof/>
          <w:kern w:val="2"/>
          <w:sz w:val="24"/>
          <w:szCs w:val="24"/>
          <w:lang w:val="en-GB"/>
          <w14:ligatures w14:val="standardContextual"/>
        </w:rPr>
      </w:pPr>
      <w:hyperlink w:anchor="_Toc208244817" w:history="1">
        <w:r w:rsidRPr="0037565B">
          <w:rPr>
            <w:rStyle w:val="Hyperlink"/>
            <w:rFonts w:eastAsia="Calibri"/>
            <w:noProof/>
          </w:rPr>
          <w:t>II.20</w:t>
        </w:r>
        <w:r>
          <w:rPr>
            <w:noProof/>
            <w:kern w:val="2"/>
            <w:sz w:val="24"/>
            <w:szCs w:val="24"/>
            <w:lang w:val="en-GB"/>
            <w14:ligatures w14:val="standardContextual"/>
          </w:rPr>
          <w:tab/>
        </w:r>
        <w:r w:rsidRPr="0037565B">
          <w:rPr>
            <w:rStyle w:val="Hyperlink"/>
            <w:noProof/>
          </w:rPr>
          <w:t>Predložak Z 08.01 – Relevantne usluge (SERV 1)</w:t>
        </w:r>
        <w:r>
          <w:rPr>
            <w:noProof/>
            <w:webHidden/>
          </w:rPr>
          <w:tab/>
        </w:r>
        <w:r>
          <w:rPr>
            <w:noProof/>
            <w:webHidden/>
          </w:rPr>
          <w:fldChar w:fldCharType="begin"/>
        </w:r>
        <w:r>
          <w:rPr>
            <w:noProof/>
            <w:webHidden/>
          </w:rPr>
          <w:instrText xml:space="preserve"> PAGEREF _Toc208244817 \h </w:instrText>
        </w:r>
        <w:r>
          <w:rPr>
            <w:noProof/>
            <w:webHidden/>
          </w:rPr>
        </w:r>
        <w:r>
          <w:rPr>
            <w:noProof/>
            <w:webHidden/>
          </w:rPr>
          <w:fldChar w:fldCharType="separate"/>
        </w:r>
        <w:r w:rsidR="00BD3206">
          <w:rPr>
            <w:noProof/>
            <w:webHidden/>
          </w:rPr>
          <w:t>65</w:t>
        </w:r>
        <w:r>
          <w:rPr>
            <w:noProof/>
            <w:webHidden/>
          </w:rPr>
          <w:fldChar w:fldCharType="end"/>
        </w:r>
      </w:hyperlink>
    </w:p>
    <w:p w14:paraId="2D83706C" w14:textId="2A36D499" w:rsidR="00F24D68" w:rsidRDefault="00F24D68">
      <w:pPr>
        <w:pStyle w:val="TOC2"/>
        <w:rPr>
          <w:noProof/>
          <w:kern w:val="2"/>
          <w:sz w:val="24"/>
          <w:szCs w:val="24"/>
          <w:lang w:val="en-GB"/>
          <w14:ligatures w14:val="standardContextual"/>
        </w:rPr>
      </w:pPr>
      <w:hyperlink w:anchor="_Toc208244818" w:history="1">
        <w:r w:rsidRPr="0037565B">
          <w:rPr>
            <w:rStyle w:val="Hyperlink"/>
            <w:noProof/>
          </w:rPr>
          <w:t>II.21</w:t>
        </w:r>
        <w:r>
          <w:rPr>
            <w:noProof/>
            <w:kern w:val="2"/>
            <w:sz w:val="24"/>
            <w:szCs w:val="24"/>
            <w:lang w:val="en-GB"/>
            <w14:ligatures w14:val="standardContextual"/>
          </w:rPr>
          <w:tab/>
        </w:r>
        <w:r w:rsidRPr="0037565B">
          <w:rPr>
            <w:rStyle w:val="Hyperlink"/>
            <w:noProof/>
          </w:rPr>
          <w:t xml:space="preserve">Predložak Z 08.02 – Relevantne usluge – </w:t>
        </w:r>
        <w:r w:rsidR="00EB5410">
          <w:rPr>
            <w:rStyle w:val="Hyperlink"/>
            <w:noProof/>
          </w:rPr>
          <w:t>mapiranje</w:t>
        </w:r>
        <w:r w:rsidR="007F1FA6">
          <w:rPr>
            <w:rStyle w:val="Hyperlink"/>
            <w:noProof/>
          </w:rPr>
          <w:t>na</w:t>
        </w:r>
        <w:r w:rsidRPr="0037565B">
          <w:rPr>
            <w:rStyle w:val="Hyperlink"/>
            <w:noProof/>
          </w:rPr>
          <w:t xml:space="preserve"> operativnu imovinu (SERV 2)</w:t>
        </w:r>
        <w:r>
          <w:rPr>
            <w:noProof/>
            <w:webHidden/>
          </w:rPr>
          <w:tab/>
        </w:r>
        <w:r>
          <w:rPr>
            <w:noProof/>
            <w:webHidden/>
          </w:rPr>
          <w:fldChar w:fldCharType="begin"/>
        </w:r>
        <w:r>
          <w:rPr>
            <w:noProof/>
            <w:webHidden/>
          </w:rPr>
          <w:instrText xml:space="preserve"> PAGEREF _Toc208244818 \h </w:instrText>
        </w:r>
        <w:r>
          <w:rPr>
            <w:noProof/>
            <w:webHidden/>
          </w:rPr>
        </w:r>
        <w:r>
          <w:rPr>
            <w:noProof/>
            <w:webHidden/>
          </w:rPr>
          <w:fldChar w:fldCharType="separate"/>
        </w:r>
        <w:r w:rsidR="00BD3206">
          <w:rPr>
            <w:noProof/>
            <w:webHidden/>
          </w:rPr>
          <w:t>71</w:t>
        </w:r>
        <w:r>
          <w:rPr>
            <w:noProof/>
            <w:webHidden/>
          </w:rPr>
          <w:fldChar w:fldCharType="end"/>
        </w:r>
      </w:hyperlink>
    </w:p>
    <w:p w14:paraId="267C9E67" w14:textId="0D237A5D" w:rsidR="00F24D68" w:rsidRDefault="00F24D68">
      <w:pPr>
        <w:pStyle w:val="TOC2"/>
        <w:rPr>
          <w:noProof/>
          <w:kern w:val="2"/>
          <w:sz w:val="24"/>
          <w:szCs w:val="24"/>
          <w:lang w:val="en-GB"/>
          <w14:ligatures w14:val="standardContextual"/>
        </w:rPr>
      </w:pPr>
      <w:hyperlink w:anchor="_Toc208244819" w:history="1">
        <w:r w:rsidRPr="0037565B">
          <w:rPr>
            <w:rStyle w:val="Hyperlink"/>
            <w:rFonts w:eastAsia="Calibri"/>
            <w:noProof/>
          </w:rPr>
          <w:t>II.22</w:t>
        </w:r>
        <w:r>
          <w:rPr>
            <w:noProof/>
            <w:kern w:val="2"/>
            <w:sz w:val="24"/>
            <w:szCs w:val="24"/>
            <w:lang w:val="en-GB"/>
            <w14:ligatures w14:val="standardContextual"/>
          </w:rPr>
          <w:tab/>
        </w:r>
        <w:r w:rsidRPr="0037565B">
          <w:rPr>
            <w:rStyle w:val="Hyperlink"/>
            <w:noProof/>
          </w:rPr>
          <w:t xml:space="preserve">Predložak Z 08.03 – Relevantne usluge – </w:t>
        </w:r>
        <w:r w:rsidR="00EB5410">
          <w:rPr>
            <w:rStyle w:val="Hyperlink"/>
            <w:noProof/>
          </w:rPr>
          <w:t>mapiranje</w:t>
        </w:r>
        <w:r w:rsidRPr="0037565B">
          <w:rPr>
            <w:rStyle w:val="Hyperlink"/>
            <w:noProof/>
          </w:rPr>
          <w:t xml:space="preserve"> na uloge (SERV 3)</w:t>
        </w:r>
        <w:r>
          <w:rPr>
            <w:noProof/>
            <w:webHidden/>
          </w:rPr>
          <w:tab/>
        </w:r>
        <w:r>
          <w:rPr>
            <w:noProof/>
            <w:webHidden/>
          </w:rPr>
          <w:fldChar w:fldCharType="begin"/>
        </w:r>
        <w:r>
          <w:rPr>
            <w:noProof/>
            <w:webHidden/>
          </w:rPr>
          <w:instrText xml:space="preserve"> PAGEREF _Toc208244819 \h </w:instrText>
        </w:r>
        <w:r>
          <w:rPr>
            <w:noProof/>
            <w:webHidden/>
          </w:rPr>
        </w:r>
        <w:r>
          <w:rPr>
            <w:noProof/>
            <w:webHidden/>
          </w:rPr>
          <w:fldChar w:fldCharType="separate"/>
        </w:r>
        <w:r w:rsidR="00BD3206">
          <w:rPr>
            <w:noProof/>
            <w:webHidden/>
          </w:rPr>
          <w:t>74</w:t>
        </w:r>
        <w:r>
          <w:rPr>
            <w:noProof/>
            <w:webHidden/>
          </w:rPr>
          <w:fldChar w:fldCharType="end"/>
        </w:r>
      </w:hyperlink>
    </w:p>
    <w:p w14:paraId="15D58D9E" w14:textId="7301F90E" w:rsidR="00F24D68" w:rsidRDefault="00F24D68">
      <w:pPr>
        <w:pStyle w:val="TOC2"/>
        <w:rPr>
          <w:noProof/>
          <w:kern w:val="2"/>
          <w:sz w:val="24"/>
          <w:szCs w:val="24"/>
          <w:lang w:val="en-GB"/>
          <w14:ligatures w14:val="standardContextual"/>
        </w:rPr>
      </w:pPr>
      <w:hyperlink w:anchor="_Toc208244820" w:history="1">
        <w:r w:rsidRPr="0037565B">
          <w:rPr>
            <w:rStyle w:val="Hyperlink"/>
            <w:rFonts w:eastAsia="Calibri"/>
            <w:noProof/>
          </w:rPr>
          <w:t>II.23</w:t>
        </w:r>
        <w:r>
          <w:rPr>
            <w:noProof/>
            <w:kern w:val="2"/>
            <w:sz w:val="24"/>
            <w:szCs w:val="24"/>
            <w:lang w:val="en-GB"/>
            <w14:ligatures w14:val="standardContextual"/>
          </w:rPr>
          <w:tab/>
        </w:r>
        <w:r w:rsidRPr="0037565B">
          <w:rPr>
            <w:rStyle w:val="Hyperlink"/>
            <w:noProof/>
          </w:rPr>
          <w:t xml:space="preserve">Predložak Z 08.04 – Ključne usluge – </w:t>
        </w:r>
        <w:r w:rsidR="00EB5410">
          <w:rPr>
            <w:rStyle w:val="Hyperlink"/>
            <w:noProof/>
          </w:rPr>
          <w:t>mapiranje</w:t>
        </w:r>
        <w:r w:rsidRPr="0037565B">
          <w:rPr>
            <w:rStyle w:val="Hyperlink"/>
            <w:noProof/>
          </w:rPr>
          <w:t xml:space="preserve"> na ključne funkcije (SERV 4)</w:t>
        </w:r>
        <w:r>
          <w:rPr>
            <w:noProof/>
            <w:webHidden/>
          </w:rPr>
          <w:tab/>
        </w:r>
        <w:r>
          <w:rPr>
            <w:noProof/>
            <w:webHidden/>
          </w:rPr>
          <w:fldChar w:fldCharType="begin"/>
        </w:r>
        <w:r>
          <w:rPr>
            <w:noProof/>
            <w:webHidden/>
          </w:rPr>
          <w:instrText xml:space="preserve"> PAGEREF _Toc208244820 \h </w:instrText>
        </w:r>
        <w:r>
          <w:rPr>
            <w:noProof/>
            <w:webHidden/>
          </w:rPr>
        </w:r>
        <w:r>
          <w:rPr>
            <w:noProof/>
            <w:webHidden/>
          </w:rPr>
          <w:fldChar w:fldCharType="separate"/>
        </w:r>
        <w:r w:rsidR="00BD3206">
          <w:rPr>
            <w:noProof/>
            <w:webHidden/>
          </w:rPr>
          <w:t>75</w:t>
        </w:r>
        <w:r>
          <w:rPr>
            <w:noProof/>
            <w:webHidden/>
          </w:rPr>
          <w:fldChar w:fldCharType="end"/>
        </w:r>
      </w:hyperlink>
    </w:p>
    <w:p w14:paraId="3CA6A2B7" w14:textId="2DBC9316" w:rsidR="00F24D68" w:rsidRDefault="00F24D68">
      <w:pPr>
        <w:pStyle w:val="TOC2"/>
        <w:rPr>
          <w:noProof/>
          <w:kern w:val="2"/>
          <w:sz w:val="24"/>
          <w:szCs w:val="24"/>
          <w:lang w:val="en-GB"/>
          <w14:ligatures w14:val="standardContextual"/>
        </w:rPr>
      </w:pPr>
      <w:hyperlink w:anchor="_Toc208244821" w:history="1">
        <w:r w:rsidRPr="0037565B">
          <w:rPr>
            <w:rStyle w:val="Hyperlink"/>
            <w:noProof/>
          </w:rPr>
          <w:t>Opće upute</w:t>
        </w:r>
        <w:r>
          <w:rPr>
            <w:noProof/>
            <w:webHidden/>
          </w:rPr>
          <w:tab/>
        </w:r>
        <w:r>
          <w:rPr>
            <w:noProof/>
            <w:webHidden/>
          </w:rPr>
          <w:fldChar w:fldCharType="begin"/>
        </w:r>
        <w:r>
          <w:rPr>
            <w:noProof/>
            <w:webHidden/>
          </w:rPr>
          <w:instrText xml:space="preserve"> PAGEREF _Toc208244821 \h </w:instrText>
        </w:r>
        <w:r>
          <w:rPr>
            <w:noProof/>
            <w:webHidden/>
          </w:rPr>
        </w:r>
        <w:r>
          <w:rPr>
            <w:noProof/>
            <w:webHidden/>
          </w:rPr>
          <w:fldChar w:fldCharType="separate"/>
        </w:r>
        <w:r w:rsidR="00BD3206">
          <w:rPr>
            <w:noProof/>
            <w:webHidden/>
          </w:rPr>
          <w:t>75</w:t>
        </w:r>
        <w:r>
          <w:rPr>
            <w:noProof/>
            <w:webHidden/>
          </w:rPr>
          <w:fldChar w:fldCharType="end"/>
        </w:r>
      </w:hyperlink>
    </w:p>
    <w:p w14:paraId="5FBD28C9" w14:textId="0A5E49EB" w:rsidR="00F24D68" w:rsidRDefault="00F24D68">
      <w:pPr>
        <w:pStyle w:val="TOC2"/>
        <w:rPr>
          <w:noProof/>
          <w:kern w:val="2"/>
          <w:sz w:val="24"/>
          <w:szCs w:val="24"/>
          <w:lang w:val="en-GB"/>
          <w14:ligatures w14:val="standardContextual"/>
        </w:rPr>
      </w:pPr>
      <w:hyperlink w:anchor="_Toc208244822" w:history="1">
        <w:r w:rsidRPr="0037565B">
          <w:rPr>
            <w:rStyle w:val="Hyperlink"/>
            <w:rFonts w:eastAsia="Calibri"/>
            <w:noProof/>
          </w:rPr>
          <w:t>II.24</w:t>
        </w:r>
        <w:r>
          <w:rPr>
            <w:noProof/>
            <w:kern w:val="2"/>
            <w:sz w:val="24"/>
            <w:szCs w:val="24"/>
            <w:lang w:val="en-GB"/>
            <w14:ligatures w14:val="standardContextual"/>
          </w:rPr>
          <w:tab/>
        </w:r>
        <w:r w:rsidRPr="0037565B">
          <w:rPr>
            <w:rStyle w:val="Hyperlink"/>
            <w:noProof/>
          </w:rPr>
          <w:t xml:space="preserve">Predložak Z 08.05 – Osnovne usluge – </w:t>
        </w:r>
        <w:r w:rsidR="006D1EE3">
          <w:rPr>
            <w:rStyle w:val="Hyperlink"/>
            <w:noProof/>
          </w:rPr>
          <w:t>mapiranje</w:t>
        </w:r>
        <w:r w:rsidRPr="0037565B">
          <w:rPr>
            <w:rStyle w:val="Hyperlink"/>
            <w:noProof/>
          </w:rPr>
          <w:t xml:space="preserve"> </w:t>
        </w:r>
        <w:r w:rsidR="007F1FA6">
          <w:rPr>
            <w:rStyle w:val="Hyperlink"/>
            <w:noProof/>
          </w:rPr>
          <w:t>na</w:t>
        </w:r>
        <w:r w:rsidRPr="0037565B">
          <w:rPr>
            <w:rStyle w:val="Hyperlink"/>
            <w:noProof/>
          </w:rPr>
          <w:t xml:space="preserve"> temeljne linije poslovanja (SERV 5)</w:t>
        </w:r>
        <w:r>
          <w:rPr>
            <w:noProof/>
            <w:webHidden/>
          </w:rPr>
          <w:tab/>
        </w:r>
        <w:r>
          <w:rPr>
            <w:noProof/>
            <w:webHidden/>
          </w:rPr>
          <w:fldChar w:fldCharType="begin"/>
        </w:r>
        <w:r>
          <w:rPr>
            <w:noProof/>
            <w:webHidden/>
          </w:rPr>
          <w:instrText xml:space="preserve"> PAGEREF _Toc208244822 \h </w:instrText>
        </w:r>
        <w:r>
          <w:rPr>
            <w:noProof/>
            <w:webHidden/>
          </w:rPr>
        </w:r>
        <w:r>
          <w:rPr>
            <w:noProof/>
            <w:webHidden/>
          </w:rPr>
          <w:fldChar w:fldCharType="separate"/>
        </w:r>
        <w:r w:rsidR="00BD3206">
          <w:rPr>
            <w:noProof/>
            <w:webHidden/>
          </w:rPr>
          <w:t>76</w:t>
        </w:r>
        <w:r>
          <w:rPr>
            <w:noProof/>
            <w:webHidden/>
          </w:rPr>
          <w:fldChar w:fldCharType="end"/>
        </w:r>
      </w:hyperlink>
    </w:p>
    <w:p w14:paraId="76D28CD8" w14:textId="4DE798E5" w:rsidR="00F24D68" w:rsidRDefault="00F24D68">
      <w:pPr>
        <w:pStyle w:val="TOC2"/>
        <w:rPr>
          <w:noProof/>
          <w:kern w:val="2"/>
          <w:sz w:val="24"/>
          <w:szCs w:val="24"/>
          <w:lang w:val="en-GB"/>
          <w14:ligatures w14:val="standardContextual"/>
        </w:rPr>
      </w:pPr>
      <w:hyperlink w:anchor="_Toc208244823" w:history="1">
        <w:r w:rsidRPr="0037565B">
          <w:rPr>
            <w:rStyle w:val="Hyperlink"/>
            <w:noProof/>
          </w:rPr>
          <w:t>II.25</w:t>
        </w:r>
        <w:r>
          <w:rPr>
            <w:noProof/>
            <w:kern w:val="2"/>
            <w:sz w:val="24"/>
            <w:szCs w:val="24"/>
            <w:lang w:val="en-GB"/>
            <w14:ligatures w14:val="standardContextual"/>
          </w:rPr>
          <w:tab/>
        </w:r>
        <w:r w:rsidRPr="0037565B">
          <w:rPr>
            <w:rStyle w:val="Hyperlink"/>
            <w:noProof/>
          </w:rPr>
          <w:t xml:space="preserve">Usluge </w:t>
        </w:r>
        <w:r w:rsidR="00471A95">
          <w:rPr>
            <w:rStyle w:val="Hyperlink"/>
            <w:noProof/>
          </w:rPr>
          <w:t>infrastrukture financijskog tržišta</w:t>
        </w:r>
        <w:r>
          <w:rPr>
            <w:noProof/>
            <w:webHidden/>
          </w:rPr>
          <w:tab/>
        </w:r>
        <w:r>
          <w:rPr>
            <w:noProof/>
            <w:webHidden/>
          </w:rPr>
          <w:fldChar w:fldCharType="begin"/>
        </w:r>
        <w:r>
          <w:rPr>
            <w:noProof/>
            <w:webHidden/>
          </w:rPr>
          <w:instrText xml:space="preserve"> PAGEREF _Toc208244823 \h </w:instrText>
        </w:r>
        <w:r>
          <w:rPr>
            <w:noProof/>
            <w:webHidden/>
          </w:rPr>
        </w:r>
        <w:r>
          <w:rPr>
            <w:noProof/>
            <w:webHidden/>
          </w:rPr>
          <w:fldChar w:fldCharType="separate"/>
        </w:r>
        <w:r w:rsidR="00BD3206">
          <w:rPr>
            <w:noProof/>
            <w:webHidden/>
          </w:rPr>
          <w:t>77</w:t>
        </w:r>
        <w:r>
          <w:rPr>
            <w:noProof/>
            <w:webHidden/>
          </w:rPr>
          <w:fldChar w:fldCharType="end"/>
        </w:r>
      </w:hyperlink>
    </w:p>
    <w:p w14:paraId="067234E8" w14:textId="48E15A43" w:rsidR="00F24D68" w:rsidRDefault="00F24D68">
      <w:pPr>
        <w:pStyle w:val="TOC2"/>
        <w:rPr>
          <w:noProof/>
          <w:kern w:val="2"/>
          <w:sz w:val="24"/>
          <w:szCs w:val="24"/>
          <w:lang w:val="en-GB"/>
          <w14:ligatures w14:val="standardContextual"/>
        </w:rPr>
      </w:pPr>
      <w:hyperlink w:anchor="_Toc208244824" w:history="1">
        <w:r w:rsidRPr="0037565B">
          <w:rPr>
            <w:rStyle w:val="Hyperlink"/>
            <w:noProof/>
          </w:rPr>
          <w:t>II.26</w:t>
        </w:r>
        <w:r>
          <w:rPr>
            <w:noProof/>
            <w:kern w:val="2"/>
            <w:sz w:val="24"/>
            <w:szCs w:val="24"/>
            <w:lang w:val="en-GB"/>
            <w14:ligatures w14:val="standardContextual"/>
          </w:rPr>
          <w:tab/>
        </w:r>
        <w:r w:rsidRPr="0037565B">
          <w:rPr>
            <w:rStyle w:val="Hyperlink"/>
            <w:noProof/>
          </w:rPr>
          <w:t>Predložak Z 09.01 – Usluge infrastrukture financijskog tržišta – Pružatelji i korisnici (FMI 1)</w:t>
        </w:r>
        <w:r>
          <w:rPr>
            <w:noProof/>
            <w:webHidden/>
          </w:rPr>
          <w:tab/>
        </w:r>
        <w:r>
          <w:rPr>
            <w:noProof/>
            <w:webHidden/>
          </w:rPr>
          <w:fldChar w:fldCharType="begin"/>
        </w:r>
        <w:r>
          <w:rPr>
            <w:noProof/>
            <w:webHidden/>
          </w:rPr>
          <w:instrText xml:space="preserve"> PAGEREF _Toc208244824 \h </w:instrText>
        </w:r>
        <w:r>
          <w:rPr>
            <w:noProof/>
            <w:webHidden/>
          </w:rPr>
        </w:r>
        <w:r>
          <w:rPr>
            <w:noProof/>
            <w:webHidden/>
          </w:rPr>
          <w:fldChar w:fldCharType="separate"/>
        </w:r>
        <w:r w:rsidR="00BD3206">
          <w:rPr>
            <w:noProof/>
            <w:webHidden/>
          </w:rPr>
          <w:t>77</w:t>
        </w:r>
        <w:r>
          <w:rPr>
            <w:noProof/>
            <w:webHidden/>
          </w:rPr>
          <w:fldChar w:fldCharType="end"/>
        </w:r>
      </w:hyperlink>
    </w:p>
    <w:p w14:paraId="66645443" w14:textId="1B71EF5C" w:rsidR="00F24D68" w:rsidRDefault="00F24D68">
      <w:pPr>
        <w:pStyle w:val="TOC2"/>
        <w:rPr>
          <w:noProof/>
          <w:kern w:val="2"/>
          <w:sz w:val="24"/>
          <w:szCs w:val="24"/>
          <w:lang w:val="en-GB"/>
          <w14:ligatures w14:val="standardContextual"/>
        </w:rPr>
      </w:pPr>
      <w:hyperlink w:anchor="_Toc208244825" w:history="1">
        <w:r w:rsidRPr="0037565B">
          <w:rPr>
            <w:rStyle w:val="Hyperlink"/>
            <w:rFonts w:eastAsia="Calibri"/>
            <w:noProof/>
          </w:rPr>
          <w:t>II.27</w:t>
        </w:r>
        <w:r>
          <w:rPr>
            <w:noProof/>
            <w:kern w:val="2"/>
            <w:sz w:val="24"/>
            <w:szCs w:val="24"/>
            <w:lang w:val="en-GB"/>
            <w14:ligatures w14:val="standardContextual"/>
          </w:rPr>
          <w:tab/>
        </w:r>
        <w:r w:rsidRPr="0037565B">
          <w:rPr>
            <w:rStyle w:val="Hyperlink"/>
            <w:noProof/>
          </w:rPr>
          <w:t xml:space="preserve">Predložak Z 09.02 – </w:t>
        </w:r>
        <w:r w:rsidR="00471A95">
          <w:rPr>
            <w:rStyle w:val="Hyperlink"/>
            <w:noProof/>
          </w:rPr>
          <w:t>Mapiranje na</w:t>
        </w:r>
        <w:r w:rsidRPr="0037565B">
          <w:rPr>
            <w:rStyle w:val="Hyperlink"/>
            <w:noProof/>
          </w:rPr>
          <w:t xml:space="preserve"> </w:t>
        </w:r>
        <w:r w:rsidR="00471A95">
          <w:rPr>
            <w:rStyle w:val="Hyperlink"/>
            <w:noProof/>
          </w:rPr>
          <w:t xml:space="preserve">ključne i </w:t>
        </w:r>
        <w:r w:rsidR="00494CB2">
          <w:rPr>
            <w:rStyle w:val="Hyperlink"/>
            <w:noProof/>
          </w:rPr>
          <w:t>osnovne</w:t>
        </w:r>
        <w:r w:rsidRPr="0037565B">
          <w:rPr>
            <w:rStyle w:val="Hyperlink"/>
            <w:noProof/>
          </w:rPr>
          <w:t xml:space="preserve"> infrastruktur</w:t>
        </w:r>
        <w:r w:rsidR="00471A95">
          <w:rPr>
            <w:rStyle w:val="Hyperlink"/>
            <w:noProof/>
          </w:rPr>
          <w:t>e</w:t>
        </w:r>
        <w:r w:rsidRPr="0037565B">
          <w:rPr>
            <w:rStyle w:val="Hyperlink"/>
            <w:noProof/>
          </w:rPr>
          <w:t xml:space="preserve"> financijskog tržišta (FMI 2)</w:t>
        </w:r>
        <w:r>
          <w:rPr>
            <w:noProof/>
            <w:webHidden/>
          </w:rPr>
          <w:tab/>
        </w:r>
        <w:r>
          <w:rPr>
            <w:noProof/>
            <w:webHidden/>
          </w:rPr>
          <w:fldChar w:fldCharType="begin"/>
        </w:r>
        <w:r>
          <w:rPr>
            <w:noProof/>
            <w:webHidden/>
          </w:rPr>
          <w:instrText xml:space="preserve"> PAGEREF _Toc208244825 \h </w:instrText>
        </w:r>
        <w:r>
          <w:rPr>
            <w:noProof/>
            <w:webHidden/>
          </w:rPr>
        </w:r>
        <w:r>
          <w:rPr>
            <w:noProof/>
            <w:webHidden/>
          </w:rPr>
          <w:fldChar w:fldCharType="separate"/>
        </w:r>
        <w:r w:rsidR="00BD3206">
          <w:rPr>
            <w:noProof/>
            <w:webHidden/>
          </w:rPr>
          <w:t>81</w:t>
        </w:r>
        <w:r>
          <w:rPr>
            <w:noProof/>
            <w:webHidden/>
          </w:rPr>
          <w:fldChar w:fldCharType="end"/>
        </w:r>
      </w:hyperlink>
    </w:p>
    <w:p w14:paraId="32018015" w14:textId="7CF86207" w:rsidR="00F24D68" w:rsidRDefault="00F24D68">
      <w:pPr>
        <w:pStyle w:val="TOC2"/>
        <w:rPr>
          <w:noProof/>
          <w:kern w:val="2"/>
          <w:sz w:val="24"/>
          <w:szCs w:val="24"/>
          <w:lang w:val="en-GB"/>
          <w14:ligatures w14:val="standardContextual"/>
        </w:rPr>
      </w:pPr>
      <w:hyperlink w:anchor="_Toc208244826" w:history="1">
        <w:r w:rsidRPr="0037565B">
          <w:rPr>
            <w:rStyle w:val="Hyperlink"/>
            <w:noProof/>
          </w:rPr>
          <w:t>II.28</w:t>
        </w:r>
        <w:r>
          <w:rPr>
            <w:noProof/>
            <w:kern w:val="2"/>
            <w:sz w:val="24"/>
            <w:szCs w:val="24"/>
            <w:lang w:val="en-GB"/>
            <w14:ligatures w14:val="standardContextual"/>
          </w:rPr>
          <w:tab/>
        </w:r>
        <w:r w:rsidRPr="0037565B">
          <w:rPr>
            <w:rStyle w:val="Hyperlink"/>
            <w:noProof/>
          </w:rPr>
          <w:t>Z 09.03 – Usluge infrastrukture financijskog tržišta – ključna mjerila (FMI 3)</w:t>
        </w:r>
        <w:r>
          <w:rPr>
            <w:noProof/>
            <w:webHidden/>
          </w:rPr>
          <w:tab/>
        </w:r>
        <w:r>
          <w:rPr>
            <w:noProof/>
            <w:webHidden/>
          </w:rPr>
          <w:fldChar w:fldCharType="begin"/>
        </w:r>
        <w:r>
          <w:rPr>
            <w:noProof/>
            <w:webHidden/>
          </w:rPr>
          <w:instrText xml:space="preserve"> PAGEREF _Toc208244826 \h </w:instrText>
        </w:r>
        <w:r>
          <w:rPr>
            <w:noProof/>
            <w:webHidden/>
          </w:rPr>
        </w:r>
        <w:r>
          <w:rPr>
            <w:noProof/>
            <w:webHidden/>
          </w:rPr>
          <w:fldChar w:fldCharType="separate"/>
        </w:r>
        <w:r w:rsidR="00BD3206">
          <w:rPr>
            <w:noProof/>
            <w:webHidden/>
          </w:rPr>
          <w:t>83</w:t>
        </w:r>
        <w:r>
          <w:rPr>
            <w:noProof/>
            <w:webHidden/>
          </w:rPr>
          <w:fldChar w:fldCharType="end"/>
        </w:r>
      </w:hyperlink>
    </w:p>
    <w:p w14:paraId="7E9B7520" w14:textId="5FD59CEE" w:rsidR="00F24D68" w:rsidRDefault="00F24D68">
      <w:pPr>
        <w:pStyle w:val="TOC2"/>
        <w:rPr>
          <w:noProof/>
          <w:kern w:val="2"/>
          <w:sz w:val="24"/>
          <w:szCs w:val="24"/>
          <w:lang w:val="en-GB"/>
          <w14:ligatures w14:val="standardContextual"/>
        </w:rPr>
      </w:pPr>
      <w:hyperlink w:anchor="_Toc208244827" w:history="1">
        <w:r w:rsidRPr="0037565B">
          <w:rPr>
            <w:rStyle w:val="Hyperlink"/>
            <w:noProof/>
          </w:rPr>
          <w:t>II.29</w:t>
        </w:r>
        <w:r>
          <w:rPr>
            <w:noProof/>
            <w:kern w:val="2"/>
            <w:sz w:val="24"/>
            <w:szCs w:val="24"/>
            <w:lang w:val="en-GB"/>
            <w14:ligatures w14:val="standardContextual"/>
          </w:rPr>
          <w:tab/>
        </w:r>
        <w:r w:rsidRPr="0037565B">
          <w:rPr>
            <w:rStyle w:val="Hyperlink"/>
            <w:noProof/>
          </w:rPr>
          <w:t>Predložak Z 09.04 – Usluge infrastrukture financijskog tržišta – CCP-ovi – alternativni pružatelji usluga (FMI 4)</w:t>
        </w:r>
        <w:r>
          <w:rPr>
            <w:noProof/>
            <w:webHidden/>
          </w:rPr>
          <w:tab/>
        </w:r>
        <w:r>
          <w:rPr>
            <w:noProof/>
            <w:webHidden/>
          </w:rPr>
          <w:fldChar w:fldCharType="begin"/>
        </w:r>
        <w:r>
          <w:rPr>
            <w:noProof/>
            <w:webHidden/>
          </w:rPr>
          <w:instrText xml:space="preserve"> PAGEREF _Toc208244827 \h </w:instrText>
        </w:r>
        <w:r>
          <w:rPr>
            <w:noProof/>
            <w:webHidden/>
          </w:rPr>
        </w:r>
        <w:r>
          <w:rPr>
            <w:noProof/>
            <w:webHidden/>
          </w:rPr>
          <w:fldChar w:fldCharType="separate"/>
        </w:r>
        <w:r w:rsidR="00BD3206">
          <w:rPr>
            <w:noProof/>
            <w:webHidden/>
          </w:rPr>
          <w:t>85</w:t>
        </w:r>
        <w:r>
          <w:rPr>
            <w:noProof/>
            <w:webHidden/>
          </w:rPr>
          <w:fldChar w:fldCharType="end"/>
        </w:r>
      </w:hyperlink>
    </w:p>
    <w:p w14:paraId="2CE9421D" w14:textId="06284C2A" w:rsidR="00F24D68" w:rsidRDefault="00F24D68">
      <w:pPr>
        <w:pStyle w:val="TOC2"/>
        <w:rPr>
          <w:noProof/>
          <w:kern w:val="2"/>
          <w:sz w:val="24"/>
          <w:szCs w:val="24"/>
          <w:lang w:val="en-GB"/>
          <w14:ligatures w14:val="standardContextual"/>
        </w:rPr>
      </w:pPr>
      <w:hyperlink w:anchor="_Toc208244828" w:history="1">
        <w:r w:rsidRPr="0037565B">
          <w:rPr>
            <w:rStyle w:val="Hyperlink"/>
            <w:noProof/>
          </w:rPr>
          <w:t>II.30</w:t>
        </w:r>
        <w:r>
          <w:rPr>
            <w:noProof/>
            <w:kern w:val="2"/>
            <w:sz w:val="24"/>
            <w:szCs w:val="24"/>
            <w:lang w:val="en-GB"/>
            <w14:ligatures w14:val="standardContextual"/>
          </w:rPr>
          <w:tab/>
        </w:r>
        <w:r w:rsidRPr="0037565B">
          <w:rPr>
            <w:rStyle w:val="Hyperlink"/>
            <w:noProof/>
          </w:rPr>
          <w:t>Analiza o</w:t>
        </w:r>
        <w:r w:rsidR="00B76F42">
          <w:rPr>
            <w:rStyle w:val="Hyperlink"/>
            <w:noProof/>
          </w:rPr>
          <w:t>bveza</w:t>
        </w:r>
        <w:r>
          <w:rPr>
            <w:noProof/>
            <w:webHidden/>
          </w:rPr>
          <w:tab/>
        </w:r>
        <w:r>
          <w:rPr>
            <w:noProof/>
            <w:webHidden/>
          </w:rPr>
          <w:fldChar w:fldCharType="begin"/>
        </w:r>
        <w:r>
          <w:rPr>
            <w:noProof/>
            <w:webHidden/>
          </w:rPr>
          <w:instrText xml:space="preserve"> PAGEREF _Toc208244828 \h </w:instrText>
        </w:r>
        <w:r>
          <w:rPr>
            <w:noProof/>
            <w:webHidden/>
          </w:rPr>
        </w:r>
        <w:r>
          <w:rPr>
            <w:noProof/>
            <w:webHidden/>
          </w:rPr>
          <w:fldChar w:fldCharType="separate"/>
        </w:r>
        <w:r w:rsidR="00BD3206">
          <w:rPr>
            <w:noProof/>
            <w:webHidden/>
          </w:rPr>
          <w:t>86</w:t>
        </w:r>
        <w:r>
          <w:rPr>
            <w:noProof/>
            <w:webHidden/>
          </w:rPr>
          <w:fldChar w:fldCharType="end"/>
        </w:r>
      </w:hyperlink>
    </w:p>
    <w:p w14:paraId="0B9A252F" w14:textId="52FEAAC4" w:rsidR="00F24D68" w:rsidRDefault="00F24D68">
      <w:pPr>
        <w:pStyle w:val="TOC2"/>
        <w:rPr>
          <w:noProof/>
          <w:kern w:val="2"/>
          <w:sz w:val="24"/>
          <w:szCs w:val="24"/>
          <w:lang w:val="en-GB"/>
          <w14:ligatures w14:val="standardContextual"/>
        </w:rPr>
      </w:pPr>
      <w:hyperlink w:anchor="_Toc208244829" w:history="1">
        <w:r w:rsidRPr="0037565B">
          <w:rPr>
            <w:rStyle w:val="Hyperlink"/>
            <w:rFonts w:ascii="Times New Roman" w:hAnsi="Times New Roman" w:cs="Times New Roman"/>
            <w:noProof/>
          </w:rPr>
          <w:t>II.31</w:t>
        </w:r>
        <w:r>
          <w:rPr>
            <w:noProof/>
            <w:kern w:val="2"/>
            <w:sz w:val="24"/>
            <w:szCs w:val="24"/>
            <w:lang w:val="en-GB"/>
            <w14:ligatures w14:val="standardContextual"/>
          </w:rPr>
          <w:tab/>
        </w:r>
        <w:r w:rsidRPr="0037565B">
          <w:rPr>
            <w:rStyle w:val="Hyperlink"/>
            <w:rFonts w:ascii="Times New Roman" w:hAnsi="Times New Roman" w:cs="Times New Roman"/>
            <w:noProof/>
          </w:rPr>
          <w:t>Z 11.00 Obveze unutar grupe</w:t>
        </w:r>
        <w:r w:rsidRPr="0037565B">
          <w:rPr>
            <w:rStyle w:val="Hyperlink"/>
            <w:rFonts w:ascii="Times New Roman" w:eastAsia="Calibri" w:hAnsi="Times New Roman" w:cs="Times New Roman"/>
            <w:noProof/>
          </w:rPr>
          <w:t xml:space="preserve"> (LIAB-G-1)</w:t>
        </w:r>
        <w:r>
          <w:rPr>
            <w:noProof/>
            <w:webHidden/>
          </w:rPr>
          <w:tab/>
        </w:r>
        <w:r>
          <w:rPr>
            <w:noProof/>
            <w:webHidden/>
          </w:rPr>
          <w:fldChar w:fldCharType="begin"/>
        </w:r>
        <w:r>
          <w:rPr>
            <w:noProof/>
            <w:webHidden/>
          </w:rPr>
          <w:instrText xml:space="preserve"> PAGEREF _Toc208244829 \h </w:instrText>
        </w:r>
        <w:r>
          <w:rPr>
            <w:noProof/>
            <w:webHidden/>
          </w:rPr>
        </w:r>
        <w:r>
          <w:rPr>
            <w:noProof/>
            <w:webHidden/>
          </w:rPr>
          <w:fldChar w:fldCharType="separate"/>
        </w:r>
        <w:r w:rsidR="00BD3206">
          <w:rPr>
            <w:noProof/>
            <w:webHidden/>
          </w:rPr>
          <w:t>86</w:t>
        </w:r>
        <w:r>
          <w:rPr>
            <w:noProof/>
            <w:webHidden/>
          </w:rPr>
          <w:fldChar w:fldCharType="end"/>
        </w:r>
      </w:hyperlink>
    </w:p>
    <w:p w14:paraId="33913CF7" w14:textId="0EEA144C" w:rsidR="00F24D68" w:rsidRDefault="00F24D68">
      <w:pPr>
        <w:pStyle w:val="TOC2"/>
        <w:rPr>
          <w:noProof/>
          <w:kern w:val="2"/>
          <w:sz w:val="24"/>
          <w:szCs w:val="24"/>
          <w:lang w:val="en-GB"/>
          <w14:ligatures w14:val="standardContextual"/>
        </w:rPr>
      </w:pPr>
      <w:hyperlink w:anchor="_Toc208244830" w:history="1">
        <w:r w:rsidRPr="0037565B">
          <w:rPr>
            <w:rStyle w:val="Hyperlink"/>
            <w:rFonts w:ascii="Times New Roman" w:hAnsi="Times New Roman" w:cs="Times New Roman"/>
            <w:noProof/>
          </w:rPr>
          <w:t>II.32</w:t>
        </w:r>
        <w:r>
          <w:rPr>
            <w:noProof/>
            <w:kern w:val="2"/>
            <w:sz w:val="24"/>
            <w:szCs w:val="24"/>
            <w:lang w:val="en-GB"/>
            <w14:ligatures w14:val="standardContextual"/>
          </w:rPr>
          <w:tab/>
        </w:r>
        <w:r w:rsidRPr="0037565B">
          <w:rPr>
            <w:rStyle w:val="Hyperlink"/>
            <w:rFonts w:ascii="Times New Roman" w:hAnsi="Times New Roman" w:cs="Times New Roman"/>
            <w:noProof/>
          </w:rPr>
          <w:t xml:space="preserve">Z 12:00 – </w:t>
        </w:r>
        <w:r w:rsidRPr="0037565B">
          <w:rPr>
            <w:rStyle w:val="Hyperlink"/>
            <w:rFonts w:ascii="Times New Roman" w:eastAsia="Cambria" w:hAnsi="Times New Roman" w:cs="Times New Roman"/>
            <w:noProof/>
          </w:rPr>
          <w:t xml:space="preserve">vrijednosni papiri (uključujući instrumente redovnog osnovnog kapitala, dodatnog osnovnog kapitala i dopunskog kapitala; isključujući unutargrupnu skupinu) </w:t>
        </w:r>
        <w:r w:rsidRPr="0037565B">
          <w:rPr>
            <w:rStyle w:val="Hyperlink"/>
            <w:rFonts w:ascii="Times New Roman" w:eastAsia="Calibri" w:hAnsi="Times New Roman" w:cs="Times New Roman"/>
            <w:noProof/>
          </w:rPr>
          <w:t>(LIAB-G-2)</w:t>
        </w:r>
        <w:r>
          <w:rPr>
            <w:noProof/>
            <w:webHidden/>
          </w:rPr>
          <w:tab/>
        </w:r>
        <w:r>
          <w:rPr>
            <w:noProof/>
            <w:webHidden/>
          </w:rPr>
          <w:fldChar w:fldCharType="begin"/>
        </w:r>
        <w:r>
          <w:rPr>
            <w:noProof/>
            <w:webHidden/>
          </w:rPr>
          <w:instrText xml:space="preserve"> PAGEREF _Toc208244830 \h </w:instrText>
        </w:r>
        <w:r>
          <w:rPr>
            <w:noProof/>
            <w:webHidden/>
          </w:rPr>
        </w:r>
        <w:r>
          <w:rPr>
            <w:noProof/>
            <w:webHidden/>
          </w:rPr>
          <w:fldChar w:fldCharType="separate"/>
        </w:r>
        <w:r w:rsidR="00BD3206">
          <w:rPr>
            <w:noProof/>
            <w:webHidden/>
          </w:rPr>
          <w:t>88</w:t>
        </w:r>
        <w:r>
          <w:rPr>
            <w:noProof/>
            <w:webHidden/>
          </w:rPr>
          <w:fldChar w:fldCharType="end"/>
        </w:r>
      </w:hyperlink>
    </w:p>
    <w:p w14:paraId="65DC8EBE" w14:textId="45195B16" w:rsidR="00F24D68" w:rsidRDefault="00F24D68">
      <w:pPr>
        <w:pStyle w:val="TOC2"/>
        <w:rPr>
          <w:noProof/>
          <w:kern w:val="2"/>
          <w:sz w:val="24"/>
          <w:szCs w:val="24"/>
          <w:lang w:val="en-GB"/>
          <w14:ligatures w14:val="standardContextual"/>
        </w:rPr>
      </w:pPr>
      <w:hyperlink w:anchor="_Toc208244831" w:history="1">
        <w:r w:rsidRPr="0037565B">
          <w:rPr>
            <w:rStyle w:val="Hyperlink"/>
            <w:rFonts w:ascii="Times New Roman" w:hAnsi="Times New Roman" w:cs="Times New Roman"/>
            <w:noProof/>
          </w:rPr>
          <w:t>II.33</w:t>
        </w:r>
        <w:r>
          <w:rPr>
            <w:noProof/>
            <w:kern w:val="2"/>
            <w:sz w:val="24"/>
            <w:szCs w:val="24"/>
            <w:lang w:val="en-GB"/>
            <w14:ligatures w14:val="standardContextual"/>
          </w:rPr>
          <w:tab/>
        </w:r>
        <w:r w:rsidRPr="0037565B">
          <w:rPr>
            <w:rStyle w:val="Hyperlink"/>
            <w:rFonts w:ascii="Times New Roman" w:hAnsi="Times New Roman" w:cs="Times New Roman"/>
            <w:noProof/>
          </w:rPr>
          <w:t xml:space="preserve">Z 13.00 – Svi depoziti (osim unutar grupe) </w:t>
        </w:r>
        <w:r w:rsidRPr="0037565B">
          <w:rPr>
            <w:rStyle w:val="Hyperlink"/>
            <w:rFonts w:ascii="Times New Roman" w:eastAsia="Calibri" w:hAnsi="Times New Roman" w:cs="Times New Roman"/>
            <w:noProof/>
          </w:rPr>
          <w:t>(LIAB-G-3)</w:t>
        </w:r>
        <w:r>
          <w:rPr>
            <w:noProof/>
            <w:webHidden/>
          </w:rPr>
          <w:tab/>
        </w:r>
        <w:r>
          <w:rPr>
            <w:noProof/>
            <w:webHidden/>
          </w:rPr>
          <w:fldChar w:fldCharType="begin"/>
        </w:r>
        <w:r>
          <w:rPr>
            <w:noProof/>
            <w:webHidden/>
          </w:rPr>
          <w:instrText xml:space="preserve"> PAGEREF _Toc208244831 \h </w:instrText>
        </w:r>
        <w:r>
          <w:rPr>
            <w:noProof/>
            <w:webHidden/>
          </w:rPr>
        </w:r>
        <w:r>
          <w:rPr>
            <w:noProof/>
            <w:webHidden/>
          </w:rPr>
          <w:fldChar w:fldCharType="separate"/>
        </w:r>
        <w:r w:rsidR="00BD3206">
          <w:rPr>
            <w:noProof/>
            <w:webHidden/>
          </w:rPr>
          <w:t>93</w:t>
        </w:r>
        <w:r>
          <w:rPr>
            <w:noProof/>
            <w:webHidden/>
          </w:rPr>
          <w:fldChar w:fldCharType="end"/>
        </w:r>
      </w:hyperlink>
    </w:p>
    <w:p w14:paraId="595D0602" w14:textId="78C82CA9" w:rsidR="00F24D68" w:rsidRDefault="00F24D68">
      <w:pPr>
        <w:pStyle w:val="TOC2"/>
        <w:rPr>
          <w:noProof/>
          <w:kern w:val="2"/>
          <w:sz w:val="24"/>
          <w:szCs w:val="24"/>
          <w:lang w:val="en-GB"/>
          <w14:ligatures w14:val="standardContextual"/>
        </w:rPr>
      </w:pPr>
      <w:hyperlink w:anchor="_Toc208244832" w:history="1">
        <w:r w:rsidRPr="0037565B">
          <w:rPr>
            <w:rStyle w:val="Hyperlink"/>
            <w:rFonts w:ascii="Times New Roman" w:hAnsi="Times New Roman" w:cs="Times New Roman"/>
            <w:noProof/>
          </w:rPr>
          <w:t>II.34</w:t>
        </w:r>
        <w:r>
          <w:rPr>
            <w:noProof/>
            <w:kern w:val="2"/>
            <w:sz w:val="24"/>
            <w:szCs w:val="24"/>
            <w:lang w:val="en-GB"/>
            <w14:ligatures w14:val="standardContextual"/>
          </w:rPr>
          <w:tab/>
        </w:r>
        <w:r w:rsidRPr="0037565B">
          <w:rPr>
            <w:rStyle w:val="Hyperlink"/>
            <w:rFonts w:ascii="Times New Roman" w:hAnsi="Times New Roman" w:cs="Times New Roman"/>
            <w:noProof/>
          </w:rPr>
          <w:t xml:space="preserve">Z 14.00 – Ostale financijske obveze (nisu uključene u ostale kartice, isključujući unutargrupne) </w:t>
        </w:r>
        <w:r w:rsidRPr="0037565B">
          <w:rPr>
            <w:rStyle w:val="Hyperlink"/>
            <w:rFonts w:ascii="Times New Roman" w:eastAsia="Calibri" w:hAnsi="Times New Roman" w:cs="Times New Roman"/>
            <w:noProof/>
          </w:rPr>
          <w:t>(LIAB-G-4)</w:t>
        </w:r>
        <w:r>
          <w:rPr>
            <w:noProof/>
            <w:webHidden/>
          </w:rPr>
          <w:tab/>
        </w:r>
        <w:r>
          <w:rPr>
            <w:noProof/>
            <w:webHidden/>
          </w:rPr>
          <w:fldChar w:fldCharType="begin"/>
        </w:r>
        <w:r>
          <w:rPr>
            <w:noProof/>
            <w:webHidden/>
          </w:rPr>
          <w:instrText xml:space="preserve"> PAGEREF _Toc208244832 \h </w:instrText>
        </w:r>
        <w:r>
          <w:rPr>
            <w:noProof/>
            <w:webHidden/>
          </w:rPr>
        </w:r>
        <w:r>
          <w:rPr>
            <w:noProof/>
            <w:webHidden/>
          </w:rPr>
          <w:fldChar w:fldCharType="separate"/>
        </w:r>
        <w:r w:rsidR="00BD3206">
          <w:rPr>
            <w:noProof/>
            <w:webHidden/>
          </w:rPr>
          <w:t>95</w:t>
        </w:r>
        <w:r>
          <w:rPr>
            <w:noProof/>
            <w:webHidden/>
          </w:rPr>
          <w:fldChar w:fldCharType="end"/>
        </w:r>
      </w:hyperlink>
    </w:p>
    <w:p w14:paraId="60BC65A6" w14:textId="32664F26" w:rsidR="00F24D68" w:rsidRDefault="00F24D68">
      <w:pPr>
        <w:pStyle w:val="TOC2"/>
        <w:rPr>
          <w:noProof/>
          <w:kern w:val="2"/>
          <w:sz w:val="24"/>
          <w:szCs w:val="24"/>
          <w:lang w:val="en-GB"/>
          <w14:ligatures w14:val="standardContextual"/>
        </w:rPr>
      </w:pPr>
      <w:hyperlink w:anchor="_Toc208244833" w:history="1">
        <w:r w:rsidRPr="0037565B">
          <w:rPr>
            <w:rStyle w:val="Hyperlink"/>
            <w:rFonts w:ascii="Times New Roman" w:hAnsi="Times New Roman" w:cs="Times New Roman"/>
            <w:noProof/>
          </w:rPr>
          <w:t>II.35</w:t>
        </w:r>
        <w:r>
          <w:rPr>
            <w:noProof/>
            <w:kern w:val="2"/>
            <w:sz w:val="24"/>
            <w:szCs w:val="24"/>
            <w:lang w:val="en-GB"/>
            <w14:ligatures w14:val="standardContextual"/>
          </w:rPr>
          <w:tab/>
        </w:r>
        <w:r w:rsidRPr="0037565B">
          <w:rPr>
            <w:rStyle w:val="Hyperlink"/>
            <w:rFonts w:ascii="Times New Roman" w:hAnsi="Times New Roman" w:cs="Times New Roman"/>
            <w:noProof/>
          </w:rPr>
          <w:t xml:space="preserve">Z 15.00 – Izvedenice </w:t>
        </w:r>
        <w:r w:rsidRPr="0037565B">
          <w:rPr>
            <w:rStyle w:val="Hyperlink"/>
            <w:rFonts w:ascii="Times New Roman" w:eastAsia="Calibri" w:hAnsi="Times New Roman" w:cs="Times New Roman"/>
            <w:noProof/>
          </w:rPr>
          <w:t>(LIAB-G-5)</w:t>
        </w:r>
        <w:r>
          <w:rPr>
            <w:noProof/>
            <w:webHidden/>
          </w:rPr>
          <w:tab/>
        </w:r>
        <w:r>
          <w:rPr>
            <w:noProof/>
            <w:webHidden/>
          </w:rPr>
          <w:fldChar w:fldCharType="begin"/>
        </w:r>
        <w:r>
          <w:rPr>
            <w:noProof/>
            <w:webHidden/>
          </w:rPr>
          <w:instrText xml:space="preserve"> PAGEREF _Toc208244833 \h </w:instrText>
        </w:r>
        <w:r>
          <w:rPr>
            <w:noProof/>
            <w:webHidden/>
          </w:rPr>
        </w:r>
        <w:r>
          <w:rPr>
            <w:noProof/>
            <w:webHidden/>
          </w:rPr>
          <w:fldChar w:fldCharType="separate"/>
        </w:r>
        <w:r w:rsidR="00BD3206">
          <w:rPr>
            <w:noProof/>
            <w:webHidden/>
          </w:rPr>
          <w:t>97</w:t>
        </w:r>
        <w:r>
          <w:rPr>
            <w:noProof/>
            <w:webHidden/>
          </w:rPr>
          <w:fldChar w:fldCharType="end"/>
        </w:r>
      </w:hyperlink>
    </w:p>
    <w:p w14:paraId="369472DD" w14:textId="19F7331B" w:rsidR="00F24D68" w:rsidRDefault="00F24D68">
      <w:pPr>
        <w:pStyle w:val="TOC2"/>
        <w:rPr>
          <w:noProof/>
          <w:kern w:val="2"/>
          <w:sz w:val="24"/>
          <w:szCs w:val="24"/>
          <w:lang w:val="en-GB"/>
          <w14:ligatures w14:val="standardContextual"/>
        </w:rPr>
      </w:pPr>
      <w:hyperlink w:anchor="_Toc208244834" w:history="1">
        <w:r w:rsidRPr="0037565B">
          <w:rPr>
            <w:rStyle w:val="Hyperlink"/>
            <w:rFonts w:ascii="Times New Roman" w:hAnsi="Times New Roman" w:cs="Times New Roman"/>
            <w:noProof/>
          </w:rPr>
          <w:t>II.36</w:t>
        </w:r>
        <w:r>
          <w:rPr>
            <w:noProof/>
            <w:kern w:val="2"/>
            <w:sz w:val="24"/>
            <w:szCs w:val="24"/>
            <w:lang w:val="en-GB"/>
            <w14:ligatures w14:val="standardContextual"/>
          </w:rPr>
          <w:tab/>
        </w:r>
        <w:r w:rsidRPr="0037565B">
          <w:rPr>
            <w:rStyle w:val="Hyperlink"/>
            <w:rFonts w:ascii="Times New Roman" w:hAnsi="Times New Roman" w:cs="Times New Roman"/>
            <w:noProof/>
          </w:rPr>
          <w:t xml:space="preserve">Z 16.00 – Osigurane financijske transakcije, isključujući unutargrupne </w:t>
        </w:r>
        <w:r w:rsidRPr="0037565B">
          <w:rPr>
            <w:rStyle w:val="Hyperlink"/>
            <w:rFonts w:ascii="Times New Roman" w:eastAsia="Calibri" w:hAnsi="Times New Roman" w:cs="Times New Roman"/>
            <w:noProof/>
          </w:rPr>
          <w:t>(LIAB-G-6)</w:t>
        </w:r>
        <w:r>
          <w:rPr>
            <w:noProof/>
            <w:webHidden/>
          </w:rPr>
          <w:tab/>
        </w:r>
        <w:r>
          <w:rPr>
            <w:noProof/>
            <w:webHidden/>
          </w:rPr>
          <w:fldChar w:fldCharType="begin"/>
        </w:r>
        <w:r>
          <w:rPr>
            <w:noProof/>
            <w:webHidden/>
          </w:rPr>
          <w:instrText xml:space="preserve"> PAGEREF _Toc208244834 \h </w:instrText>
        </w:r>
        <w:r>
          <w:rPr>
            <w:noProof/>
            <w:webHidden/>
          </w:rPr>
        </w:r>
        <w:r>
          <w:rPr>
            <w:noProof/>
            <w:webHidden/>
          </w:rPr>
          <w:fldChar w:fldCharType="separate"/>
        </w:r>
        <w:r w:rsidR="00BD3206">
          <w:rPr>
            <w:noProof/>
            <w:webHidden/>
          </w:rPr>
          <w:t>99</w:t>
        </w:r>
        <w:r>
          <w:rPr>
            <w:noProof/>
            <w:webHidden/>
          </w:rPr>
          <w:fldChar w:fldCharType="end"/>
        </w:r>
      </w:hyperlink>
    </w:p>
    <w:p w14:paraId="78074ECA" w14:textId="3B706588" w:rsidR="00F24D68" w:rsidRDefault="00F24D68">
      <w:pPr>
        <w:pStyle w:val="TOC2"/>
        <w:rPr>
          <w:noProof/>
          <w:kern w:val="2"/>
          <w:sz w:val="24"/>
          <w:szCs w:val="24"/>
          <w:lang w:val="en-GB"/>
          <w14:ligatures w14:val="standardContextual"/>
        </w:rPr>
      </w:pPr>
      <w:hyperlink w:anchor="_Toc208244835" w:history="1">
        <w:r w:rsidRPr="0037565B">
          <w:rPr>
            <w:rStyle w:val="Hyperlink"/>
            <w:rFonts w:ascii="Times New Roman" w:hAnsi="Times New Roman" w:cs="Times New Roman"/>
            <w:noProof/>
          </w:rPr>
          <w:t>II.37</w:t>
        </w:r>
        <w:r>
          <w:rPr>
            <w:noProof/>
            <w:kern w:val="2"/>
            <w:sz w:val="24"/>
            <w:szCs w:val="24"/>
            <w:lang w:val="en-GB"/>
            <w14:ligatures w14:val="standardContextual"/>
          </w:rPr>
          <w:tab/>
        </w:r>
        <w:r w:rsidRPr="0037565B">
          <w:rPr>
            <w:rStyle w:val="Hyperlink"/>
            <w:rFonts w:ascii="Times New Roman" w:hAnsi="Times New Roman" w:cs="Times New Roman"/>
            <w:noProof/>
          </w:rPr>
          <w:t xml:space="preserve">Z 17.00 – Ostale nefinancijske obveze (nisu uključene u ostale kartice, isključujući unutargrupne) </w:t>
        </w:r>
        <w:r w:rsidRPr="0037565B">
          <w:rPr>
            <w:rStyle w:val="Hyperlink"/>
            <w:rFonts w:ascii="Times New Roman" w:eastAsia="Calibri" w:hAnsi="Times New Roman" w:cs="Times New Roman"/>
            <w:noProof/>
          </w:rPr>
          <w:t>(LIAB-G-7)</w:t>
        </w:r>
        <w:r>
          <w:rPr>
            <w:noProof/>
            <w:webHidden/>
          </w:rPr>
          <w:tab/>
        </w:r>
        <w:r>
          <w:rPr>
            <w:noProof/>
            <w:webHidden/>
          </w:rPr>
          <w:fldChar w:fldCharType="begin"/>
        </w:r>
        <w:r>
          <w:rPr>
            <w:noProof/>
            <w:webHidden/>
          </w:rPr>
          <w:instrText xml:space="preserve"> PAGEREF _Toc208244835 \h </w:instrText>
        </w:r>
        <w:r>
          <w:rPr>
            <w:noProof/>
            <w:webHidden/>
          </w:rPr>
        </w:r>
        <w:r>
          <w:rPr>
            <w:noProof/>
            <w:webHidden/>
          </w:rPr>
          <w:fldChar w:fldCharType="separate"/>
        </w:r>
        <w:r w:rsidR="00BD3206">
          <w:rPr>
            <w:noProof/>
            <w:webHidden/>
          </w:rPr>
          <w:t>101</w:t>
        </w:r>
        <w:r>
          <w:rPr>
            <w:noProof/>
            <w:webHidden/>
          </w:rPr>
          <w:fldChar w:fldCharType="end"/>
        </w:r>
      </w:hyperlink>
    </w:p>
    <w:p w14:paraId="4B6698AA" w14:textId="63091D98" w:rsidR="00F24D68" w:rsidRDefault="00F24D68">
      <w:pPr>
        <w:pStyle w:val="TOC2"/>
        <w:rPr>
          <w:noProof/>
          <w:kern w:val="2"/>
          <w:sz w:val="24"/>
          <w:szCs w:val="24"/>
          <w:lang w:val="en-GB"/>
          <w14:ligatures w14:val="standardContextual"/>
        </w:rPr>
      </w:pPr>
      <w:hyperlink w:anchor="_Toc208244836" w:history="1">
        <w:r w:rsidRPr="0037565B">
          <w:rPr>
            <w:rStyle w:val="Hyperlink"/>
            <w:noProof/>
          </w:rPr>
          <w:t>II.38</w:t>
        </w:r>
        <w:r>
          <w:rPr>
            <w:noProof/>
            <w:kern w:val="2"/>
            <w:sz w:val="24"/>
            <w:szCs w:val="24"/>
            <w:lang w:val="en-GB"/>
            <w14:ligatures w14:val="standardContextual"/>
          </w:rPr>
          <w:tab/>
        </w:r>
        <w:r w:rsidRPr="0037565B">
          <w:rPr>
            <w:rStyle w:val="Hyperlink"/>
            <w:noProof/>
          </w:rPr>
          <w:t>Prilog I. – Popis infrastruktura financijskog tržišta za Z 09.01 – c00</w:t>
        </w:r>
        <w:r w:rsidR="00B76F42">
          <w:rPr>
            <w:rStyle w:val="Hyperlink"/>
            <w:noProof/>
          </w:rPr>
          <w:t>4</w:t>
        </w:r>
        <w:r w:rsidRPr="0037565B">
          <w:rPr>
            <w:rStyle w:val="Hyperlink"/>
            <w:noProof/>
          </w:rPr>
          <w:t>0</w:t>
        </w:r>
        <w:r>
          <w:rPr>
            <w:noProof/>
            <w:webHidden/>
          </w:rPr>
          <w:tab/>
        </w:r>
        <w:r>
          <w:rPr>
            <w:noProof/>
            <w:webHidden/>
          </w:rPr>
          <w:fldChar w:fldCharType="begin"/>
        </w:r>
        <w:r>
          <w:rPr>
            <w:noProof/>
            <w:webHidden/>
          </w:rPr>
          <w:instrText xml:space="preserve"> PAGEREF _Toc208244836 \h </w:instrText>
        </w:r>
        <w:r>
          <w:rPr>
            <w:noProof/>
            <w:webHidden/>
          </w:rPr>
        </w:r>
        <w:r>
          <w:rPr>
            <w:noProof/>
            <w:webHidden/>
          </w:rPr>
          <w:fldChar w:fldCharType="separate"/>
        </w:r>
        <w:r w:rsidR="00BD3206">
          <w:rPr>
            <w:noProof/>
            <w:webHidden/>
          </w:rPr>
          <w:t>104</w:t>
        </w:r>
        <w:r>
          <w:rPr>
            <w:noProof/>
            <w:webHidden/>
          </w:rPr>
          <w:fldChar w:fldCharType="end"/>
        </w:r>
      </w:hyperlink>
    </w:p>
    <w:p w14:paraId="7FE1B2E2" w14:textId="39FB8035" w:rsidR="00393915" w:rsidRDefault="00F24D68">
      <w:pPr>
        <w:rPr>
          <w:rFonts w:ascii="Times New Roman" w:hAnsi="Times New Roman" w:cs="Times New Roman"/>
          <w:b/>
          <w:color w:val="000000" w:themeColor="text1"/>
          <w:sz w:val="20"/>
          <w:szCs w:val="20"/>
        </w:rPr>
      </w:pPr>
      <w:r>
        <w:rPr>
          <w:rFonts w:ascii="Times New Roman" w:hAnsi="Times New Roman" w:cs="Times New Roman"/>
          <w:bCs/>
          <w:color w:val="000000" w:themeColor="text1"/>
          <w:sz w:val="20"/>
          <w:szCs w:val="20"/>
        </w:rPr>
        <w:fldChar w:fldCharType="end"/>
      </w:r>
    </w:p>
    <w:p w14:paraId="7FE1B2E3" w14:textId="77777777" w:rsidR="00393915" w:rsidRDefault="00393915">
      <w:pPr>
        <w:rPr>
          <w:rFonts w:ascii="Times New Roman" w:hAnsi="Times New Roman" w:cs="Times New Roman"/>
          <w:b/>
          <w:color w:val="000000" w:themeColor="text1"/>
          <w:sz w:val="20"/>
          <w:szCs w:val="20"/>
        </w:rPr>
      </w:pPr>
    </w:p>
    <w:p w14:paraId="7FE1B2E4" w14:textId="77777777" w:rsidR="00393915" w:rsidRDefault="00393915">
      <w:pPr>
        <w:pStyle w:val="ListParagraph"/>
        <w:rPr>
          <w:rFonts w:ascii="Times New Roman" w:hAnsi="Times New Roman"/>
          <w:b/>
          <w:color w:val="000000" w:themeColor="text1"/>
          <w:sz w:val="20"/>
          <w:szCs w:val="20"/>
        </w:rPr>
      </w:pPr>
    </w:p>
    <w:p w14:paraId="7FE1B2E5" w14:textId="77777777" w:rsidR="00393915" w:rsidRDefault="00F24D68">
      <w:pPr>
        <w:pStyle w:val="P68B1DB1-Normal3"/>
        <w:spacing w:after="200" w:line="276" w:lineRule="auto"/>
        <w:rPr>
          <w:rFonts w:eastAsiaTheme="majorEastAsia"/>
          <w:kern w:val="28"/>
        </w:rPr>
      </w:pPr>
      <w:bookmarkStart w:id="0" w:name="_Toc492542318"/>
      <w:r>
        <w:br w:type="page"/>
      </w:r>
    </w:p>
    <w:p w14:paraId="7FE1B2E6" w14:textId="77777777" w:rsidR="00393915" w:rsidRDefault="00F24D68">
      <w:pPr>
        <w:pStyle w:val="P68B1DB1-Instructionsberschrift24"/>
        <w:numPr>
          <w:ilvl w:val="0"/>
          <w:numId w:val="49"/>
        </w:numPr>
        <w:ind w:left="357" w:hanging="357"/>
      </w:pPr>
      <w:bookmarkStart w:id="1" w:name="_Toc81454170"/>
      <w:bookmarkStart w:id="2" w:name="_Toc208244788"/>
      <w:r>
        <w:lastRenderedPageBreak/>
        <w:t>Opće upute</w:t>
      </w:r>
      <w:bookmarkEnd w:id="0"/>
      <w:bookmarkEnd w:id="1"/>
      <w:bookmarkEnd w:id="2"/>
    </w:p>
    <w:p w14:paraId="7FE1B2E7" w14:textId="0A0C67B9" w:rsidR="00393915" w:rsidRDefault="000745BC">
      <w:pPr>
        <w:pStyle w:val="P68B1DB1-Instructionsberschrift25"/>
        <w:numPr>
          <w:ilvl w:val="1"/>
          <w:numId w:val="49"/>
        </w:numPr>
        <w:ind w:left="357" w:hanging="357"/>
      </w:pPr>
      <w:bookmarkStart w:id="3" w:name="_Toc81454171"/>
      <w:bookmarkStart w:id="4" w:name="_Toc208244789"/>
      <w:r>
        <w:t>S</w:t>
      </w:r>
      <w:r w:rsidR="00F24D68">
        <w:t>truktura</w:t>
      </w:r>
      <w:bookmarkEnd w:id="3"/>
      <w:bookmarkEnd w:id="4"/>
    </w:p>
    <w:p w14:paraId="7FE1B2E8" w14:textId="6CF6687B" w:rsidR="00393915" w:rsidRDefault="00F24D68">
      <w:pPr>
        <w:pStyle w:val="P68B1DB1-InstructionsText26"/>
        <w:numPr>
          <w:ilvl w:val="0"/>
          <w:numId w:val="71"/>
        </w:numPr>
        <w:spacing w:before="0"/>
        <w:ind w:left="714" w:hanging="357"/>
      </w:pPr>
      <w:r>
        <w:t>Okvir se sastoji od 29 predložaka koji su organizirani u 6 blokova.</w:t>
      </w:r>
    </w:p>
    <w:p w14:paraId="7FE1B2EA" w14:textId="45B1FB28" w:rsidR="00393915" w:rsidRDefault="00F24D68">
      <w:pPr>
        <w:pStyle w:val="P68B1DB1-body7"/>
        <w:numPr>
          <w:ilvl w:val="0"/>
          <w:numId w:val="61"/>
        </w:numPr>
      </w:pPr>
      <w:r>
        <w:t>Blok „opće informacije”, u kojem se daje pregled organizacijske strukture grupe i njezinih subjekata, raspodjele imovine i iznosa izloženosti riziku. Taj blok sastoji se od predložaka:</w:t>
      </w:r>
    </w:p>
    <w:p w14:paraId="7FE1B2EB" w14:textId="75468367" w:rsidR="00393915" w:rsidRDefault="00F24D68">
      <w:pPr>
        <w:pStyle w:val="P68B1DB1-body7"/>
        <w:numPr>
          <w:ilvl w:val="1"/>
          <w:numId w:val="207"/>
        </w:numPr>
      </w:pPr>
      <w:r>
        <w:t>Z 01.01 – Pravni subjekti (ORG 1)”</w:t>
      </w:r>
    </w:p>
    <w:p w14:paraId="7FE1B2EC" w14:textId="77777777" w:rsidR="00393915" w:rsidRDefault="00F24D68">
      <w:pPr>
        <w:pStyle w:val="P68B1DB1-body7"/>
        <w:numPr>
          <w:ilvl w:val="1"/>
          <w:numId w:val="207"/>
        </w:numPr>
      </w:pPr>
      <w:r>
        <w:t>Z 01.02 – Struktura vlasništva (ORG 2)</w:t>
      </w:r>
    </w:p>
    <w:p w14:paraId="7FE1B2ED" w14:textId="0B29A8FB" w:rsidR="00393915" w:rsidRDefault="00F24D68">
      <w:pPr>
        <w:pStyle w:val="P68B1DB1-body7"/>
        <w:numPr>
          <w:ilvl w:val="0"/>
          <w:numId w:val="61"/>
        </w:numPr>
      </w:pPr>
      <w:r>
        <w:t>Blok „ukupni podaci o bilančnim stavkama i izvanbilančnim stavkama”, u kojem se pružaju financijske informacije o obvezama, regulatornom kapitalu, financijskim vezama među subjektima grupe, obvezama prema glavnim drugim ugovornim stranama i izvanbilančnim stavkama primljenima od glavnih drugih ugovornih strana te osiguranju depozita. Taj blok sastoji se od sedam predložaka:</w:t>
      </w:r>
    </w:p>
    <w:p w14:paraId="7FE1B2EE" w14:textId="2F3934FA" w:rsidR="00393915" w:rsidRDefault="00F24D68">
      <w:pPr>
        <w:pStyle w:val="P68B1DB1-body7"/>
        <w:numPr>
          <w:ilvl w:val="0"/>
          <w:numId w:val="208"/>
        </w:numPr>
      </w:pPr>
      <w:r>
        <w:t>„Z 02.00 – Struktura obveza (LIAB 1)”;</w:t>
      </w:r>
    </w:p>
    <w:p w14:paraId="7FE1B2EF" w14:textId="40B2168A" w:rsidR="00393915" w:rsidRDefault="00F24D68">
      <w:pPr>
        <w:pStyle w:val="P68B1DB1-body7"/>
        <w:numPr>
          <w:ilvl w:val="0"/>
          <w:numId w:val="208"/>
        </w:numPr>
      </w:pPr>
      <w:r>
        <w:t xml:space="preserve"> „Z 03.01 – Kapitalni zahtjevi za kreditne institucije (LIAB 2)”;</w:t>
      </w:r>
    </w:p>
    <w:p w14:paraId="7FE1B2F0" w14:textId="1F256285" w:rsidR="00393915" w:rsidRDefault="00F24D68">
      <w:pPr>
        <w:pStyle w:val="P68B1DB1-body7"/>
        <w:numPr>
          <w:ilvl w:val="0"/>
          <w:numId w:val="208"/>
        </w:numPr>
      </w:pPr>
      <w:r>
        <w:t xml:space="preserve"> „Z 03.02 – Kapitalni zahtjevi za </w:t>
      </w:r>
      <w:r>
        <w:t>investicijsk</w:t>
      </w:r>
      <w:r w:rsidR="00D763EB">
        <w:t>a društva</w:t>
      </w:r>
      <w:r>
        <w:t xml:space="preserve"> (LIAB 3)”;</w:t>
      </w:r>
    </w:p>
    <w:p w14:paraId="7FE1B2F2" w14:textId="78415963" w:rsidR="00393915" w:rsidRDefault="00F24D68">
      <w:pPr>
        <w:pStyle w:val="P68B1DB1-body7"/>
        <w:numPr>
          <w:ilvl w:val="0"/>
          <w:numId w:val="208"/>
        </w:numPr>
      </w:pPr>
      <w:r>
        <w:t xml:space="preserve"> „Z 04.00 – Međusobne financijske veze unutar grupe (LIAB 4)”;</w:t>
      </w:r>
    </w:p>
    <w:p w14:paraId="7FE1B2F3" w14:textId="7E0F1955" w:rsidR="00393915" w:rsidRDefault="00F24D68">
      <w:pPr>
        <w:pStyle w:val="P68B1DB1-body7"/>
        <w:numPr>
          <w:ilvl w:val="0"/>
          <w:numId w:val="208"/>
        </w:numPr>
      </w:pPr>
      <w:r>
        <w:t xml:space="preserve">„Z 05.01 – Glavne druge ugovorne strane </w:t>
      </w:r>
      <w:r w:rsidR="00D763EB">
        <w:t>prema kojima postoje obveze</w:t>
      </w:r>
      <w:r>
        <w:t xml:space="preserve"> (LIAB 5)”;</w:t>
      </w:r>
    </w:p>
    <w:p w14:paraId="7FE1B2F4" w14:textId="510CE128" w:rsidR="00393915" w:rsidRDefault="00F24D68">
      <w:pPr>
        <w:pStyle w:val="P68B1DB1-body7"/>
        <w:numPr>
          <w:ilvl w:val="0"/>
          <w:numId w:val="208"/>
        </w:numPr>
      </w:pPr>
      <w:r>
        <w:t>‚Z 05.02 – Glavne druge ugovorne strane izvan bilance (LIAB 6)’;</w:t>
      </w:r>
    </w:p>
    <w:p w14:paraId="7FE1B2F5" w14:textId="244BC126" w:rsidR="00393915" w:rsidRDefault="00F24D68">
      <w:pPr>
        <w:pStyle w:val="P68B1DB1-body7"/>
        <w:numPr>
          <w:ilvl w:val="0"/>
          <w:numId w:val="208"/>
        </w:numPr>
      </w:pPr>
      <w:r>
        <w:t xml:space="preserve"> „Z 06.00 – Osiguranje depozita (Z-DIS)”;</w:t>
      </w:r>
    </w:p>
    <w:p w14:paraId="7FE1B2F6" w14:textId="1BFA64F2" w:rsidR="00393915" w:rsidRDefault="00F24D68">
      <w:pPr>
        <w:pStyle w:val="P68B1DB1-body7"/>
        <w:numPr>
          <w:ilvl w:val="0"/>
          <w:numId w:val="61"/>
        </w:numPr>
      </w:pPr>
      <w:r>
        <w:t xml:space="preserve">Blok „ključne funkcije”, u kojem se daje pregled ključnih funkcija i raspoređuje ih se po pravnim osobama, temeljnim linijama poslovanja,  Taj blok sastoji se od četiri </w:t>
      </w:r>
      <w:r>
        <w:t>predlo</w:t>
      </w:r>
      <w:r w:rsidR="004141D4">
        <w:t>š</w:t>
      </w:r>
      <w:r>
        <w:t>ka</w:t>
      </w:r>
      <w:r>
        <w:t>:</w:t>
      </w:r>
    </w:p>
    <w:p w14:paraId="7FE1B2F7" w14:textId="6FFF5A13" w:rsidR="00393915" w:rsidRDefault="00F24D68">
      <w:pPr>
        <w:pStyle w:val="P68B1DB1-body7"/>
        <w:numPr>
          <w:ilvl w:val="1"/>
          <w:numId w:val="209"/>
        </w:numPr>
      </w:pPr>
      <w:r>
        <w:t xml:space="preserve">Z 07.01 – Procjena ključnog statusa </w:t>
      </w:r>
      <w:r w:rsidR="00C9381D">
        <w:t>ekonomskih</w:t>
      </w:r>
      <w:r>
        <w:t xml:space="preserve"> funkcija (FUNC 1) </w:t>
      </w:r>
    </w:p>
    <w:p w14:paraId="7FE1B2F8" w14:textId="6174A51C" w:rsidR="00393915" w:rsidRDefault="00F24D68">
      <w:pPr>
        <w:pStyle w:val="P68B1DB1-body7"/>
        <w:numPr>
          <w:ilvl w:val="1"/>
          <w:numId w:val="209"/>
        </w:numPr>
      </w:pPr>
      <w:r>
        <w:t xml:space="preserve">Z 07.02 – </w:t>
      </w:r>
      <w:r w:rsidR="005078AF">
        <w:t>Mapiranje</w:t>
      </w:r>
      <w:r>
        <w:t xml:space="preserve"> ključnih funkcija </w:t>
      </w:r>
      <w:r w:rsidR="005078AF">
        <w:t>na</w:t>
      </w:r>
      <w:r>
        <w:t xml:space="preserve"> pravn</w:t>
      </w:r>
      <w:r w:rsidR="005078AF">
        <w:t>e</w:t>
      </w:r>
      <w:r>
        <w:t xml:space="preserve"> osob</w:t>
      </w:r>
      <w:r w:rsidR="005078AF">
        <w:t>e</w:t>
      </w:r>
      <w:r>
        <w:t xml:space="preserve"> (FUNC 2) </w:t>
      </w:r>
    </w:p>
    <w:p w14:paraId="7FE1B2F9" w14:textId="3547CF72" w:rsidR="00393915" w:rsidRDefault="00F24D68">
      <w:pPr>
        <w:pStyle w:val="P68B1DB1-body7"/>
        <w:numPr>
          <w:ilvl w:val="1"/>
          <w:numId w:val="209"/>
        </w:numPr>
      </w:pPr>
      <w:r>
        <w:t xml:space="preserve">Z 07.03 – </w:t>
      </w:r>
      <w:r w:rsidR="005078AF">
        <w:t>Mapiranje</w:t>
      </w:r>
      <w:r>
        <w:t xml:space="preserve"> temeljnih linija poslovanja</w:t>
      </w:r>
      <w:r w:rsidR="00603AF8">
        <w:t xml:space="preserve"> </w:t>
      </w:r>
      <w:r w:rsidR="00603AF8">
        <w:t>na</w:t>
      </w:r>
      <w:r>
        <w:t xml:space="preserve">  pravn</w:t>
      </w:r>
      <w:r w:rsidR="005078AF">
        <w:t>e</w:t>
      </w:r>
      <w:r>
        <w:t xml:space="preserve"> osob</w:t>
      </w:r>
      <w:r w:rsidR="005078AF">
        <w:t>e</w:t>
      </w:r>
      <w:r>
        <w:t xml:space="preserve"> (FUNC 3) </w:t>
      </w:r>
      <w:r w:rsidR="00C9381D">
        <w:t>i</w:t>
      </w:r>
    </w:p>
    <w:p w14:paraId="7FE1B2FB" w14:textId="2D1B7206" w:rsidR="00393915" w:rsidRDefault="00F24D68">
      <w:pPr>
        <w:pStyle w:val="P68B1DB1-body7"/>
        <w:ind w:left="1794"/>
      </w:pPr>
      <w:r>
        <w:t xml:space="preserve">Z 07.04 – </w:t>
      </w:r>
      <w:r w:rsidR="005078AF">
        <w:t>Mapiranje</w:t>
      </w:r>
      <w:r>
        <w:t xml:space="preserve"> ključnih funkcija </w:t>
      </w:r>
      <w:r w:rsidR="00102D37">
        <w:t>na</w:t>
      </w:r>
      <w:r>
        <w:t xml:space="preserve"> temeljn</w:t>
      </w:r>
      <w:r w:rsidR="00102D37">
        <w:t>e</w:t>
      </w:r>
      <w:r w:rsidR="00603AF8">
        <w:t xml:space="preserve"> </w:t>
      </w:r>
      <w:r>
        <w:t>linij</w:t>
      </w:r>
      <w:r w:rsidR="00603AF8">
        <w:t>e</w:t>
      </w:r>
      <w:r>
        <w:t xml:space="preserve"> poslovanja (FUNC 4);</w:t>
      </w:r>
    </w:p>
    <w:p w14:paraId="7FE1B2FC" w14:textId="10F2235A" w:rsidR="00393915" w:rsidRDefault="00F24D68">
      <w:pPr>
        <w:pStyle w:val="P68B1DB1-body7"/>
        <w:numPr>
          <w:ilvl w:val="0"/>
          <w:numId w:val="61"/>
        </w:numPr>
      </w:pPr>
      <w:bookmarkStart w:id="5" w:name="_Hlk160696385"/>
      <w:r>
        <w:t xml:space="preserve">Usluge i subjekti, koji pružaju raščlambu korisnika i pružatelja usluga i raspoređuju ih prema </w:t>
      </w:r>
      <w:r w:rsidR="00E01B44">
        <w:t>ekonomskim</w:t>
      </w:r>
      <w:r>
        <w:t xml:space="preserve"> funkcijama i linijama poslovanja</w:t>
      </w:r>
      <w:bookmarkEnd w:id="5"/>
      <w:r>
        <w:t>:</w:t>
      </w:r>
    </w:p>
    <w:p w14:paraId="7FE1B2FD" w14:textId="2FD20CA9" w:rsidR="00393915" w:rsidRDefault="00F24D68">
      <w:pPr>
        <w:pStyle w:val="P68B1DB1-body7"/>
        <w:numPr>
          <w:ilvl w:val="1"/>
          <w:numId w:val="210"/>
        </w:numPr>
      </w:pPr>
      <w:r>
        <w:t xml:space="preserve">Z 08.01 – </w:t>
      </w:r>
      <w:r>
        <w:t>Relevant</w:t>
      </w:r>
      <w:r w:rsidR="00E01B44">
        <w:t>ne usluge</w:t>
      </w:r>
      <w:r>
        <w:t xml:space="preserve"> (SERV 1)</w:t>
      </w:r>
    </w:p>
    <w:p w14:paraId="7FE1B2FE" w14:textId="34DCBACF" w:rsidR="00393915" w:rsidRDefault="00F24D68">
      <w:pPr>
        <w:pStyle w:val="P68B1DB1-body7"/>
        <w:numPr>
          <w:ilvl w:val="1"/>
          <w:numId w:val="210"/>
        </w:numPr>
      </w:pPr>
      <w:r>
        <w:t xml:space="preserve">Z 08.02 – Relevantne usluge – </w:t>
      </w:r>
      <w:r w:rsidR="00E87187">
        <w:t>Mapiranje na imovinu</w:t>
      </w:r>
      <w:r>
        <w:t xml:space="preserve"> (SERV 2)</w:t>
      </w:r>
    </w:p>
    <w:p w14:paraId="7FE1B2FF" w14:textId="12F75458" w:rsidR="00393915" w:rsidRDefault="00F24D68">
      <w:pPr>
        <w:pStyle w:val="P68B1DB1-body7"/>
        <w:numPr>
          <w:ilvl w:val="1"/>
          <w:numId w:val="210"/>
        </w:numPr>
      </w:pPr>
      <w:r>
        <w:t xml:space="preserve">Z 08.03 – Relevantne usluge – </w:t>
      </w:r>
      <w:r w:rsidR="00E87187">
        <w:t>Mapiranje na</w:t>
      </w:r>
      <w:r>
        <w:t xml:space="preserve"> ulog</w:t>
      </w:r>
      <w:r w:rsidR="00E87187">
        <w:t>e</w:t>
      </w:r>
      <w:r>
        <w:t xml:space="preserve"> (SERV 3)</w:t>
      </w:r>
    </w:p>
    <w:p w14:paraId="7FE1B300" w14:textId="75AE4399" w:rsidR="00393915" w:rsidRDefault="00F24D68">
      <w:pPr>
        <w:pStyle w:val="P68B1DB1-body7"/>
        <w:numPr>
          <w:ilvl w:val="1"/>
          <w:numId w:val="210"/>
        </w:numPr>
      </w:pPr>
      <w:r>
        <w:t xml:space="preserve">Z 08.04 – Relevantne usluge – </w:t>
      </w:r>
      <w:r w:rsidR="00E87187">
        <w:t>Mapiranje na</w:t>
      </w:r>
      <w:r>
        <w:t xml:space="preserve"> ključn</w:t>
      </w:r>
      <w:r w:rsidR="00E87187">
        <w:t>e</w:t>
      </w:r>
      <w:r>
        <w:t xml:space="preserve"> funkcij</w:t>
      </w:r>
      <w:r w:rsidR="00E87187">
        <w:t>e</w:t>
      </w:r>
      <w:r>
        <w:t xml:space="preserve"> (SERV 4)</w:t>
      </w:r>
    </w:p>
    <w:p w14:paraId="7FE1B301" w14:textId="5670679C" w:rsidR="00393915" w:rsidRDefault="00F24D68">
      <w:pPr>
        <w:pStyle w:val="P68B1DB1-body7"/>
        <w:numPr>
          <w:ilvl w:val="1"/>
          <w:numId w:val="210"/>
        </w:numPr>
      </w:pPr>
      <w:r>
        <w:lastRenderedPageBreak/>
        <w:t xml:space="preserve">Z 08.05 – Relevantne usluge – </w:t>
      </w:r>
      <w:r w:rsidR="00E87187">
        <w:t xml:space="preserve">Mapiranje na </w:t>
      </w:r>
      <w:r>
        <w:t xml:space="preserve"> temeljn</w:t>
      </w:r>
      <w:r w:rsidR="00C0374D">
        <w:t>e</w:t>
      </w:r>
      <w:r>
        <w:t xml:space="preserve"> linij</w:t>
      </w:r>
      <w:r w:rsidR="00E87187">
        <w:t>e</w:t>
      </w:r>
      <w:r>
        <w:t>poslovanja</w:t>
      </w:r>
      <w:r>
        <w:t xml:space="preserve"> (SERV 5)</w:t>
      </w:r>
    </w:p>
    <w:p w14:paraId="7FE1B303" w14:textId="397A4C74" w:rsidR="00393915" w:rsidRDefault="00F24D68">
      <w:pPr>
        <w:pStyle w:val="P68B1DB1-body7"/>
        <w:numPr>
          <w:ilvl w:val="0"/>
          <w:numId w:val="61"/>
        </w:numPr>
      </w:pPr>
      <w:r>
        <w:t>Izvješćivanje o uslugama infrastrukture financijskog tržišta</w:t>
      </w:r>
    </w:p>
    <w:p w14:paraId="7FE1B304" w14:textId="3143B9F8" w:rsidR="00393915" w:rsidRDefault="00F24D68">
      <w:pPr>
        <w:pStyle w:val="P68B1DB1-body7"/>
        <w:numPr>
          <w:ilvl w:val="1"/>
          <w:numId w:val="211"/>
        </w:numPr>
      </w:pPr>
      <w:r>
        <w:t>Z 09.01 – Usluge infrastrukture financijskog tržišta – Pružatelji i korisnici (FMI 1)</w:t>
      </w:r>
    </w:p>
    <w:p w14:paraId="7FE1B305" w14:textId="39285684" w:rsidR="00393915" w:rsidRDefault="00F24D68">
      <w:pPr>
        <w:pStyle w:val="P68B1DB1-body7"/>
        <w:numPr>
          <w:ilvl w:val="1"/>
          <w:numId w:val="211"/>
        </w:numPr>
      </w:pPr>
      <w:r>
        <w:t xml:space="preserve">Z 09.02 – Usluge infrastrukture financijskog tržišta – </w:t>
      </w:r>
      <w:r w:rsidR="003738FE">
        <w:t>Mapiranje na ključne</w:t>
      </w:r>
      <w:r w:rsidR="003738FE">
        <w:t xml:space="preserve"> i </w:t>
      </w:r>
      <w:r w:rsidR="00364832">
        <w:t>osnovne</w:t>
      </w:r>
      <w:r>
        <w:t xml:space="preserve"> infrastruktur</w:t>
      </w:r>
      <w:r w:rsidR="003738FE">
        <w:t>e</w:t>
      </w:r>
      <w:r>
        <w:t>financijskog</w:t>
      </w:r>
      <w:r>
        <w:t xml:space="preserve"> tržišta (FMI 2)</w:t>
      </w:r>
    </w:p>
    <w:p w14:paraId="7FE1B306" w14:textId="5B8BCF62" w:rsidR="00393915" w:rsidRDefault="00F24D68">
      <w:pPr>
        <w:pStyle w:val="P68B1DB1-body7"/>
        <w:numPr>
          <w:ilvl w:val="1"/>
          <w:numId w:val="211"/>
        </w:numPr>
      </w:pPr>
      <w:r>
        <w:t xml:space="preserve">Z 09.03 – Usluge infrastrukture financijskog tržišta – </w:t>
      </w:r>
      <w:r>
        <w:t>ključn</w:t>
      </w:r>
      <w:r w:rsidR="00CE5E43">
        <w:t>i pokazatelji</w:t>
      </w:r>
      <w:r>
        <w:t xml:space="preserve"> (FMI 3)</w:t>
      </w:r>
    </w:p>
    <w:p w14:paraId="7FE1B307" w14:textId="14188C35" w:rsidR="00393915" w:rsidRDefault="00F24D68">
      <w:pPr>
        <w:pStyle w:val="P68B1DB1-body7"/>
        <w:numPr>
          <w:ilvl w:val="1"/>
          <w:numId w:val="211"/>
        </w:numPr>
      </w:pPr>
      <w:r>
        <w:t xml:space="preserve">Z 09.04 – Usluge infrastrukture financijskog tržišta – </w:t>
      </w:r>
      <w:r w:rsidR="00364832">
        <w:t>središnje druge ugovorne strane</w:t>
      </w:r>
      <w:r>
        <w:t>– alternativni pružatelji usluga (FMI 4)</w:t>
      </w:r>
    </w:p>
    <w:p w14:paraId="7FE1B30B" w14:textId="5FD8729E" w:rsidR="00393915" w:rsidRDefault="00843AA1">
      <w:pPr>
        <w:pStyle w:val="P68B1DB1-body7"/>
        <w:numPr>
          <w:ilvl w:val="0"/>
          <w:numId w:val="61"/>
        </w:numPr>
      </w:pPr>
      <w:r>
        <w:t>Detaljno</w:t>
      </w:r>
      <w:r w:rsidR="00F24D68">
        <w:t xml:space="preserve"> izvješćivanje </w:t>
      </w:r>
      <w:r w:rsidR="00BF3CDB">
        <w:t>podataka</w:t>
      </w:r>
      <w:r w:rsidR="00F24D68">
        <w:t xml:space="preserve"> </w:t>
      </w:r>
      <w:r w:rsidR="00F24D68">
        <w:t xml:space="preserve">o </w:t>
      </w:r>
      <w:r w:rsidR="00BF3CDB">
        <w:t>obvezama podložnim  unutarnjoj sanaciji</w:t>
      </w:r>
      <w:r w:rsidR="00F24D68">
        <w:t xml:space="preserve"> </w:t>
      </w:r>
    </w:p>
    <w:p w14:paraId="7FE1B30C" w14:textId="6ACC8549" w:rsidR="00393915" w:rsidRDefault="00F24D68">
      <w:pPr>
        <w:pStyle w:val="P68B1DB1-body7"/>
        <w:numPr>
          <w:ilvl w:val="0"/>
          <w:numId w:val="217"/>
        </w:numPr>
      </w:pPr>
      <w:r>
        <w:t>Z 11.00 – Obveze unutar grupe (isključujući izvedenice) (LIAB-G-1)</w:t>
      </w:r>
    </w:p>
    <w:p w14:paraId="7FE1B30D" w14:textId="0DB1FB6E" w:rsidR="00393915" w:rsidRDefault="00F24D68">
      <w:pPr>
        <w:pStyle w:val="P68B1DB1-body7"/>
        <w:numPr>
          <w:ilvl w:val="0"/>
          <w:numId w:val="217"/>
        </w:numPr>
      </w:pPr>
      <w:r>
        <w:t>Z 12</w:t>
      </w:r>
      <w:r w:rsidR="00E9414E">
        <w:t>.</w:t>
      </w:r>
      <w:r>
        <w:t>00 – Vrijednosni papiri (uključujući instrumente redovnog osnovnog kapitala, dodatnog osnovnog kapitala i dopunskog kapitala, isključujući unutargrupne instrumente) (LIAB-G-2)</w:t>
      </w:r>
    </w:p>
    <w:p w14:paraId="7FE1B30E" w14:textId="67922446" w:rsidR="00393915" w:rsidRDefault="00F24D68">
      <w:pPr>
        <w:pStyle w:val="P68B1DB1-body7"/>
        <w:numPr>
          <w:ilvl w:val="0"/>
          <w:numId w:val="217"/>
        </w:numPr>
      </w:pPr>
      <w:r>
        <w:t>Z 13.00 – Svi depoziti (osim unutar grupe) (LIAB-G-3)</w:t>
      </w:r>
    </w:p>
    <w:p w14:paraId="7FE1B30F" w14:textId="2D8F046E" w:rsidR="00393915" w:rsidRDefault="00F24D68">
      <w:pPr>
        <w:pStyle w:val="P68B1DB1-body7"/>
        <w:numPr>
          <w:ilvl w:val="0"/>
          <w:numId w:val="217"/>
        </w:numPr>
      </w:pPr>
      <w:r>
        <w:t>Z 14.00 – Ostale financijske obveze (LIAB-G-4)</w:t>
      </w:r>
    </w:p>
    <w:p w14:paraId="7FE1B310" w14:textId="69B08C3E" w:rsidR="00393915" w:rsidRDefault="00F24D68">
      <w:pPr>
        <w:pStyle w:val="P68B1DB1-body7"/>
        <w:numPr>
          <w:ilvl w:val="1"/>
          <w:numId w:val="211"/>
        </w:numPr>
      </w:pPr>
      <w:r>
        <w:t>Z 15.00 – Izvedenice (LIAB-G-5)</w:t>
      </w:r>
    </w:p>
    <w:p w14:paraId="7FE1B311" w14:textId="0007713F" w:rsidR="00393915" w:rsidRDefault="00F24D68">
      <w:pPr>
        <w:pStyle w:val="P68B1DB1-body7"/>
        <w:numPr>
          <w:ilvl w:val="1"/>
          <w:numId w:val="211"/>
        </w:numPr>
      </w:pPr>
      <w:r>
        <w:t xml:space="preserve">Z 16.00 – </w:t>
      </w:r>
      <w:r w:rsidR="00843AA1">
        <w:t>Financiranje pokriveno osiguranjem</w:t>
      </w:r>
      <w:r>
        <w:t>, isključujući unutargrupno (LIAB-G-6)</w:t>
      </w:r>
    </w:p>
    <w:p w14:paraId="7FE1B312" w14:textId="38903FE6" w:rsidR="00393915" w:rsidRDefault="00F24D68">
      <w:pPr>
        <w:pStyle w:val="P68B1DB1-body7"/>
        <w:numPr>
          <w:ilvl w:val="1"/>
          <w:numId w:val="211"/>
        </w:numPr>
      </w:pPr>
      <w:r>
        <w:t>Z 17.00 – Ostale nefinancijske obveze (LIAB-G-7)</w:t>
      </w:r>
    </w:p>
    <w:p w14:paraId="7FE1B313" w14:textId="77777777" w:rsidR="00393915" w:rsidRDefault="00393915">
      <w:pPr>
        <w:pStyle w:val="body"/>
        <w:ind w:left="426"/>
        <w:rPr>
          <w:rFonts w:ascii="Times New Roman" w:hAnsi="Times New Roman" w:cs="Times New Roman"/>
          <w:color w:val="000000" w:themeColor="text1"/>
          <w:sz w:val="20"/>
          <w:szCs w:val="20"/>
        </w:rPr>
      </w:pPr>
    </w:p>
    <w:p w14:paraId="7FE1B314" w14:textId="77777777" w:rsidR="00393915" w:rsidRDefault="00F24D68">
      <w:pPr>
        <w:pStyle w:val="P68B1DB1-Instructionsberschrift25"/>
        <w:numPr>
          <w:ilvl w:val="1"/>
          <w:numId w:val="49"/>
        </w:numPr>
        <w:ind w:left="357" w:hanging="357"/>
      </w:pPr>
      <w:bookmarkStart w:id="6" w:name="_Toc81454172"/>
      <w:bookmarkStart w:id="7" w:name="_Toc208244790"/>
      <w:r>
        <w:t>Referentni dokument/i:</w:t>
      </w:r>
      <w:bookmarkEnd w:id="6"/>
      <w:bookmarkEnd w:id="7"/>
    </w:p>
    <w:p w14:paraId="7FE1B315" w14:textId="77777777" w:rsidR="00393915" w:rsidRDefault="00F24D68">
      <w:pPr>
        <w:pStyle w:val="P68B1DB1-InstructionsText26"/>
        <w:numPr>
          <w:ilvl w:val="0"/>
          <w:numId w:val="225"/>
        </w:numPr>
        <w:spacing w:before="0"/>
      </w:pPr>
      <w:r>
        <w:t>Za potrebe ovog Priloga primjenjuju se sljedeće pokrate:</w:t>
      </w:r>
    </w:p>
    <w:p w14:paraId="7FE1B317" w14:textId="77777777" w:rsidR="00393915" w:rsidRDefault="00F24D68">
      <w:pPr>
        <w:pStyle w:val="P68B1DB1-ListParagraph8"/>
        <w:numPr>
          <w:ilvl w:val="0"/>
          <w:numId w:val="60"/>
        </w:numPr>
        <w:ind w:left="1074"/>
        <w:jc w:val="both"/>
      </w:pPr>
      <w:r>
        <w:t>„CPMI” znači Odbor za plaćanja i tržišne infrastrukture Banke za međunarodne namire;</w:t>
      </w:r>
    </w:p>
    <w:p w14:paraId="7FE1B318" w14:textId="36318AB0" w:rsidR="00393915" w:rsidRDefault="00F24D68">
      <w:pPr>
        <w:pStyle w:val="ListParagraph"/>
        <w:numPr>
          <w:ilvl w:val="0"/>
          <w:numId w:val="60"/>
        </w:numPr>
        <w:ind w:left="1074"/>
        <w:jc w:val="both"/>
        <w:rPr>
          <w:rFonts w:ascii="Times New Roman" w:hAnsi="Times New Roman"/>
          <w:color w:val="000000" w:themeColor="text1"/>
          <w:sz w:val="20"/>
          <w:szCs w:val="20"/>
        </w:rPr>
      </w:pPr>
      <w:r>
        <w:rPr>
          <w:rFonts w:ascii="Times New Roman" w:hAnsi="Times New Roman"/>
          <w:color w:val="000000" w:themeColor="text1"/>
          <w:sz w:val="20"/>
          <w:szCs w:val="20"/>
        </w:rPr>
        <w:t>„FINREP” znači obrasci FINREP-a iz Priloga I. Provedbenoj uredbi Komisije (EU) 2024/3117</w:t>
      </w:r>
      <w:r>
        <w:rPr>
          <w:rStyle w:val="FootnoteReference"/>
          <w:rFonts w:ascii="Times New Roman" w:hAnsi="Times New Roman"/>
          <w:sz w:val="20"/>
          <w:szCs w:val="20"/>
        </w:rPr>
        <w:footnoteReference w:id="2"/>
      </w:r>
      <w:r>
        <w:rPr>
          <w:rFonts w:ascii="Times New Roman" w:hAnsi="Times New Roman"/>
          <w:color w:val="000000" w:themeColor="text1"/>
          <w:sz w:val="20"/>
          <w:szCs w:val="20"/>
        </w:rPr>
        <w:t>;</w:t>
      </w:r>
    </w:p>
    <w:p w14:paraId="7FE1B319" w14:textId="5E436E82" w:rsidR="00393915" w:rsidRDefault="00F24D68">
      <w:pPr>
        <w:pStyle w:val="P68B1DB1-ListParagraph8"/>
        <w:numPr>
          <w:ilvl w:val="0"/>
          <w:numId w:val="60"/>
        </w:numPr>
        <w:ind w:left="1074"/>
        <w:jc w:val="both"/>
      </w:pPr>
      <w:r>
        <w:t>„COREP (OF)” znači obrasci COREP (OF) uključeni u Prilog I. Provedbenoj uredbi Komisije (EU) 2024/3117;</w:t>
      </w:r>
    </w:p>
    <w:p w14:paraId="7FE1B31A" w14:textId="2492C34D" w:rsidR="00393915" w:rsidRDefault="00F24D68">
      <w:pPr>
        <w:pStyle w:val="P68B1DB1-ListParagraph8"/>
        <w:numPr>
          <w:ilvl w:val="0"/>
          <w:numId w:val="60"/>
        </w:numPr>
        <w:ind w:left="1074"/>
        <w:jc w:val="both"/>
      </w:pPr>
      <w:r>
        <w:t>„COREP (LR)” znači predlošci COREP (LR) iz Priloga I. Provedbenoj uredbi Komisije (EU) 2024/3117;</w:t>
      </w:r>
    </w:p>
    <w:p w14:paraId="7FE1B31B" w14:textId="77777777" w:rsidR="00393915" w:rsidRDefault="00F24D68">
      <w:pPr>
        <w:pStyle w:val="P68B1DB1-ListParagraph8"/>
        <w:numPr>
          <w:ilvl w:val="0"/>
          <w:numId w:val="60"/>
        </w:numPr>
        <w:ind w:left="1074"/>
        <w:jc w:val="both"/>
      </w:pPr>
      <w:r>
        <w:t>„FSB” znači Odbor za financijsku stabilnost;</w:t>
      </w:r>
    </w:p>
    <w:p w14:paraId="7FE1B31C" w14:textId="77777777" w:rsidR="00393915" w:rsidRDefault="00F24D68">
      <w:pPr>
        <w:pStyle w:val="P68B1DB1-ListParagraph9"/>
        <w:numPr>
          <w:ilvl w:val="0"/>
          <w:numId w:val="60"/>
        </w:numPr>
        <w:ind w:left="1074"/>
        <w:jc w:val="both"/>
        <w:rPr>
          <w:color w:val="000000" w:themeColor="text1"/>
          <w:sz w:val="20"/>
          <w:szCs w:val="20"/>
        </w:rPr>
      </w:pPr>
      <w:r>
        <w:rPr>
          <w:color w:val="000000" w:themeColor="text1"/>
          <w:sz w:val="20"/>
          <w:szCs w:val="20"/>
        </w:rPr>
        <w:t>„MRS” znači međunarodni računovodstveni standardi kako su definirani u članku 2. Uredbe (EZ) br. 1606/2002 Europskog parlamenta i Vijeća</w:t>
      </w:r>
      <w:r>
        <w:footnoteReference w:id="3"/>
      </w:r>
      <w:r>
        <w:rPr>
          <w:color w:val="000000" w:themeColor="text1"/>
          <w:sz w:val="20"/>
          <w:szCs w:val="20"/>
        </w:rPr>
        <w:t>;</w:t>
      </w:r>
    </w:p>
    <w:p w14:paraId="7FE1B31D" w14:textId="77777777" w:rsidR="00393915" w:rsidRDefault="00F24D68">
      <w:pPr>
        <w:pStyle w:val="ListParagraph"/>
        <w:numPr>
          <w:ilvl w:val="0"/>
          <w:numId w:val="60"/>
        </w:numPr>
        <w:ind w:left="1074"/>
        <w:jc w:val="both"/>
        <w:rPr>
          <w:rFonts w:ascii="Times New Roman" w:hAnsi="Times New Roman"/>
          <w:color w:val="000000" w:themeColor="text1"/>
          <w:sz w:val="20"/>
          <w:szCs w:val="20"/>
        </w:rPr>
      </w:pPr>
      <w:r>
        <w:rPr>
          <w:rFonts w:ascii="Times New Roman" w:hAnsi="Times New Roman"/>
          <w:color w:val="000000" w:themeColor="text1"/>
          <w:sz w:val="20"/>
          <w:szCs w:val="20"/>
        </w:rPr>
        <w:lastRenderedPageBreak/>
        <w:t>„MSFI” znači međunarodni standardi financijskog izvješćivanja kako su definirani u članku 2. Uredbe (EZ) br. 1606/2002</w:t>
      </w:r>
      <w:r>
        <w:rPr>
          <w:rStyle w:val="FootnoteReference"/>
          <w:rFonts w:ascii="Times New Roman" w:hAnsi="Times New Roman"/>
          <w:color w:val="000000" w:themeColor="text1"/>
          <w:sz w:val="20"/>
          <w:szCs w:val="20"/>
        </w:rPr>
        <w:footnoteReference w:id="4"/>
      </w:r>
      <w:r>
        <w:rPr>
          <w:rFonts w:ascii="Times New Roman" w:hAnsi="Times New Roman"/>
          <w:color w:val="000000" w:themeColor="text1"/>
          <w:sz w:val="20"/>
          <w:szCs w:val="20"/>
        </w:rPr>
        <w:t>;</w:t>
      </w:r>
    </w:p>
    <w:p w14:paraId="7FE1B31E" w14:textId="66C74EF3" w:rsidR="00393915" w:rsidRDefault="00F24D68">
      <w:pPr>
        <w:pStyle w:val="ListParagraph"/>
        <w:numPr>
          <w:ilvl w:val="0"/>
          <w:numId w:val="60"/>
        </w:numPr>
        <w:ind w:left="1074"/>
        <w:jc w:val="both"/>
        <w:rPr>
          <w:rFonts w:ascii="Times New Roman" w:hAnsi="Times New Roman"/>
          <w:color w:val="000000" w:themeColor="text1"/>
          <w:sz w:val="20"/>
          <w:szCs w:val="20"/>
        </w:rPr>
      </w:pPr>
      <w:r>
        <w:rPr>
          <w:rFonts w:ascii="Times New Roman" w:hAnsi="Times New Roman"/>
          <w:color w:val="000000" w:themeColor="text1"/>
          <w:sz w:val="20"/>
          <w:szCs w:val="20"/>
        </w:rPr>
        <w:t xml:space="preserve">„Oznaka LEI” znači identifikacijska oznaka pravne osobe kojom se nastoji osigurati jedinstvena globalna identifikacija stranaka u financijskim transakcijama, kako je predložio Odbor za financijsku stabilnost (FSB) i potvrdila skupina G-20. Dok globalni </w:t>
      </w:r>
      <w:r>
        <w:rPr>
          <w:rFonts w:ascii="Times New Roman" w:hAnsi="Times New Roman"/>
          <w:color w:val="000000" w:themeColor="text1"/>
          <w:sz w:val="20"/>
          <w:szCs w:val="20"/>
        </w:rPr>
        <w:t>LEI</w:t>
      </w:r>
      <w:r w:rsidR="001E14CF">
        <w:rPr>
          <w:rFonts w:ascii="Times New Roman" w:hAnsi="Times New Roman"/>
          <w:color w:val="000000" w:themeColor="text1"/>
          <w:sz w:val="20"/>
          <w:szCs w:val="20"/>
        </w:rPr>
        <w:t xml:space="preserve"> </w:t>
      </w:r>
      <w:r w:rsidR="001E14CF">
        <w:rPr>
          <w:rFonts w:ascii="Times New Roman" w:hAnsi="Times New Roman"/>
          <w:color w:val="000000" w:themeColor="text1"/>
          <w:sz w:val="20"/>
          <w:szCs w:val="20"/>
        </w:rPr>
        <w:t>sustav</w:t>
      </w:r>
      <w:r>
        <w:rPr>
          <w:rFonts w:ascii="Times New Roman" w:hAnsi="Times New Roman"/>
          <w:color w:val="000000" w:themeColor="text1"/>
          <w:sz w:val="20"/>
          <w:szCs w:val="20"/>
        </w:rPr>
        <w:t xml:space="preserve"> ne bude </w:t>
      </w:r>
      <w:r w:rsidR="001E14CF">
        <w:rPr>
          <w:rFonts w:ascii="Times New Roman" w:hAnsi="Times New Roman"/>
          <w:color w:val="000000" w:themeColor="text1"/>
          <w:sz w:val="20"/>
          <w:szCs w:val="20"/>
        </w:rPr>
        <w:t>potpuno operativan</w:t>
      </w:r>
      <w:r>
        <w:rPr>
          <w:rFonts w:ascii="Times New Roman" w:hAnsi="Times New Roman"/>
          <w:color w:val="000000" w:themeColor="text1"/>
          <w:sz w:val="20"/>
          <w:szCs w:val="20"/>
        </w:rPr>
        <w:t xml:space="preserve">, lokalna operativna jedinica koju je potvrdio Regulatorni nadzorni odbor drugim ugovornim stranama dodjeljuje privremene oznake LEI (podrobne informacije mogu se pronaći na </w:t>
      </w:r>
      <w:r>
        <w:rPr>
          <w:rFonts w:ascii="Times New Roman" w:hAnsi="Times New Roman"/>
          <w:color w:val="000000" w:themeColor="text1"/>
          <w:sz w:val="20"/>
          <w:szCs w:val="20"/>
        </w:rPr>
        <w:t>sljedeć</w:t>
      </w:r>
      <w:r w:rsidR="0096724D">
        <w:rPr>
          <w:rFonts w:ascii="Times New Roman" w:hAnsi="Times New Roman"/>
          <w:color w:val="000000" w:themeColor="text1"/>
          <w:sz w:val="20"/>
          <w:szCs w:val="20"/>
        </w:rPr>
        <w:t>oj</w:t>
      </w:r>
      <w:r>
        <w:rPr>
          <w:rFonts w:ascii="Times New Roman" w:hAnsi="Times New Roman"/>
          <w:color w:val="000000" w:themeColor="text1"/>
          <w:sz w:val="20"/>
          <w:szCs w:val="20"/>
        </w:rPr>
        <w:t xml:space="preserve"> web-</w:t>
      </w:r>
      <w:r w:rsidR="0096724D">
        <w:rPr>
          <w:rFonts w:ascii="Times New Roman" w:hAnsi="Times New Roman"/>
          <w:color w:val="000000" w:themeColor="text1"/>
          <w:sz w:val="20"/>
          <w:szCs w:val="20"/>
        </w:rPr>
        <w:t>stranici</w:t>
      </w:r>
      <w:r>
        <w:rPr>
          <w:rFonts w:ascii="Times New Roman" w:hAnsi="Times New Roman"/>
          <w:color w:val="000000" w:themeColor="text1"/>
          <w:sz w:val="20"/>
          <w:szCs w:val="20"/>
        </w:rPr>
        <w:t xml:space="preserve">: </w:t>
      </w:r>
      <w:hyperlink r:id="rId11" w:history="1">
        <w:r>
          <w:rPr>
            <w:rStyle w:val="Hyperlink"/>
            <w:rFonts w:ascii="Times New Roman" w:hAnsi="Times New Roman"/>
            <w:color w:val="000000" w:themeColor="text1"/>
            <w:sz w:val="20"/>
            <w:szCs w:val="20"/>
          </w:rPr>
          <w:t>www.leiroc.org</w:t>
        </w:r>
      </w:hyperlink>
      <w:r>
        <w:rPr>
          <w:rFonts w:ascii="Times New Roman" w:hAnsi="Times New Roman"/>
          <w:color w:val="000000" w:themeColor="text1"/>
          <w:sz w:val="20"/>
          <w:szCs w:val="20"/>
        </w:rPr>
        <w:t>). Ako određena druga ugovorna strana ima identifikacijsku oznaku pravne osobe (LEI), ona se koristi za identifikaciju te druge ugovorne strane;</w:t>
      </w:r>
    </w:p>
    <w:p w14:paraId="7FE1B31F" w14:textId="578E26A3" w:rsidR="00393915" w:rsidRDefault="00F24D68">
      <w:pPr>
        <w:pStyle w:val="P68B1DB1-ListParagraph8"/>
        <w:numPr>
          <w:ilvl w:val="0"/>
          <w:numId w:val="60"/>
        </w:numPr>
        <w:ind w:left="1074"/>
        <w:jc w:val="both"/>
      </w:pPr>
      <w:r>
        <w:t xml:space="preserve">Identifikacijska oznaka „MFI” ili „monetarna financijska institucija” jedinstvena je identifikacijska oznaka monetarne financijske institucije </w:t>
      </w:r>
      <w:r w:rsidR="00E94FED">
        <w:t>sa</w:t>
      </w:r>
      <w:r>
        <w:t xml:space="preserve"> popis</w:t>
      </w:r>
      <w:r w:rsidR="00E94FED">
        <w:t>a</w:t>
      </w:r>
      <w:r>
        <w:t xml:space="preserve"> monetarnih financijskih institucija </w:t>
      </w:r>
      <w:r>
        <w:t>koj</w:t>
      </w:r>
      <w:r w:rsidR="00E94FED">
        <w:t>eg</w:t>
      </w:r>
      <w:r>
        <w:t xml:space="preserve"> vodi i objavljuje ESB za statističke potrebe u skladu s Uredbom (EU) 2021/379 Europske središnje banke od 22. siječnja 2021. o bilančnim stavkama kreditnih institucija i sektora monetarnih financijskih institucija (preinaka) (ESB/2021/2), koja se iskazuje ako oznaka LEI već ne postoji.</w:t>
      </w:r>
    </w:p>
    <w:p w14:paraId="7FE1B320" w14:textId="099159FD" w:rsidR="00393915" w:rsidRDefault="00F24D68">
      <w:pPr>
        <w:pStyle w:val="ListParagraph"/>
        <w:numPr>
          <w:ilvl w:val="0"/>
          <w:numId w:val="60"/>
        </w:numPr>
        <w:ind w:left="1074"/>
        <w:jc w:val="both"/>
        <w:rPr>
          <w:rFonts w:ascii="Times New Roman" w:hAnsi="Times New Roman"/>
          <w:color w:val="000000" w:themeColor="text1"/>
          <w:sz w:val="20"/>
          <w:szCs w:val="20"/>
        </w:rPr>
      </w:pPr>
      <w:r>
        <w:rPr>
          <w:rFonts w:ascii="Times New Roman" w:hAnsi="Times New Roman"/>
          <w:color w:val="000000" w:themeColor="text1"/>
          <w:sz w:val="20"/>
          <w:szCs w:val="20"/>
        </w:rPr>
        <w:t xml:space="preserve">„NGAAP” ili „nacionalna općeprihvaćena računovodstvena načela” </w:t>
      </w:r>
      <w:r w:rsidR="001E14CF">
        <w:rPr>
          <w:rFonts w:ascii="Times New Roman" w:hAnsi="Times New Roman"/>
          <w:color w:val="000000" w:themeColor="text1"/>
          <w:sz w:val="20"/>
          <w:szCs w:val="20"/>
        </w:rPr>
        <w:t>podrazumijeva</w:t>
      </w:r>
      <w:r>
        <w:rPr>
          <w:rFonts w:ascii="Times New Roman" w:hAnsi="Times New Roman"/>
          <w:color w:val="000000" w:themeColor="text1"/>
          <w:sz w:val="20"/>
          <w:szCs w:val="20"/>
        </w:rPr>
        <w:t xml:space="preserve"> nacionaln</w:t>
      </w:r>
      <w:r w:rsidR="001E14CF">
        <w:rPr>
          <w:rFonts w:ascii="Times New Roman" w:hAnsi="Times New Roman"/>
          <w:color w:val="000000" w:themeColor="text1"/>
          <w:sz w:val="20"/>
          <w:szCs w:val="20"/>
        </w:rPr>
        <w:t>e</w:t>
      </w:r>
      <w:r>
        <w:rPr>
          <w:rFonts w:ascii="Times New Roman" w:hAnsi="Times New Roman"/>
          <w:color w:val="000000" w:themeColor="text1"/>
          <w:sz w:val="20"/>
          <w:szCs w:val="20"/>
        </w:rPr>
        <w:t>računovodstven</w:t>
      </w:r>
      <w:r w:rsidR="001E14CF">
        <w:rPr>
          <w:rFonts w:ascii="Times New Roman" w:hAnsi="Times New Roman"/>
          <w:color w:val="000000" w:themeColor="text1"/>
          <w:sz w:val="20"/>
          <w:szCs w:val="20"/>
        </w:rPr>
        <w:t>e</w:t>
      </w:r>
      <w:r>
        <w:rPr>
          <w:rFonts w:ascii="Times New Roman" w:hAnsi="Times New Roman"/>
          <w:color w:val="000000" w:themeColor="text1"/>
          <w:sz w:val="20"/>
          <w:szCs w:val="20"/>
        </w:rPr>
        <w:t xml:space="preserve"> okvir</w:t>
      </w:r>
      <w:r w:rsidR="001E14CF">
        <w:rPr>
          <w:rFonts w:ascii="Times New Roman" w:hAnsi="Times New Roman"/>
          <w:color w:val="000000" w:themeColor="text1"/>
          <w:sz w:val="20"/>
          <w:szCs w:val="20"/>
        </w:rPr>
        <w:t>e</w:t>
      </w:r>
      <w:r>
        <w:rPr>
          <w:rFonts w:ascii="Times New Roman" w:hAnsi="Times New Roman"/>
          <w:color w:val="000000" w:themeColor="text1"/>
          <w:sz w:val="20"/>
          <w:szCs w:val="20"/>
        </w:rPr>
        <w:t xml:space="preserve"> razvijen</w:t>
      </w:r>
      <w:r w:rsidR="001E14CF">
        <w:rPr>
          <w:rFonts w:ascii="Times New Roman" w:hAnsi="Times New Roman"/>
          <w:color w:val="000000" w:themeColor="text1"/>
          <w:sz w:val="20"/>
          <w:szCs w:val="20"/>
        </w:rPr>
        <w:t>e</w:t>
      </w:r>
      <w:r>
        <w:rPr>
          <w:rFonts w:ascii="Times New Roman" w:hAnsi="Times New Roman"/>
          <w:color w:val="000000" w:themeColor="text1"/>
          <w:sz w:val="20"/>
          <w:szCs w:val="20"/>
        </w:rPr>
        <w:t xml:space="preserve"> na temelju Direktive 86/635/</w:t>
      </w:r>
      <w:r>
        <w:rPr>
          <w:rFonts w:ascii="Times New Roman" w:hAnsi="Times New Roman"/>
          <w:color w:val="000000" w:themeColor="text1"/>
          <w:sz w:val="20"/>
          <w:szCs w:val="20"/>
        </w:rPr>
        <w:t>EE</w:t>
      </w:r>
      <w:r w:rsidR="001E14CF">
        <w:rPr>
          <w:rFonts w:ascii="Times New Roman" w:hAnsi="Times New Roman"/>
          <w:color w:val="000000" w:themeColor="text1"/>
          <w:sz w:val="20"/>
          <w:szCs w:val="20"/>
        </w:rPr>
        <w:t>C</w:t>
      </w:r>
      <w:r>
        <w:rPr>
          <w:rStyle w:val="FootnoteReference"/>
          <w:rFonts w:ascii="Times New Roman" w:hAnsi="Times New Roman"/>
          <w:color w:val="000000" w:themeColor="text1"/>
        </w:rPr>
        <w:footnoteReference w:id="5"/>
      </w:r>
      <w:r>
        <w:rPr>
          <w:rFonts w:ascii="Times New Roman" w:hAnsi="Times New Roman"/>
          <w:color w:val="000000" w:themeColor="text1"/>
          <w:sz w:val="20"/>
          <w:szCs w:val="20"/>
        </w:rPr>
        <w:t>.</w:t>
      </w:r>
    </w:p>
    <w:p w14:paraId="7FE1B321" w14:textId="37811E92" w:rsidR="00393915" w:rsidRDefault="00F24D68">
      <w:pPr>
        <w:pStyle w:val="P68B1DB1-ListParagraph8"/>
        <w:numPr>
          <w:ilvl w:val="0"/>
          <w:numId w:val="60"/>
        </w:numPr>
        <w:ind w:left="1074"/>
        <w:jc w:val="both"/>
      </w:pPr>
      <w:r>
        <w:t>„Operativna imovina” – imovina koja nije financijska imovina i koja je potrebna za pružanje relevantnih usluga, kao što su nekretnine; intelektualno vlasništvo, uključujući žigove, patente i softver; hardver; IT sustavi i aplikacije; i skladišta podataka. Operativna imovina</w:t>
      </w:r>
      <w:r>
        <w:t xml:space="preserve"> </w:t>
      </w:r>
      <w:r w:rsidR="009F03A8">
        <w:t>je</w:t>
      </w:r>
      <w:r w:rsidR="009F03A8">
        <w:t xml:space="preserve"> </w:t>
      </w:r>
      <w:r>
        <w:t>ključna</w:t>
      </w:r>
      <w:r>
        <w:t>/</w:t>
      </w:r>
      <w:r w:rsidR="00770DC2">
        <w:t>osnovna</w:t>
      </w:r>
      <w:r>
        <w:t xml:space="preserve"> ako je pristup </w:t>
      </w:r>
      <w:r>
        <w:t>nj</w:t>
      </w:r>
      <w:r w:rsidR="009F03A8">
        <w:t>oj</w:t>
      </w:r>
      <w:r>
        <w:t xml:space="preserve"> potreban za obavljanje ključne/osnovne usluge;</w:t>
      </w:r>
    </w:p>
    <w:p w14:paraId="7FE1B322" w14:textId="2B5C1478" w:rsidR="00393915" w:rsidRDefault="00F24D68">
      <w:pPr>
        <w:pStyle w:val="P68B1DB1-ListParagraph8"/>
        <w:numPr>
          <w:ilvl w:val="0"/>
          <w:numId w:val="60"/>
        </w:numPr>
        <w:ind w:left="1074"/>
        <w:jc w:val="both"/>
      </w:pPr>
      <w:r>
        <w:t xml:space="preserve">„Relevantne usluge” – usluge </w:t>
      </w:r>
      <w:r w:rsidR="00367674">
        <w:t>koje podupiru</w:t>
      </w:r>
      <w:r>
        <w:t xml:space="preserve"> </w:t>
      </w:r>
      <w:r w:rsidR="00367674">
        <w:t>(</w:t>
      </w:r>
      <w:r>
        <w:t>i</w:t>
      </w:r>
      <w:r w:rsidR="00367674">
        <w:t>)</w:t>
      </w:r>
      <w:r>
        <w:t>.</w:t>
      </w:r>
      <w:r>
        <w:t xml:space="preserve"> funkcije banke</w:t>
      </w:r>
      <w:r w:rsidR="001875EE">
        <w:t xml:space="preserve"> </w:t>
      </w:r>
      <w:r w:rsidR="001875EE">
        <w:t>koje su</w:t>
      </w:r>
      <w:r>
        <w:t xml:space="preserve"> </w:t>
      </w:r>
      <w:r w:rsidR="001875EE">
        <w:t xml:space="preserve">ključne </w:t>
      </w:r>
      <w:r>
        <w:t xml:space="preserve">za gospodarstvo (ključne usluge) i </w:t>
      </w:r>
      <w:r w:rsidR="001875EE">
        <w:t>(</w:t>
      </w:r>
      <w:r>
        <w:t>ii</w:t>
      </w:r>
      <w:r w:rsidR="001875EE">
        <w:t>)</w:t>
      </w:r>
      <w:r>
        <w:t xml:space="preserve"> temeljne linije poslovanja (osnovne usluge) </w:t>
      </w:r>
      <w:r w:rsidR="00C76785">
        <w:t>čiji</w:t>
      </w:r>
      <w:r>
        <w:t xml:space="preserve"> je kontinuitet potreban </w:t>
      </w:r>
      <w:r w:rsidR="00C76785">
        <w:t>radi</w:t>
      </w:r>
      <w:r>
        <w:t xml:space="preserve"> učinkovit</w:t>
      </w:r>
      <w:r w:rsidR="00C76785">
        <w:t>e</w:t>
      </w:r>
      <w:r>
        <w:t xml:space="preserve"> provedb</w:t>
      </w:r>
      <w:r w:rsidR="00C76785">
        <w:t>e</w:t>
      </w:r>
      <w:r>
        <w:t xml:space="preserve"> sanacijske strategije. Te se kategorije mogu preklapati. To se analogno primjenjuje na operativnu imovinu i osoblje.</w:t>
      </w:r>
    </w:p>
    <w:p w14:paraId="7FE1B323" w14:textId="068A1038" w:rsidR="00393915" w:rsidRDefault="00F24D68">
      <w:pPr>
        <w:pStyle w:val="P68B1DB1-ListParagraph8"/>
        <w:numPr>
          <w:ilvl w:val="0"/>
          <w:numId w:val="60"/>
        </w:numPr>
        <w:ind w:left="1074"/>
        <w:jc w:val="both"/>
      </w:pPr>
      <w:r>
        <w:t xml:space="preserve">„Relevantne uloge” – uloge na radnim mjestima čije </w:t>
      </w:r>
      <w:r w:rsidR="00C76785">
        <w:t>nepopunjenje</w:t>
      </w:r>
      <w:r>
        <w:t xml:space="preserve"> u sanaciji može predstavljati prepreku kontinuitetu ključnih funkcija i temeljnih linija poslovanja potrebnih za učinkovitu provedbu sanacijske strategije i svako posljedično restrukturiranje.</w:t>
      </w:r>
    </w:p>
    <w:p w14:paraId="7FE1B324" w14:textId="77777777" w:rsidR="00393915" w:rsidRDefault="00393915">
      <w:pPr>
        <w:pStyle w:val="ListParagraph"/>
        <w:ind w:left="1074"/>
        <w:rPr>
          <w:rFonts w:ascii="Times New Roman" w:hAnsi="Times New Roman"/>
          <w:color w:val="000000" w:themeColor="text1"/>
          <w:sz w:val="20"/>
          <w:szCs w:val="20"/>
        </w:rPr>
      </w:pPr>
    </w:p>
    <w:p w14:paraId="7FE1B325" w14:textId="77777777" w:rsidR="00393915" w:rsidRDefault="00F24D68">
      <w:pPr>
        <w:pStyle w:val="P68B1DB1-Instructionsberschrift25"/>
        <w:numPr>
          <w:ilvl w:val="1"/>
          <w:numId w:val="49"/>
        </w:numPr>
        <w:ind w:left="357" w:hanging="357"/>
      </w:pPr>
      <w:bookmarkStart w:id="8" w:name="_Toc81454173"/>
      <w:bookmarkStart w:id="9" w:name="_Toc208244791"/>
      <w:r>
        <w:t>Računovodstveni standardi</w:t>
      </w:r>
      <w:bookmarkEnd w:id="8"/>
      <w:bookmarkEnd w:id="9"/>
    </w:p>
    <w:p w14:paraId="7FE1B326" w14:textId="6F90E9FA" w:rsidR="00393915" w:rsidRDefault="00F24D68">
      <w:pPr>
        <w:pStyle w:val="P68B1DB1-InstructionsText26"/>
        <w:numPr>
          <w:ilvl w:val="0"/>
          <w:numId w:val="71"/>
        </w:numPr>
        <w:spacing w:before="0"/>
        <w:ind w:left="714" w:hanging="357"/>
      </w:pPr>
      <w:r>
        <w:t xml:space="preserve">Ako u ovim uputama nije drugačije određeno, institucije o svim iznosima izvješćuju na temelju računovodstvenog okvira koji primjenjuju za izvješćivanje o financijskim </w:t>
      </w:r>
      <w:r w:rsidR="00735BBF">
        <w:t>podacima</w:t>
      </w:r>
      <w:r>
        <w:t xml:space="preserve"> u skladu s člancima 9. do 11. Provedbene uredbe (EU) 2024/3117. Institucije od kojih se ne zahtijeva da o financijskim </w:t>
      </w:r>
      <w:r w:rsidR="00735BBF">
        <w:t>podacima</w:t>
      </w:r>
      <w:r>
        <w:t xml:space="preserve"> izvješćuju u skladu s Provedbenom uredbom (EU) 2024/3117 primjenjuju pravila iz svojeg računovodstvenog okvira. </w:t>
      </w:r>
    </w:p>
    <w:p w14:paraId="7FE1B327" w14:textId="77777777" w:rsidR="00393915" w:rsidRDefault="00F24D68">
      <w:pPr>
        <w:pStyle w:val="P68B1DB1-InstructionsText26"/>
        <w:numPr>
          <w:ilvl w:val="0"/>
          <w:numId w:val="227"/>
        </w:numPr>
        <w:spacing w:before="0"/>
      </w:pPr>
      <w:r>
        <w:t>Za institucije koje izvješćuju na temelju međunarodnih standarda financijskog izvješćivanja (MSFI) umetnuta su upućivanja na odgovarajuće MSFI-je.</w:t>
      </w:r>
    </w:p>
    <w:p w14:paraId="7FE1B328" w14:textId="77777777" w:rsidR="00393915" w:rsidRDefault="00F24D68">
      <w:pPr>
        <w:pStyle w:val="P68B1DB1-Instructionsberschrift25"/>
        <w:numPr>
          <w:ilvl w:val="1"/>
          <w:numId w:val="49"/>
        </w:numPr>
        <w:ind w:left="357" w:hanging="357"/>
      </w:pPr>
      <w:bookmarkStart w:id="10" w:name="_Toc208244792"/>
      <w:bookmarkStart w:id="11" w:name="_Hlk167181695"/>
      <w:bookmarkStart w:id="12" w:name="_Toc81454174"/>
      <w:r>
        <w:t>Izvješćivanje o nadzornim podacima</w:t>
      </w:r>
      <w:bookmarkEnd w:id="10"/>
    </w:p>
    <w:p w14:paraId="7FE1B329" w14:textId="124AC13D" w:rsidR="00393915" w:rsidRDefault="00F24D68">
      <w:pPr>
        <w:pStyle w:val="P68B1DB1-Instructionsberschrift310"/>
        <w:numPr>
          <w:ilvl w:val="4"/>
          <w:numId w:val="49"/>
        </w:numPr>
      </w:pPr>
      <w:r>
        <w:t>Ako subjekt koji izvješćuje podliježe nadzornom izvješćivanju u skladu s Uredbom (EU) br. 575/2013</w:t>
      </w:r>
      <w:r>
        <w:footnoteReference w:id="6"/>
      </w:r>
      <w:r>
        <w:t xml:space="preserve"> na konsolidiranoj ili pojedinačnoj razini na zatraženi referentni datum za planiranje sanacije, subjekt nije dužan prijaviti one podatke koji su već </w:t>
      </w:r>
      <w:r>
        <w:t>i</w:t>
      </w:r>
      <w:r w:rsidR="006C4CD8">
        <w:t>zvješteni</w:t>
      </w:r>
      <w:r>
        <w:t xml:space="preserve">. Sanacijska tijela pribavljaju te </w:t>
      </w:r>
      <w:r>
        <w:t>podatk</w:t>
      </w:r>
      <w:r w:rsidR="006C4CD8">
        <w:t>e</w:t>
      </w:r>
      <w:r>
        <w:t xml:space="preserve"> izravno iz nadzornih izvješća koja je subjekt koji izvješćuje već </w:t>
      </w:r>
      <w:r w:rsidR="001531F0">
        <w:t>dostavio</w:t>
      </w:r>
      <w:r>
        <w:t>.</w:t>
      </w:r>
    </w:p>
    <w:p w14:paraId="7FE1B32A" w14:textId="3BB42852" w:rsidR="00393915" w:rsidRDefault="00F24D68">
      <w:pPr>
        <w:pStyle w:val="Instructionsberschrift3"/>
        <w:numPr>
          <w:ilvl w:val="4"/>
          <w:numId w:val="49"/>
        </w:numPr>
      </w:pPr>
      <w:r>
        <w:rPr>
          <w:u w:val="none"/>
        </w:rPr>
        <w:t xml:space="preserve">Ako subjekt ne podliježe nadzornom izvješćivanju na određeni referentni datum, subjekt će morati </w:t>
      </w:r>
      <w:r w:rsidR="001531F0">
        <w:rPr>
          <w:u w:val="none"/>
        </w:rPr>
        <w:t>dostaviti</w:t>
      </w:r>
      <w:r w:rsidR="001531F0">
        <w:rPr>
          <w:u w:val="none"/>
        </w:rPr>
        <w:t xml:space="preserve"> te </w:t>
      </w:r>
      <w:r>
        <w:rPr>
          <w:u w:val="none"/>
        </w:rPr>
        <w:t xml:space="preserve"> podatak</w:t>
      </w:r>
      <w:r w:rsidR="001531F0">
        <w:rPr>
          <w:u w:val="none"/>
        </w:rPr>
        <w:t>e</w:t>
      </w:r>
      <w:r>
        <w:rPr>
          <w:u w:val="none"/>
        </w:rPr>
        <w:t xml:space="preserve"> u skladu s Provedbenom uredbom (EU) br. 20XX </w:t>
      </w:r>
      <w:r>
        <w:rPr>
          <w:highlight w:val="yellow"/>
          <w:u w:val="none"/>
        </w:rPr>
        <w:t>/XXX</w:t>
      </w:r>
      <w:r>
        <w:t xml:space="preserve">. </w:t>
      </w:r>
      <w:r>
        <w:rPr>
          <w:u w:val="none"/>
        </w:rPr>
        <w:t>.</w:t>
      </w:r>
    </w:p>
    <w:p w14:paraId="7FE1B32B" w14:textId="77777777" w:rsidR="00393915" w:rsidRDefault="00F24D68">
      <w:pPr>
        <w:pStyle w:val="P68B1DB1-Instructionsberschrift25"/>
        <w:numPr>
          <w:ilvl w:val="1"/>
          <w:numId w:val="49"/>
        </w:numPr>
        <w:ind w:left="357" w:hanging="357"/>
      </w:pPr>
      <w:bookmarkStart w:id="13" w:name="_Toc208244793"/>
      <w:bookmarkEnd w:id="11"/>
      <w:r>
        <w:lastRenderedPageBreak/>
        <w:t>Opseg konsolidacije</w:t>
      </w:r>
      <w:bookmarkEnd w:id="12"/>
      <w:bookmarkEnd w:id="13"/>
    </w:p>
    <w:p w14:paraId="7FE1B32C" w14:textId="77777777" w:rsidR="00393915" w:rsidRDefault="00F24D68">
      <w:pPr>
        <w:pStyle w:val="P68B1DB1-InstructionsText26"/>
        <w:numPr>
          <w:ilvl w:val="0"/>
          <w:numId w:val="228"/>
        </w:numPr>
        <w:spacing w:before="0"/>
      </w:pPr>
      <w:r>
        <w:t>Ovaj okvir, ovisno o predlošku, odnosi se na sljedeće:</w:t>
      </w:r>
    </w:p>
    <w:p w14:paraId="7FE1B32D" w14:textId="77777777" w:rsidR="00393915" w:rsidRDefault="00F24D68">
      <w:pPr>
        <w:pStyle w:val="P68B1DB1-numberedparagraph11"/>
        <w:numPr>
          <w:ilvl w:val="0"/>
          <w:numId w:val="81"/>
        </w:numPr>
        <w:rPr>
          <w:rFonts w:eastAsiaTheme="majorEastAsia"/>
        </w:rPr>
      </w:pPr>
      <w:r>
        <w:t>konsolidaciju na osnovi računovodstvene konsolidacije (subjekti uključeni u konsolidirane financijske izvještaje u skladu s primjenjivim računovodstvenim okvirom),</w:t>
      </w:r>
    </w:p>
    <w:p w14:paraId="7FE1B32E" w14:textId="179BBDC6" w:rsidR="00393915" w:rsidRDefault="00F24D68">
      <w:pPr>
        <w:pStyle w:val="P68B1DB1-numberedparagraph11"/>
        <w:numPr>
          <w:ilvl w:val="0"/>
          <w:numId w:val="81"/>
        </w:numPr>
        <w:rPr>
          <w:rFonts w:eastAsiaTheme="majorEastAsia"/>
        </w:rPr>
      </w:pPr>
      <w:r>
        <w:t xml:space="preserve">bonitetnu konsolidaciju (subjekti unutar područja primjene konsolidacije u skladu s dijelom prvim glavom II. poglavljem 2. Uredbe (EU) br. 575/2013 Europskog parlamenta i Vijeća) na razini matičnog društva u Uniji, </w:t>
      </w:r>
    </w:p>
    <w:p w14:paraId="7FE1B32F" w14:textId="77777777" w:rsidR="00393915" w:rsidRDefault="00F24D68">
      <w:pPr>
        <w:pStyle w:val="P68B1DB1-numberedparagraph11"/>
        <w:numPr>
          <w:ilvl w:val="0"/>
          <w:numId w:val="81"/>
        </w:numPr>
        <w:rPr>
          <w:rFonts w:eastAsiaTheme="majorEastAsia"/>
        </w:rPr>
      </w:pPr>
      <w:r>
        <w:t>konsolidaciju na razini subjekta u sanaciji za grupu u sanaciji.</w:t>
      </w:r>
    </w:p>
    <w:p w14:paraId="7FE1B330" w14:textId="4B5FA476" w:rsidR="00393915" w:rsidRDefault="00F24D68">
      <w:pPr>
        <w:pStyle w:val="InstructionsText2"/>
        <w:numPr>
          <w:ilvl w:val="0"/>
          <w:numId w:val="229"/>
        </w:numPr>
        <w:spacing w:before="0"/>
        <w:rPr>
          <w:rFonts w:ascii="Times New Roman" w:hAnsi="Times New Roman" w:cs="Times New Roman"/>
          <w:sz w:val="20"/>
          <w:szCs w:val="20"/>
        </w:rPr>
      </w:pPr>
      <w:r>
        <w:rPr>
          <w:rFonts w:ascii="Times New Roman" w:hAnsi="Times New Roman" w:cs="Times New Roman"/>
          <w:sz w:val="20"/>
          <w:szCs w:val="20"/>
        </w:rPr>
        <w:t xml:space="preserve">Za svaki obrazac institucije slijede konsolidacijsku osnovu ili osnove primjenjive u skladu s člancima od 2. do 5. Provedbene uredbe (EU) </w:t>
      </w:r>
      <w:r>
        <w:rPr>
          <w:rFonts w:ascii="Times New Roman" w:hAnsi="Times New Roman" w:cs="Times New Roman"/>
          <w:sz w:val="20"/>
          <w:szCs w:val="20"/>
          <w:highlight w:val="yellow"/>
        </w:rPr>
        <w:t>br. 20XX/</w:t>
      </w:r>
      <w:r>
        <w:rPr>
          <w:highlight w:val="yellow"/>
        </w:rPr>
        <w:t>XXX</w:t>
      </w:r>
      <w:r>
        <w:rPr>
          <w:rFonts w:ascii="Times New Roman" w:hAnsi="Times New Roman" w:cs="Times New Roman"/>
          <w:sz w:val="20"/>
          <w:szCs w:val="20"/>
        </w:rPr>
        <w:t>.</w:t>
      </w:r>
    </w:p>
    <w:p w14:paraId="7FE1B331" w14:textId="69BA2D15" w:rsidR="00393915" w:rsidRDefault="0099078E">
      <w:pPr>
        <w:pStyle w:val="P68B1DB1-Instructionsberschrift25"/>
        <w:numPr>
          <w:ilvl w:val="1"/>
          <w:numId w:val="49"/>
        </w:numPr>
        <w:ind w:left="357" w:hanging="357"/>
      </w:pPr>
      <w:bookmarkStart w:id="14" w:name="_Toc81454175"/>
      <w:bookmarkStart w:id="15" w:name="_Toc208244794"/>
      <w:r>
        <w:t>Numeriranje</w:t>
      </w:r>
      <w:r w:rsidR="00F24D68">
        <w:t xml:space="preserve"> i druga pravila</w:t>
      </w:r>
      <w:bookmarkEnd w:id="14"/>
      <w:bookmarkEnd w:id="15"/>
    </w:p>
    <w:p w14:paraId="7FE1B332" w14:textId="4269BB33" w:rsidR="00393915" w:rsidRDefault="008C59FF">
      <w:pPr>
        <w:pStyle w:val="P68B1DB1-InstructionsText26"/>
        <w:numPr>
          <w:ilvl w:val="0"/>
          <w:numId w:val="230"/>
        </w:numPr>
        <w:spacing w:before="0"/>
      </w:pPr>
      <w:r>
        <w:t>P</w:t>
      </w:r>
      <w:r w:rsidR="00F24D68">
        <w:t>ri</w:t>
      </w:r>
      <w:r w:rsidR="00F24D68">
        <w:t xml:space="preserve"> upućivanju na stupce, retke i rubrike predložaka</w:t>
      </w:r>
      <w:r>
        <w:t>, u ovim uputama</w:t>
      </w:r>
      <w:r w:rsidR="00AF0999">
        <w:t>,</w:t>
      </w:r>
      <w:r w:rsidR="00F24D68">
        <w:t xml:space="preserve"> primjenjuju se pravila označivanja koja su utvrđena u nastavku. Te se brojčane oznake u velikoj mjeri koriste u pravilima validacije.</w:t>
      </w:r>
    </w:p>
    <w:p w14:paraId="7FE1B333" w14:textId="6D3F64D2" w:rsidR="00393915" w:rsidRDefault="00F24D68">
      <w:pPr>
        <w:pStyle w:val="P68B1DB1-InstructionsText26"/>
        <w:numPr>
          <w:ilvl w:val="0"/>
          <w:numId w:val="230"/>
        </w:numPr>
        <w:spacing w:before="0"/>
      </w:pPr>
      <w:r>
        <w:t xml:space="preserve">U ovim uputama upotrebljava se sljedeći opći zapis za upućivanje na stupce, retke i rubrike u predlošku: </w:t>
      </w:r>
      <w:bookmarkStart w:id="16" w:name="_Hlk209453772"/>
      <w:r>
        <w:t>{</w:t>
      </w:r>
      <w:r w:rsidR="00940D65">
        <w:t>R</w:t>
      </w:r>
      <w:r>
        <w:t>edak;</w:t>
      </w:r>
      <w:r w:rsidR="00940D65">
        <w:t>S</w:t>
      </w:r>
      <w:r>
        <w:t>tupac</w:t>
      </w:r>
      <w:r>
        <w:t>}.</w:t>
      </w:r>
      <w:bookmarkEnd w:id="16"/>
    </w:p>
    <w:p w14:paraId="7FE1B334" w14:textId="611CA159" w:rsidR="00393915" w:rsidRDefault="00F24D68">
      <w:pPr>
        <w:pStyle w:val="P68B1DB1-InstructionsText26"/>
        <w:numPr>
          <w:ilvl w:val="0"/>
          <w:numId w:val="230"/>
        </w:numPr>
        <w:spacing w:before="0"/>
      </w:pPr>
      <w:r>
        <w:t xml:space="preserve">U slučaju validacija u okviru obrasca pri kojima se koriste samo podaci iz tog obrasca, bilješkama se ne upućuje na obrazac: </w:t>
      </w:r>
      <w:r w:rsidR="004C77A6">
        <w:t>{</w:t>
      </w:r>
      <w:r w:rsidR="00940D65">
        <w:t>R</w:t>
      </w:r>
      <w:r w:rsidR="004C77A6">
        <w:t>edak;</w:t>
      </w:r>
      <w:r w:rsidR="00940D65">
        <w:t>S</w:t>
      </w:r>
      <w:r w:rsidR="004C77A6">
        <w:t>tupac</w:t>
      </w:r>
      <w:r w:rsidR="004C77A6">
        <w:t>}.</w:t>
      </w:r>
      <w:r>
        <w:t>.</w:t>
      </w:r>
    </w:p>
    <w:p w14:paraId="7FE1B335" w14:textId="2266B989" w:rsidR="00393915" w:rsidRDefault="00F24D68">
      <w:pPr>
        <w:pStyle w:val="P68B1DB1-InstructionsText26"/>
        <w:numPr>
          <w:ilvl w:val="0"/>
          <w:numId w:val="230"/>
        </w:numPr>
        <w:spacing w:before="0"/>
      </w:pPr>
      <w:r>
        <w:t>U slučaju predložaka sa samo jednim stupcem upućuje se samo na retke</w:t>
      </w:r>
      <w:r w:rsidR="004C77A6">
        <w:t>{Obrazac;</w:t>
      </w:r>
      <w:r w:rsidR="00940D65">
        <w:t>R</w:t>
      </w:r>
      <w:r w:rsidR="004C77A6">
        <w:t>edak;</w:t>
      </w:r>
      <w:r w:rsidR="00940D65">
        <w:t>S</w:t>
      </w:r>
      <w:r w:rsidR="004C77A6">
        <w:t>tupac}.</w:t>
      </w:r>
      <w:r>
        <w:t>.</w:t>
      </w:r>
    </w:p>
    <w:p w14:paraId="7FE1B336" w14:textId="59E88D51" w:rsidR="00393915" w:rsidRDefault="00F24D68">
      <w:pPr>
        <w:pStyle w:val="P68B1DB1-InstructionsText26"/>
        <w:numPr>
          <w:ilvl w:val="0"/>
          <w:numId w:val="230"/>
        </w:numPr>
        <w:spacing w:before="0"/>
      </w:pPr>
      <w:r>
        <w:t xml:space="preserve">Znak zvjezdice upotrebljava se kako bi se </w:t>
      </w:r>
      <w:r w:rsidR="00093834">
        <w:t>naznačilo</w:t>
      </w:r>
      <w:r>
        <w:t xml:space="preserve"> da je validacija provedena za prethodno navedene retke ili stupce.</w:t>
      </w:r>
    </w:p>
    <w:p w14:paraId="7FE1B337" w14:textId="77777777" w:rsidR="00393915" w:rsidRDefault="00F24D68">
      <w:pPr>
        <w:pStyle w:val="P68B1DB1-InstructionsText26"/>
        <w:numPr>
          <w:ilvl w:val="0"/>
          <w:numId w:val="230"/>
        </w:numPr>
        <w:spacing w:before="0"/>
      </w:pPr>
      <w:r>
        <w:t>Ako informacija nije primjenjiva na subjekte za koje se izvješće podnosi, odgovarajuća polja ostavljaju se praznima.</w:t>
      </w:r>
    </w:p>
    <w:p w14:paraId="7FE1B338" w14:textId="77777777" w:rsidR="00393915" w:rsidRDefault="00F24D68">
      <w:pPr>
        <w:pStyle w:val="P68B1DB1-InstructionsText26"/>
        <w:numPr>
          <w:ilvl w:val="0"/>
          <w:numId w:val="230"/>
        </w:numPr>
        <w:spacing w:before="0"/>
      </w:pPr>
      <w:r>
        <w:t>Ako se u ovim uputama upućuje na primarni ključ, to znači stupac ili kombinacija stupaca namijenjenih jedinstvenom identificiranju svih redaka u predlošku. Primarni ključ sadržava jedinstvenu vrijednost za svaki redak u predlošku. On ne smije sadržavati vrijednost nula.</w:t>
      </w:r>
    </w:p>
    <w:p w14:paraId="7FE1B339" w14:textId="77777777" w:rsidR="00393915" w:rsidRDefault="00F24D68">
      <w:pPr>
        <w:pStyle w:val="P68B1DB1-Instructionsberschrift24"/>
        <w:numPr>
          <w:ilvl w:val="0"/>
          <w:numId w:val="49"/>
        </w:numPr>
        <w:ind w:left="357" w:hanging="357"/>
      </w:pPr>
      <w:bookmarkStart w:id="17" w:name="_Toc492542319"/>
      <w:bookmarkStart w:id="18" w:name="_Toc81454176"/>
      <w:bookmarkStart w:id="19" w:name="_Toc208244795"/>
      <w:r>
        <w:t>Upute za predloške</w:t>
      </w:r>
      <w:bookmarkEnd w:id="17"/>
      <w:bookmarkEnd w:id="18"/>
      <w:bookmarkEnd w:id="19"/>
    </w:p>
    <w:p w14:paraId="7FE1B33A" w14:textId="0E76C32D" w:rsidR="00393915" w:rsidRDefault="00F24D68">
      <w:pPr>
        <w:pStyle w:val="P68B1DB1-Instructionsberschrift25"/>
        <w:numPr>
          <w:ilvl w:val="1"/>
          <w:numId w:val="49"/>
        </w:numPr>
        <w:ind w:left="357" w:hanging="357"/>
      </w:pPr>
      <w:bookmarkStart w:id="20" w:name="_Toc493236007"/>
      <w:bookmarkStart w:id="21" w:name="_Toc81454177"/>
      <w:bookmarkStart w:id="22" w:name="_Toc208244796"/>
      <w:bookmarkEnd w:id="20"/>
      <w:r>
        <w:t>Z 01.01 – Pravne osobe (ORG 1)</w:t>
      </w:r>
      <w:bookmarkEnd w:id="21"/>
      <w:bookmarkEnd w:id="22"/>
    </w:p>
    <w:p w14:paraId="7FE1B33B" w14:textId="77777777" w:rsidR="00393915" w:rsidRDefault="00F24D68">
      <w:pPr>
        <w:pStyle w:val="Instructionsberschrift3"/>
      </w:pPr>
      <w:r>
        <w:t>Opće napomene</w:t>
      </w:r>
    </w:p>
    <w:p w14:paraId="7FE1B33C" w14:textId="73410408" w:rsidR="00393915" w:rsidRDefault="00F24D68">
      <w:pPr>
        <w:pStyle w:val="P68B1DB1-InstructionsText26"/>
        <w:numPr>
          <w:ilvl w:val="0"/>
          <w:numId w:val="231"/>
        </w:numPr>
        <w:spacing w:before="0"/>
      </w:pPr>
      <w:r>
        <w:t xml:space="preserve">Za sve subjekte grupe koji su obuhvaćeni opsegom računovodstvene konsolidacije dostavlja se jedinstveni predložak. U tom se predlošku identificiraju samo pravne osobe. </w:t>
      </w:r>
    </w:p>
    <w:p w14:paraId="7FE1B33D" w14:textId="26FF3381" w:rsidR="00393915" w:rsidRDefault="00F24D68">
      <w:pPr>
        <w:pStyle w:val="P68B1DB1-InstructionsText26"/>
        <w:numPr>
          <w:ilvl w:val="0"/>
          <w:numId w:val="231"/>
        </w:numPr>
        <w:spacing w:before="0"/>
      </w:pPr>
      <w:r>
        <w:t xml:space="preserve">Koncept relevantnih pravnih subjekata nije ograničen samo na bankovne operacije, već uključuje i druge subjekte koji su potrebni za znatnu potporu poslovanju bankarske grupe. To uključuje pružatelje usluga za ključne funkcije i/ili </w:t>
      </w:r>
      <w:r>
        <w:t>zna</w:t>
      </w:r>
      <w:r w:rsidR="002B64FF">
        <w:t>čajne</w:t>
      </w:r>
      <w:r>
        <w:t xml:space="preserve"> linije</w:t>
      </w:r>
      <w:r w:rsidR="004322EF">
        <w:t xml:space="preserve"> poslovanja</w:t>
      </w:r>
      <w:r>
        <w:t>, financiranje subjekata, subjekat</w:t>
      </w:r>
      <w:r w:rsidR="00364DB7">
        <w:t>e</w:t>
      </w:r>
      <w:r>
        <w:t xml:space="preserve"> koji pružaju usluge</w:t>
      </w:r>
      <w:r w:rsidR="00364DB7">
        <w:t xml:space="preserve"> </w:t>
      </w:r>
      <w:r w:rsidR="00364DB7">
        <w:t>financiranja</w:t>
      </w:r>
      <w:r>
        <w:t xml:space="preserve"> </w:t>
      </w:r>
      <w:r>
        <w:t xml:space="preserve">i </w:t>
      </w:r>
      <w:r w:rsidR="00364DB7">
        <w:t>ostali</w:t>
      </w:r>
      <w:r>
        <w:t xml:space="preserve"> subjeka</w:t>
      </w:r>
      <w:r w:rsidR="00364DB7">
        <w:t>ti</w:t>
      </w:r>
      <w:r>
        <w:t xml:space="preserve"> koji su u velikoj mjeri povezani (ekonomski) s grupom. Očekuje se da će se utvrđivanje tih dodatnih subjekata temeljiti na zahtjevima sanacijske strategije, koje definiraju sanacijska tijela.</w:t>
      </w:r>
    </w:p>
    <w:p w14:paraId="7FE1B33E" w14:textId="77777777" w:rsidR="00393915" w:rsidRDefault="00F24D68">
      <w:pPr>
        <w:pStyle w:val="P68B1DB1-Instructionsberschrift312"/>
      </w:pPr>
      <w:r>
        <w:lastRenderedPageBreak/>
        <w:t>Upute za specifične pozicije</w:t>
      </w:r>
    </w:p>
    <w:p w14:paraId="7FE1B33F" w14:textId="77777777" w:rsidR="00393915" w:rsidRDefault="00393915">
      <w:pPr>
        <w:spacing w:before="8"/>
        <w:rPr>
          <w:rFonts w:ascii="Times New Roman" w:eastAsia="Cambria" w:hAnsi="Times New Roman" w:cs="Times New Roman"/>
          <w:color w:val="000000" w:themeColor="text1"/>
          <w:sz w:val="20"/>
          <w:szCs w:val="20"/>
        </w:rPr>
      </w:pPr>
    </w:p>
    <w:tbl>
      <w:tblPr>
        <w:tblW w:w="0" w:type="auto"/>
        <w:tblCellMar>
          <w:top w:w="57" w:type="dxa"/>
          <w:left w:w="57" w:type="dxa"/>
          <w:bottom w:w="57" w:type="dxa"/>
          <w:right w:w="0" w:type="dxa"/>
        </w:tblCellMar>
        <w:tblLook w:val="01E0" w:firstRow="1" w:lastRow="1" w:firstColumn="1" w:lastColumn="1" w:noHBand="0" w:noVBand="0"/>
      </w:tblPr>
      <w:tblGrid>
        <w:gridCol w:w="842"/>
        <w:gridCol w:w="8184"/>
      </w:tblGrid>
      <w:tr w:rsidR="00393915" w14:paraId="7FE1B342" w14:textId="77777777">
        <w:trPr>
          <w:tblHeader/>
        </w:trPr>
        <w:tc>
          <w:tcPr>
            <w:tcW w:w="0" w:type="auto"/>
            <w:tcBorders>
              <w:top w:val="single" w:sz="4" w:space="0" w:color="1A171C"/>
              <w:left w:val="nil"/>
              <w:bottom w:val="single" w:sz="4" w:space="0" w:color="1A171C"/>
              <w:right w:val="single" w:sz="4" w:space="0" w:color="1A171C"/>
            </w:tcBorders>
            <w:shd w:val="clear" w:color="auto" w:fill="E4E5E5"/>
          </w:tcPr>
          <w:p w14:paraId="7FE1B340" w14:textId="77777777" w:rsidR="00393915" w:rsidRDefault="00F24D68">
            <w:pPr>
              <w:pStyle w:val="P68B1DB1-TableParagraph13"/>
              <w:spacing w:before="66"/>
              <w:rPr>
                <w:rFonts w:eastAsia="Cambria"/>
              </w:rPr>
            </w:pPr>
            <w:r>
              <w:t>Stupci</w:t>
            </w:r>
          </w:p>
        </w:tc>
        <w:tc>
          <w:tcPr>
            <w:tcW w:w="0" w:type="auto"/>
            <w:tcBorders>
              <w:top w:val="single" w:sz="4" w:space="0" w:color="1A171C"/>
              <w:left w:val="single" w:sz="4" w:space="0" w:color="1A171C"/>
              <w:bottom w:val="single" w:sz="4" w:space="0" w:color="1A171C"/>
              <w:right w:val="nil"/>
            </w:tcBorders>
            <w:shd w:val="clear" w:color="auto" w:fill="E4E5E5"/>
          </w:tcPr>
          <w:p w14:paraId="7FE1B341" w14:textId="77777777" w:rsidR="00393915" w:rsidRDefault="00F24D68">
            <w:pPr>
              <w:pStyle w:val="P68B1DB1-TableParagraph13"/>
              <w:spacing w:before="66"/>
              <w:ind w:right="1"/>
              <w:jc w:val="center"/>
              <w:rPr>
                <w:rFonts w:eastAsia="Cambria"/>
              </w:rPr>
            </w:pPr>
            <w:r>
              <w:t>Upute</w:t>
            </w:r>
          </w:p>
        </w:tc>
      </w:tr>
      <w:tr w:rsidR="00393915" w14:paraId="7FE1B349" w14:textId="77777777">
        <w:tc>
          <w:tcPr>
            <w:tcW w:w="0" w:type="auto"/>
            <w:tcBorders>
              <w:top w:val="single" w:sz="4" w:space="0" w:color="1A171C"/>
              <w:left w:val="nil"/>
              <w:bottom w:val="single" w:sz="4" w:space="0" w:color="1A171C"/>
              <w:right w:val="single" w:sz="4" w:space="0" w:color="1A171C"/>
            </w:tcBorders>
          </w:tcPr>
          <w:p w14:paraId="7FE1B346" w14:textId="77777777" w:rsidR="00393915" w:rsidRDefault="00F24D68">
            <w:pPr>
              <w:pStyle w:val="P68B1DB1-TableParagraph13"/>
              <w:spacing w:before="106"/>
              <w:ind w:left="-1"/>
              <w:rPr>
                <w:rFonts w:eastAsia="Cambria"/>
              </w:rPr>
            </w:pPr>
            <w:r>
              <w:t>0010</w:t>
            </w:r>
          </w:p>
        </w:tc>
        <w:tc>
          <w:tcPr>
            <w:tcW w:w="0" w:type="auto"/>
            <w:tcBorders>
              <w:top w:val="single" w:sz="4" w:space="0" w:color="1A171C"/>
              <w:left w:val="single" w:sz="4" w:space="0" w:color="1A171C"/>
              <w:bottom w:val="single" w:sz="4" w:space="0" w:color="1A171C"/>
              <w:right w:val="nil"/>
            </w:tcBorders>
          </w:tcPr>
          <w:p w14:paraId="7FE1B347" w14:textId="77777777" w:rsidR="00393915" w:rsidRDefault="00F24D68">
            <w:pPr>
              <w:pStyle w:val="P68B1DB1-TableParagraph14"/>
              <w:spacing w:before="108"/>
              <w:ind w:left="85"/>
            </w:pPr>
            <w:r>
              <w:t>Naziv</w:t>
            </w:r>
          </w:p>
          <w:p w14:paraId="7FE1B348" w14:textId="3D2D6D6A" w:rsidR="00393915" w:rsidRDefault="00F24D68">
            <w:pPr>
              <w:pStyle w:val="P68B1DB1-TableParagraph15"/>
              <w:spacing w:before="108"/>
              <w:ind w:left="85"/>
            </w:pPr>
            <w:r>
              <w:t>Naziv subjekta. Službeni naziv kako je naveden u korporativnim aktima, uključujući navođenje pravnog oblika.</w:t>
            </w:r>
          </w:p>
        </w:tc>
      </w:tr>
      <w:tr w:rsidR="00393915" w14:paraId="7FE1B34E" w14:textId="77777777">
        <w:tc>
          <w:tcPr>
            <w:tcW w:w="0" w:type="auto"/>
            <w:tcBorders>
              <w:top w:val="single" w:sz="4" w:space="0" w:color="1A171C"/>
              <w:left w:val="nil"/>
              <w:bottom w:val="single" w:sz="4" w:space="0" w:color="1A171C"/>
              <w:right w:val="single" w:sz="4" w:space="0" w:color="1A171C"/>
            </w:tcBorders>
          </w:tcPr>
          <w:p w14:paraId="7FE1B34A" w14:textId="77777777" w:rsidR="00393915" w:rsidRDefault="00F24D68">
            <w:pPr>
              <w:pStyle w:val="P68B1DB1-TableParagraph13"/>
              <w:spacing w:before="106"/>
              <w:ind w:left="-1"/>
            </w:pPr>
            <w:r>
              <w:t>0020</w:t>
            </w:r>
          </w:p>
        </w:tc>
        <w:tc>
          <w:tcPr>
            <w:tcW w:w="0" w:type="auto"/>
            <w:tcBorders>
              <w:top w:val="single" w:sz="4" w:space="0" w:color="1A171C"/>
              <w:left w:val="single" w:sz="4" w:space="0" w:color="1A171C"/>
              <w:bottom w:val="single" w:sz="4" w:space="0" w:color="1A171C"/>
              <w:right w:val="nil"/>
            </w:tcBorders>
          </w:tcPr>
          <w:p w14:paraId="7FE1B34B" w14:textId="77777777" w:rsidR="00393915" w:rsidRDefault="00F24D68">
            <w:pPr>
              <w:pStyle w:val="P68B1DB1-TableParagraph14"/>
              <w:spacing w:before="108"/>
              <w:ind w:left="85"/>
            </w:pPr>
            <w:r>
              <w:t>Oznaka</w:t>
            </w:r>
          </w:p>
          <w:p w14:paraId="7FE1B34C" w14:textId="2767B64E" w:rsidR="00393915" w:rsidRDefault="00F24D68">
            <w:pPr>
              <w:pStyle w:val="P68B1DB1-TableParagraph13"/>
              <w:spacing w:before="108"/>
              <w:ind w:left="85"/>
            </w:pPr>
            <w:r>
              <w:t xml:space="preserve">Oznaka subjekta. Za institucije to je alfanumerička oznaka LEI s 20 znamenaka. Za druge subjekte oznaka </w:t>
            </w:r>
            <w:r w:rsidR="00696533">
              <w:t>će se sastojati od</w:t>
            </w:r>
            <w:r>
              <w:t xml:space="preserve"> 20 znamenka, alfanumerička oznaka LEI ili, ako nije dostupna, identifikacijska oznaka monetarne financijske institucije ili oznaka u okviru jedinstvene kodifikacije koja se primjenjuje u Uniji.</w:t>
            </w:r>
          </w:p>
          <w:p w14:paraId="7FE1B34D" w14:textId="77777777" w:rsidR="00393915" w:rsidRDefault="00F24D68">
            <w:pPr>
              <w:pStyle w:val="P68B1DB1-TableParagraph13"/>
              <w:spacing w:before="108"/>
              <w:ind w:left="85"/>
            </w:pPr>
            <w:r>
              <w:t>Ta je oznaka jedinstvena i primjenjuje se dosljedno u svim predlošcima. Oznaka uvijek mora imati vrijednost.</w:t>
            </w:r>
          </w:p>
        </w:tc>
      </w:tr>
      <w:tr w:rsidR="00393915" w14:paraId="7FE1B354" w14:textId="77777777">
        <w:tc>
          <w:tcPr>
            <w:tcW w:w="0" w:type="auto"/>
            <w:tcBorders>
              <w:top w:val="single" w:sz="4" w:space="0" w:color="1A171C"/>
              <w:left w:val="nil"/>
              <w:bottom w:val="single" w:sz="4" w:space="0" w:color="1A171C"/>
              <w:right w:val="single" w:sz="4" w:space="0" w:color="1A171C"/>
            </w:tcBorders>
          </w:tcPr>
          <w:p w14:paraId="7FE1B34F" w14:textId="77777777" w:rsidR="00393915" w:rsidRDefault="00F24D68">
            <w:pPr>
              <w:pStyle w:val="P68B1DB1-TableParagraph13"/>
              <w:spacing w:before="106"/>
              <w:ind w:left="-1"/>
            </w:pPr>
            <w:r>
              <w:t>0025</w:t>
            </w:r>
          </w:p>
        </w:tc>
        <w:tc>
          <w:tcPr>
            <w:tcW w:w="0" w:type="auto"/>
            <w:tcBorders>
              <w:top w:val="single" w:sz="4" w:space="0" w:color="1A171C"/>
              <w:left w:val="single" w:sz="4" w:space="0" w:color="1A171C"/>
              <w:bottom w:val="single" w:sz="4" w:space="0" w:color="1A171C"/>
              <w:right w:val="nil"/>
            </w:tcBorders>
          </w:tcPr>
          <w:p w14:paraId="7FE1B350" w14:textId="10E10E31" w:rsidR="00393915" w:rsidRDefault="00F24D68">
            <w:pPr>
              <w:pStyle w:val="P68B1DB1-TableParagraph14"/>
              <w:spacing w:before="108"/>
              <w:ind w:left="85"/>
              <w:jc w:val="both"/>
            </w:pPr>
            <w:r>
              <w:t>Vrsta oznaka</w:t>
            </w:r>
          </w:p>
          <w:p w14:paraId="7FE1B352" w14:textId="7C9FB737" w:rsidR="00393915" w:rsidRDefault="00F24D68">
            <w:pPr>
              <w:pStyle w:val="P68B1DB1-TableParagraph13"/>
              <w:spacing w:before="108"/>
            </w:pPr>
            <w:r>
              <w:t>Odabrati među sljedećim opcijama: „Oznaka LEI”, „oznaka MFI” ili „Vrsta identifikacijske oznake, osim LEI-ja ili MFI-ja.</w:t>
            </w:r>
          </w:p>
          <w:p w14:paraId="7FE1B353" w14:textId="77777777" w:rsidR="00393915" w:rsidRDefault="00F24D68">
            <w:pPr>
              <w:pStyle w:val="P68B1DB1-TableParagraph13"/>
              <w:spacing w:before="108"/>
              <w:ind w:left="85"/>
              <w:jc w:val="both"/>
              <w:rPr>
                <w:b/>
              </w:rPr>
            </w:pPr>
            <w:r>
              <w:t>Subjekti se utvrđuju dosljedno u svim predlošcima.</w:t>
            </w:r>
          </w:p>
        </w:tc>
      </w:tr>
      <w:tr w:rsidR="00393915" w14:paraId="7FE1B372" w14:textId="77777777">
        <w:tc>
          <w:tcPr>
            <w:tcW w:w="0" w:type="auto"/>
            <w:tcBorders>
              <w:top w:val="single" w:sz="4" w:space="0" w:color="1A171C"/>
              <w:left w:val="nil"/>
              <w:bottom w:val="single" w:sz="4" w:space="0" w:color="1A171C"/>
              <w:right w:val="single" w:sz="4" w:space="0" w:color="1A171C"/>
            </w:tcBorders>
          </w:tcPr>
          <w:p w14:paraId="7FE1B359" w14:textId="77777777" w:rsidR="00393915" w:rsidRDefault="00F24D68">
            <w:pPr>
              <w:pStyle w:val="P68B1DB1-TableParagraph13"/>
              <w:spacing w:before="106"/>
              <w:ind w:left="-1"/>
            </w:pPr>
            <w:r>
              <w:t>0040</w:t>
            </w:r>
          </w:p>
        </w:tc>
        <w:tc>
          <w:tcPr>
            <w:tcW w:w="0" w:type="auto"/>
            <w:tcBorders>
              <w:top w:val="single" w:sz="4" w:space="0" w:color="1A171C"/>
              <w:left w:val="single" w:sz="4" w:space="0" w:color="1A171C"/>
              <w:bottom w:val="single" w:sz="4" w:space="0" w:color="1A171C"/>
              <w:right w:val="nil"/>
            </w:tcBorders>
          </w:tcPr>
          <w:p w14:paraId="7FE1B35A" w14:textId="77777777" w:rsidR="00393915" w:rsidRDefault="00F24D68">
            <w:pPr>
              <w:pStyle w:val="P68B1DB1-TableParagraph14"/>
              <w:spacing w:before="108"/>
              <w:ind w:left="85"/>
            </w:pPr>
            <w:r>
              <w:t>Vrsta subjekta</w:t>
            </w:r>
          </w:p>
          <w:p w14:paraId="7FE1B35B" w14:textId="77777777" w:rsidR="00393915" w:rsidRDefault="00F24D68">
            <w:pPr>
              <w:pStyle w:val="P68B1DB1-TableParagraph13"/>
              <w:spacing w:before="108"/>
              <w:ind w:left="85"/>
            </w:pPr>
            <w:r>
              <w:t>Vrsta subjekta, po redoslijedu prvenstva, jedna je od sljedećih:</w:t>
            </w:r>
          </w:p>
          <w:p w14:paraId="7FE1B35C" w14:textId="77777777" w:rsidR="00393915" w:rsidRDefault="00F24D68">
            <w:pPr>
              <w:pStyle w:val="P68B1DB1-TableParagraph13"/>
              <w:numPr>
                <w:ilvl w:val="0"/>
                <w:numId w:val="67"/>
              </w:numPr>
              <w:spacing w:before="108"/>
            </w:pPr>
            <w:r>
              <w:t>„Kreditna institucija”</w:t>
            </w:r>
          </w:p>
          <w:p w14:paraId="7FE1B35D" w14:textId="65944FBA" w:rsidR="00393915" w:rsidRDefault="00696533">
            <w:pPr>
              <w:pStyle w:val="TableParagraph"/>
              <w:spacing w:before="108"/>
              <w:ind w:left="445"/>
              <w:rPr>
                <w:rFonts w:ascii="Times New Roman" w:hAnsi="Times New Roman" w:cs="Times New Roman"/>
                <w:color w:val="000000" w:themeColor="text1"/>
                <w:sz w:val="20"/>
                <w:szCs w:val="20"/>
              </w:rPr>
            </w:pPr>
            <w:r w:rsidRPr="00F83F66">
              <w:rPr>
                <w:rFonts w:ascii="Times New Roman" w:hAnsi="Times New Roman"/>
                <w:color w:val="000000" w:themeColor="text1"/>
              </w:rPr>
              <w:t xml:space="preserve">Ova kategorija </w:t>
            </w:r>
            <w:r w:rsidR="00F24D68">
              <w:rPr>
                <w:rFonts w:ascii="Times New Roman" w:hAnsi="Times New Roman" w:cs="Times New Roman"/>
                <w:color w:val="000000" w:themeColor="text1"/>
                <w:sz w:val="20"/>
                <w:szCs w:val="20"/>
              </w:rPr>
              <w:t>obuhvaća kreditne institucije kako su definirane u članku 4. stavku 1. točki 1. Uredbe (EU) br. 575/2013, ne uključujući subjekte iz članka 2. stavka 5. Direktive (EU) 2013/36/EU</w:t>
            </w:r>
            <w:r w:rsidR="00F24D68">
              <w:rPr>
                <w:rStyle w:val="FootnoteReference"/>
                <w:rFonts w:ascii="Times New Roman" w:hAnsi="Times New Roman" w:cs="Times New Roman"/>
                <w:color w:val="000000" w:themeColor="text1"/>
              </w:rPr>
              <w:footnoteReference w:id="7"/>
            </w:r>
            <w:r w:rsidR="00F24D68">
              <w:rPr>
                <w:rFonts w:ascii="Times New Roman" w:hAnsi="Times New Roman" w:cs="Times New Roman"/>
                <w:color w:val="000000" w:themeColor="text1"/>
                <w:sz w:val="20"/>
                <w:szCs w:val="20"/>
              </w:rPr>
              <w:t xml:space="preserve">; </w:t>
            </w:r>
          </w:p>
          <w:p w14:paraId="7FE1B35E" w14:textId="74CE88F3" w:rsidR="00393915" w:rsidRDefault="00F24D68">
            <w:pPr>
              <w:pStyle w:val="P68B1DB1-TableParagraph13"/>
              <w:numPr>
                <w:ilvl w:val="0"/>
                <w:numId w:val="67"/>
              </w:numPr>
              <w:spacing w:before="108"/>
            </w:pPr>
            <w:r>
              <w:t>„Investicijsko društvo koje podliježe zahtjevu u pogledu inicijalnog kapitala utvrđenom u članku 9. stavku 1. Direktive (EU) 2019/2034”</w:t>
            </w:r>
          </w:p>
          <w:p w14:paraId="7FE1B35F" w14:textId="3246B488" w:rsidR="00393915" w:rsidRDefault="00F24D68">
            <w:pPr>
              <w:pStyle w:val="TableParagraph"/>
              <w:spacing w:before="108"/>
              <w:ind w:left="445"/>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Ova kategorija obuhvaća investicijska društva kako su definirana u članku 4. stavku 1. točki 22. Uredbe (EU) 2019/2033</w:t>
            </w:r>
            <w:r>
              <w:rPr>
                <w:rStyle w:val="FootnoteReference"/>
                <w:rFonts w:ascii="Times New Roman" w:hAnsi="Times New Roman" w:cs="Times New Roman"/>
                <w:color w:val="000000" w:themeColor="text1"/>
              </w:rPr>
              <w:footnoteReference w:id="8"/>
            </w:r>
            <w:r>
              <w:rPr>
                <w:rFonts w:ascii="Times New Roman" w:hAnsi="Times New Roman" w:cs="Times New Roman"/>
                <w:color w:val="000000" w:themeColor="text1"/>
                <w:sz w:val="20"/>
                <w:szCs w:val="20"/>
              </w:rPr>
              <w:t xml:space="preserve"> koja podliježu zahtjevu u pogledu inicijalnog kapitala utvrđenom u članku 9. stavku 1. Direktive (EU) 2019/2034</w:t>
            </w:r>
            <w:r>
              <w:rPr>
                <w:rStyle w:val="FootnoteReference"/>
                <w:rFonts w:ascii="Times New Roman" w:hAnsi="Times New Roman" w:cs="Times New Roman"/>
                <w:color w:val="000000" w:themeColor="text1"/>
              </w:rPr>
              <w:footnoteReference w:id="9"/>
            </w:r>
            <w:r>
              <w:rPr>
                <w:rFonts w:ascii="Times New Roman" w:hAnsi="Times New Roman" w:cs="Times New Roman"/>
                <w:color w:val="000000" w:themeColor="text1"/>
                <w:sz w:val="20"/>
                <w:szCs w:val="20"/>
              </w:rPr>
              <w:t>.</w:t>
            </w:r>
          </w:p>
          <w:p w14:paraId="7FE1B360" w14:textId="7DAA7575" w:rsidR="00393915" w:rsidRDefault="00F24D68">
            <w:pPr>
              <w:pStyle w:val="P68B1DB1-TableParagraph13"/>
              <w:numPr>
                <w:ilvl w:val="0"/>
                <w:numId w:val="67"/>
              </w:numPr>
              <w:spacing w:before="108"/>
            </w:pPr>
            <w:r>
              <w:t>„Investicijsko društvo koje ne podliježe zahtjevu u pogledu inicijalnog kapitala utvrđenom u članku 9. stavku 1. Direktive (EU) 2019/2034”;</w:t>
            </w:r>
          </w:p>
          <w:p w14:paraId="7FE1B361" w14:textId="77777777" w:rsidR="00393915" w:rsidRDefault="00F24D68">
            <w:pPr>
              <w:pStyle w:val="P68B1DB1-TableParagraph13"/>
              <w:numPr>
                <w:ilvl w:val="0"/>
                <w:numId w:val="67"/>
              </w:numPr>
              <w:spacing w:before="108"/>
            </w:pPr>
            <w:r>
              <w:t>„Financijska institucija”</w:t>
            </w:r>
          </w:p>
          <w:p w14:paraId="7FE1B362" w14:textId="77777777" w:rsidR="00393915" w:rsidRDefault="00F24D68">
            <w:pPr>
              <w:pStyle w:val="P68B1DB1-TableParagraph13"/>
              <w:spacing w:before="108"/>
              <w:ind w:left="445"/>
            </w:pPr>
            <w:r>
              <w:t>Ova kategorija obuhvaća financijske institucije kako su definirane u članku 4. stavku 1. točki 26. Uredbe (EU) br. 575/2013, osim onih koje su klasificirane kao „holding” kako je opisano u točki (e) u nastavku;</w:t>
            </w:r>
          </w:p>
          <w:p w14:paraId="7FE1B363" w14:textId="77777777" w:rsidR="00393915" w:rsidRDefault="00F24D68">
            <w:pPr>
              <w:pStyle w:val="P68B1DB1-TableParagraph13"/>
              <w:numPr>
                <w:ilvl w:val="0"/>
                <w:numId w:val="67"/>
              </w:numPr>
              <w:spacing w:before="108"/>
            </w:pPr>
            <w:r>
              <w:t>„Holding”</w:t>
            </w:r>
          </w:p>
          <w:p w14:paraId="7FE1B364" w14:textId="77777777" w:rsidR="00393915" w:rsidRDefault="00F24D68">
            <w:pPr>
              <w:pStyle w:val="P68B1DB1-TableParagraph13"/>
              <w:spacing w:before="108"/>
              <w:ind w:left="445"/>
            </w:pPr>
            <w:r>
              <w:t>Ova kategorija obuhvaća bilo što od sljedećeg:</w:t>
            </w:r>
          </w:p>
          <w:p w14:paraId="7FE1B365" w14:textId="77777777" w:rsidR="00393915" w:rsidRDefault="00F24D68">
            <w:pPr>
              <w:pStyle w:val="P68B1DB1-TableParagraph13"/>
              <w:numPr>
                <w:ilvl w:val="0"/>
                <w:numId w:val="68"/>
              </w:numPr>
              <w:spacing w:before="108"/>
            </w:pPr>
            <w:r>
              <w:lastRenderedPageBreak/>
              <w:t>Financijski holding kako je definiran u članku 4. stavku 1. točki 20. Uredbe (EU) br. 575/2013,</w:t>
            </w:r>
          </w:p>
          <w:p w14:paraId="7FE1B366" w14:textId="77777777" w:rsidR="00393915" w:rsidRDefault="00F24D68">
            <w:pPr>
              <w:pStyle w:val="P68B1DB1-TableParagraph13"/>
              <w:numPr>
                <w:ilvl w:val="0"/>
                <w:numId w:val="68"/>
              </w:numPr>
              <w:spacing w:before="108"/>
            </w:pPr>
            <w:r>
              <w:t>Mješoviti financijski holding kako je definiran u članku 4. stavku 1. točki 21. Uredbe (EU) br. 575/2013,</w:t>
            </w:r>
          </w:p>
          <w:p w14:paraId="7FE1B367" w14:textId="77777777" w:rsidR="00393915" w:rsidRDefault="00F24D68">
            <w:pPr>
              <w:pStyle w:val="P68B1DB1-TableParagraph13"/>
              <w:numPr>
                <w:ilvl w:val="0"/>
                <w:numId w:val="68"/>
              </w:numPr>
              <w:spacing w:before="108"/>
            </w:pPr>
            <w:r>
              <w:t>Mješoviti holding kako je definiran u članku 4. stavku 1. točki 22. Uredbe (EU) br. 575/2013,</w:t>
            </w:r>
          </w:p>
          <w:p w14:paraId="7FE1B368" w14:textId="77777777" w:rsidR="00393915" w:rsidRDefault="00F24D68">
            <w:pPr>
              <w:pStyle w:val="P68B1DB1-TableParagraph13"/>
              <w:numPr>
                <w:ilvl w:val="0"/>
                <w:numId w:val="68"/>
              </w:numPr>
              <w:spacing w:before="108"/>
            </w:pPr>
            <w:r>
              <w:t>Matični financijski holdinzi kako su definirani u članku 4. stavku 1. točki 30. Uredbe (EU) br. 575/2013,</w:t>
            </w:r>
          </w:p>
          <w:p w14:paraId="7FE1B369" w14:textId="77777777" w:rsidR="00393915" w:rsidRDefault="00F24D68">
            <w:pPr>
              <w:pStyle w:val="P68B1DB1-TableParagraph13"/>
              <w:numPr>
                <w:ilvl w:val="0"/>
                <w:numId w:val="68"/>
              </w:numPr>
              <w:spacing w:before="108"/>
            </w:pPr>
            <w:r>
              <w:t>Matični financijski holding iz Unije kako je definiran u članku 4. stavku 1. točki 31. Uredbe (EU) br. 575/2013,</w:t>
            </w:r>
          </w:p>
          <w:p w14:paraId="7FE1B36A" w14:textId="77777777" w:rsidR="00393915" w:rsidRDefault="00F24D68">
            <w:pPr>
              <w:pStyle w:val="P68B1DB1-TableParagraph13"/>
              <w:numPr>
                <w:ilvl w:val="0"/>
                <w:numId w:val="68"/>
              </w:numPr>
              <w:spacing w:before="108"/>
            </w:pPr>
            <w:r>
              <w:t>Matični mješoviti financijski holding u državi članici kako je definiran u članku 4. stavku 1. točki 32. Uredbe (EU) br. 575/2013,</w:t>
            </w:r>
          </w:p>
          <w:p w14:paraId="7FE1B36B" w14:textId="77777777" w:rsidR="00393915" w:rsidRDefault="00F24D68">
            <w:pPr>
              <w:pStyle w:val="P68B1DB1-TableParagraph13"/>
              <w:numPr>
                <w:ilvl w:val="0"/>
                <w:numId w:val="68"/>
              </w:numPr>
              <w:spacing w:before="108"/>
            </w:pPr>
            <w:r>
              <w:t>Matični mješoviti financijski holding iz Unije kako je definiran u članku 4. stavku 1. točki 33. Uredbe (EU) br. 575/2013;</w:t>
            </w:r>
          </w:p>
          <w:p w14:paraId="7FE1B36C" w14:textId="0F68F780" w:rsidR="00393915" w:rsidRDefault="00F24D68">
            <w:pPr>
              <w:pStyle w:val="P68B1DB1-TableParagraph13"/>
              <w:numPr>
                <w:ilvl w:val="0"/>
                <w:numId w:val="67"/>
              </w:numPr>
              <w:spacing w:before="108"/>
            </w:pPr>
            <w:r>
              <w:t>„Društvo za osiguranje”</w:t>
            </w:r>
          </w:p>
          <w:p w14:paraId="7FE1B36D" w14:textId="77777777" w:rsidR="00393915" w:rsidRDefault="00F24D68">
            <w:pPr>
              <w:pStyle w:val="P68B1DB1-TableParagraph16"/>
              <w:numPr>
                <w:ilvl w:val="0"/>
                <w:numId w:val="68"/>
              </w:numPr>
              <w:spacing w:before="108"/>
              <w:rPr>
                <w:color w:val="000000" w:themeColor="text1"/>
                <w:sz w:val="20"/>
                <w:szCs w:val="20"/>
              </w:rPr>
            </w:pPr>
            <w:r>
              <w:rPr>
                <w:color w:val="000000" w:themeColor="text1"/>
                <w:sz w:val="20"/>
                <w:szCs w:val="20"/>
              </w:rPr>
              <w:t>Ova kategorija obuhvaća društva za osiguranje kako su definirana u članku 13. Direktive 2009/138/EZ Europskog parlamenta i Vijeća</w:t>
            </w:r>
            <w:r>
              <w:footnoteReference w:id="10"/>
            </w:r>
            <w:r>
              <w:rPr>
                <w:color w:val="000000" w:themeColor="text1"/>
                <w:sz w:val="20"/>
                <w:szCs w:val="20"/>
              </w:rPr>
              <w:t>;</w:t>
            </w:r>
          </w:p>
          <w:p w14:paraId="7FE1B36E" w14:textId="50C98B07" w:rsidR="00393915" w:rsidRDefault="00F24D68">
            <w:pPr>
              <w:pStyle w:val="P68B1DB1-TableParagraph13"/>
              <w:numPr>
                <w:ilvl w:val="0"/>
                <w:numId w:val="67"/>
              </w:numPr>
              <w:spacing w:before="108"/>
            </w:pPr>
            <w:r>
              <w:t xml:space="preserve">„Pružatelj relevantnih usluga” unutar grupe, povezan s ključnim funkcijama i/ili značajnim </w:t>
            </w:r>
            <w:r w:rsidR="00494073">
              <w:t>ekonomskim</w:t>
            </w:r>
            <w:r>
              <w:t xml:space="preserve"> djelatnostima.</w:t>
            </w:r>
          </w:p>
          <w:p w14:paraId="7FE1B370" w14:textId="77777777" w:rsidR="00393915" w:rsidRDefault="00393915">
            <w:pPr>
              <w:pStyle w:val="TableParagraph"/>
              <w:spacing w:before="108"/>
              <w:rPr>
                <w:rFonts w:ascii="Times New Roman" w:hAnsi="Times New Roman" w:cs="Times New Roman"/>
                <w:color w:val="000000" w:themeColor="text1"/>
                <w:sz w:val="20"/>
                <w:szCs w:val="20"/>
              </w:rPr>
            </w:pPr>
          </w:p>
          <w:p w14:paraId="7FE1B371" w14:textId="77777777" w:rsidR="00393915" w:rsidRDefault="00F24D68">
            <w:pPr>
              <w:pStyle w:val="P68B1DB1-TableParagraph16"/>
              <w:numPr>
                <w:ilvl w:val="0"/>
                <w:numId w:val="67"/>
              </w:numPr>
              <w:spacing w:before="108"/>
              <w:rPr>
                <w:color w:val="000000" w:themeColor="text1"/>
                <w:sz w:val="20"/>
                <w:szCs w:val="20"/>
              </w:rPr>
            </w:pPr>
            <w:r>
              <w:rPr>
                <w:color w:val="000000" w:themeColor="text1"/>
                <w:sz w:val="20"/>
                <w:szCs w:val="20"/>
              </w:rPr>
              <w:t>„Druga vrsta subjekta” ako subjekt nije obuhvaćen nijednom od prethodno navedenih kategorija.</w:t>
            </w:r>
            <w:r>
              <w:br/>
            </w:r>
            <w:r>
              <w:rPr>
                <w:color w:val="000000" w:themeColor="text1"/>
                <w:sz w:val="20"/>
                <w:szCs w:val="20"/>
              </w:rPr>
              <w:t>(tj. važan pružatelj financiranja)</w:t>
            </w:r>
          </w:p>
        </w:tc>
      </w:tr>
      <w:tr w:rsidR="00393915" w14:paraId="7FE1B376" w14:textId="77777777">
        <w:tc>
          <w:tcPr>
            <w:tcW w:w="0" w:type="auto"/>
            <w:tcBorders>
              <w:top w:val="single" w:sz="4" w:space="0" w:color="1A171C"/>
              <w:left w:val="nil"/>
              <w:bottom w:val="single" w:sz="4" w:space="0" w:color="1A171C"/>
              <w:right w:val="single" w:sz="4" w:space="0" w:color="1A171C"/>
            </w:tcBorders>
          </w:tcPr>
          <w:p w14:paraId="7FE1B373" w14:textId="77777777" w:rsidR="00393915" w:rsidRDefault="00F24D68">
            <w:pPr>
              <w:pStyle w:val="P68B1DB1-TableParagraph13"/>
              <w:spacing w:before="106"/>
              <w:ind w:left="-1"/>
            </w:pPr>
            <w:r>
              <w:t>0050</w:t>
            </w:r>
          </w:p>
        </w:tc>
        <w:tc>
          <w:tcPr>
            <w:tcW w:w="0" w:type="auto"/>
            <w:tcBorders>
              <w:top w:val="single" w:sz="4" w:space="0" w:color="1A171C"/>
              <w:left w:val="single" w:sz="4" w:space="0" w:color="1A171C"/>
              <w:bottom w:val="single" w:sz="4" w:space="0" w:color="1A171C"/>
              <w:right w:val="nil"/>
            </w:tcBorders>
          </w:tcPr>
          <w:p w14:paraId="7FE1B374" w14:textId="77777777" w:rsidR="00393915" w:rsidRDefault="00F24D68">
            <w:pPr>
              <w:pStyle w:val="P68B1DB1-TableParagraph14"/>
              <w:spacing w:before="108"/>
              <w:ind w:left="85"/>
            </w:pPr>
            <w:r>
              <w:t>Država</w:t>
            </w:r>
          </w:p>
          <w:p w14:paraId="7FE1B375" w14:textId="77777777" w:rsidR="00393915" w:rsidRDefault="00F24D68">
            <w:pPr>
              <w:pStyle w:val="P68B1DB1-TableParagraph13"/>
              <w:spacing w:before="108"/>
              <w:ind w:left="85"/>
              <w:jc w:val="both"/>
            </w:pPr>
            <w:r>
              <w:t>Oznaka ISO 3166 – 1-alfa-2 zemlje u kojoj je subjekt osnovan, koja može biti država članica ili treća zemlja.</w:t>
            </w:r>
          </w:p>
        </w:tc>
      </w:tr>
      <w:tr w:rsidR="00393915" w14:paraId="7FE1B37A" w14:textId="77777777">
        <w:tc>
          <w:tcPr>
            <w:tcW w:w="0" w:type="auto"/>
            <w:tcBorders>
              <w:top w:val="single" w:sz="4" w:space="0" w:color="1A171C"/>
              <w:left w:val="nil"/>
              <w:bottom w:val="single" w:sz="4" w:space="0" w:color="1A171C"/>
              <w:right w:val="single" w:sz="4" w:space="0" w:color="1A171C"/>
            </w:tcBorders>
          </w:tcPr>
          <w:p w14:paraId="7FE1B377" w14:textId="77777777" w:rsidR="00393915" w:rsidRDefault="00F24D68">
            <w:pPr>
              <w:pStyle w:val="P68B1DB1-TableParagraph13"/>
              <w:spacing w:before="106"/>
              <w:ind w:left="-1"/>
            </w:pPr>
            <w:r>
              <w:t>0055</w:t>
            </w:r>
          </w:p>
        </w:tc>
        <w:tc>
          <w:tcPr>
            <w:tcW w:w="0" w:type="auto"/>
            <w:tcBorders>
              <w:top w:val="single" w:sz="4" w:space="0" w:color="1A171C"/>
              <w:left w:val="single" w:sz="4" w:space="0" w:color="1A171C"/>
              <w:bottom w:val="single" w:sz="4" w:space="0" w:color="1A171C"/>
              <w:right w:val="nil"/>
            </w:tcBorders>
          </w:tcPr>
          <w:p w14:paraId="7FE1B378" w14:textId="5EE76A53" w:rsidR="00393915" w:rsidRDefault="00F24D68">
            <w:pPr>
              <w:pStyle w:val="P68B1DB1-TableParagraph14"/>
              <w:spacing w:before="108"/>
              <w:ind w:left="85"/>
            </w:pPr>
            <w:r>
              <w:t xml:space="preserve">LEI POE-a </w:t>
            </w:r>
            <w:r>
              <w:t>sanacij</w:t>
            </w:r>
            <w:r w:rsidR="00494073">
              <w:t xml:space="preserve">ske </w:t>
            </w:r>
            <w:r w:rsidR="00494073">
              <w:t>grupe</w:t>
            </w:r>
          </w:p>
          <w:p w14:paraId="7FE1B379" w14:textId="6EE6E9BC" w:rsidR="00393915" w:rsidRDefault="00F24D68">
            <w:pPr>
              <w:pStyle w:val="P68B1DB1-TableParagraph13"/>
              <w:spacing w:before="108"/>
              <w:ind w:left="85"/>
              <w:rPr>
                <w:bCs/>
              </w:rPr>
            </w:pPr>
            <w:r>
              <w:t xml:space="preserve">Oznaka LEI kojom se utvrđuje </w:t>
            </w:r>
            <w:r w:rsidR="00494073">
              <w:t>točka</w:t>
            </w:r>
            <w:r>
              <w:t xml:space="preserve"> pristupanja sanacijske grupe kojoj pripada subjekt naveden pod 0010.</w:t>
            </w:r>
          </w:p>
        </w:tc>
      </w:tr>
      <w:tr w:rsidR="00393915" w14:paraId="7FE1B386" w14:textId="77777777">
        <w:tc>
          <w:tcPr>
            <w:tcW w:w="0" w:type="auto"/>
            <w:tcBorders>
              <w:top w:val="single" w:sz="4" w:space="0" w:color="1A171C"/>
              <w:left w:val="nil"/>
              <w:bottom w:val="single" w:sz="4" w:space="0" w:color="1A171C"/>
              <w:right w:val="single" w:sz="4" w:space="0" w:color="1A171C"/>
            </w:tcBorders>
          </w:tcPr>
          <w:p w14:paraId="7FE1B381" w14:textId="77777777" w:rsidR="00393915" w:rsidRDefault="00F24D68">
            <w:pPr>
              <w:pStyle w:val="P68B1DB1-TableParagraph13"/>
              <w:spacing w:before="106"/>
              <w:ind w:left="-1"/>
            </w:pPr>
            <w:r>
              <w:t>0070</w:t>
            </w:r>
          </w:p>
        </w:tc>
        <w:tc>
          <w:tcPr>
            <w:tcW w:w="0" w:type="auto"/>
            <w:tcBorders>
              <w:top w:val="single" w:sz="4" w:space="0" w:color="1A171C"/>
              <w:left w:val="single" w:sz="4" w:space="0" w:color="1A171C"/>
              <w:bottom w:val="single" w:sz="4" w:space="0" w:color="1A171C"/>
              <w:right w:val="nil"/>
            </w:tcBorders>
          </w:tcPr>
          <w:p w14:paraId="7FE1B382" w14:textId="77777777" w:rsidR="00393915" w:rsidRDefault="00F24D68">
            <w:pPr>
              <w:pStyle w:val="P68B1DB1-TableParagraph14"/>
              <w:spacing w:before="108"/>
              <w:ind w:left="85"/>
              <w:jc w:val="both"/>
              <w:rPr>
                <w:bCs/>
              </w:rPr>
            </w:pPr>
            <w:r>
              <w:t>Izuzeće iz članka 7. Uredbe o kapitalnim zahtjevima (CRR)</w:t>
            </w:r>
          </w:p>
          <w:p w14:paraId="7FE1B383" w14:textId="77777777" w:rsidR="00393915" w:rsidRDefault="00F24D68">
            <w:pPr>
              <w:pStyle w:val="P68B1DB1-TableParagraph13"/>
              <w:spacing w:before="108"/>
              <w:ind w:left="85"/>
              <w:jc w:val="both"/>
            </w:pPr>
            <w:r>
              <w:t>Iskazuju se sljedeće kratice:</w:t>
            </w:r>
          </w:p>
          <w:p w14:paraId="7FE1B384" w14:textId="6DF8D995" w:rsidR="00393915" w:rsidRDefault="00F24D68">
            <w:pPr>
              <w:pStyle w:val="P68B1DB1-TableParagraph13"/>
              <w:spacing w:before="108"/>
              <w:ind w:left="85"/>
              <w:jc w:val="both"/>
            </w:pPr>
            <w:r>
              <w:t>Da – ako je nadležno tijelo odobrilo izuzeće od primjene članka 6. stavka 1. Uredbe (EU) br. 575/2013 u skladu s člankom 7. Uredbe (EU) br. 575/2013,</w:t>
            </w:r>
          </w:p>
          <w:p w14:paraId="7FE1B385" w14:textId="7EC01EC3" w:rsidR="00393915" w:rsidRDefault="00F24D68">
            <w:pPr>
              <w:pStyle w:val="P68B1DB1-TableParagraph13"/>
              <w:spacing w:before="108"/>
              <w:ind w:left="85"/>
              <w:jc w:val="both"/>
              <w:rPr>
                <w:b/>
              </w:rPr>
            </w:pPr>
            <w:r>
              <w:t>N – ako ga nije primijenilo.</w:t>
            </w:r>
          </w:p>
        </w:tc>
      </w:tr>
      <w:tr w:rsidR="00393915" w14:paraId="7FE1B38D" w14:textId="77777777">
        <w:tc>
          <w:tcPr>
            <w:tcW w:w="1064" w:type="dxa"/>
            <w:tcBorders>
              <w:top w:val="single" w:sz="4" w:space="0" w:color="1A171C"/>
              <w:left w:val="nil"/>
              <w:bottom w:val="single" w:sz="4" w:space="0" w:color="1A171C"/>
              <w:right w:val="single" w:sz="4" w:space="0" w:color="1A171C"/>
            </w:tcBorders>
          </w:tcPr>
          <w:p w14:paraId="7FE1B387" w14:textId="77777777" w:rsidR="00393915" w:rsidRDefault="00F24D68">
            <w:pPr>
              <w:pStyle w:val="P68B1DB1-TableParagraph13"/>
            </w:pPr>
            <w:r>
              <w:t>0080</w:t>
            </w:r>
          </w:p>
        </w:tc>
        <w:tc>
          <w:tcPr>
            <w:tcW w:w="7962" w:type="dxa"/>
            <w:tcBorders>
              <w:top w:val="single" w:sz="4" w:space="0" w:color="1A171C"/>
              <w:left w:val="single" w:sz="4" w:space="0" w:color="1A171C"/>
              <w:bottom w:val="single" w:sz="4" w:space="0" w:color="1A171C"/>
              <w:right w:val="nil"/>
            </w:tcBorders>
          </w:tcPr>
          <w:p w14:paraId="7FE1B388" w14:textId="77777777" w:rsidR="00393915" w:rsidRDefault="00F24D68">
            <w:pPr>
              <w:pStyle w:val="P68B1DB1-TableParagraph14"/>
              <w:jc w:val="both"/>
              <w:rPr>
                <w:bCs/>
              </w:rPr>
            </w:pPr>
            <w:r>
              <w:t>Izuzeće iz članka 8. Uredbe o kapitalnim zahtjevima (CRR)</w:t>
            </w:r>
          </w:p>
          <w:p w14:paraId="7FE1B389" w14:textId="77777777" w:rsidR="00393915" w:rsidRDefault="00393915">
            <w:pPr>
              <w:pStyle w:val="TableParagraph"/>
              <w:jc w:val="both"/>
              <w:rPr>
                <w:rFonts w:ascii="Times New Roman" w:hAnsi="Times New Roman" w:cs="Times New Roman"/>
                <w:b/>
                <w:bCs/>
                <w:color w:val="000000" w:themeColor="text1"/>
                <w:sz w:val="20"/>
                <w:szCs w:val="20"/>
              </w:rPr>
            </w:pPr>
          </w:p>
          <w:p w14:paraId="7FE1B38A" w14:textId="77777777" w:rsidR="00393915" w:rsidRDefault="00F24D68">
            <w:pPr>
              <w:pStyle w:val="P68B1DB1-TableParagraph13"/>
              <w:spacing w:before="108"/>
              <w:ind w:left="85"/>
              <w:jc w:val="both"/>
            </w:pPr>
            <w:r>
              <w:t>Iskazuju se sljedeće kratice:</w:t>
            </w:r>
          </w:p>
          <w:p w14:paraId="7FE1B38B" w14:textId="7BE12ED7" w:rsidR="00393915" w:rsidRDefault="00F24D68">
            <w:pPr>
              <w:pStyle w:val="P68B1DB1-TableParagraph13"/>
              <w:spacing w:before="108"/>
              <w:ind w:left="85"/>
              <w:jc w:val="both"/>
            </w:pPr>
            <w:r>
              <w:t>Da – ako je nadležno tijelo odobrilo izuzeće od primjene dijela šest Uredbe (EU) br. 575/2013 u skladu s člankom 8. Uredbe (EU) br. 575/2013,</w:t>
            </w:r>
          </w:p>
          <w:p w14:paraId="7FE1B38C" w14:textId="08CEF953" w:rsidR="00393915" w:rsidRDefault="00F24D68">
            <w:pPr>
              <w:pStyle w:val="P68B1DB1-TableParagraph13"/>
              <w:jc w:val="both"/>
              <w:rPr>
                <w:b/>
                <w:bCs/>
              </w:rPr>
            </w:pPr>
            <w:r>
              <w:t>N – ako ga nije primijenilo.</w:t>
            </w:r>
          </w:p>
        </w:tc>
      </w:tr>
      <w:tr w:rsidR="00393915" w14:paraId="7FE1B395" w14:textId="77777777">
        <w:tc>
          <w:tcPr>
            <w:tcW w:w="1064" w:type="dxa"/>
            <w:tcBorders>
              <w:top w:val="single" w:sz="4" w:space="0" w:color="1A171C"/>
              <w:left w:val="nil"/>
              <w:bottom w:val="single" w:sz="4" w:space="0" w:color="1A171C"/>
              <w:right w:val="single" w:sz="4" w:space="0" w:color="1A171C"/>
            </w:tcBorders>
          </w:tcPr>
          <w:p w14:paraId="7FE1B38E" w14:textId="77777777" w:rsidR="00393915" w:rsidRDefault="00F24D68">
            <w:pPr>
              <w:pStyle w:val="P68B1DB1-TableParagraph13"/>
            </w:pPr>
            <w:r>
              <w:lastRenderedPageBreak/>
              <w:t>0090</w:t>
            </w:r>
          </w:p>
        </w:tc>
        <w:tc>
          <w:tcPr>
            <w:tcW w:w="7962" w:type="dxa"/>
            <w:tcBorders>
              <w:top w:val="single" w:sz="4" w:space="0" w:color="1A171C"/>
              <w:left w:val="single" w:sz="4" w:space="0" w:color="1A171C"/>
              <w:bottom w:val="single" w:sz="4" w:space="0" w:color="1A171C"/>
              <w:right w:val="nil"/>
            </w:tcBorders>
          </w:tcPr>
          <w:p w14:paraId="7FE1B38F" w14:textId="77777777" w:rsidR="00393915" w:rsidRDefault="00F24D68">
            <w:pPr>
              <w:pStyle w:val="P68B1DB1-TableParagraph14"/>
              <w:jc w:val="both"/>
              <w:rPr>
                <w:bCs/>
              </w:rPr>
            </w:pPr>
            <w:r>
              <w:t>Podložno članku 9. CRR-a</w:t>
            </w:r>
          </w:p>
          <w:p w14:paraId="7FE1B390" w14:textId="77777777" w:rsidR="00393915" w:rsidRDefault="00393915">
            <w:pPr>
              <w:pStyle w:val="TableParagraph"/>
              <w:jc w:val="both"/>
              <w:rPr>
                <w:rFonts w:ascii="Times New Roman" w:hAnsi="Times New Roman" w:cs="Times New Roman"/>
                <w:b/>
                <w:bCs/>
                <w:color w:val="000000" w:themeColor="text1"/>
                <w:sz w:val="20"/>
                <w:szCs w:val="20"/>
              </w:rPr>
            </w:pPr>
          </w:p>
          <w:p w14:paraId="7FE1B391" w14:textId="77777777" w:rsidR="00393915" w:rsidRDefault="00F24D68">
            <w:pPr>
              <w:pStyle w:val="P68B1DB1-TableParagraph13"/>
              <w:spacing w:before="108"/>
              <w:ind w:left="85"/>
              <w:jc w:val="both"/>
            </w:pPr>
            <w:r>
              <w:t>Iskazuju se sljedeće kratice:</w:t>
            </w:r>
          </w:p>
          <w:p w14:paraId="7FE1B392" w14:textId="30A38992" w:rsidR="00393915" w:rsidRDefault="00F24D68">
            <w:pPr>
              <w:pStyle w:val="P68B1DB1-TableParagraph13"/>
              <w:spacing w:before="108"/>
              <w:ind w:left="85"/>
              <w:jc w:val="both"/>
            </w:pPr>
            <w:r>
              <w:t xml:space="preserve">Da – ako subjekt ispunjava uvjete iz članka 7. stavka 1. točaka (c) i (d) i ako su njegove značajne izloženosti ili značajne obveze prema matičnoj instituciji </w:t>
            </w:r>
            <w:r w:rsidRPr="00F83F66">
              <w:rPr>
                <w:highlight w:val="yellow"/>
              </w:rPr>
              <w:t>Uredba (EU) br. 575/2013</w:t>
            </w:r>
            <w:r>
              <w:t xml:space="preserve"> u skladu s člankom 8. Uredbe (EU) br. 575/2013 te su stoga uključene u izračun zahtjeva matične institucije u skladu s člankom 6. stavkom 1.</w:t>
            </w:r>
          </w:p>
          <w:p w14:paraId="7FE1B393" w14:textId="0CE17CBC" w:rsidR="00393915" w:rsidRDefault="00F24D68">
            <w:pPr>
              <w:pStyle w:val="P68B1DB1-TableParagraph13"/>
              <w:jc w:val="both"/>
              <w:rPr>
                <w:b/>
                <w:bCs/>
              </w:rPr>
            </w:pPr>
            <w:r>
              <w:t>N – ako ga nije primijenilo.</w:t>
            </w:r>
          </w:p>
          <w:p w14:paraId="7FE1B394" w14:textId="77777777" w:rsidR="00393915" w:rsidRDefault="00393915">
            <w:pPr>
              <w:pStyle w:val="TableParagraph"/>
              <w:jc w:val="both"/>
              <w:rPr>
                <w:rFonts w:ascii="Times New Roman" w:hAnsi="Times New Roman" w:cs="Times New Roman"/>
                <w:b/>
                <w:bCs/>
                <w:color w:val="000000" w:themeColor="text1"/>
                <w:sz w:val="20"/>
                <w:szCs w:val="20"/>
              </w:rPr>
            </w:pPr>
          </w:p>
        </w:tc>
      </w:tr>
      <w:tr w:rsidR="00393915" w14:paraId="7FE1B39B" w14:textId="77777777">
        <w:tc>
          <w:tcPr>
            <w:tcW w:w="0" w:type="auto"/>
            <w:tcBorders>
              <w:top w:val="single" w:sz="4" w:space="0" w:color="1A171C"/>
              <w:left w:val="nil"/>
              <w:bottom w:val="single" w:sz="4" w:space="0" w:color="1A171C"/>
              <w:right w:val="single" w:sz="4" w:space="0" w:color="1A171C"/>
            </w:tcBorders>
          </w:tcPr>
          <w:p w14:paraId="7FE1B396" w14:textId="5DE190C9" w:rsidR="00393915" w:rsidRDefault="00F24D68">
            <w:pPr>
              <w:pStyle w:val="P68B1DB1-TableParagraph13"/>
              <w:spacing w:before="106"/>
              <w:ind w:left="-1"/>
            </w:pPr>
            <w:r>
              <w:t>0100</w:t>
            </w:r>
          </w:p>
        </w:tc>
        <w:tc>
          <w:tcPr>
            <w:tcW w:w="0" w:type="auto"/>
            <w:tcBorders>
              <w:top w:val="single" w:sz="4" w:space="0" w:color="1A171C"/>
              <w:left w:val="single" w:sz="4" w:space="0" w:color="1A171C"/>
              <w:bottom w:val="single" w:sz="4" w:space="0" w:color="1A171C"/>
              <w:right w:val="nil"/>
            </w:tcBorders>
          </w:tcPr>
          <w:p w14:paraId="7FE1B397" w14:textId="77777777" w:rsidR="00393915" w:rsidRDefault="00F24D68">
            <w:pPr>
              <w:pStyle w:val="P68B1DB1-TableParagraph14"/>
              <w:spacing w:before="108"/>
              <w:ind w:left="85"/>
              <w:jc w:val="both"/>
            </w:pPr>
            <w:r>
              <w:t>Izuzeće iz članka 10. Uredbe o kapitalnim zahtjevima (CRR)</w:t>
            </w:r>
          </w:p>
          <w:p w14:paraId="7FE1B398" w14:textId="77777777" w:rsidR="00393915" w:rsidRDefault="00F24D68">
            <w:pPr>
              <w:pStyle w:val="P68B1DB1-TableParagraph13"/>
              <w:spacing w:before="108"/>
              <w:ind w:left="85"/>
              <w:jc w:val="both"/>
            </w:pPr>
            <w:r>
              <w:t>Iskazuju se sljedeće kratice:</w:t>
            </w:r>
          </w:p>
          <w:p w14:paraId="7FE1B399" w14:textId="249CB221" w:rsidR="00393915" w:rsidRDefault="00F24D68">
            <w:pPr>
              <w:pStyle w:val="P68B1DB1-TableParagraph13"/>
              <w:spacing w:before="108"/>
              <w:ind w:left="85"/>
              <w:jc w:val="both"/>
            </w:pPr>
            <w:r>
              <w:t>Da – ako je nadležno tijelo primijenilo izuzeće u skladu s člankom 10. Uredbe (EU) br. 575/2013,</w:t>
            </w:r>
          </w:p>
          <w:p w14:paraId="7FE1B39A" w14:textId="2A6A5A7B" w:rsidR="00393915" w:rsidRDefault="00F24D68">
            <w:pPr>
              <w:pStyle w:val="P68B1DB1-TableParagraph13"/>
              <w:spacing w:before="108"/>
              <w:ind w:left="85"/>
              <w:jc w:val="both"/>
              <w:rPr>
                <w:b/>
              </w:rPr>
            </w:pPr>
            <w:r>
              <w:t>N – ako ga nije primijenilo.</w:t>
            </w:r>
          </w:p>
        </w:tc>
      </w:tr>
      <w:tr w:rsidR="00393915" w14:paraId="7FE1B39F" w14:textId="77777777">
        <w:tc>
          <w:tcPr>
            <w:tcW w:w="0" w:type="auto"/>
            <w:tcBorders>
              <w:top w:val="single" w:sz="4" w:space="0" w:color="1A171C"/>
              <w:left w:val="nil"/>
              <w:bottom w:val="single" w:sz="4" w:space="0" w:color="1A171C"/>
              <w:right w:val="single" w:sz="4" w:space="0" w:color="1A171C"/>
            </w:tcBorders>
          </w:tcPr>
          <w:p w14:paraId="7FE1B39C" w14:textId="317C5200" w:rsidR="00393915" w:rsidRDefault="00F24D68">
            <w:pPr>
              <w:pStyle w:val="P68B1DB1-TableParagraph13"/>
              <w:spacing w:before="106"/>
              <w:ind w:left="-1"/>
            </w:pPr>
            <w:r>
              <w:t>0110</w:t>
            </w:r>
          </w:p>
        </w:tc>
        <w:tc>
          <w:tcPr>
            <w:tcW w:w="0" w:type="auto"/>
            <w:tcBorders>
              <w:top w:val="single" w:sz="4" w:space="0" w:color="1A171C"/>
              <w:left w:val="single" w:sz="4" w:space="0" w:color="1A171C"/>
              <w:bottom w:val="single" w:sz="4" w:space="0" w:color="1A171C"/>
              <w:right w:val="nil"/>
            </w:tcBorders>
          </w:tcPr>
          <w:p w14:paraId="7FE1B39D" w14:textId="77777777" w:rsidR="00393915" w:rsidRDefault="00F24D68">
            <w:pPr>
              <w:pStyle w:val="P68B1DB1-TableParagraph14"/>
              <w:spacing w:before="108"/>
              <w:jc w:val="both"/>
            </w:pPr>
            <w:r>
              <w:t>Ukupna imovina</w:t>
            </w:r>
          </w:p>
          <w:p w14:paraId="7FE1B39E" w14:textId="77777777" w:rsidR="00393915" w:rsidRDefault="00F24D68">
            <w:pPr>
              <w:pStyle w:val="P68B1DB1-TableParagraph13"/>
              <w:spacing w:before="108"/>
              <w:jc w:val="both"/>
              <w:rPr>
                <w:b/>
              </w:rPr>
            </w:pPr>
            <w:r>
              <w:t>Ukupna imovina kako je definirana za FINREP {F 01.01;380,010}</w:t>
            </w:r>
          </w:p>
        </w:tc>
      </w:tr>
      <w:tr w:rsidR="00393915" w14:paraId="7FE1B3AC" w14:textId="77777777">
        <w:tc>
          <w:tcPr>
            <w:tcW w:w="0" w:type="auto"/>
            <w:tcBorders>
              <w:top w:val="single" w:sz="4" w:space="0" w:color="1A171C"/>
              <w:left w:val="nil"/>
              <w:bottom w:val="single" w:sz="4" w:space="0" w:color="1A171C"/>
              <w:right w:val="single" w:sz="4" w:space="0" w:color="1A171C"/>
            </w:tcBorders>
          </w:tcPr>
          <w:p w14:paraId="7FE1B3A8" w14:textId="69999557" w:rsidR="00393915" w:rsidRDefault="00F24D68">
            <w:pPr>
              <w:pStyle w:val="P68B1DB1-TableParagraph13"/>
              <w:spacing w:before="106"/>
              <w:ind w:left="-1"/>
            </w:pPr>
            <w:r>
              <w:t>0150</w:t>
            </w:r>
          </w:p>
        </w:tc>
        <w:tc>
          <w:tcPr>
            <w:tcW w:w="0" w:type="auto"/>
            <w:tcBorders>
              <w:top w:val="single" w:sz="4" w:space="0" w:color="1A171C"/>
              <w:left w:val="single" w:sz="4" w:space="0" w:color="1A171C"/>
              <w:bottom w:val="single" w:sz="4" w:space="0" w:color="1A171C"/>
              <w:right w:val="nil"/>
            </w:tcBorders>
          </w:tcPr>
          <w:p w14:paraId="7FE1B3A9" w14:textId="77777777" w:rsidR="00393915" w:rsidRDefault="00F24D68">
            <w:pPr>
              <w:pStyle w:val="P68B1DB1-TableParagraph14"/>
              <w:spacing w:before="108"/>
              <w:jc w:val="both"/>
            </w:pPr>
            <w:r>
              <w:t>Ukupan iznos izloženosti riziku</w:t>
            </w:r>
          </w:p>
          <w:p w14:paraId="7FE1B3AA" w14:textId="2BA1CD9B" w:rsidR="00393915" w:rsidRDefault="00F24D68">
            <w:pPr>
              <w:pStyle w:val="P68B1DB1-TableParagraph13"/>
              <w:spacing w:before="108"/>
              <w:jc w:val="both"/>
            </w:pPr>
            <w:r>
              <w:t xml:space="preserve">Ukupni iznos izloženosti riziku kako je definiran za COREP (OF): </w:t>
            </w:r>
            <w:r w:rsidR="00F80927" w:rsidRPr="00BB7A2E">
              <w:rPr>
                <w:spacing w:val="-2"/>
                <w:w w:val="95"/>
              </w:rPr>
              <w:t>{</w:t>
            </w:r>
            <w:r>
              <w:t>C</w:t>
            </w:r>
            <w:r>
              <w:t xml:space="preserve"> 02.00;010;010;010</w:t>
            </w:r>
            <w:r w:rsidR="002A3E3E" w:rsidRPr="002A3E3E">
              <w:t>}</w:t>
            </w:r>
          </w:p>
          <w:p w14:paraId="7FE1B3AB" w14:textId="77777777" w:rsidR="00393915" w:rsidRDefault="00F24D68">
            <w:pPr>
              <w:pStyle w:val="P68B1DB1-TableParagraph13"/>
              <w:spacing w:before="108"/>
              <w:jc w:val="both"/>
              <w:rPr>
                <w:b/>
              </w:rPr>
            </w:pPr>
            <w:r>
              <w:t>Ova se stavka ne iskazuje za subjekte koji nisu institucije i subjekte na koje se primjenjuje izuzeće u skladu s člankom 7. ili člankom 10. Uredbe (EU) br. 575/2013.</w:t>
            </w:r>
          </w:p>
        </w:tc>
      </w:tr>
      <w:tr w:rsidR="00393915" w14:paraId="7FE1B3B1" w14:textId="77777777">
        <w:tc>
          <w:tcPr>
            <w:tcW w:w="0" w:type="auto"/>
            <w:tcBorders>
              <w:top w:val="single" w:sz="4" w:space="0" w:color="1A171C"/>
              <w:left w:val="nil"/>
              <w:bottom w:val="single" w:sz="4" w:space="0" w:color="1A171C"/>
              <w:right w:val="single" w:sz="4" w:space="0" w:color="1A171C"/>
            </w:tcBorders>
          </w:tcPr>
          <w:p w14:paraId="7FE1B3AD" w14:textId="47BF222F" w:rsidR="00393915" w:rsidRDefault="00F24D68">
            <w:pPr>
              <w:pStyle w:val="P68B1DB1-TableParagraph13"/>
              <w:spacing w:before="106"/>
              <w:ind w:left="-1"/>
            </w:pPr>
            <w:r>
              <w:t>0160</w:t>
            </w:r>
          </w:p>
        </w:tc>
        <w:tc>
          <w:tcPr>
            <w:tcW w:w="0" w:type="auto"/>
            <w:tcBorders>
              <w:top w:val="single" w:sz="4" w:space="0" w:color="1A171C"/>
              <w:left w:val="single" w:sz="4" w:space="0" w:color="1A171C"/>
              <w:bottom w:val="single" w:sz="4" w:space="0" w:color="1A171C"/>
              <w:right w:val="nil"/>
            </w:tcBorders>
          </w:tcPr>
          <w:p w14:paraId="7FE1B3AE" w14:textId="0A8F3447" w:rsidR="00393915" w:rsidRDefault="00F24D68">
            <w:pPr>
              <w:pStyle w:val="P68B1DB1-TableParagraph14"/>
              <w:spacing w:before="108"/>
              <w:ind w:left="85"/>
              <w:jc w:val="both"/>
            </w:pPr>
            <w:r>
              <w:t>Mjera ukupne izloženosti</w:t>
            </w:r>
          </w:p>
          <w:p w14:paraId="7FE1B3AF" w14:textId="795973F8" w:rsidR="00393915" w:rsidRDefault="00F24D68">
            <w:pPr>
              <w:pStyle w:val="P68B1DB1-TableParagraph13"/>
              <w:spacing w:before="108"/>
              <w:ind w:left="85"/>
              <w:jc w:val="both"/>
            </w:pPr>
            <w:r>
              <w:t xml:space="preserve">Mjera ukupne izloženosti omjera financijske poluge kako je definirano za COREP (LR): </w:t>
            </w:r>
            <w:r w:rsidR="002A3E3E" w:rsidRPr="00BB7A2E">
              <w:rPr>
                <w:spacing w:val="-2"/>
                <w:w w:val="95"/>
              </w:rPr>
              <w:t>{</w:t>
            </w:r>
            <w:r>
              <w:t>C</w:t>
            </w:r>
            <w:r>
              <w:t xml:space="preserve"> 47.00;0290;0010</w:t>
            </w:r>
            <w:r w:rsidR="00B578EC" w:rsidRPr="002A3E3E">
              <w:t>}</w:t>
            </w:r>
          </w:p>
          <w:p w14:paraId="7FE1B3B0" w14:textId="77777777" w:rsidR="00393915" w:rsidRDefault="00F24D68">
            <w:pPr>
              <w:pStyle w:val="P68B1DB1-TableParagraph13"/>
              <w:spacing w:before="108"/>
              <w:ind w:left="85"/>
              <w:jc w:val="both"/>
            </w:pPr>
            <w:r>
              <w:t>Ova se stavka ne iskazuje za subjekte koji nisu institucije i subjekte na koje se primjenjuje izuzeće u skladu s člankom 7. ili člankom 10. Uredbe (EU) br. 575/2013.</w:t>
            </w:r>
          </w:p>
        </w:tc>
      </w:tr>
      <w:tr w:rsidR="00393915" w14:paraId="7FE1B3B7" w14:textId="77777777">
        <w:tc>
          <w:tcPr>
            <w:tcW w:w="1064" w:type="dxa"/>
            <w:tcBorders>
              <w:top w:val="single" w:sz="4" w:space="0" w:color="1A171C"/>
              <w:left w:val="nil"/>
              <w:bottom w:val="single" w:sz="4" w:space="0" w:color="1A171C"/>
              <w:right w:val="single" w:sz="4" w:space="0" w:color="1A171C"/>
            </w:tcBorders>
          </w:tcPr>
          <w:p w14:paraId="7FE1B3B2" w14:textId="3946F821" w:rsidR="00393915" w:rsidRDefault="00F24D68">
            <w:pPr>
              <w:pStyle w:val="P68B1DB1-TableParagraph13"/>
            </w:pPr>
            <w:r>
              <w:t>0170</w:t>
            </w:r>
          </w:p>
        </w:tc>
        <w:tc>
          <w:tcPr>
            <w:tcW w:w="7962" w:type="dxa"/>
            <w:tcBorders>
              <w:top w:val="single" w:sz="4" w:space="0" w:color="1A171C"/>
              <w:left w:val="single" w:sz="4" w:space="0" w:color="1A171C"/>
              <w:bottom w:val="single" w:sz="4" w:space="0" w:color="1A171C"/>
              <w:right w:val="nil"/>
            </w:tcBorders>
          </w:tcPr>
          <w:p w14:paraId="7FE1B3B3" w14:textId="77C2E7ED" w:rsidR="00393915" w:rsidRDefault="00F24D68">
            <w:pPr>
              <w:pStyle w:val="P68B1DB1-TableParagraph14"/>
              <w:jc w:val="both"/>
              <w:rPr>
                <w:bCs/>
              </w:rPr>
            </w:pPr>
            <w:r>
              <w:t>Ukupni prihodi</w:t>
            </w:r>
            <w:r w:rsidR="004B6FE1">
              <w:t xml:space="preserve"> iz poslovanja</w:t>
            </w:r>
          </w:p>
          <w:p w14:paraId="7FE1B3B4" w14:textId="77777777" w:rsidR="00393915" w:rsidRDefault="00393915">
            <w:pPr>
              <w:pStyle w:val="TableParagraph"/>
              <w:jc w:val="both"/>
              <w:rPr>
                <w:rFonts w:ascii="Times New Roman" w:hAnsi="Times New Roman" w:cs="Times New Roman"/>
                <w:b/>
                <w:bCs/>
                <w:color w:val="000000" w:themeColor="text1"/>
                <w:sz w:val="20"/>
                <w:szCs w:val="20"/>
              </w:rPr>
            </w:pPr>
          </w:p>
          <w:p w14:paraId="7FE1B3B5" w14:textId="75612907" w:rsidR="00393915" w:rsidRDefault="00F24D68">
            <w:pPr>
              <w:pStyle w:val="P68B1DB1-TableParagraph13"/>
              <w:jc w:val="both"/>
            </w:pPr>
            <w:r>
              <w:t xml:space="preserve">Ukupni prihodi </w:t>
            </w:r>
            <w:r w:rsidR="004B6FE1">
              <w:t>iz</w:t>
            </w:r>
            <w:r>
              <w:t xml:space="preserve"> poslovanja kako su definirani u FINREP-u </w:t>
            </w:r>
            <w:r w:rsidR="004B6FE1" w:rsidRPr="00BB7A2E">
              <w:rPr>
                <w:spacing w:val="-2"/>
                <w:w w:val="95"/>
              </w:rPr>
              <w:t>{</w:t>
            </w:r>
            <w:r>
              <w:t>F</w:t>
            </w:r>
            <w:r>
              <w:t xml:space="preserve"> 02.00;355;010</w:t>
            </w:r>
            <w:r w:rsidR="004B6FE1" w:rsidRPr="002A3E3E">
              <w:t>}</w:t>
            </w:r>
          </w:p>
          <w:p w14:paraId="7FE1B3B6" w14:textId="77777777" w:rsidR="00393915" w:rsidRDefault="00393915">
            <w:pPr>
              <w:pStyle w:val="TableParagraph"/>
              <w:jc w:val="both"/>
              <w:rPr>
                <w:rFonts w:ascii="Times New Roman" w:hAnsi="Times New Roman" w:cs="Times New Roman"/>
                <w:b/>
                <w:bCs/>
                <w:color w:val="000000" w:themeColor="text1"/>
                <w:sz w:val="20"/>
                <w:szCs w:val="20"/>
              </w:rPr>
            </w:pPr>
          </w:p>
        </w:tc>
      </w:tr>
      <w:tr w:rsidR="00393915" w14:paraId="7FE1B3C2" w14:textId="77777777">
        <w:tc>
          <w:tcPr>
            <w:tcW w:w="0" w:type="auto"/>
            <w:tcBorders>
              <w:top w:val="single" w:sz="4" w:space="0" w:color="1A171C"/>
              <w:left w:val="nil"/>
              <w:bottom w:val="single" w:sz="4" w:space="0" w:color="1A171C"/>
              <w:right w:val="single" w:sz="4" w:space="0" w:color="1A171C"/>
            </w:tcBorders>
          </w:tcPr>
          <w:p w14:paraId="7FE1B3BD" w14:textId="66D829AD" w:rsidR="00393915" w:rsidRDefault="00F24D68">
            <w:pPr>
              <w:pStyle w:val="P68B1DB1-TableParagraph13"/>
              <w:spacing w:before="106"/>
              <w:ind w:left="-1"/>
            </w:pPr>
            <w:r>
              <w:t>0210</w:t>
            </w:r>
          </w:p>
        </w:tc>
        <w:tc>
          <w:tcPr>
            <w:tcW w:w="0" w:type="auto"/>
            <w:tcBorders>
              <w:top w:val="single" w:sz="4" w:space="0" w:color="1A171C"/>
              <w:left w:val="single" w:sz="4" w:space="0" w:color="1A171C"/>
              <w:bottom w:val="single" w:sz="4" w:space="0" w:color="1A171C"/>
              <w:right w:val="nil"/>
            </w:tcBorders>
          </w:tcPr>
          <w:p w14:paraId="7FE1B3BE" w14:textId="77777777" w:rsidR="00393915" w:rsidRDefault="00F24D68">
            <w:pPr>
              <w:pStyle w:val="P68B1DB1-TableParagraph14"/>
              <w:spacing w:before="108"/>
              <w:jc w:val="both"/>
            </w:pPr>
            <w:r>
              <w:t>Računovodstveni standard</w:t>
            </w:r>
          </w:p>
          <w:p w14:paraId="7FE1B3BF" w14:textId="77777777" w:rsidR="00393915" w:rsidRDefault="00F24D68">
            <w:pPr>
              <w:pStyle w:val="P68B1DB1-TableParagraph13"/>
              <w:spacing w:before="108"/>
              <w:jc w:val="both"/>
            </w:pPr>
            <w:r>
              <w:t>Računovodstveni standardi koje subjekt primjenjuje. Iskazuju se sljedeće kratice:</w:t>
            </w:r>
          </w:p>
          <w:p w14:paraId="7FE1B3C0" w14:textId="77777777" w:rsidR="00393915" w:rsidRDefault="00F24D68">
            <w:pPr>
              <w:pStyle w:val="P68B1DB1-TableParagraph13"/>
              <w:numPr>
                <w:ilvl w:val="0"/>
                <w:numId w:val="68"/>
              </w:numPr>
              <w:spacing w:before="108"/>
              <w:jc w:val="both"/>
            </w:pPr>
            <w:r>
              <w:t>MSFI</w:t>
            </w:r>
          </w:p>
          <w:p w14:paraId="7FE1B3C1" w14:textId="77777777" w:rsidR="00393915" w:rsidRDefault="00F24D68">
            <w:pPr>
              <w:pStyle w:val="P68B1DB1-TableParagraph13"/>
              <w:numPr>
                <w:ilvl w:val="0"/>
                <w:numId w:val="68"/>
              </w:numPr>
              <w:spacing w:before="108"/>
              <w:jc w:val="both"/>
            </w:pPr>
            <w:r>
              <w:t>nGAAP.</w:t>
            </w:r>
          </w:p>
        </w:tc>
      </w:tr>
      <w:tr w:rsidR="00393915" w14:paraId="7FE1B3D6" w14:textId="77777777">
        <w:tc>
          <w:tcPr>
            <w:tcW w:w="0" w:type="auto"/>
            <w:tcBorders>
              <w:top w:val="single" w:sz="4" w:space="0" w:color="1A171C"/>
              <w:left w:val="nil"/>
              <w:bottom w:val="single" w:sz="4" w:space="0" w:color="1A171C"/>
              <w:right w:val="single" w:sz="4" w:space="0" w:color="1A171C"/>
            </w:tcBorders>
          </w:tcPr>
          <w:p w14:paraId="7FE1B3D3" w14:textId="4630F860" w:rsidR="00393915" w:rsidRDefault="00F24D68">
            <w:pPr>
              <w:pStyle w:val="P68B1DB1-TableParagraph13"/>
              <w:spacing w:before="106"/>
              <w:ind w:left="-1"/>
            </w:pPr>
            <w:r>
              <w:t>0260</w:t>
            </w:r>
          </w:p>
        </w:tc>
        <w:tc>
          <w:tcPr>
            <w:tcW w:w="0" w:type="auto"/>
            <w:tcBorders>
              <w:top w:val="single" w:sz="4" w:space="0" w:color="1A171C"/>
              <w:left w:val="single" w:sz="4" w:space="0" w:color="1A171C"/>
              <w:bottom w:val="single" w:sz="4" w:space="0" w:color="1A171C"/>
              <w:right w:val="nil"/>
            </w:tcBorders>
          </w:tcPr>
          <w:p w14:paraId="7FE1B3D4" w14:textId="5FB54654" w:rsidR="00393915" w:rsidRDefault="00F24D68">
            <w:pPr>
              <w:pStyle w:val="P68B1DB1-TableParagraph14"/>
              <w:spacing w:before="108"/>
              <w:jc w:val="both"/>
            </w:pPr>
            <w:r>
              <w:t xml:space="preserve">Doprinos ukupnom konsolidiranom iznosu izloženosti riziku </w:t>
            </w:r>
          </w:p>
          <w:p w14:paraId="7FE1B3D5" w14:textId="77777777" w:rsidR="00393915" w:rsidRDefault="00F24D68">
            <w:pPr>
              <w:pStyle w:val="P68B1DB1-TableParagraph13"/>
              <w:spacing w:before="108"/>
              <w:jc w:val="both"/>
              <w:rPr>
                <w:b/>
              </w:rPr>
            </w:pPr>
            <w:r>
              <w:t xml:space="preserve">Iznos doprinosa subjekta ukupnom konsolidiranom iznosu izloženosti riziku grupe na koju se izvješće odnosi. </w:t>
            </w:r>
          </w:p>
        </w:tc>
      </w:tr>
      <w:tr w:rsidR="00393915" w14:paraId="7FE1B3DA" w14:textId="77777777">
        <w:trPr>
          <w:trHeight w:val="749"/>
        </w:trPr>
        <w:tc>
          <w:tcPr>
            <w:tcW w:w="0" w:type="auto"/>
            <w:tcBorders>
              <w:top w:val="single" w:sz="4" w:space="0" w:color="1A171C"/>
              <w:left w:val="nil"/>
              <w:bottom w:val="single" w:sz="4" w:space="0" w:color="1A171C"/>
              <w:right w:val="single" w:sz="4" w:space="0" w:color="1A171C"/>
            </w:tcBorders>
          </w:tcPr>
          <w:p w14:paraId="7FE1B3D7" w14:textId="6D78C08C" w:rsidR="00393915" w:rsidRDefault="00F24D68">
            <w:pPr>
              <w:pStyle w:val="P68B1DB1-TableParagraph13"/>
              <w:spacing w:before="106"/>
              <w:ind w:left="-1"/>
            </w:pPr>
            <w:r>
              <w:t>0270</w:t>
            </w:r>
          </w:p>
        </w:tc>
        <w:tc>
          <w:tcPr>
            <w:tcW w:w="0" w:type="auto"/>
            <w:tcBorders>
              <w:top w:val="single" w:sz="4" w:space="0" w:color="1A171C"/>
              <w:left w:val="single" w:sz="4" w:space="0" w:color="1A171C"/>
              <w:bottom w:val="single" w:sz="4" w:space="0" w:color="1A171C"/>
              <w:right w:val="nil"/>
            </w:tcBorders>
          </w:tcPr>
          <w:p w14:paraId="7FE1B3D8" w14:textId="5A329240" w:rsidR="00393915" w:rsidRDefault="00F24D68">
            <w:pPr>
              <w:pStyle w:val="P68B1DB1-TableParagraph14"/>
              <w:spacing w:before="108"/>
              <w:ind w:left="85"/>
              <w:jc w:val="both"/>
            </w:pPr>
            <w:r>
              <w:t>Doprinos konsolidiranoj mjeri ukupne izloženosti</w:t>
            </w:r>
          </w:p>
          <w:p w14:paraId="7FE1B3D9" w14:textId="61219862" w:rsidR="00393915" w:rsidRDefault="00F24D68">
            <w:pPr>
              <w:pStyle w:val="P68B1DB1-TableParagraph13"/>
              <w:spacing w:before="108"/>
              <w:ind w:left="85"/>
              <w:jc w:val="both"/>
              <w:rPr>
                <w:b/>
              </w:rPr>
            </w:pPr>
            <w:r>
              <w:t>Iznos doprinosa subjekta ukupnoj mjeri izloženosti grupe na koju se izvješće odnosi.</w:t>
            </w:r>
          </w:p>
        </w:tc>
      </w:tr>
      <w:tr w:rsidR="00393915" w14:paraId="7FE1B3DF" w14:textId="77777777">
        <w:trPr>
          <w:trHeight w:val="749"/>
        </w:trPr>
        <w:tc>
          <w:tcPr>
            <w:tcW w:w="1064" w:type="dxa"/>
            <w:tcBorders>
              <w:top w:val="single" w:sz="4" w:space="0" w:color="1A171C"/>
              <w:left w:val="nil"/>
              <w:bottom w:val="single" w:sz="4" w:space="0" w:color="1A171C"/>
              <w:right w:val="single" w:sz="4" w:space="0" w:color="1A171C"/>
            </w:tcBorders>
          </w:tcPr>
          <w:p w14:paraId="7FE1B3DB" w14:textId="60DFE076" w:rsidR="00393915" w:rsidRDefault="00F24D68">
            <w:pPr>
              <w:pStyle w:val="P68B1DB1-TableParagraph13"/>
            </w:pPr>
            <w:r>
              <w:t>0280</w:t>
            </w:r>
          </w:p>
        </w:tc>
        <w:tc>
          <w:tcPr>
            <w:tcW w:w="7962" w:type="dxa"/>
            <w:tcBorders>
              <w:top w:val="single" w:sz="4" w:space="0" w:color="1A171C"/>
              <w:left w:val="single" w:sz="4" w:space="0" w:color="1A171C"/>
              <w:bottom w:val="single" w:sz="4" w:space="0" w:color="1A171C"/>
              <w:right w:val="nil"/>
            </w:tcBorders>
          </w:tcPr>
          <w:p w14:paraId="7FE1B3DC" w14:textId="2B6FDC64" w:rsidR="00393915" w:rsidRDefault="00F24D68">
            <w:pPr>
              <w:pStyle w:val="P68B1DB1-TableParagraph14"/>
              <w:jc w:val="both"/>
              <w:rPr>
                <w:bCs/>
              </w:rPr>
            </w:pPr>
            <w:r>
              <w:t xml:space="preserve">Doprinos konsolidiranom prihodu </w:t>
            </w:r>
            <w:r w:rsidR="00C537F5">
              <w:t>iz</w:t>
            </w:r>
            <w:r>
              <w:t xml:space="preserve"> poslovanja</w:t>
            </w:r>
          </w:p>
          <w:p w14:paraId="7FE1B3DD" w14:textId="77777777" w:rsidR="00393915" w:rsidRDefault="00393915">
            <w:pPr>
              <w:pStyle w:val="TableParagraph"/>
              <w:jc w:val="both"/>
              <w:rPr>
                <w:rFonts w:ascii="Times New Roman" w:hAnsi="Times New Roman" w:cs="Times New Roman"/>
                <w:color w:val="000000" w:themeColor="text1"/>
                <w:sz w:val="20"/>
                <w:szCs w:val="20"/>
              </w:rPr>
            </w:pPr>
          </w:p>
          <w:p w14:paraId="7FE1B3DE" w14:textId="7D66C310" w:rsidR="00393915" w:rsidRDefault="00F24D68">
            <w:pPr>
              <w:pStyle w:val="P68B1DB1-TableParagraph13"/>
              <w:jc w:val="both"/>
            </w:pPr>
            <w:r>
              <w:t xml:space="preserve">Iznos doprinosa subjekta ukupnom računovodstvenom konsolidiranom iznosu </w:t>
            </w:r>
            <w:r w:rsidR="00CD3732">
              <w:t>prihoda iz poslovanja</w:t>
            </w:r>
            <w:r>
              <w:t xml:space="preserve"> grupe.</w:t>
            </w:r>
          </w:p>
        </w:tc>
      </w:tr>
      <w:tr w:rsidR="00393915" w14:paraId="7FE1B3F3" w14:textId="77777777">
        <w:tc>
          <w:tcPr>
            <w:tcW w:w="0" w:type="auto"/>
            <w:tcBorders>
              <w:top w:val="single" w:sz="4" w:space="0" w:color="1A171C"/>
              <w:left w:val="nil"/>
              <w:bottom w:val="single" w:sz="4" w:space="0" w:color="1A171C"/>
              <w:right w:val="single" w:sz="4" w:space="0" w:color="1A171C"/>
            </w:tcBorders>
          </w:tcPr>
          <w:p w14:paraId="7FE1B3EF" w14:textId="434D8A04" w:rsidR="00393915" w:rsidRDefault="00F24D68">
            <w:pPr>
              <w:pStyle w:val="P68B1DB1-TableParagraph13"/>
              <w:spacing w:before="106"/>
              <w:ind w:left="-1"/>
            </w:pPr>
            <w:r>
              <w:lastRenderedPageBreak/>
              <w:t>0320</w:t>
            </w:r>
          </w:p>
        </w:tc>
        <w:tc>
          <w:tcPr>
            <w:tcW w:w="0" w:type="auto"/>
            <w:tcBorders>
              <w:top w:val="single" w:sz="4" w:space="0" w:color="1A171C"/>
              <w:left w:val="single" w:sz="4" w:space="0" w:color="1A171C"/>
              <w:bottom w:val="single" w:sz="4" w:space="0" w:color="1A171C"/>
              <w:right w:val="nil"/>
            </w:tcBorders>
          </w:tcPr>
          <w:p w14:paraId="7FE1B3F0" w14:textId="3CC98567" w:rsidR="00393915" w:rsidRDefault="00F24D68">
            <w:pPr>
              <w:pStyle w:val="P68B1DB1-TableParagraph14"/>
              <w:spacing w:before="108"/>
              <w:ind w:left="85"/>
              <w:jc w:val="both"/>
              <w:rPr>
                <w:bCs/>
              </w:rPr>
            </w:pPr>
            <w:r>
              <w:t>Relevantna pravna osoba</w:t>
            </w:r>
          </w:p>
          <w:p w14:paraId="7FE1B3F1" w14:textId="75C7B029" w:rsidR="00393915" w:rsidRDefault="00F24D68">
            <w:pPr>
              <w:pStyle w:val="P68B1DB1-TableParagraph13"/>
              <w:spacing w:before="108"/>
              <w:jc w:val="both"/>
            </w:pPr>
            <w:r>
              <w:t>Je li subjekt relevantna pravna osoba u skladu s definicijom iz članka 1. ove Uredbe.</w:t>
            </w:r>
          </w:p>
          <w:p w14:paraId="7FE1B3F2" w14:textId="0E42CD28" w:rsidR="00393915" w:rsidRDefault="00393915">
            <w:pPr>
              <w:pStyle w:val="TableParagraph"/>
              <w:spacing w:before="108"/>
              <w:jc w:val="both"/>
              <w:rPr>
                <w:rFonts w:ascii="Times New Roman" w:hAnsi="Times New Roman" w:cs="Times New Roman"/>
                <w:color w:val="000000" w:themeColor="text1"/>
                <w:sz w:val="20"/>
                <w:szCs w:val="20"/>
              </w:rPr>
            </w:pPr>
          </w:p>
        </w:tc>
      </w:tr>
    </w:tbl>
    <w:p w14:paraId="7FE1B491" w14:textId="77777777" w:rsidR="00393915" w:rsidRDefault="00393915">
      <w:pPr>
        <w:rPr>
          <w:rFonts w:ascii="Times New Roman" w:hAnsi="Times New Roman" w:cs="Times New Roman"/>
        </w:rPr>
      </w:pPr>
    </w:p>
    <w:p w14:paraId="7FE1B492" w14:textId="77777777" w:rsidR="00393915" w:rsidRDefault="00F24D68">
      <w:pPr>
        <w:pStyle w:val="P68B1DB1-Instructionsberschrift25"/>
        <w:numPr>
          <w:ilvl w:val="1"/>
          <w:numId w:val="49"/>
        </w:numPr>
        <w:ind w:left="357" w:hanging="357"/>
      </w:pPr>
      <w:bookmarkStart w:id="23" w:name="_Toc81454178"/>
      <w:bookmarkStart w:id="24" w:name="_Toc208244797"/>
      <w:r>
        <w:t>Z 01.02 – Vlasnička struktura (ORG 2)</w:t>
      </w:r>
      <w:bookmarkEnd w:id="23"/>
      <w:bookmarkEnd w:id="24"/>
    </w:p>
    <w:p w14:paraId="7FE1B493" w14:textId="77777777" w:rsidR="00393915" w:rsidRDefault="00F24D68">
      <w:pPr>
        <w:pStyle w:val="Instructionsberschrift3"/>
      </w:pPr>
      <w:r>
        <w:t>Opće napomene</w:t>
      </w:r>
    </w:p>
    <w:p w14:paraId="50A00AA9" w14:textId="77777777" w:rsidR="00393915" w:rsidRDefault="00F24D68">
      <w:pPr>
        <w:pStyle w:val="P68B1DB1-InstructionsText26"/>
        <w:numPr>
          <w:ilvl w:val="0"/>
          <w:numId w:val="234"/>
        </w:numPr>
        <w:spacing w:before="0"/>
      </w:pPr>
      <w:r>
        <w:t xml:space="preserve">U ovom se predlošku daje pregled pravne i vlasničke strukture grupe. Za sve subjekte grupe koji su obuhvaćeni opsegom računovodstvene konsolidacije dostavlja se jedinstveni predložak. </w:t>
      </w:r>
    </w:p>
    <w:p w14:paraId="7FE1B494" w14:textId="57A6BCE4" w:rsidR="00393915" w:rsidRDefault="00F24D68">
      <w:pPr>
        <w:pStyle w:val="P68B1DB1-InstructionsText26"/>
        <w:numPr>
          <w:ilvl w:val="0"/>
          <w:numId w:val="234"/>
        </w:numPr>
        <w:spacing w:before="0"/>
      </w:pPr>
      <w:r>
        <w:t xml:space="preserve">Očekuje se da će to izvješće dostaviti i sanacijski subjekti koji nisu dio grupe koja podliježe konsolidiranom nadzoru. </w:t>
      </w:r>
    </w:p>
    <w:p w14:paraId="7FE1B496" w14:textId="45EB209D" w:rsidR="00393915" w:rsidRDefault="00F24D68">
      <w:pPr>
        <w:pStyle w:val="P68B1DB1-InstructionsText26"/>
        <w:numPr>
          <w:ilvl w:val="0"/>
          <w:numId w:val="234"/>
        </w:numPr>
        <w:spacing w:before="0"/>
      </w:pPr>
      <w:r>
        <w:t xml:space="preserve">U ovom se obrascu navode svi dioničari (ili </w:t>
      </w:r>
      <w:r w:rsidR="00C02453">
        <w:t>ekvivalenti</w:t>
      </w:r>
      <w:r>
        <w:t xml:space="preserve">) subjekata grupe s više od 2 % dioničkog kapitala (ili </w:t>
      </w:r>
      <w:r w:rsidR="00C02453">
        <w:t>ekvvalenta</w:t>
      </w:r>
      <w:r>
        <w:t xml:space="preserve">) ili glasačkih prava te svi udjeli (ili </w:t>
      </w:r>
      <w:r w:rsidR="00C02453">
        <w:t>ekvivalenti</w:t>
      </w:r>
      <w:r>
        <w:t>) koje drže subjekti grupe.</w:t>
      </w:r>
    </w:p>
    <w:p w14:paraId="7FE1B497" w14:textId="77777777" w:rsidR="00393915" w:rsidRDefault="00F24D68">
      <w:pPr>
        <w:pStyle w:val="P68B1DB1-Instructionsberschrift312"/>
      </w:pPr>
      <w:r>
        <w:t>Upute za specifične pozicije</w:t>
      </w:r>
    </w:p>
    <w:tbl>
      <w:tblPr>
        <w:tblW w:w="0" w:type="auto"/>
        <w:tblCellMar>
          <w:top w:w="57" w:type="dxa"/>
          <w:left w:w="57" w:type="dxa"/>
          <w:bottom w:w="57" w:type="dxa"/>
          <w:right w:w="0" w:type="dxa"/>
        </w:tblCellMar>
        <w:tblLook w:val="01E0" w:firstRow="1" w:lastRow="1" w:firstColumn="1" w:lastColumn="1" w:noHBand="0" w:noVBand="0"/>
      </w:tblPr>
      <w:tblGrid>
        <w:gridCol w:w="746"/>
        <w:gridCol w:w="8280"/>
      </w:tblGrid>
      <w:tr w:rsidR="00393915" w14:paraId="7FE1B49B" w14:textId="77777777">
        <w:trPr>
          <w:tblHeader/>
        </w:trPr>
        <w:tc>
          <w:tcPr>
            <w:tcW w:w="0" w:type="auto"/>
            <w:tcBorders>
              <w:top w:val="single" w:sz="4" w:space="0" w:color="1A171C"/>
              <w:left w:val="nil"/>
              <w:bottom w:val="single" w:sz="4" w:space="0" w:color="1A171C"/>
              <w:right w:val="single" w:sz="4" w:space="0" w:color="1A171C"/>
            </w:tcBorders>
            <w:shd w:val="clear" w:color="auto" w:fill="E4E5E5"/>
          </w:tcPr>
          <w:p w14:paraId="7FE1B499" w14:textId="77777777" w:rsidR="00393915" w:rsidRDefault="00F24D68">
            <w:pPr>
              <w:pStyle w:val="P68B1DB1-TableParagraph13"/>
              <w:spacing w:before="66"/>
              <w:rPr>
                <w:rFonts w:eastAsia="Cambria"/>
              </w:rPr>
            </w:pPr>
            <w:r>
              <w:t>Stupci</w:t>
            </w:r>
          </w:p>
        </w:tc>
        <w:tc>
          <w:tcPr>
            <w:tcW w:w="0" w:type="auto"/>
            <w:tcBorders>
              <w:top w:val="single" w:sz="4" w:space="0" w:color="1A171C"/>
              <w:left w:val="single" w:sz="4" w:space="0" w:color="1A171C"/>
              <w:bottom w:val="single" w:sz="4" w:space="0" w:color="1A171C"/>
              <w:right w:val="nil"/>
            </w:tcBorders>
            <w:shd w:val="clear" w:color="auto" w:fill="E4E5E5"/>
          </w:tcPr>
          <w:p w14:paraId="7FE1B49A" w14:textId="77777777" w:rsidR="00393915" w:rsidRDefault="00F24D68">
            <w:pPr>
              <w:pStyle w:val="P68B1DB1-TableParagraph13"/>
              <w:spacing w:before="66"/>
              <w:ind w:right="1"/>
              <w:jc w:val="center"/>
              <w:rPr>
                <w:rFonts w:eastAsia="Cambria"/>
              </w:rPr>
            </w:pPr>
            <w:r>
              <w:t>Upute</w:t>
            </w:r>
          </w:p>
        </w:tc>
      </w:tr>
      <w:tr w:rsidR="00393915" w14:paraId="7FE1B49E" w14:textId="77777777">
        <w:tc>
          <w:tcPr>
            <w:tcW w:w="0" w:type="auto"/>
            <w:tcBorders>
              <w:top w:val="single" w:sz="4" w:space="0" w:color="1A171C"/>
              <w:left w:val="nil"/>
              <w:bottom w:val="single" w:sz="4" w:space="0" w:color="1A171C"/>
              <w:right w:val="single" w:sz="4" w:space="0" w:color="1A171C"/>
            </w:tcBorders>
          </w:tcPr>
          <w:p w14:paraId="7FE1B49C" w14:textId="77777777" w:rsidR="00393915" w:rsidRDefault="00F24D68">
            <w:pPr>
              <w:pStyle w:val="P68B1DB1-TableParagraph14"/>
              <w:spacing w:before="106"/>
              <w:ind w:left="-1"/>
              <w:rPr>
                <w:rFonts w:eastAsia="Cambria"/>
              </w:rPr>
            </w:pPr>
            <w:r>
              <w:t>0010 – 030</w:t>
            </w:r>
          </w:p>
        </w:tc>
        <w:tc>
          <w:tcPr>
            <w:tcW w:w="0" w:type="auto"/>
            <w:tcBorders>
              <w:top w:val="single" w:sz="4" w:space="0" w:color="1A171C"/>
              <w:left w:val="single" w:sz="4" w:space="0" w:color="1A171C"/>
              <w:bottom w:val="single" w:sz="4" w:space="0" w:color="1A171C"/>
              <w:right w:val="nil"/>
            </w:tcBorders>
          </w:tcPr>
          <w:p w14:paraId="7FE1B49D" w14:textId="77777777" w:rsidR="00393915" w:rsidRDefault="00F24D68">
            <w:pPr>
              <w:pStyle w:val="P68B1DB1-TableParagraph14"/>
              <w:spacing w:before="108"/>
              <w:ind w:left="85"/>
            </w:pPr>
            <w:r>
              <w:t>Ulagatelj</w:t>
            </w:r>
          </w:p>
        </w:tc>
      </w:tr>
      <w:tr w:rsidR="00393915" w14:paraId="7FE1B4A2" w14:textId="77777777">
        <w:tc>
          <w:tcPr>
            <w:tcW w:w="0" w:type="auto"/>
            <w:tcBorders>
              <w:top w:val="single" w:sz="4" w:space="0" w:color="1A171C"/>
              <w:left w:val="nil"/>
              <w:bottom w:val="single" w:sz="4" w:space="0" w:color="1A171C"/>
              <w:right w:val="single" w:sz="4" w:space="0" w:color="1A171C"/>
            </w:tcBorders>
          </w:tcPr>
          <w:p w14:paraId="7FE1B49F" w14:textId="77777777" w:rsidR="00393915" w:rsidRDefault="00F24D68">
            <w:pPr>
              <w:pStyle w:val="P68B1DB1-TableParagraph13"/>
              <w:spacing w:before="106"/>
              <w:ind w:left="-1"/>
              <w:rPr>
                <w:rFonts w:eastAsia="Cambria"/>
              </w:rPr>
            </w:pPr>
            <w:r>
              <w:t>0010</w:t>
            </w:r>
          </w:p>
        </w:tc>
        <w:tc>
          <w:tcPr>
            <w:tcW w:w="0" w:type="auto"/>
            <w:tcBorders>
              <w:top w:val="single" w:sz="4" w:space="0" w:color="1A171C"/>
              <w:left w:val="single" w:sz="4" w:space="0" w:color="1A171C"/>
              <w:bottom w:val="single" w:sz="4" w:space="0" w:color="1A171C"/>
              <w:right w:val="nil"/>
            </w:tcBorders>
            <w:vAlign w:val="center"/>
          </w:tcPr>
          <w:p w14:paraId="7FE1B4A0" w14:textId="77777777" w:rsidR="00393915" w:rsidRDefault="00F24D68">
            <w:pPr>
              <w:pStyle w:val="P68B1DB1-TableParagraph14"/>
              <w:spacing w:before="108"/>
              <w:ind w:left="85"/>
              <w:jc w:val="both"/>
              <w:rPr>
                <w:bCs/>
              </w:rPr>
            </w:pPr>
            <w:r>
              <w:t xml:space="preserve">Naziv </w:t>
            </w:r>
          </w:p>
          <w:p w14:paraId="7FE1B4A1" w14:textId="77777777" w:rsidR="00393915" w:rsidRDefault="00F24D68">
            <w:pPr>
              <w:pStyle w:val="P68B1DB1-TableParagraph17"/>
              <w:spacing w:before="108"/>
              <w:ind w:left="85"/>
              <w:rPr>
                <w:rFonts w:eastAsia="Book Antiqua"/>
              </w:rPr>
            </w:pPr>
            <w:r>
              <w:t>Puno ime ili naziv ulagatelja.</w:t>
            </w:r>
          </w:p>
        </w:tc>
      </w:tr>
      <w:tr w:rsidR="00393915" w14:paraId="7FE1B4AA" w14:textId="77777777">
        <w:tc>
          <w:tcPr>
            <w:tcW w:w="0" w:type="auto"/>
            <w:tcBorders>
              <w:top w:val="single" w:sz="4" w:space="0" w:color="1A171C"/>
              <w:left w:val="nil"/>
              <w:bottom w:val="single" w:sz="4" w:space="0" w:color="1A171C"/>
              <w:right w:val="single" w:sz="4" w:space="0" w:color="1A171C"/>
            </w:tcBorders>
          </w:tcPr>
          <w:p w14:paraId="7FE1B4A3" w14:textId="77777777" w:rsidR="00393915" w:rsidRDefault="00F24D68">
            <w:pPr>
              <w:pStyle w:val="P68B1DB1-TableParagraph13"/>
              <w:spacing w:before="106"/>
              <w:ind w:left="-1"/>
            </w:pPr>
            <w:r>
              <w:t>0020</w:t>
            </w:r>
          </w:p>
        </w:tc>
        <w:tc>
          <w:tcPr>
            <w:tcW w:w="0" w:type="auto"/>
            <w:tcBorders>
              <w:top w:val="single" w:sz="4" w:space="0" w:color="1A171C"/>
              <w:left w:val="single" w:sz="4" w:space="0" w:color="1A171C"/>
              <w:bottom w:val="single" w:sz="4" w:space="0" w:color="1A171C"/>
              <w:right w:val="nil"/>
            </w:tcBorders>
            <w:vAlign w:val="center"/>
          </w:tcPr>
          <w:p w14:paraId="7FE1B4A4" w14:textId="77777777" w:rsidR="00393915" w:rsidRDefault="00F24D68">
            <w:pPr>
              <w:pStyle w:val="P68B1DB1-TableParagraph14"/>
              <w:spacing w:before="108"/>
              <w:ind w:left="85"/>
              <w:jc w:val="both"/>
              <w:rPr>
                <w:bCs/>
              </w:rPr>
            </w:pPr>
            <w:r>
              <w:t xml:space="preserve">Oznaka </w:t>
            </w:r>
          </w:p>
          <w:p w14:paraId="7FE1B4A5" w14:textId="77777777" w:rsidR="00393915" w:rsidRDefault="00F24D68">
            <w:pPr>
              <w:pStyle w:val="P68B1DB1-TableParagraph17"/>
              <w:spacing w:before="108"/>
              <w:ind w:left="85"/>
            </w:pPr>
            <w:r>
              <w:t>Jedinstvena identifikacijska oznaka pravne osobe ili investitora navedenog u stupcu 0010.</w:t>
            </w:r>
          </w:p>
          <w:p w14:paraId="7FE1B4A6" w14:textId="77777777" w:rsidR="00393915" w:rsidRDefault="00F24D68">
            <w:pPr>
              <w:pStyle w:val="P68B1DB1-TableParagraph17"/>
              <w:spacing w:before="108"/>
              <w:ind w:left="85"/>
            </w:pPr>
            <w:r>
              <w:t>Ako je ulagač subjekt grupe, oznaka je jednaka onoj koja je iskazana u predlošku Z 01.01 (ORG 1). Ako ulagatelj nije subjekt grupe, oznaka je:</w:t>
            </w:r>
          </w:p>
          <w:p w14:paraId="7FE1B4A7" w14:textId="77777777" w:rsidR="00393915" w:rsidRDefault="00F24D68">
            <w:pPr>
              <w:pStyle w:val="P68B1DB1-TableParagraph17"/>
              <w:numPr>
                <w:ilvl w:val="0"/>
                <w:numId w:val="64"/>
              </w:numPr>
              <w:spacing w:before="108"/>
            </w:pPr>
            <w:r>
              <w:t>za institucije s identifikacijskom oznakom pravne osobe (LEI), dvadeseteroznamenkasta alfanumerička oznaka LEI;</w:t>
            </w:r>
          </w:p>
          <w:p w14:paraId="7FE1B4A8" w14:textId="7457E21A" w:rsidR="00393915" w:rsidRDefault="00F24D68">
            <w:pPr>
              <w:pStyle w:val="P68B1DB1-TableParagraph17"/>
              <w:numPr>
                <w:ilvl w:val="0"/>
                <w:numId w:val="64"/>
              </w:numPr>
              <w:spacing w:before="108"/>
            </w:pPr>
            <w:r>
              <w:t>ako nije dostupna, koristite oznaku MFI-ja ili oznaku u okviru jedinstvene kodifikacije koja se primjenjuje u Uniji.</w:t>
            </w:r>
          </w:p>
          <w:p w14:paraId="7FE1B4A9" w14:textId="77777777" w:rsidR="00393915" w:rsidRDefault="00F24D68">
            <w:pPr>
              <w:pStyle w:val="P68B1DB1-TableParagraph17"/>
              <w:spacing w:before="108"/>
              <w:ind w:left="85"/>
            </w:pPr>
            <w:r>
              <w:t>U oba slučaja, oznaka treba biti jedinstvena i primjenjuje se dosljedno u svim predlošcima.</w:t>
            </w:r>
          </w:p>
        </w:tc>
      </w:tr>
      <w:tr w:rsidR="00393915" w14:paraId="7FE1B4B3" w14:textId="77777777">
        <w:tc>
          <w:tcPr>
            <w:tcW w:w="0" w:type="auto"/>
            <w:tcBorders>
              <w:top w:val="single" w:sz="4" w:space="0" w:color="1A171C"/>
              <w:left w:val="nil"/>
              <w:bottom w:val="single" w:sz="4" w:space="0" w:color="1A171C"/>
              <w:right w:val="single" w:sz="4" w:space="0" w:color="1A171C"/>
            </w:tcBorders>
          </w:tcPr>
          <w:p w14:paraId="7FE1B4AB" w14:textId="77777777" w:rsidR="00393915" w:rsidRDefault="00F24D68">
            <w:pPr>
              <w:pStyle w:val="P68B1DB1-TableParagraph13"/>
              <w:spacing w:before="106"/>
              <w:ind w:left="-1"/>
            </w:pPr>
            <w:r>
              <w:t>0030</w:t>
            </w:r>
          </w:p>
        </w:tc>
        <w:tc>
          <w:tcPr>
            <w:tcW w:w="0" w:type="auto"/>
            <w:tcBorders>
              <w:top w:val="single" w:sz="4" w:space="0" w:color="1A171C"/>
              <w:left w:val="single" w:sz="4" w:space="0" w:color="1A171C"/>
              <w:bottom w:val="single" w:sz="4" w:space="0" w:color="1A171C"/>
              <w:right w:val="nil"/>
            </w:tcBorders>
            <w:vAlign w:val="center"/>
          </w:tcPr>
          <w:p w14:paraId="7FE1B4AC" w14:textId="77777777" w:rsidR="00393915" w:rsidRDefault="00F24D68">
            <w:pPr>
              <w:pStyle w:val="P68B1DB1-TableParagraph14"/>
              <w:spacing w:before="108"/>
              <w:ind w:left="85"/>
              <w:jc w:val="both"/>
              <w:rPr>
                <w:bCs/>
              </w:rPr>
            </w:pPr>
            <w:r>
              <w:t>Vrsta oznake</w:t>
            </w:r>
          </w:p>
          <w:p w14:paraId="560AED27" w14:textId="77777777" w:rsidR="00393915" w:rsidRDefault="00F24D68">
            <w:pPr>
              <w:pStyle w:val="P68B1DB1-Normal18"/>
            </w:pPr>
            <w:r>
              <w:t xml:space="preserve">Ako je ulagač subjekt grupe, oznaka je jednaka onoj koja je iskazana u predlošku Z 01.01 (ORG 1). </w:t>
            </w:r>
          </w:p>
          <w:p w14:paraId="2DC78FBF" w14:textId="77777777" w:rsidR="00393915" w:rsidRDefault="00393915">
            <w:pPr>
              <w:rPr>
                <w:rFonts w:ascii="Times New Roman" w:hAnsi="Times New Roman" w:cs="Times New Roman"/>
                <w:sz w:val="20"/>
                <w:szCs w:val="20"/>
              </w:rPr>
            </w:pPr>
          </w:p>
          <w:p w14:paraId="3C91DA4D" w14:textId="535D128A" w:rsidR="00393915" w:rsidRDefault="00F24D68">
            <w:pPr>
              <w:pStyle w:val="P68B1DB1-Normal19"/>
              <w:rPr>
                <w:rFonts w:eastAsiaTheme="minorHAnsi"/>
              </w:rPr>
            </w:pPr>
            <w:r>
              <w:t>Odabrati među sljedećim opcijama: „Oznaka LEI”, „oznaka MFI” ili „Vrsta identifikacijske oznake, osim LEI-ja ili MFI-ja”.</w:t>
            </w:r>
          </w:p>
          <w:p w14:paraId="7FE1B4B2" w14:textId="3BB30E19" w:rsidR="00393915" w:rsidRDefault="00F24D68">
            <w:pPr>
              <w:pStyle w:val="P68B1DB1-TableParagraph17"/>
              <w:spacing w:before="108"/>
            </w:pPr>
            <w:r>
              <w:t xml:space="preserve">Za identifikaciju subjekata ili ulagatelja, par </w:t>
            </w:r>
            <w:r>
              <w:t>oznak</w:t>
            </w:r>
            <w:r w:rsidR="00340C2F">
              <w:t>e</w:t>
            </w:r>
            <w:r>
              <w:t xml:space="preserve"> i vrste dosljedno se </w:t>
            </w:r>
            <w:r>
              <w:t>upotrebljava</w:t>
            </w:r>
            <w:r>
              <w:t xml:space="preserve"> u svim obrascima.</w:t>
            </w:r>
          </w:p>
        </w:tc>
      </w:tr>
      <w:tr w:rsidR="00393915" w14:paraId="7FE1B4B6" w14:textId="77777777">
        <w:tc>
          <w:tcPr>
            <w:tcW w:w="0" w:type="auto"/>
            <w:tcBorders>
              <w:top w:val="single" w:sz="4" w:space="0" w:color="1A171C"/>
              <w:left w:val="nil"/>
              <w:bottom w:val="single" w:sz="4" w:space="0" w:color="1A171C"/>
              <w:right w:val="single" w:sz="4" w:space="0" w:color="1A171C"/>
            </w:tcBorders>
          </w:tcPr>
          <w:p w14:paraId="7FE1B4B4" w14:textId="106DD83A" w:rsidR="00393915" w:rsidRDefault="00F24D68">
            <w:pPr>
              <w:pStyle w:val="P68B1DB1-TableParagraph13"/>
              <w:spacing w:before="106"/>
              <w:ind w:left="-1"/>
            </w:pPr>
            <w:r>
              <w:t>0040 – 070</w:t>
            </w:r>
          </w:p>
        </w:tc>
        <w:tc>
          <w:tcPr>
            <w:tcW w:w="0" w:type="auto"/>
            <w:tcBorders>
              <w:top w:val="single" w:sz="4" w:space="0" w:color="1A171C"/>
              <w:left w:val="single" w:sz="4" w:space="0" w:color="1A171C"/>
              <w:bottom w:val="single" w:sz="4" w:space="0" w:color="1A171C"/>
              <w:right w:val="nil"/>
            </w:tcBorders>
            <w:vAlign w:val="center"/>
          </w:tcPr>
          <w:p w14:paraId="7FE1B4B5" w14:textId="5F309F09" w:rsidR="00393915" w:rsidRDefault="00F24D68">
            <w:pPr>
              <w:pStyle w:val="P68B1DB1-TableParagraph14"/>
              <w:spacing w:before="108"/>
              <w:ind w:left="85"/>
              <w:jc w:val="both"/>
              <w:rPr>
                <w:bCs/>
              </w:rPr>
            </w:pPr>
            <w:r>
              <w:t xml:space="preserve">Subjekt </w:t>
            </w:r>
            <w:r w:rsidR="00885430">
              <w:t xml:space="preserve">u </w:t>
            </w:r>
            <w:r>
              <w:t>koj</w:t>
            </w:r>
            <w:r w:rsidR="00885430">
              <w:t>eg se</w:t>
            </w:r>
            <w:r>
              <w:t xml:space="preserve"> ulaže</w:t>
            </w:r>
          </w:p>
        </w:tc>
      </w:tr>
      <w:tr w:rsidR="00393915" w14:paraId="7FE1B4BA" w14:textId="77777777">
        <w:tc>
          <w:tcPr>
            <w:tcW w:w="0" w:type="auto"/>
            <w:tcBorders>
              <w:top w:val="single" w:sz="4" w:space="0" w:color="1A171C"/>
              <w:left w:val="nil"/>
              <w:bottom w:val="single" w:sz="4" w:space="0" w:color="1A171C"/>
              <w:right w:val="single" w:sz="4" w:space="0" w:color="1A171C"/>
            </w:tcBorders>
          </w:tcPr>
          <w:p w14:paraId="7FE1B4B7" w14:textId="610CD32E" w:rsidR="00393915" w:rsidRDefault="00F24D68">
            <w:pPr>
              <w:pStyle w:val="P68B1DB1-TableParagraph13"/>
              <w:spacing w:before="106"/>
              <w:ind w:left="-1"/>
            </w:pPr>
            <w:r>
              <w:lastRenderedPageBreak/>
              <w:t>0040</w:t>
            </w:r>
          </w:p>
        </w:tc>
        <w:tc>
          <w:tcPr>
            <w:tcW w:w="0" w:type="auto"/>
            <w:tcBorders>
              <w:top w:val="single" w:sz="4" w:space="0" w:color="1A171C"/>
              <w:left w:val="single" w:sz="4" w:space="0" w:color="1A171C"/>
              <w:bottom w:val="single" w:sz="4" w:space="0" w:color="1A171C"/>
              <w:right w:val="nil"/>
            </w:tcBorders>
            <w:vAlign w:val="center"/>
          </w:tcPr>
          <w:p w14:paraId="7FE1B4B8" w14:textId="77777777" w:rsidR="00393915" w:rsidRDefault="00F24D68">
            <w:pPr>
              <w:pStyle w:val="P68B1DB1-TableParagraph14"/>
              <w:spacing w:before="108"/>
              <w:ind w:left="85"/>
              <w:jc w:val="both"/>
              <w:rPr>
                <w:bCs/>
              </w:rPr>
            </w:pPr>
            <w:r>
              <w:t xml:space="preserve">Naziv </w:t>
            </w:r>
          </w:p>
          <w:p w14:paraId="7FE1B4B9" w14:textId="675200D2" w:rsidR="00393915" w:rsidRDefault="00F24D68">
            <w:pPr>
              <w:pStyle w:val="P68B1DB1-TableParagraph13"/>
              <w:spacing w:before="108"/>
              <w:ind w:left="85"/>
              <w:jc w:val="both"/>
              <w:rPr>
                <w:bCs/>
              </w:rPr>
            </w:pPr>
            <w:r>
              <w:t xml:space="preserve">Puno ime ili naziv subjekta u </w:t>
            </w:r>
            <w:r>
              <w:t>koj</w:t>
            </w:r>
            <w:r w:rsidR="00885430">
              <w:t>eg</w:t>
            </w:r>
            <w:r>
              <w:t xml:space="preserve"> se ulaže.</w:t>
            </w:r>
          </w:p>
        </w:tc>
      </w:tr>
      <w:tr w:rsidR="00393915" w14:paraId="7FE1B4C2" w14:textId="77777777">
        <w:tc>
          <w:tcPr>
            <w:tcW w:w="0" w:type="auto"/>
            <w:tcBorders>
              <w:top w:val="single" w:sz="4" w:space="0" w:color="1A171C"/>
              <w:left w:val="nil"/>
              <w:bottom w:val="single" w:sz="4" w:space="0" w:color="1A171C"/>
              <w:right w:val="single" w:sz="4" w:space="0" w:color="1A171C"/>
            </w:tcBorders>
          </w:tcPr>
          <w:p w14:paraId="7FE1B4BB" w14:textId="440E68B2" w:rsidR="00393915" w:rsidRDefault="00F24D68">
            <w:pPr>
              <w:pStyle w:val="P68B1DB1-TableParagraph13"/>
              <w:spacing w:before="106"/>
              <w:ind w:left="-1"/>
            </w:pPr>
            <w:r>
              <w:t>0050</w:t>
            </w:r>
          </w:p>
        </w:tc>
        <w:tc>
          <w:tcPr>
            <w:tcW w:w="0" w:type="auto"/>
            <w:tcBorders>
              <w:top w:val="single" w:sz="4" w:space="0" w:color="1A171C"/>
              <w:left w:val="single" w:sz="4" w:space="0" w:color="1A171C"/>
              <w:bottom w:val="single" w:sz="4" w:space="0" w:color="1A171C"/>
              <w:right w:val="nil"/>
            </w:tcBorders>
            <w:vAlign w:val="center"/>
          </w:tcPr>
          <w:p w14:paraId="7FE1B4BC" w14:textId="77777777" w:rsidR="00393915" w:rsidRDefault="00F24D68">
            <w:pPr>
              <w:pStyle w:val="P68B1DB1-TableParagraph14"/>
              <w:spacing w:before="108"/>
              <w:ind w:left="85"/>
              <w:jc w:val="both"/>
              <w:rPr>
                <w:bCs/>
              </w:rPr>
            </w:pPr>
            <w:r>
              <w:t xml:space="preserve">Oznaka </w:t>
            </w:r>
          </w:p>
          <w:p w14:paraId="7FE1B4BD" w14:textId="77777777" w:rsidR="00393915" w:rsidRDefault="00F24D68">
            <w:pPr>
              <w:pStyle w:val="P68B1DB1-TableParagraph13"/>
              <w:spacing w:before="108"/>
              <w:ind w:left="85"/>
              <w:jc w:val="both"/>
              <w:rPr>
                <w:bCs/>
              </w:rPr>
            </w:pPr>
            <w:r>
              <w:t>Jedinstvena identifikacijska oznaka pravne osobe ili investitora navedenog u stupcu 0010.</w:t>
            </w:r>
          </w:p>
          <w:p w14:paraId="7FE1B4BE" w14:textId="3C1A9B39" w:rsidR="00393915" w:rsidRDefault="00F24D68">
            <w:pPr>
              <w:pStyle w:val="P68B1DB1-TableParagraph13"/>
              <w:spacing w:before="108"/>
              <w:ind w:left="85"/>
              <w:jc w:val="both"/>
              <w:rPr>
                <w:bCs/>
              </w:rPr>
            </w:pPr>
            <w:r>
              <w:t xml:space="preserve">Ako je </w:t>
            </w:r>
            <w:r w:rsidR="00885430">
              <w:t>subjekt u kojeg se ulaže</w:t>
            </w:r>
            <w:r>
              <w:t xml:space="preserve"> subjekt grupe, oznaka je jednaka onoj koja je iskazana u predlošku Z 01.01 (ORG 1). Ako </w:t>
            </w:r>
            <w:r w:rsidR="00885430">
              <w:t>subjekt u kojeg se ulaže</w:t>
            </w:r>
            <w:r>
              <w:t xml:space="preserve"> nije subjekt grupe, oznaka tog subjekta jest:</w:t>
            </w:r>
          </w:p>
          <w:p w14:paraId="4B3351AF" w14:textId="77777777" w:rsidR="00393915" w:rsidRDefault="00F24D68">
            <w:pPr>
              <w:pStyle w:val="P68B1DB1-TableParagraph13"/>
              <w:numPr>
                <w:ilvl w:val="0"/>
                <w:numId w:val="64"/>
              </w:numPr>
              <w:spacing w:before="108"/>
              <w:rPr>
                <w:bCs/>
              </w:rPr>
            </w:pPr>
            <w:r>
              <w:t>za institucije s identifikacijskom oznakom pravne osobe (LEI), dvadeseteroznamenkasta alfanumerička oznaka LEI;</w:t>
            </w:r>
          </w:p>
          <w:p w14:paraId="7FE1B4C0" w14:textId="63C1B724" w:rsidR="00393915" w:rsidRDefault="00F24D68">
            <w:pPr>
              <w:pStyle w:val="P68B1DB1-TableParagraph13"/>
              <w:numPr>
                <w:ilvl w:val="0"/>
                <w:numId w:val="64"/>
              </w:numPr>
              <w:spacing w:before="108"/>
              <w:rPr>
                <w:bCs/>
              </w:rPr>
            </w:pPr>
            <w:r>
              <w:t>ako nije dostupna, koristite oznaku MFI-ja ili oznaku u okviru jedinstvene kodifikacije koja se primjenjuje u Uniji.</w:t>
            </w:r>
          </w:p>
          <w:p w14:paraId="7FE1B4C1" w14:textId="77777777" w:rsidR="00393915" w:rsidRDefault="00F24D68">
            <w:pPr>
              <w:pStyle w:val="P68B1DB1-TableParagraph13"/>
              <w:spacing w:before="108"/>
              <w:ind w:left="85"/>
              <w:jc w:val="both"/>
              <w:rPr>
                <w:b/>
                <w:bCs/>
              </w:rPr>
            </w:pPr>
            <w:r>
              <w:t>U oba slučaja, oznaka treba biti jedinstvena i primjenjuje se dosljedno u svim predlošcima.</w:t>
            </w:r>
          </w:p>
        </w:tc>
      </w:tr>
      <w:tr w:rsidR="00393915" w14:paraId="7FE1B4CC" w14:textId="77777777">
        <w:tc>
          <w:tcPr>
            <w:tcW w:w="0" w:type="auto"/>
            <w:tcBorders>
              <w:top w:val="single" w:sz="4" w:space="0" w:color="1A171C"/>
              <w:left w:val="nil"/>
              <w:bottom w:val="single" w:sz="4" w:space="0" w:color="1A171C"/>
              <w:right w:val="single" w:sz="4" w:space="0" w:color="1A171C"/>
            </w:tcBorders>
          </w:tcPr>
          <w:p w14:paraId="7FE1B4C3" w14:textId="5A24D200" w:rsidR="00393915" w:rsidRDefault="00F24D68">
            <w:pPr>
              <w:pStyle w:val="P68B1DB1-TableParagraph13"/>
              <w:spacing w:before="106"/>
              <w:ind w:left="-1"/>
            </w:pPr>
            <w:r>
              <w:t>0060</w:t>
            </w:r>
          </w:p>
        </w:tc>
        <w:tc>
          <w:tcPr>
            <w:tcW w:w="0" w:type="auto"/>
            <w:tcBorders>
              <w:top w:val="single" w:sz="4" w:space="0" w:color="1A171C"/>
              <w:left w:val="single" w:sz="4" w:space="0" w:color="1A171C"/>
              <w:bottom w:val="single" w:sz="4" w:space="0" w:color="1A171C"/>
              <w:right w:val="nil"/>
            </w:tcBorders>
            <w:vAlign w:val="center"/>
          </w:tcPr>
          <w:p w14:paraId="7FE1B4C4" w14:textId="77777777" w:rsidR="00393915" w:rsidRDefault="00F24D68">
            <w:pPr>
              <w:pStyle w:val="P68B1DB1-TableParagraph14"/>
              <w:spacing w:before="108"/>
              <w:ind w:left="85"/>
              <w:jc w:val="both"/>
              <w:rPr>
                <w:bCs/>
              </w:rPr>
            </w:pPr>
            <w:r>
              <w:t>Vrsta oznake</w:t>
            </w:r>
          </w:p>
          <w:p w14:paraId="7FE1B4C5" w14:textId="199BCD54" w:rsidR="00393915" w:rsidRDefault="00F24D68">
            <w:pPr>
              <w:pStyle w:val="P68B1DB1-TableParagraph13"/>
              <w:spacing w:before="108"/>
              <w:ind w:left="85"/>
              <w:jc w:val="both"/>
              <w:rPr>
                <w:bCs/>
              </w:rPr>
            </w:pPr>
            <w:r>
              <w:t xml:space="preserve">Ako je </w:t>
            </w:r>
            <w:r w:rsidR="00415390">
              <w:t>subjekt u kojeg se ulaže</w:t>
            </w:r>
            <w:r>
              <w:t xml:space="preserve"> subjekt grupe, oznaka je jednaka onoj koja je iskazana u predlošku Z 01.01 (ORG 1). </w:t>
            </w:r>
          </w:p>
          <w:p w14:paraId="783CEC76" w14:textId="13C64C21" w:rsidR="00393915" w:rsidRDefault="00F24D68">
            <w:pPr>
              <w:pStyle w:val="P68B1DB1-TableParagraph13"/>
              <w:spacing w:before="108"/>
              <w:ind w:left="85"/>
              <w:jc w:val="both"/>
              <w:rPr>
                <w:bCs/>
              </w:rPr>
            </w:pPr>
            <w:r>
              <w:t>Odabrati među sljedećim opcijama: „Oznaka LEI”, „oznaka MFI” ili „Vrsta identifikacijske oznake, osim LEI-ja ili MFI-ja”.</w:t>
            </w:r>
          </w:p>
          <w:p w14:paraId="7FE1B4CA" w14:textId="092DA599" w:rsidR="00393915" w:rsidRDefault="00F24D68">
            <w:pPr>
              <w:pStyle w:val="P68B1DB1-TableParagraph17"/>
              <w:spacing w:before="108"/>
            </w:pPr>
            <w:r>
              <w:t>Vrsta oznake uvijek se iskazuje.</w:t>
            </w:r>
          </w:p>
          <w:p w14:paraId="7FE1B4CB" w14:textId="47EE2711" w:rsidR="00393915" w:rsidRDefault="00F24D68">
            <w:pPr>
              <w:pStyle w:val="P68B1DB1-TableParagraph13"/>
              <w:spacing w:before="108"/>
              <w:ind w:left="85"/>
              <w:rPr>
                <w:b/>
                <w:bCs/>
              </w:rPr>
            </w:pPr>
            <w:r>
              <w:t xml:space="preserve">Za identifikaciju subjekata ili subjekata u koje se ulaže, par </w:t>
            </w:r>
            <w:r>
              <w:t>oznak</w:t>
            </w:r>
            <w:r w:rsidR="00415390">
              <w:t>e</w:t>
            </w:r>
            <w:r>
              <w:t xml:space="preserve"> i vrste dosljedno se </w:t>
            </w:r>
            <w:r>
              <w:t>upotrebljava</w:t>
            </w:r>
            <w:r>
              <w:t xml:space="preserve"> u svim obrascima.</w:t>
            </w:r>
          </w:p>
        </w:tc>
      </w:tr>
      <w:tr w:rsidR="00393915" w14:paraId="7FE1B4D2" w14:textId="77777777">
        <w:tc>
          <w:tcPr>
            <w:tcW w:w="0" w:type="auto"/>
            <w:tcBorders>
              <w:top w:val="single" w:sz="4" w:space="0" w:color="1A171C"/>
              <w:left w:val="nil"/>
              <w:bottom w:val="single" w:sz="4" w:space="0" w:color="1A171C"/>
              <w:right w:val="single" w:sz="4" w:space="0" w:color="1A171C"/>
            </w:tcBorders>
          </w:tcPr>
          <w:p w14:paraId="7FE1B4CD" w14:textId="77777777" w:rsidR="00393915" w:rsidRDefault="00F24D68">
            <w:pPr>
              <w:pStyle w:val="P68B1DB1-TableParagraph13"/>
              <w:spacing w:before="106"/>
              <w:ind w:left="-1"/>
            </w:pPr>
            <w:r>
              <w:t>0070</w:t>
            </w:r>
          </w:p>
        </w:tc>
        <w:tc>
          <w:tcPr>
            <w:tcW w:w="0" w:type="auto"/>
            <w:tcBorders>
              <w:top w:val="single" w:sz="4" w:space="0" w:color="1A171C"/>
              <w:left w:val="single" w:sz="4" w:space="0" w:color="1A171C"/>
              <w:bottom w:val="single" w:sz="4" w:space="0" w:color="1A171C"/>
              <w:right w:val="nil"/>
            </w:tcBorders>
            <w:vAlign w:val="center"/>
          </w:tcPr>
          <w:p w14:paraId="7FE1B4CE" w14:textId="77777777" w:rsidR="00393915" w:rsidRDefault="00F24D68">
            <w:pPr>
              <w:pStyle w:val="P68B1DB1-TableParagraph14"/>
              <w:spacing w:before="108"/>
              <w:ind w:left="85"/>
            </w:pPr>
            <w:r>
              <w:t>Međunarodna podružnica</w:t>
            </w:r>
          </w:p>
          <w:p w14:paraId="7FE1B4CF" w14:textId="77777777" w:rsidR="00393915" w:rsidRDefault="00F24D68">
            <w:pPr>
              <w:pStyle w:val="P68B1DB1-TableParagraph13"/>
              <w:spacing w:before="108"/>
              <w:ind w:left="85"/>
              <w:jc w:val="both"/>
            </w:pPr>
            <w:r>
              <w:t>Iskazuju se sljedeće kratice:</w:t>
            </w:r>
          </w:p>
          <w:p w14:paraId="7FE1B4D0" w14:textId="1FDE8920" w:rsidR="00393915" w:rsidRDefault="00F24D68">
            <w:pPr>
              <w:pStyle w:val="P68B1DB1-TableParagraph13"/>
              <w:spacing w:before="108"/>
              <w:ind w:left="85"/>
              <w:jc w:val="both"/>
            </w:pPr>
            <w:r>
              <w:t xml:space="preserve">Da – ako je subjekt u </w:t>
            </w:r>
            <w:r>
              <w:t>koj</w:t>
            </w:r>
            <w:r w:rsidR="00CA218F">
              <w:t>eg</w:t>
            </w:r>
            <w:r>
              <w:t xml:space="preserve"> se ulaže međunarodna podružnica </w:t>
            </w:r>
            <w:r w:rsidR="00F91969">
              <w:t>investitora</w:t>
            </w:r>
            <w:r>
              <w:t>.</w:t>
            </w:r>
          </w:p>
          <w:p w14:paraId="7FE1B4D1" w14:textId="303CCEBB" w:rsidR="00393915" w:rsidRDefault="00F24D68">
            <w:pPr>
              <w:pStyle w:val="P68B1DB1-TableParagraph13"/>
              <w:spacing w:before="108"/>
              <w:ind w:left="85"/>
              <w:jc w:val="both"/>
              <w:rPr>
                <w:b/>
                <w:bCs/>
              </w:rPr>
            </w:pPr>
            <w:r>
              <w:t>Ne – u slučaju pravne osobe.</w:t>
            </w:r>
          </w:p>
        </w:tc>
      </w:tr>
      <w:tr w:rsidR="00393915" w14:paraId="7FE1B4D5" w14:textId="77777777">
        <w:tc>
          <w:tcPr>
            <w:tcW w:w="0" w:type="auto"/>
            <w:tcBorders>
              <w:top w:val="single" w:sz="4" w:space="0" w:color="1A171C"/>
              <w:left w:val="nil"/>
              <w:bottom w:val="single" w:sz="4" w:space="0" w:color="1A171C"/>
              <w:right w:val="single" w:sz="4" w:space="0" w:color="1A171C"/>
            </w:tcBorders>
          </w:tcPr>
          <w:p w14:paraId="7FE1B4D3" w14:textId="44267444" w:rsidR="00393915" w:rsidRDefault="00F24D68">
            <w:pPr>
              <w:pStyle w:val="P68B1DB1-TableParagraph13"/>
              <w:spacing w:before="106"/>
              <w:ind w:left="-1"/>
            </w:pPr>
            <w:r>
              <w:t>0080 – 090</w:t>
            </w:r>
          </w:p>
        </w:tc>
        <w:tc>
          <w:tcPr>
            <w:tcW w:w="0" w:type="auto"/>
            <w:tcBorders>
              <w:top w:val="single" w:sz="4" w:space="0" w:color="1A171C"/>
              <w:left w:val="single" w:sz="4" w:space="0" w:color="1A171C"/>
              <w:bottom w:val="single" w:sz="4" w:space="0" w:color="1A171C"/>
              <w:right w:val="nil"/>
            </w:tcBorders>
            <w:vAlign w:val="center"/>
          </w:tcPr>
          <w:p w14:paraId="7FE1B4D4" w14:textId="77777777" w:rsidR="00393915" w:rsidRDefault="00F24D68">
            <w:pPr>
              <w:pStyle w:val="P68B1DB1-TableParagraph14"/>
              <w:spacing w:before="108"/>
              <w:ind w:left="85"/>
              <w:jc w:val="both"/>
              <w:rPr>
                <w:bCs/>
              </w:rPr>
            </w:pPr>
            <w:r>
              <w:t>Vlasništvo</w:t>
            </w:r>
          </w:p>
        </w:tc>
      </w:tr>
      <w:tr w:rsidR="00393915" w14:paraId="7FE1B4D9" w14:textId="77777777">
        <w:tc>
          <w:tcPr>
            <w:tcW w:w="0" w:type="auto"/>
            <w:tcBorders>
              <w:top w:val="single" w:sz="4" w:space="0" w:color="1A171C"/>
              <w:left w:val="nil"/>
              <w:bottom w:val="single" w:sz="4" w:space="0" w:color="1A171C"/>
              <w:right w:val="single" w:sz="4" w:space="0" w:color="1A171C"/>
            </w:tcBorders>
          </w:tcPr>
          <w:p w14:paraId="7FE1B4D6" w14:textId="124739DC" w:rsidR="00393915" w:rsidRDefault="00F24D68">
            <w:pPr>
              <w:pStyle w:val="P68B1DB1-TableParagraph13"/>
              <w:spacing w:before="106"/>
              <w:ind w:left="-1"/>
            </w:pPr>
            <w:r>
              <w:t>0080</w:t>
            </w:r>
          </w:p>
        </w:tc>
        <w:tc>
          <w:tcPr>
            <w:tcW w:w="0" w:type="auto"/>
            <w:tcBorders>
              <w:top w:val="single" w:sz="4" w:space="0" w:color="1A171C"/>
              <w:left w:val="single" w:sz="4" w:space="0" w:color="1A171C"/>
              <w:bottom w:val="single" w:sz="4" w:space="0" w:color="1A171C"/>
              <w:right w:val="nil"/>
            </w:tcBorders>
          </w:tcPr>
          <w:p w14:paraId="7FE1B4D7" w14:textId="77777777" w:rsidR="00393915" w:rsidRDefault="00F24D68">
            <w:pPr>
              <w:pStyle w:val="P68B1DB1-TableParagraph14"/>
              <w:spacing w:before="108"/>
              <w:ind w:left="85"/>
              <w:jc w:val="both"/>
            </w:pPr>
            <w:r>
              <w:t>Dionički kapital</w:t>
            </w:r>
          </w:p>
          <w:p w14:paraId="7FE1B4D8" w14:textId="142C8834" w:rsidR="00393915" w:rsidRDefault="00F24D68">
            <w:pPr>
              <w:pStyle w:val="P68B1DB1-TableParagraph17"/>
              <w:spacing w:before="108"/>
              <w:ind w:left="85"/>
              <w:jc w:val="both"/>
            </w:pPr>
            <w:r>
              <w:t xml:space="preserve">Iznos dioničkog kapitala </w:t>
            </w:r>
            <w:r>
              <w:t>koj</w:t>
            </w:r>
            <w:r w:rsidR="00F91969">
              <w:t>eg</w:t>
            </w:r>
            <w:r>
              <w:t xml:space="preserve"> </w:t>
            </w:r>
            <w:r w:rsidR="00F91969">
              <w:t>i</w:t>
            </w:r>
            <w:r>
              <w:t xml:space="preserve">nvestitor </w:t>
            </w:r>
            <w:r w:rsidR="00F91969">
              <w:t>drži</w:t>
            </w:r>
            <w:r>
              <w:t xml:space="preserve"> u subjektu, isključujući </w:t>
            </w:r>
            <w:r w:rsidR="00F91969">
              <w:t>rezerve</w:t>
            </w:r>
            <w:r>
              <w:t>. U slučaju međunarodne podružnice polje mora biti prazno.</w:t>
            </w:r>
          </w:p>
        </w:tc>
      </w:tr>
      <w:tr w:rsidR="00393915" w14:paraId="7FE1B4DD" w14:textId="77777777">
        <w:tc>
          <w:tcPr>
            <w:tcW w:w="0" w:type="auto"/>
            <w:tcBorders>
              <w:top w:val="single" w:sz="4" w:space="0" w:color="1A171C"/>
              <w:left w:val="nil"/>
              <w:bottom w:val="single" w:sz="4" w:space="0" w:color="1A171C"/>
              <w:right w:val="single" w:sz="4" w:space="0" w:color="1A171C"/>
            </w:tcBorders>
          </w:tcPr>
          <w:p w14:paraId="7FE1B4DA" w14:textId="518368A4" w:rsidR="00393915" w:rsidRDefault="00F24D68">
            <w:pPr>
              <w:pStyle w:val="P68B1DB1-TableParagraph13"/>
              <w:spacing w:before="106"/>
              <w:ind w:left="-1"/>
            </w:pPr>
            <w:r>
              <w:t>0090</w:t>
            </w:r>
          </w:p>
        </w:tc>
        <w:tc>
          <w:tcPr>
            <w:tcW w:w="0" w:type="auto"/>
            <w:tcBorders>
              <w:top w:val="single" w:sz="4" w:space="0" w:color="1A171C"/>
              <w:left w:val="single" w:sz="4" w:space="0" w:color="1A171C"/>
              <w:bottom w:val="single" w:sz="4" w:space="0" w:color="1A171C"/>
              <w:right w:val="nil"/>
            </w:tcBorders>
          </w:tcPr>
          <w:p w14:paraId="7FE1B4DB" w14:textId="77777777" w:rsidR="00393915" w:rsidRDefault="00F24D68">
            <w:pPr>
              <w:pStyle w:val="P68B1DB1-TableParagraph14"/>
              <w:spacing w:before="108"/>
              <w:ind w:left="85"/>
              <w:rPr>
                <w:rFonts w:eastAsia="Book Antiqua"/>
              </w:rPr>
            </w:pPr>
            <w:r>
              <w:t>Glasačka prava u subjektu</w:t>
            </w:r>
          </w:p>
          <w:p w14:paraId="7FE1B4DC" w14:textId="0B71E5C5" w:rsidR="00393915" w:rsidRDefault="00F24D68">
            <w:pPr>
              <w:pStyle w:val="P68B1DB1-TableParagraph17"/>
              <w:spacing w:before="108"/>
              <w:ind w:left="85"/>
              <w:jc w:val="both"/>
              <w:rPr>
                <w:b/>
              </w:rPr>
            </w:pPr>
            <w:r>
              <w:t xml:space="preserve">Postotak glasačkih prava </w:t>
            </w:r>
            <w:r w:rsidR="00664530">
              <w:t>investitora</w:t>
            </w:r>
            <w:r>
              <w:t>. Ova se informacija traži samo ako jedna dionica nije jednaka jednom glasu (stoga glasačka prava nisu jednaka dioničkom kapitalu). U slučaju međunarodne podružnice polje mora biti prazno.</w:t>
            </w:r>
          </w:p>
        </w:tc>
      </w:tr>
    </w:tbl>
    <w:p w14:paraId="7FE1B4DE" w14:textId="77777777" w:rsidR="00393915" w:rsidRDefault="00393915">
      <w:pPr>
        <w:rPr>
          <w:rFonts w:ascii="Times New Roman" w:hAnsi="Times New Roman" w:cs="Times New Roman"/>
        </w:rPr>
      </w:pPr>
    </w:p>
    <w:p w14:paraId="7FE1B4DF" w14:textId="77777777" w:rsidR="00393915" w:rsidRDefault="00393915">
      <w:pPr>
        <w:rPr>
          <w:rFonts w:ascii="Times New Roman" w:hAnsi="Times New Roman" w:cs="Times New Roman"/>
        </w:rPr>
      </w:pPr>
    </w:p>
    <w:p w14:paraId="7FE1B4E1" w14:textId="77777777" w:rsidR="00393915" w:rsidRDefault="00F24D68">
      <w:pPr>
        <w:pStyle w:val="P68B1DB1-Instructionsberschrift25"/>
        <w:numPr>
          <w:ilvl w:val="1"/>
          <w:numId w:val="49"/>
        </w:numPr>
        <w:ind w:left="357" w:hanging="357"/>
      </w:pPr>
      <w:bookmarkStart w:id="25" w:name="_Toc80891720"/>
      <w:bookmarkStart w:id="26" w:name="_Toc81454179"/>
      <w:bookmarkStart w:id="27" w:name="_Toc81485494"/>
      <w:bookmarkStart w:id="28" w:name="_Toc81485571"/>
      <w:bookmarkStart w:id="29" w:name="_Toc81485692"/>
      <w:bookmarkStart w:id="30" w:name="_Toc81485976"/>
      <w:bookmarkStart w:id="31" w:name="_Toc160027976"/>
      <w:bookmarkStart w:id="32" w:name="_Toc160028048"/>
      <w:bookmarkStart w:id="33" w:name="_Toc160028120"/>
      <w:bookmarkStart w:id="34" w:name="_Toc161034536"/>
      <w:bookmarkStart w:id="35" w:name="_Toc162265133"/>
      <w:bookmarkStart w:id="36" w:name="_Toc162265658"/>
      <w:bookmarkStart w:id="37" w:name="_Toc162265727"/>
      <w:bookmarkStart w:id="38" w:name="_Toc162266072"/>
      <w:bookmarkStart w:id="39" w:name="_Toc163639533"/>
      <w:bookmarkStart w:id="40" w:name="_Toc164263618"/>
      <w:bookmarkStart w:id="41" w:name="_Toc164263705"/>
      <w:bookmarkStart w:id="42" w:name="_Toc164263779"/>
      <w:bookmarkStart w:id="43" w:name="_Toc164263833"/>
      <w:bookmarkStart w:id="44" w:name="_Toc164271331"/>
      <w:bookmarkStart w:id="45" w:name="_Toc164271383"/>
      <w:bookmarkStart w:id="46" w:name="_Toc167799447"/>
      <w:bookmarkStart w:id="47" w:name="_Toc172723003"/>
      <w:bookmarkStart w:id="48" w:name="_Toc172723101"/>
      <w:bookmarkStart w:id="49" w:name="_Toc172723197"/>
      <w:bookmarkStart w:id="50" w:name="_Toc172723341"/>
      <w:bookmarkStart w:id="51" w:name="_Toc172723393"/>
      <w:bookmarkStart w:id="52" w:name="_Toc172723451"/>
      <w:bookmarkStart w:id="53" w:name="_Toc172723518"/>
      <w:bookmarkStart w:id="54" w:name="_Toc184218411"/>
      <w:bookmarkStart w:id="55" w:name="_Toc492542322"/>
      <w:bookmarkStart w:id="56" w:name="_Toc81454180"/>
      <w:bookmarkStart w:id="57" w:name="_Toc208244798"/>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r>
        <w:t>Z 02.00 – Struktura obveza (LIAB 1)</w:t>
      </w:r>
      <w:bookmarkEnd w:id="55"/>
      <w:bookmarkEnd w:id="56"/>
      <w:bookmarkEnd w:id="57"/>
    </w:p>
    <w:p w14:paraId="7FE1B4E2" w14:textId="77777777" w:rsidR="00393915" w:rsidRDefault="00F24D68">
      <w:pPr>
        <w:pStyle w:val="Instructionsberschrift3"/>
      </w:pPr>
      <w:r>
        <w:t>Opće napomene</w:t>
      </w:r>
    </w:p>
    <w:p w14:paraId="7FE1B4E3" w14:textId="49AD2AC7" w:rsidR="00393915" w:rsidRDefault="00F24D68">
      <w:pPr>
        <w:pStyle w:val="P68B1DB1-InstructionsText26"/>
        <w:numPr>
          <w:ilvl w:val="0"/>
          <w:numId w:val="233"/>
        </w:numPr>
        <w:spacing w:before="0"/>
      </w:pPr>
      <w:r>
        <w:t xml:space="preserve">Za ovaj predložak potrebne su </w:t>
      </w:r>
      <w:r w:rsidR="004033C5">
        <w:t>detaljne</w:t>
      </w:r>
      <w:r>
        <w:t xml:space="preserve"> informacije o strukturi obveza subjekta ili grupe. Obveze su raščlanjene </w:t>
      </w:r>
      <w:r w:rsidR="00A23CB7">
        <w:t>na</w:t>
      </w:r>
      <w:r>
        <w:t xml:space="preserve"> obvez</w:t>
      </w:r>
      <w:r w:rsidR="00A23CB7">
        <w:t>e</w:t>
      </w:r>
      <w:r>
        <w:t xml:space="preserve"> koje su isključene iz </w:t>
      </w:r>
      <w:r w:rsidR="00931D62">
        <w:t>unutarnje sanacije</w:t>
      </w:r>
      <w:r>
        <w:t xml:space="preserve"> i </w:t>
      </w:r>
      <w:r>
        <w:t>obvez</w:t>
      </w:r>
      <w:r w:rsidR="00A23CB7">
        <w:t>e</w:t>
      </w:r>
      <w:r>
        <w:t xml:space="preserve"> koje nisu isključene iz </w:t>
      </w:r>
      <w:r w:rsidR="00931D62">
        <w:t>unutarnje sanacije</w:t>
      </w:r>
      <w:r>
        <w:t>.</w:t>
      </w:r>
      <w:r>
        <w:t xml:space="preserve"> Navode se daljnje raščlambe po kategorijama obveza, drugoj ugovornoj strani i preostalom roku do dospijeća.</w:t>
      </w:r>
    </w:p>
    <w:p w14:paraId="7FE1B4E4" w14:textId="77777777" w:rsidR="00393915" w:rsidRDefault="00F24D68">
      <w:pPr>
        <w:pStyle w:val="P68B1DB1-InstructionsText26"/>
        <w:numPr>
          <w:ilvl w:val="0"/>
          <w:numId w:val="233"/>
        </w:numPr>
        <w:spacing w:before="0"/>
      </w:pPr>
      <w:r>
        <w:lastRenderedPageBreak/>
        <w:t>Ako se u ovom predlošku navodi raščlamba prema dospijeću, prestali rok do dospijeća vrijeme je do ugovorenog dospijeća. Odstupajući od toga:</w:t>
      </w:r>
    </w:p>
    <w:p w14:paraId="7FE1B4E5" w14:textId="6B12CF86" w:rsidR="00393915" w:rsidRDefault="00F24D68">
      <w:pPr>
        <w:pStyle w:val="P68B1DB1-InstructionsText26"/>
        <w:numPr>
          <w:ilvl w:val="1"/>
          <w:numId w:val="233"/>
        </w:numPr>
        <w:spacing w:before="0"/>
      </w:pPr>
      <w:r>
        <w:t>ako instrument</w:t>
      </w:r>
      <w:r>
        <w:t xml:space="preserve"> </w:t>
      </w:r>
      <w:r w:rsidR="008C0BCA">
        <w:t>prihvatljivih</w:t>
      </w:r>
      <w:r w:rsidR="008C0BCA">
        <w:t xml:space="preserve"> </w:t>
      </w:r>
      <w:r>
        <w:t>obveza uključuje opciju otkupa imatelja koja se može izvršiti prije izvorno navedenog dospijeća instrumenta, dospijeće instrumenta je najraniji mogući datum na koji imatelj može izvršiti opciju otkupa i zatražiti otkup ili otplatu instrumenta;</w:t>
      </w:r>
    </w:p>
    <w:p w14:paraId="7FE1B4E6" w14:textId="1DBC87D7" w:rsidR="00393915" w:rsidRDefault="00F24D68">
      <w:pPr>
        <w:pStyle w:val="P68B1DB1-InstructionsText26"/>
        <w:numPr>
          <w:ilvl w:val="1"/>
          <w:numId w:val="233"/>
        </w:numPr>
        <w:spacing w:before="0"/>
      </w:pPr>
      <w:r>
        <w:t>ako instrument</w:t>
      </w:r>
      <w:r>
        <w:t xml:space="preserve"> </w:t>
      </w:r>
      <w:r w:rsidR="008C0BCA">
        <w:t>prihvatljivih</w:t>
      </w:r>
      <w:r w:rsidR="008C0BCA">
        <w:t xml:space="preserve"> </w:t>
      </w:r>
      <w:r>
        <w:t>obveza uključuje poticaj izdavatelju da instrument kupi, otkupi, otplati ili ponovno kupi prije izvorno navedenog dospijeća instrumenta, dospijeće instrumenta je najraniji mogući datum na koji izdavatelj može izvršiti tu opciju i zatražiti otkup ili otplatu instrumenta;</w:t>
      </w:r>
    </w:p>
    <w:p w14:paraId="7FE1B4E8" w14:textId="134EE631" w:rsidR="00393915" w:rsidRDefault="00F24D68">
      <w:pPr>
        <w:pStyle w:val="P68B1DB1-InstructionsText26"/>
        <w:numPr>
          <w:ilvl w:val="0"/>
          <w:numId w:val="233"/>
        </w:numPr>
        <w:spacing w:before="0"/>
      </w:pPr>
      <w:r>
        <w:t xml:space="preserve">U slučaju međuplaćanja glavnice, glavnica se dijeli i raspodjeljuje u odgovarajuće razrede dospijeća. Ako je primjenjivo, dospijeće se razmatra zasebno za glavnicu i </w:t>
      </w:r>
      <w:r>
        <w:t>obračuna</w:t>
      </w:r>
      <w:r w:rsidR="008B7E2C">
        <w:t>t</w:t>
      </w:r>
      <w:r>
        <w:t>e</w:t>
      </w:r>
      <w:r>
        <w:t xml:space="preserve"> kamate.</w:t>
      </w:r>
    </w:p>
    <w:p w14:paraId="7FE1B4E9" w14:textId="7225004D" w:rsidR="00393915" w:rsidRDefault="00F24D68">
      <w:pPr>
        <w:pStyle w:val="P68B1DB1-InstructionsText26"/>
        <w:numPr>
          <w:ilvl w:val="0"/>
          <w:numId w:val="233"/>
        </w:numPr>
        <w:spacing w:before="0"/>
      </w:pPr>
      <w:r>
        <w:t>U nekim posebnim slučajevima dospijeće određenog instrumenta ovisi o vanjskim čimbenicima na koje institucija ima mali ili nikakav utjecaj. U takvim slučajevima prvi datum na koji takvi događaji mogu dovesti do povrata smatra se najranijim datumom isplate.</w:t>
      </w:r>
    </w:p>
    <w:p w14:paraId="7FE1B4EA" w14:textId="54E1ADBB" w:rsidR="00393915" w:rsidRDefault="00F24D68">
      <w:pPr>
        <w:pStyle w:val="P68B1DB1-InstructionsText26"/>
        <w:numPr>
          <w:ilvl w:val="0"/>
          <w:numId w:val="233"/>
        </w:numPr>
        <w:spacing w:before="0"/>
      </w:pPr>
      <w:r>
        <w:t xml:space="preserve">U drugim slučajevima ugovorima nije predviđen nikakav određeni datum dospijeća, kao što su depoziti po viđenju ili prekonoćni depoziti. U tim slučajevima smatra se da obveze </w:t>
      </w:r>
      <w:r w:rsidR="008B7E2C">
        <w:t xml:space="preserve">mogu </w:t>
      </w:r>
      <w:r>
        <w:t>ima</w:t>
      </w:r>
      <w:r w:rsidR="008B7E2C">
        <w:t>ti</w:t>
      </w:r>
      <w:r>
        <w:t xml:space="preserve"> dospijeće na prvi mogući datum, tj. sljedeći/jedan dan nakon izvještajnog datuma.</w:t>
      </w:r>
    </w:p>
    <w:p w14:paraId="7FE1B4EB" w14:textId="28C1414E" w:rsidR="00393915" w:rsidRDefault="00F24D68">
      <w:pPr>
        <w:pStyle w:val="P68B1DB1-InstructionsText26"/>
        <w:numPr>
          <w:ilvl w:val="0"/>
          <w:numId w:val="233"/>
        </w:numPr>
        <w:spacing w:before="0"/>
      </w:pPr>
      <w:r>
        <w:t>Kad je riječ o depozitima, pokrićem DGSD-om ne razlikuju se nužno dospijeća koja se smatraju pokrivenima ako postoje različita dospijeća. Kako bi se neobuhvaćeni dio podijelio na razdoblja dospijeća, od institucija se traži da primjenjuju proporcionalni pristup za ukupno pokriće i u skladu s time raspodjeljuju neobuhvaćeni dio tijekom dospijeća odnosnih depozita, osim ako se primjenjuju posebne odredbe koje proizlaze iz prenošenja Direktive 2014/49/EU u nacionalno pravo.</w:t>
      </w:r>
    </w:p>
    <w:p w14:paraId="7FE1B4EC" w14:textId="333CC915" w:rsidR="00393915" w:rsidRDefault="00F24D68">
      <w:pPr>
        <w:pStyle w:val="P68B1DB1-InstructionsText26"/>
        <w:numPr>
          <w:ilvl w:val="0"/>
          <w:numId w:val="233"/>
        </w:numPr>
        <w:spacing w:before="0"/>
      </w:pPr>
      <w:r>
        <w:t>Ako obveza ispunjava više kriterija i može se iskazati u nekoliko redaka u rasponu od r0110 do r0210, iskazuje se samo u jednom retku, a to je onaj s najnižim brojem retka u ovom obrascu.</w:t>
      </w:r>
    </w:p>
    <w:p w14:paraId="7FE1B4ED" w14:textId="0B0F63BC" w:rsidR="00393915" w:rsidRDefault="00F24D68">
      <w:pPr>
        <w:pStyle w:val="P68B1DB1-InstructionsText26"/>
        <w:numPr>
          <w:ilvl w:val="0"/>
          <w:numId w:val="233"/>
        </w:numPr>
      </w:pPr>
      <w:r>
        <w:t>Iznosi u ovom predlošku iskazuju se kao neotplaćene i knjigovodstvene vrijednosti:</w:t>
      </w:r>
    </w:p>
    <w:p w14:paraId="7FE1B4EE" w14:textId="6C3B397D" w:rsidR="00393915" w:rsidRDefault="00F24D68">
      <w:pPr>
        <w:pStyle w:val="P68B1DB1-InstructionsText26"/>
        <w:numPr>
          <w:ilvl w:val="1"/>
          <w:numId w:val="233"/>
        </w:numPr>
      </w:pPr>
      <w:r>
        <w:t xml:space="preserve">Nepodmireni iznos potraživanja ili instrumenta zbroj je glavnice potraživanja ili instrumenta i obračunatih kamata. Nepodmireni iznos jednak je vrijednosti tražbine koju vjerovnik prijavi u postupku u slučaju </w:t>
      </w:r>
      <w:r w:rsidR="00D8284E">
        <w:t>in</w:t>
      </w:r>
      <w:r>
        <w:t>solventnosti</w:t>
      </w:r>
      <w:r>
        <w:t xml:space="preserve">, ne uzimajući u obzir odredbe o prijeboju u slučaju </w:t>
      </w:r>
      <w:r w:rsidR="00D8284E">
        <w:t>in</w:t>
      </w:r>
      <w:r>
        <w:t>solventnosti</w:t>
      </w:r>
      <w:r>
        <w:t xml:space="preserve">, i ne uključuje premije ili diskonte na instrumente </w:t>
      </w:r>
      <w:r w:rsidR="00C57A05">
        <w:t xml:space="preserve">prihvatljivih </w:t>
      </w:r>
      <w:r>
        <w:t xml:space="preserve">obveza. U slučajevima u kojima u okviru postupka u slučaju </w:t>
      </w:r>
      <w:r w:rsidR="00D8284E">
        <w:t>in</w:t>
      </w:r>
      <w:r>
        <w:t>solventnosti</w:t>
      </w:r>
      <w:r>
        <w:t xml:space="preserve"> nije podnesena tužba, očekuje se da će nepodmireni iznos biti jednak nuli. </w:t>
      </w:r>
    </w:p>
    <w:p w14:paraId="7FE1B4EF" w14:textId="37196E24" w:rsidR="00393915" w:rsidRDefault="00F24D68">
      <w:pPr>
        <w:pStyle w:val="P68B1DB1-InstructionsText26"/>
        <w:numPr>
          <w:ilvl w:val="1"/>
          <w:numId w:val="233"/>
        </w:numPr>
      </w:pPr>
      <w:r>
        <w:t xml:space="preserve">Knjigovodstvena vrijednost jest knjigovodstvena vrijednost kako je definirana za potrebe FINREP-a, na temelju MSFI-ja ili nacionalnih općeprihvaćenih računovodstvenih načela, ovisno o tome što je primjenjivo. U suprotnom, primjenjuju se brojčani podaci iz </w:t>
      </w:r>
      <w:r>
        <w:t>sustav</w:t>
      </w:r>
      <w:r w:rsidR="00D8284E">
        <w:t>a</w:t>
      </w:r>
      <w:r>
        <w:t xml:space="preserve"> izvješćivanja na temelju nacionalnih općeprihvaćenih računovodstvenih načela. </w:t>
      </w:r>
    </w:p>
    <w:p w14:paraId="7FE1B4F1" w14:textId="097F584C" w:rsidR="00393915" w:rsidRDefault="00F24D68">
      <w:pPr>
        <w:pStyle w:val="P68B1DB1-InstructionsText26"/>
        <w:numPr>
          <w:ilvl w:val="0"/>
          <w:numId w:val="233"/>
        </w:numPr>
        <w:spacing w:before="0"/>
      </w:pPr>
      <w:r>
        <w:t xml:space="preserve">Ovo izvješće upućuje na </w:t>
      </w:r>
      <w:r w:rsidR="00D8284E">
        <w:t>podatke</w:t>
      </w:r>
      <w:r>
        <w:t xml:space="preserve"> koje je subjekt možda već prijavio u FINREP-u i COREP-u za isti referentni datum i opseg izvješćivanja (vidjeti upućivanja na COREP/FINREP u uputama). U tom slučaju</w:t>
      </w:r>
      <w:r w:rsidR="00D8284E">
        <w:t>,</w:t>
      </w:r>
      <w:r>
        <w:t xml:space="preserve"> izvještajni subjekt ne mora ponovno iskazati te podatke. Na primjer, ovdje je potrebno iskazati </w:t>
      </w:r>
      <w:r>
        <w:t>podatak</w:t>
      </w:r>
      <w:r w:rsidR="00D8284E">
        <w:t>e iz</w:t>
      </w:r>
      <w:r>
        <w:t xml:space="preserve"> COREP-a/FINREP-a ako je izvještajni subjekt izuzet od </w:t>
      </w:r>
      <w:r>
        <w:t>obvez</w:t>
      </w:r>
      <w:r w:rsidR="00D8284E">
        <w:t>e</w:t>
      </w:r>
      <w:r>
        <w:t xml:space="preserve"> financijskog ili bonitetnog izvješćivanja, u </w:t>
      </w:r>
      <w:r w:rsidR="00D414CA">
        <w:t>kojem</w:t>
      </w:r>
      <w:r>
        <w:t xml:space="preserve"> slučaju </w:t>
      </w:r>
      <w:r w:rsidR="00D414CA">
        <w:t xml:space="preserve">je sanacijskom tijelu </w:t>
      </w:r>
      <w:r>
        <w:t xml:space="preserve">ovo izvješće jedini izvor </w:t>
      </w:r>
      <w:r w:rsidR="00D414CA">
        <w:t xml:space="preserve">tih </w:t>
      </w:r>
      <w:r>
        <w:t>podataka</w:t>
      </w:r>
      <w:r w:rsidR="00D414CA">
        <w:t>..e</w:t>
      </w:r>
      <w:r>
        <w:t>.</w:t>
      </w:r>
    </w:p>
    <w:p w14:paraId="7FE1B4F2" w14:textId="77777777" w:rsidR="00393915" w:rsidRDefault="00F24D68">
      <w:pPr>
        <w:pStyle w:val="P68B1DB1-Instructionsberschrift312"/>
      </w:pPr>
      <w:r>
        <w:t>Upute za specifične pozicije</w:t>
      </w:r>
    </w:p>
    <w:tbl>
      <w:tblPr>
        <w:tblW w:w="0" w:type="auto"/>
        <w:tblCellMar>
          <w:top w:w="57" w:type="dxa"/>
          <w:left w:w="57" w:type="dxa"/>
          <w:bottom w:w="57" w:type="dxa"/>
          <w:right w:w="0" w:type="dxa"/>
        </w:tblCellMar>
        <w:tblLook w:val="01E0" w:firstRow="1" w:lastRow="1" w:firstColumn="1" w:lastColumn="1" w:noHBand="0" w:noVBand="0"/>
      </w:tblPr>
      <w:tblGrid>
        <w:gridCol w:w="908"/>
        <w:gridCol w:w="8118"/>
      </w:tblGrid>
      <w:tr w:rsidR="00393915" w14:paraId="7FE1B4F5" w14:textId="77777777">
        <w:tc>
          <w:tcPr>
            <w:tcW w:w="908" w:type="dxa"/>
            <w:tcBorders>
              <w:top w:val="single" w:sz="4" w:space="0" w:color="1A171C"/>
              <w:left w:val="nil"/>
              <w:bottom w:val="single" w:sz="4" w:space="0" w:color="1A171C"/>
              <w:right w:val="single" w:sz="4" w:space="0" w:color="1A171C"/>
            </w:tcBorders>
            <w:shd w:val="clear" w:color="auto" w:fill="E4E5E5"/>
          </w:tcPr>
          <w:p w14:paraId="7FE1B4F3" w14:textId="77777777" w:rsidR="00393915" w:rsidRDefault="00F24D68">
            <w:pPr>
              <w:pStyle w:val="P68B1DB1-TableParagraph13"/>
              <w:spacing w:before="66"/>
              <w:rPr>
                <w:rFonts w:eastAsia="Cambria"/>
              </w:rPr>
            </w:pPr>
            <w:r>
              <w:lastRenderedPageBreak/>
              <w:t>Stupci</w:t>
            </w:r>
          </w:p>
        </w:tc>
        <w:tc>
          <w:tcPr>
            <w:tcW w:w="8118" w:type="dxa"/>
            <w:tcBorders>
              <w:top w:val="single" w:sz="4" w:space="0" w:color="1A171C"/>
              <w:left w:val="single" w:sz="4" w:space="0" w:color="1A171C"/>
              <w:bottom w:val="single" w:sz="4" w:space="0" w:color="1A171C"/>
              <w:right w:val="nil"/>
            </w:tcBorders>
            <w:shd w:val="clear" w:color="auto" w:fill="E4E5E5"/>
          </w:tcPr>
          <w:p w14:paraId="7FE1B4F4" w14:textId="77777777" w:rsidR="00393915" w:rsidRDefault="00F24D68">
            <w:pPr>
              <w:pStyle w:val="P68B1DB1-TableParagraph13"/>
              <w:spacing w:before="66"/>
              <w:ind w:right="1"/>
              <w:jc w:val="center"/>
              <w:rPr>
                <w:rFonts w:eastAsia="Cambria"/>
              </w:rPr>
            </w:pPr>
            <w:r>
              <w:t>Upute</w:t>
            </w:r>
          </w:p>
        </w:tc>
      </w:tr>
      <w:tr w:rsidR="00393915" w14:paraId="7FE1B4FA" w14:textId="77777777">
        <w:tc>
          <w:tcPr>
            <w:tcW w:w="908" w:type="dxa"/>
            <w:tcBorders>
              <w:top w:val="single" w:sz="4" w:space="0" w:color="1A171C"/>
              <w:left w:val="nil"/>
              <w:bottom w:val="single" w:sz="4" w:space="0" w:color="1A171C"/>
              <w:right w:val="single" w:sz="4" w:space="0" w:color="1A171C"/>
            </w:tcBorders>
            <w:vAlign w:val="center"/>
          </w:tcPr>
          <w:p w14:paraId="7FE1B4F6" w14:textId="77777777" w:rsidR="00393915" w:rsidRDefault="00F24D68">
            <w:pPr>
              <w:pStyle w:val="P68B1DB1-TableParagraph13"/>
              <w:spacing w:before="106"/>
              <w:ind w:left="-1"/>
              <w:rPr>
                <w:rFonts w:eastAsia="Cambria"/>
                <w:b/>
              </w:rPr>
            </w:pPr>
            <w:r>
              <w:t xml:space="preserve">0010 – 0011 </w:t>
            </w:r>
          </w:p>
        </w:tc>
        <w:tc>
          <w:tcPr>
            <w:tcW w:w="8118" w:type="dxa"/>
            <w:tcBorders>
              <w:top w:val="single" w:sz="4" w:space="0" w:color="1A171C"/>
              <w:left w:val="single" w:sz="4" w:space="0" w:color="1A171C"/>
              <w:bottom w:val="single" w:sz="4" w:space="0" w:color="1A171C"/>
              <w:right w:val="nil"/>
            </w:tcBorders>
            <w:vAlign w:val="center"/>
          </w:tcPr>
          <w:p w14:paraId="7FE1B4F7" w14:textId="77777777" w:rsidR="00393915" w:rsidRDefault="00F24D68">
            <w:pPr>
              <w:pStyle w:val="P68B1DB1-TableParagraph14"/>
              <w:spacing w:before="108"/>
              <w:ind w:left="85"/>
              <w:jc w:val="both"/>
            </w:pPr>
            <w:r>
              <w:t>Kućanstva</w:t>
            </w:r>
          </w:p>
          <w:p w14:paraId="7FE1B4F8" w14:textId="77777777" w:rsidR="00393915" w:rsidRDefault="00F24D68">
            <w:pPr>
              <w:pStyle w:val="P68B1DB1-TableParagraph17"/>
              <w:spacing w:before="108"/>
              <w:ind w:left="85"/>
              <w:jc w:val="both"/>
            </w:pPr>
            <w:r>
              <w:t xml:space="preserve">FINREP, Prilog V. dio 1. točka 42. podtočka (f) </w:t>
            </w:r>
          </w:p>
          <w:p w14:paraId="7FE1B4F9" w14:textId="77777777" w:rsidR="00393915" w:rsidRDefault="00F24D68">
            <w:pPr>
              <w:pStyle w:val="P68B1DB1-TableParagraph17"/>
              <w:spacing w:before="108"/>
              <w:ind w:left="85"/>
              <w:jc w:val="both"/>
              <w:rPr>
                <w:b/>
              </w:rPr>
            </w:pPr>
            <w:r>
              <w:t>Pojedinci ili skupine pojedinaca kao potrošači i proizvođači robe i pružatelji nefinancijskih usluga isključivo za vlastitu krajnju potrošnju te kao proizvođači tržišne robe i pružatelji nefinancijskih i financijskih usluga uz uvjet da njihove djelatnosti nisu djelatnosti kvazidruštava. Obuhvaćene su neprofitne institucije koje pružaju usluge kućanstvima i koje se u pravilu bave proizvodnjom netržišne robe i pružanjem netržišnih usluga namijenjenih posebnim skupinama kućanstava.</w:t>
            </w:r>
          </w:p>
        </w:tc>
      </w:tr>
      <w:tr w:rsidR="00393915" w14:paraId="7FE1B501" w14:textId="77777777">
        <w:tc>
          <w:tcPr>
            <w:tcW w:w="908" w:type="dxa"/>
            <w:tcBorders>
              <w:top w:val="single" w:sz="4" w:space="0" w:color="1A171C"/>
              <w:left w:val="nil"/>
              <w:bottom w:val="single" w:sz="4" w:space="0" w:color="1A171C"/>
              <w:right w:val="single" w:sz="4" w:space="0" w:color="1A171C"/>
            </w:tcBorders>
            <w:vAlign w:val="center"/>
          </w:tcPr>
          <w:p w14:paraId="7FE1B4FB" w14:textId="77777777" w:rsidR="00393915" w:rsidRDefault="00F24D68">
            <w:pPr>
              <w:pStyle w:val="P68B1DB1-TableParagraph13"/>
              <w:spacing w:before="106"/>
              <w:ind w:left="-1"/>
              <w:rPr>
                <w:rFonts w:eastAsia="Cambria"/>
              </w:rPr>
            </w:pPr>
            <w:r>
              <w:t>0020 – 0021</w:t>
            </w:r>
          </w:p>
        </w:tc>
        <w:tc>
          <w:tcPr>
            <w:tcW w:w="8118" w:type="dxa"/>
            <w:tcBorders>
              <w:top w:val="single" w:sz="4" w:space="0" w:color="1A171C"/>
              <w:left w:val="single" w:sz="4" w:space="0" w:color="1A171C"/>
              <w:bottom w:val="single" w:sz="4" w:space="0" w:color="1A171C"/>
              <w:right w:val="nil"/>
            </w:tcBorders>
            <w:vAlign w:val="center"/>
          </w:tcPr>
          <w:p w14:paraId="7FE1B4FC" w14:textId="77777777" w:rsidR="00393915" w:rsidRDefault="00F24D68">
            <w:pPr>
              <w:pStyle w:val="P68B1DB1-TableParagraph14"/>
              <w:spacing w:before="108"/>
              <w:ind w:left="85"/>
              <w:jc w:val="both"/>
            </w:pPr>
            <w:r>
              <w:t>Nefinancijska društva (MSP-ovi)</w:t>
            </w:r>
          </w:p>
          <w:p w14:paraId="7FE1B4FD" w14:textId="77777777" w:rsidR="00393915" w:rsidRDefault="00F24D68">
            <w:pPr>
              <w:pStyle w:val="P68B1DB1-TableParagraph17"/>
              <w:spacing w:before="108"/>
              <w:ind w:left="85"/>
              <w:jc w:val="both"/>
            </w:pPr>
            <w:r>
              <w:t>FINREP, Prilog V. dio 1. točka 42. podtočka (e)</w:t>
            </w:r>
          </w:p>
          <w:p w14:paraId="7FE1B4FE" w14:textId="63A52B7A" w:rsidR="00393915" w:rsidRDefault="00F24D68">
            <w:pPr>
              <w:pStyle w:val="P68B1DB1-TableParagraph13"/>
              <w:spacing w:before="108"/>
              <w:ind w:left="85"/>
              <w:jc w:val="both"/>
              <w:rPr>
                <w:rFonts w:eastAsia="Cambria"/>
              </w:rPr>
            </w:pPr>
            <w:r>
              <w:t>Društva i kvazidruštva koja se ne bave financijskim posredovanjem, nego u pravilu proizvodnjom tržišne robe i pružanjem nefinancijskih usluga u skladu s Uredbom (EU) 2021/379 Europske središnje banke</w:t>
            </w:r>
            <w:r>
              <w:footnoteReference w:id="11"/>
            </w:r>
            <w:r>
              <w:t>, koja također ispunjavaju sljedeću definiciju malog i srednjeg poduzetništva:</w:t>
            </w:r>
          </w:p>
          <w:p w14:paraId="7FE1B4FF" w14:textId="56BBB571" w:rsidR="00393915" w:rsidRDefault="00F24D68">
            <w:pPr>
              <w:pStyle w:val="TableParagraph"/>
              <w:spacing w:before="108"/>
              <w:ind w:left="85"/>
              <w:jc w:val="both"/>
              <w:rPr>
                <w:rFonts w:ascii="Times New Roman" w:eastAsia="Cambria" w:hAnsi="Times New Roman" w:cs="Times New Roman"/>
                <w:color w:val="000000" w:themeColor="text1"/>
                <w:sz w:val="20"/>
                <w:szCs w:val="20"/>
              </w:rPr>
            </w:pPr>
            <w:r>
              <w:rPr>
                <w:rStyle w:val="FootnoteReference"/>
                <w:rFonts w:ascii="Times New Roman" w:eastAsia="Cambria" w:hAnsi="Times New Roman" w:cs="Times New Roman"/>
                <w:color w:val="1A171C"/>
              </w:rPr>
              <w:t xml:space="preserve">Glava I. članak 2. stavak 1. </w:t>
            </w:r>
            <w:r>
              <w:rPr>
                <w:rFonts w:ascii="Times New Roman" w:eastAsia="Cambria" w:hAnsi="Times New Roman" w:cs="Times New Roman"/>
                <w:color w:val="000000" w:themeColor="text1"/>
                <w:sz w:val="20"/>
                <w:szCs w:val="20"/>
              </w:rPr>
              <w:t>Priloga Preporuci Komisije od 6. svibnja 2003.</w:t>
            </w:r>
            <w:r>
              <w:rPr>
                <w:rStyle w:val="FootnoteReference"/>
                <w:rFonts w:ascii="Times New Roman" w:eastAsia="Cambria" w:hAnsi="Times New Roman" w:cs="Times New Roman"/>
                <w:color w:val="1A171C"/>
              </w:rPr>
              <w:footnoteReference w:id="12"/>
            </w:r>
            <w:r>
              <w:rPr>
                <w:rFonts w:ascii="Times New Roman" w:eastAsia="Cambria" w:hAnsi="Times New Roman" w:cs="Times New Roman"/>
                <w:color w:val="000000" w:themeColor="text1"/>
                <w:sz w:val="20"/>
                <w:szCs w:val="20"/>
              </w:rPr>
              <w:t>; FINREP, Prilog V. dio 1. točka 5. podtočka (i).</w:t>
            </w:r>
          </w:p>
          <w:p w14:paraId="7FE1B500" w14:textId="77777777" w:rsidR="00393915" w:rsidRDefault="00F24D68">
            <w:pPr>
              <w:pStyle w:val="P68B1DB1-TableParagraph17"/>
              <w:spacing w:before="108"/>
              <w:ind w:left="85"/>
              <w:jc w:val="both"/>
              <w:rPr>
                <w:rFonts w:eastAsia="Book Antiqua"/>
              </w:rPr>
            </w:pPr>
            <w:r>
              <w:t>Poduzeća koja zapošljavaju manje od 250 zaposlenika i čiji godišnji promet ne premašuje 50 milijuna EUR i/ili čija godišnja bilanca ukupno ne premašuje 43 milijuna EUR.</w:t>
            </w:r>
          </w:p>
        </w:tc>
      </w:tr>
      <w:tr w:rsidR="00393915" w14:paraId="7FE1B507" w14:textId="77777777">
        <w:tc>
          <w:tcPr>
            <w:tcW w:w="908" w:type="dxa"/>
            <w:tcBorders>
              <w:top w:val="single" w:sz="4" w:space="0" w:color="1A171C"/>
              <w:left w:val="nil"/>
              <w:bottom w:val="single" w:sz="4" w:space="0" w:color="1A171C"/>
              <w:right w:val="single" w:sz="4" w:space="0" w:color="1A171C"/>
            </w:tcBorders>
            <w:vAlign w:val="center"/>
          </w:tcPr>
          <w:p w14:paraId="7FE1B502" w14:textId="77777777" w:rsidR="00393915" w:rsidRDefault="00F24D68">
            <w:pPr>
              <w:pStyle w:val="P68B1DB1-TableParagraph13"/>
              <w:spacing w:before="106"/>
              <w:ind w:left="-1"/>
            </w:pPr>
            <w:r>
              <w:t>0030 – 0031</w:t>
            </w:r>
          </w:p>
        </w:tc>
        <w:tc>
          <w:tcPr>
            <w:tcW w:w="8118" w:type="dxa"/>
            <w:tcBorders>
              <w:top w:val="single" w:sz="4" w:space="0" w:color="1A171C"/>
              <w:left w:val="single" w:sz="4" w:space="0" w:color="1A171C"/>
              <w:bottom w:val="single" w:sz="4" w:space="0" w:color="1A171C"/>
              <w:right w:val="nil"/>
            </w:tcBorders>
            <w:vAlign w:val="center"/>
          </w:tcPr>
          <w:p w14:paraId="7FE1B503" w14:textId="77777777" w:rsidR="00393915" w:rsidRDefault="00F24D68">
            <w:pPr>
              <w:pStyle w:val="P68B1DB1-TableParagraph14"/>
              <w:spacing w:before="108"/>
              <w:ind w:left="85"/>
              <w:jc w:val="both"/>
            </w:pPr>
            <w:r>
              <w:t>Nefinancijska društva (osim MSP-ova)</w:t>
            </w:r>
          </w:p>
          <w:p w14:paraId="7FE1B504" w14:textId="77777777" w:rsidR="00393915" w:rsidRDefault="00F24D68">
            <w:pPr>
              <w:pStyle w:val="P68B1DB1-TableParagraph17"/>
              <w:spacing w:before="108"/>
              <w:ind w:left="85"/>
              <w:jc w:val="both"/>
            </w:pPr>
            <w:r>
              <w:t>FINREP, Prilog V. dio 1. točka 42. podtočka (e)</w:t>
            </w:r>
          </w:p>
          <w:p w14:paraId="7FE1B505" w14:textId="53EEC701" w:rsidR="00393915" w:rsidRDefault="00F24D68">
            <w:pPr>
              <w:pStyle w:val="P68B1DB1-TableParagraph13"/>
              <w:spacing w:before="108"/>
              <w:ind w:left="85"/>
              <w:jc w:val="both"/>
              <w:rPr>
                <w:rFonts w:eastAsia="Cambria"/>
              </w:rPr>
            </w:pPr>
            <w:r>
              <w:t>Društva i kvazidruštva koja se ne bave financijskim posredovanjem, nego u pravilu proizvodnjom tržišne robe i pružanjem nefinancijskih usluga u skladu s Uredbom (EU) 2021/379 Europske središnje banke.</w:t>
            </w:r>
          </w:p>
          <w:p w14:paraId="7FE1B506" w14:textId="77777777" w:rsidR="00393915" w:rsidRDefault="00F24D68">
            <w:pPr>
              <w:pStyle w:val="P68B1DB1-TableParagraph17"/>
              <w:spacing w:before="108"/>
              <w:ind w:left="85"/>
              <w:jc w:val="both"/>
              <w:rPr>
                <w:b/>
                <w:bCs/>
              </w:rPr>
            </w:pPr>
            <w:r>
              <w:t xml:space="preserve">Isključeni su podaci za „MSP-ove” iskazani u stupcu 0020. </w:t>
            </w:r>
          </w:p>
        </w:tc>
      </w:tr>
      <w:tr w:rsidR="00393915" w14:paraId="7FE1B50C" w14:textId="77777777">
        <w:tc>
          <w:tcPr>
            <w:tcW w:w="908" w:type="dxa"/>
            <w:tcBorders>
              <w:top w:val="single" w:sz="4" w:space="0" w:color="1A171C"/>
              <w:left w:val="nil"/>
              <w:bottom w:val="single" w:sz="4" w:space="0" w:color="1A171C"/>
              <w:right w:val="single" w:sz="4" w:space="0" w:color="1A171C"/>
            </w:tcBorders>
            <w:vAlign w:val="center"/>
          </w:tcPr>
          <w:p w14:paraId="7FE1B508" w14:textId="77777777" w:rsidR="00393915" w:rsidRDefault="00F24D68">
            <w:pPr>
              <w:pStyle w:val="P68B1DB1-TableParagraph13"/>
              <w:spacing w:before="106"/>
              <w:ind w:left="-1"/>
            </w:pPr>
            <w:r>
              <w:t>0040 – 0041</w:t>
            </w:r>
          </w:p>
        </w:tc>
        <w:tc>
          <w:tcPr>
            <w:tcW w:w="8118" w:type="dxa"/>
            <w:tcBorders>
              <w:top w:val="single" w:sz="4" w:space="0" w:color="1A171C"/>
              <w:left w:val="single" w:sz="4" w:space="0" w:color="1A171C"/>
              <w:bottom w:val="single" w:sz="4" w:space="0" w:color="1A171C"/>
              <w:right w:val="nil"/>
            </w:tcBorders>
            <w:vAlign w:val="center"/>
          </w:tcPr>
          <w:p w14:paraId="7FE1B509" w14:textId="77777777" w:rsidR="00393915" w:rsidRDefault="00F24D68">
            <w:pPr>
              <w:pStyle w:val="P68B1DB1-TableParagraph14"/>
              <w:spacing w:before="108"/>
              <w:ind w:left="85"/>
              <w:jc w:val="both"/>
            </w:pPr>
            <w:r>
              <w:t>Kreditne institucije</w:t>
            </w:r>
          </w:p>
          <w:p w14:paraId="7FE1B50A" w14:textId="77777777" w:rsidR="00393915" w:rsidRDefault="00F24D68">
            <w:pPr>
              <w:pStyle w:val="P68B1DB1-TableParagraph17"/>
              <w:spacing w:before="108"/>
              <w:ind w:left="85"/>
              <w:jc w:val="both"/>
            </w:pPr>
            <w:r>
              <w:t>FINREP, Prilog V. dio 1. točka 42. podtočka (c)</w:t>
            </w:r>
          </w:p>
          <w:p w14:paraId="7FE1B50B" w14:textId="77777777" w:rsidR="00393915" w:rsidRDefault="00F24D68">
            <w:pPr>
              <w:pStyle w:val="P68B1DB1-TableParagraph13"/>
              <w:spacing w:before="108"/>
              <w:ind w:left="85"/>
              <w:jc w:val="both"/>
              <w:rPr>
                <w:b/>
                <w:bCs/>
              </w:rPr>
            </w:pPr>
            <w:r>
              <w:t>Kreditne institucije u smislu članka 4. stavka 1. točke 1. Uredbe (EU) br. 575/2013 i multilateralne razvojne banke.</w:t>
            </w:r>
          </w:p>
        </w:tc>
      </w:tr>
      <w:tr w:rsidR="00393915" w14:paraId="7FE1B511" w14:textId="77777777">
        <w:tc>
          <w:tcPr>
            <w:tcW w:w="908" w:type="dxa"/>
            <w:tcBorders>
              <w:top w:val="single" w:sz="4" w:space="0" w:color="1A171C"/>
              <w:left w:val="nil"/>
              <w:bottom w:val="single" w:sz="4" w:space="0" w:color="1A171C"/>
              <w:right w:val="single" w:sz="4" w:space="0" w:color="1A171C"/>
            </w:tcBorders>
            <w:vAlign w:val="center"/>
          </w:tcPr>
          <w:p w14:paraId="7FE1B50D" w14:textId="0A55540C" w:rsidR="00393915" w:rsidRDefault="00F24D68">
            <w:pPr>
              <w:pStyle w:val="P68B1DB1-TableParagraph13"/>
              <w:spacing w:before="106"/>
              <w:ind w:left="-1"/>
            </w:pPr>
            <w:r>
              <w:t>0050 – 0056</w:t>
            </w:r>
          </w:p>
        </w:tc>
        <w:tc>
          <w:tcPr>
            <w:tcW w:w="8118" w:type="dxa"/>
            <w:tcBorders>
              <w:top w:val="single" w:sz="4" w:space="0" w:color="1A171C"/>
              <w:left w:val="single" w:sz="4" w:space="0" w:color="1A171C"/>
              <w:bottom w:val="single" w:sz="4" w:space="0" w:color="1A171C"/>
              <w:right w:val="nil"/>
            </w:tcBorders>
            <w:vAlign w:val="center"/>
          </w:tcPr>
          <w:p w14:paraId="7FE1B50E" w14:textId="77777777" w:rsidR="00393915" w:rsidRDefault="00F24D68">
            <w:pPr>
              <w:pStyle w:val="P68B1DB1-TableParagraph14"/>
              <w:spacing w:before="108"/>
              <w:ind w:left="85"/>
              <w:jc w:val="both"/>
            </w:pPr>
            <w:r>
              <w:t>Ostala financijska društva</w:t>
            </w:r>
          </w:p>
          <w:p w14:paraId="7FE1B50F" w14:textId="77777777" w:rsidR="00393915" w:rsidRDefault="00F24D68">
            <w:pPr>
              <w:pStyle w:val="P68B1DB1-TableParagraph17"/>
              <w:spacing w:before="108"/>
              <w:ind w:left="85"/>
              <w:jc w:val="both"/>
            </w:pPr>
            <w:r>
              <w:t>FINREP, Prilog V. dio 1. točka 42. podtočka (d)</w:t>
            </w:r>
          </w:p>
          <w:p w14:paraId="7FE1B510" w14:textId="06860C4E" w:rsidR="00393915" w:rsidRDefault="00F24D68">
            <w:pPr>
              <w:pStyle w:val="P68B1DB1-TableParagraph17"/>
              <w:spacing w:before="108"/>
              <w:ind w:left="85"/>
              <w:jc w:val="both"/>
              <w:rPr>
                <w:b/>
                <w:bCs/>
              </w:rPr>
            </w:pPr>
            <w:r>
              <w:t>Sva financijska društva i kvazidruštva osim kreditnih institucija, npr. investicijska društva, investicijski fondovi, društva za osiguranje, mirovinski fondovi, subjekti za zajednička ulaganja i klirinške kuće, kao i preostali financijski posrednici, pomoćne financijske institucije i vlastite financijske institucije i zajmodavci.</w:t>
            </w:r>
          </w:p>
        </w:tc>
      </w:tr>
      <w:tr w:rsidR="00393915" w14:paraId="7FE1B515" w14:textId="77777777">
        <w:tc>
          <w:tcPr>
            <w:tcW w:w="908" w:type="dxa"/>
            <w:tcBorders>
              <w:top w:val="single" w:sz="4" w:space="0" w:color="1A171C"/>
              <w:left w:val="nil"/>
              <w:bottom w:val="single" w:sz="4" w:space="0" w:color="1A171C"/>
              <w:right w:val="single" w:sz="4" w:space="0" w:color="1A171C"/>
            </w:tcBorders>
            <w:vAlign w:val="center"/>
          </w:tcPr>
          <w:p w14:paraId="7FE1B512" w14:textId="77777777" w:rsidR="00393915" w:rsidRDefault="00F24D68">
            <w:pPr>
              <w:pStyle w:val="P68B1DB1-TableParagraph13"/>
              <w:spacing w:before="106"/>
              <w:ind w:left="-1"/>
            </w:pPr>
            <w:r>
              <w:t>0055 – 0056</w:t>
            </w:r>
          </w:p>
        </w:tc>
        <w:tc>
          <w:tcPr>
            <w:tcW w:w="8118" w:type="dxa"/>
            <w:tcBorders>
              <w:top w:val="single" w:sz="4" w:space="0" w:color="1A171C"/>
              <w:left w:val="single" w:sz="4" w:space="0" w:color="1A171C"/>
              <w:bottom w:val="single" w:sz="4" w:space="0" w:color="1A171C"/>
              <w:right w:val="nil"/>
            </w:tcBorders>
            <w:vAlign w:val="center"/>
          </w:tcPr>
          <w:p w14:paraId="7FE1B513" w14:textId="77777777" w:rsidR="00393915" w:rsidRDefault="00F24D68">
            <w:pPr>
              <w:pStyle w:val="P68B1DB1-TableParagraph14"/>
              <w:spacing w:before="108"/>
              <w:ind w:left="85"/>
              <w:jc w:val="both"/>
            </w:pPr>
            <w:r>
              <w:t>Od čega osiguravajuća društva i mirovinski fondovi</w:t>
            </w:r>
          </w:p>
          <w:p w14:paraId="7FE1B514" w14:textId="27C9C9AF" w:rsidR="00393915" w:rsidRDefault="00F24D68">
            <w:pPr>
              <w:pStyle w:val="P68B1DB1-TableParagraph17"/>
              <w:spacing w:before="108"/>
              <w:ind w:left="85"/>
              <w:jc w:val="both"/>
              <w:rPr>
                <w:b/>
              </w:rPr>
            </w:pPr>
            <w:r>
              <w:t>Društva za osiguranje, društva za reosiguranje (kako je navedeno u članku 13. stavcima od 1. do 6. Direktive 2009/138/</w:t>
            </w:r>
            <w:r>
              <w:t>E</w:t>
            </w:r>
            <w:r w:rsidR="00035644">
              <w:t>C</w:t>
            </w:r>
            <w:r>
              <w:t xml:space="preserve"> Europskog parlamenta i Vijeća) te mirovinski fondovi.</w:t>
            </w:r>
          </w:p>
        </w:tc>
      </w:tr>
      <w:tr w:rsidR="00393915" w14:paraId="7FE1B51A" w14:textId="77777777">
        <w:tc>
          <w:tcPr>
            <w:tcW w:w="908" w:type="dxa"/>
            <w:tcBorders>
              <w:top w:val="single" w:sz="4" w:space="0" w:color="1A171C"/>
              <w:left w:val="nil"/>
              <w:bottom w:val="single" w:sz="4" w:space="0" w:color="1A171C"/>
              <w:right w:val="single" w:sz="4" w:space="0" w:color="1A171C"/>
            </w:tcBorders>
            <w:vAlign w:val="center"/>
          </w:tcPr>
          <w:p w14:paraId="7FE1B516" w14:textId="77777777" w:rsidR="00393915" w:rsidRDefault="00F24D68">
            <w:pPr>
              <w:pStyle w:val="P68B1DB1-TableParagraph13"/>
              <w:spacing w:before="106"/>
              <w:ind w:left="-1"/>
            </w:pPr>
            <w:r>
              <w:t>0060 – 0061</w:t>
            </w:r>
          </w:p>
        </w:tc>
        <w:tc>
          <w:tcPr>
            <w:tcW w:w="8118" w:type="dxa"/>
            <w:tcBorders>
              <w:top w:val="single" w:sz="4" w:space="0" w:color="1A171C"/>
              <w:left w:val="single" w:sz="4" w:space="0" w:color="1A171C"/>
              <w:bottom w:val="single" w:sz="4" w:space="0" w:color="1A171C"/>
              <w:right w:val="nil"/>
            </w:tcBorders>
            <w:vAlign w:val="center"/>
          </w:tcPr>
          <w:p w14:paraId="7FE1B517" w14:textId="034AF93F" w:rsidR="00393915" w:rsidRDefault="00F24D68">
            <w:pPr>
              <w:pStyle w:val="P68B1DB1-TableParagraph14"/>
              <w:spacing w:before="108"/>
              <w:ind w:left="85"/>
              <w:jc w:val="both"/>
            </w:pPr>
            <w:r>
              <w:t>Opć</w:t>
            </w:r>
            <w:r w:rsidR="001109CE">
              <w:t>a</w:t>
            </w:r>
            <w:r>
              <w:t xml:space="preserve"> držav</w:t>
            </w:r>
            <w:r w:rsidR="001109CE">
              <w:t>a</w:t>
            </w:r>
            <w:r>
              <w:t xml:space="preserve"> i središnje banke</w:t>
            </w:r>
          </w:p>
          <w:p w14:paraId="7FE1B518" w14:textId="77777777" w:rsidR="00393915" w:rsidRDefault="00F24D68">
            <w:pPr>
              <w:pStyle w:val="P68B1DB1-TableParagraph17"/>
              <w:spacing w:before="108"/>
              <w:ind w:left="85"/>
              <w:jc w:val="both"/>
            </w:pPr>
            <w:r>
              <w:t>FINREP, Prilog V. dio 1. točka 42. podtočke (a) i (b)</w:t>
            </w:r>
          </w:p>
          <w:p w14:paraId="7FE1B519" w14:textId="77777777" w:rsidR="00393915" w:rsidRDefault="00F24D68">
            <w:pPr>
              <w:pStyle w:val="P68B1DB1-TableParagraph17"/>
              <w:spacing w:before="108"/>
              <w:ind w:left="85"/>
              <w:jc w:val="both"/>
              <w:rPr>
                <w:b/>
                <w:bCs/>
              </w:rPr>
            </w:pPr>
            <w:r>
              <w:lastRenderedPageBreak/>
              <w:t>Središnje banke i središnje države, područne ili regionalne samouprave i lokalne samouprave, uključujući administrativna tijela i neprofitna društva, ali ne uključujući javna trgovačka društva i privatna trgovačka društva u vlasništvu navedenih tijela koja se bave komercijalnom djelatnošću (koja se, ovisno o njihovoj djelatnosti, iskazuju pod stavkom „Kreditne institucije”, „Ostala financijska društva” ili „Nefinancijska društva”); fondove socijalne sigurnosti; te međunarodne organizacije kao što su Europska unija, Međunarodni monetarni fond i Banka za međunarodne namire.</w:t>
            </w:r>
          </w:p>
        </w:tc>
      </w:tr>
      <w:tr w:rsidR="00393915" w14:paraId="7FE1B51E" w14:textId="77777777">
        <w:tc>
          <w:tcPr>
            <w:tcW w:w="908" w:type="dxa"/>
            <w:tcBorders>
              <w:top w:val="single" w:sz="4" w:space="0" w:color="1A171C"/>
              <w:left w:val="nil"/>
              <w:bottom w:val="single" w:sz="4" w:space="0" w:color="1A171C"/>
              <w:right w:val="single" w:sz="4" w:space="0" w:color="1A171C"/>
            </w:tcBorders>
            <w:vAlign w:val="center"/>
          </w:tcPr>
          <w:p w14:paraId="7FE1B51B" w14:textId="77777777" w:rsidR="00393915" w:rsidRDefault="00F24D68">
            <w:pPr>
              <w:pStyle w:val="P68B1DB1-TableParagraph13"/>
              <w:spacing w:before="106"/>
              <w:ind w:left="-1"/>
            </w:pPr>
            <w:r>
              <w:lastRenderedPageBreak/>
              <w:t>0070 – 0071</w:t>
            </w:r>
          </w:p>
        </w:tc>
        <w:tc>
          <w:tcPr>
            <w:tcW w:w="8118" w:type="dxa"/>
            <w:tcBorders>
              <w:top w:val="single" w:sz="4" w:space="0" w:color="1A171C"/>
              <w:left w:val="single" w:sz="4" w:space="0" w:color="1A171C"/>
              <w:bottom w:val="single" w:sz="4" w:space="0" w:color="1A171C"/>
              <w:right w:val="nil"/>
            </w:tcBorders>
            <w:vAlign w:val="center"/>
          </w:tcPr>
          <w:p w14:paraId="7FE1B51C" w14:textId="6E48A1FA" w:rsidR="00393915" w:rsidRDefault="00F24D68">
            <w:pPr>
              <w:pStyle w:val="P68B1DB1-TableParagraph14"/>
              <w:spacing w:before="108"/>
              <w:ind w:left="85"/>
              <w:jc w:val="both"/>
            </w:pPr>
            <w:r>
              <w:t xml:space="preserve">Neidentificirani, </w:t>
            </w:r>
            <w:r>
              <w:t>uvršten</w:t>
            </w:r>
            <w:r w:rsidR="0013238C">
              <w:t>i</w:t>
            </w:r>
            <w:r>
              <w:t xml:space="preserve"> na mjestu trgovanja</w:t>
            </w:r>
          </w:p>
          <w:p w14:paraId="7FE1B51D" w14:textId="5F92CBCC" w:rsidR="00393915" w:rsidRDefault="00F24D68">
            <w:pPr>
              <w:pStyle w:val="TableParagraph"/>
              <w:spacing w:before="108"/>
              <w:ind w:left="85"/>
              <w:jc w:val="both"/>
              <w:rPr>
                <w:rFonts w:ascii="Times New Roman" w:hAnsi="Times New Roman" w:cs="Times New Roman"/>
                <w:b/>
                <w:bCs/>
                <w:color w:val="000000" w:themeColor="text1"/>
                <w:sz w:val="20"/>
                <w:szCs w:val="20"/>
              </w:rPr>
            </w:pPr>
            <w:r>
              <w:rPr>
                <w:rFonts w:ascii="Times New Roman" w:hAnsi="Times New Roman" w:cs="Times New Roman"/>
                <w:color w:val="000000" w:themeColor="text1"/>
                <w:sz w:val="20"/>
                <w:szCs w:val="20"/>
              </w:rPr>
              <w:t>Ako je identitet imatelja vrijednosnog papira nepoznat jer su instrumenti uvršteni na mjestu trgovanja, kako je definirano u Direktivi 2014/65/EU</w:t>
            </w:r>
            <w:r>
              <w:rPr>
                <w:rStyle w:val="FootnoteReference"/>
                <w:rFonts w:cs="Times New Roman"/>
                <w:color w:val="000000" w:themeColor="text1"/>
              </w:rPr>
              <w:footnoteReference w:id="13"/>
            </w:r>
            <w:r>
              <w:rPr>
                <w:rFonts w:ascii="Times New Roman" w:hAnsi="Times New Roman" w:cs="Times New Roman"/>
                <w:color w:val="000000" w:themeColor="text1"/>
                <w:sz w:val="20"/>
                <w:szCs w:val="20"/>
              </w:rPr>
              <w:t>, ti se iznosi pripisuju ovom stupcu.</w:t>
            </w:r>
          </w:p>
        </w:tc>
      </w:tr>
      <w:tr w:rsidR="00393915" w14:paraId="7FE1B522" w14:textId="77777777">
        <w:tc>
          <w:tcPr>
            <w:tcW w:w="908" w:type="dxa"/>
            <w:tcBorders>
              <w:top w:val="single" w:sz="4" w:space="0" w:color="1A171C"/>
              <w:left w:val="nil"/>
              <w:bottom w:val="single" w:sz="4" w:space="0" w:color="1A171C"/>
              <w:right w:val="single" w:sz="4" w:space="0" w:color="1A171C"/>
            </w:tcBorders>
            <w:vAlign w:val="center"/>
          </w:tcPr>
          <w:p w14:paraId="7FE1B51F" w14:textId="77777777" w:rsidR="00393915" w:rsidRDefault="00F24D68">
            <w:pPr>
              <w:pStyle w:val="P68B1DB1-TableParagraph13"/>
              <w:spacing w:before="106"/>
              <w:ind w:left="-1"/>
            </w:pPr>
            <w:r>
              <w:t>0080 – 0081</w:t>
            </w:r>
          </w:p>
        </w:tc>
        <w:tc>
          <w:tcPr>
            <w:tcW w:w="8118" w:type="dxa"/>
            <w:tcBorders>
              <w:top w:val="single" w:sz="4" w:space="0" w:color="1A171C"/>
              <w:left w:val="single" w:sz="4" w:space="0" w:color="1A171C"/>
              <w:bottom w:val="single" w:sz="4" w:space="0" w:color="1A171C"/>
              <w:right w:val="nil"/>
            </w:tcBorders>
            <w:vAlign w:val="center"/>
          </w:tcPr>
          <w:p w14:paraId="7FE1B520" w14:textId="737AE796" w:rsidR="00393915" w:rsidRDefault="00F24D68">
            <w:pPr>
              <w:pStyle w:val="P68B1DB1-TableParagraph14"/>
              <w:spacing w:before="108"/>
              <w:ind w:left="85"/>
              <w:jc w:val="both"/>
            </w:pPr>
            <w:r>
              <w:t xml:space="preserve">Neidentificirani, </w:t>
            </w:r>
            <w:r w:rsidR="00EE0582">
              <w:t>ne</w:t>
            </w:r>
            <w:r>
              <w:t>uvršten</w:t>
            </w:r>
            <w:r w:rsidR="00EE0582">
              <w:t>i</w:t>
            </w:r>
            <w:r>
              <w:t xml:space="preserve"> na mjestu trgovanja</w:t>
            </w:r>
          </w:p>
          <w:p w14:paraId="7FE1B521" w14:textId="4D134852" w:rsidR="00393915" w:rsidRDefault="00F24D68">
            <w:pPr>
              <w:pStyle w:val="P68B1DB1-TableParagraph17"/>
              <w:spacing w:before="108"/>
              <w:ind w:left="85"/>
              <w:jc w:val="both"/>
            </w:pPr>
            <w:r>
              <w:t>Ako je identitet imatelja vrijednosnog papira nepoznat</w:t>
            </w:r>
            <w:r w:rsidR="00EE0582">
              <w:t>,</w:t>
            </w:r>
            <w:r>
              <w:t xml:space="preserve"> a instrumenti nisu uvršteni na mjestu trgovanja, ti iznosi pripisuju se ovom stupcu i nije potrebna nikakva daljnja raščlamba po drugim ugovornim stranama. Subjekte koji izvješćuju potiče se da identificiraju druge ugovorne strane i ograniče upotrebu ovog stupca na najmanju moguću mjeru.</w:t>
            </w:r>
          </w:p>
        </w:tc>
      </w:tr>
      <w:tr w:rsidR="00393915" w14:paraId="7FE1B525" w14:textId="77777777">
        <w:tc>
          <w:tcPr>
            <w:tcW w:w="908" w:type="dxa"/>
            <w:tcBorders>
              <w:top w:val="single" w:sz="4" w:space="0" w:color="1A171C"/>
              <w:left w:val="nil"/>
              <w:bottom w:val="single" w:sz="4" w:space="0" w:color="1A171C"/>
              <w:right w:val="single" w:sz="4" w:space="0" w:color="1A171C"/>
            </w:tcBorders>
            <w:vAlign w:val="center"/>
          </w:tcPr>
          <w:p w14:paraId="7FE1B523" w14:textId="42079B1B" w:rsidR="00393915" w:rsidRDefault="00F24D68">
            <w:pPr>
              <w:pStyle w:val="P68B1DB1-TableParagraph13"/>
              <w:spacing w:before="106"/>
              <w:ind w:left="-1"/>
            </w:pPr>
            <w:r>
              <w:t>0090 – 0111</w:t>
            </w:r>
          </w:p>
        </w:tc>
        <w:tc>
          <w:tcPr>
            <w:tcW w:w="8118" w:type="dxa"/>
            <w:tcBorders>
              <w:top w:val="single" w:sz="4" w:space="0" w:color="1A171C"/>
              <w:left w:val="single" w:sz="4" w:space="0" w:color="1A171C"/>
              <w:bottom w:val="single" w:sz="4" w:space="0" w:color="1A171C"/>
              <w:right w:val="nil"/>
            </w:tcBorders>
            <w:vAlign w:val="center"/>
          </w:tcPr>
          <w:p w14:paraId="7FE1B524" w14:textId="77777777" w:rsidR="00393915" w:rsidRDefault="00F24D68">
            <w:pPr>
              <w:pStyle w:val="P68B1DB1-TableParagraph14"/>
              <w:spacing w:before="108"/>
              <w:ind w:left="85"/>
              <w:jc w:val="both"/>
              <w:rPr>
                <w:bCs/>
              </w:rPr>
            </w:pPr>
            <w:r>
              <w:t>Ukupno</w:t>
            </w:r>
          </w:p>
        </w:tc>
      </w:tr>
      <w:tr w:rsidR="00393915" w14:paraId="7FE1B529" w14:textId="77777777">
        <w:tc>
          <w:tcPr>
            <w:tcW w:w="908" w:type="dxa"/>
            <w:tcBorders>
              <w:top w:val="single" w:sz="4" w:space="0" w:color="1A171C"/>
              <w:left w:val="nil"/>
              <w:bottom w:val="single" w:sz="4" w:space="0" w:color="1A171C"/>
              <w:right w:val="single" w:sz="4" w:space="0" w:color="1A171C"/>
            </w:tcBorders>
            <w:vAlign w:val="center"/>
          </w:tcPr>
          <w:p w14:paraId="7FE1B526" w14:textId="77777777" w:rsidR="00393915" w:rsidRDefault="00F24D68">
            <w:pPr>
              <w:pStyle w:val="P68B1DB1-TableParagraph13"/>
              <w:spacing w:before="106"/>
              <w:ind w:left="-1"/>
            </w:pPr>
            <w:r>
              <w:t>0100 – 0101</w:t>
            </w:r>
          </w:p>
        </w:tc>
        <w:tc>
          <w:tcPr>
            <w:tcW w:w="8118" w:type="dxa"/>
            <w:tcBorders>
              <w:top w:val="single" w:sz="4" w:space="0" w:color="1A171C"/>
              <w:left w:val="single" w:sz="4" w:space="0" w:color="1A171C"/>
              <w:bottom w:val="single" w:sz="4" w:space="0" w:color="1A171C"/>
              <w:right w:val="nil"/>
            </w:tcBorders>
            <w:vAlign w:val="center"/>
          </w:tcPr>
          <w:p w14:paraId="7FE1B527" w14:textId="77777777" w:rsidR="00393915" w:rsidRDefault="00F24D68">
            <w:pPr>
              <w:pStyle w:val="P68B1DB1-TableParagraph14"/>
              <w:spacing w:before="108"/>
              <w:ind w:left="85"/>
              <w:jc w:val="both"/>
            </w:pPr>
            <w:r>
              <w:t>Od čega: unutar grupe</w:t>
            </w:r>
          </w:p>
          <w:p w14:paraId="7FE1B528" w14:textId="1BF72D2B" w:rsidR="00393915" w:rsidRDefault="00F24D68">
            <w:pPr>
              <w:pStyle w:val="P68B1DB1-TableParagraph13"/>
              <w:spacing w:before="108"/>
              <w:ind w:left="85"/>
              <w:jc w:val="both"/>
              <w:rPr>
                <w:rFonts w:eastAsia="Times New Roman"/>
              </w:rPr>
            </w:pPr>
            <w:r>
              <w:t xml:space="preserve">Obveze prema subjektima koji su uključeni u računovodstveni opseg konsolidacije krajnjeg matičnog društva (za razliku od regulatornog opsega konsolidacije). </w:t>
            </w:r>
          </w:p>
        </w:tc>
      </w:tr>
      <w:tr w:rsidR="00393915" w14:paraId="7FE1B52E" w14:textId="77777777">
        <w:tc>
          <w:tcPr>
            <w:tcW w:w="908" w:type="dxa"/>
            <w:tcBorders>
              <w:top w:val="single" w:sz="4" w:space="0" w:color="1A171C"/>
              <w:left w:val="nil"/>
              <w:bottom w:val="single" w:sz="4" w:space="0" w:color="1A171C"/>
              <w:right w:val="single" w:sz="4" w:space="0" w:color="1A171C"/>
            </w:tcBorders>
            <w:vAlign w:val="center"/>
          </w:tcPr>
          <w:p w14:paraId="7FE1B52A" w14:textId="77777777" w:rsidR="00393915" w:rsidRDefault="00F24D68">
            <w:pPr>
              <w:pStyle w:val="P68B1DB1-TableParagraph13"/>
              <w:spacing w:before="106"/>
              <w:ind w:left="-1"/>
            </w:pPr>
            <w:r>
              <w:t>0110 – 0111</w:t>
            </w:r>
          </w:p>
        </w:tc>
        <w:tc>
          <w:tcPr>
            <w:tcW w:w="8118" w:type="dxa"/>
            <w:tcBorders>
              <w:top w:val="single" w:sz="4" w:space="0" w:color="1A171C"/>
              <w:left w:val="single" w:sz="4" w:space="0" w:color="1A171C"/>
              <w:bottom w:val="single" w:sz="4" w:space="0" w:color="1A171C"/>
              <w:right w:val="nil"/>
            </w:tcBorders>
            <w:vAlign w:val="center"/>
          </w:tcPr>
          <w:p w14:paraId="7FE1B52B" w14:textId="748C85E3" w:rsidR="00393915" w:rsidRDefault="00F24D68">
            <w:pPr>
              <w:pStyle w:val="P68B1DB1-TableParagraph14"/>
              <w:spacing w:before="108"/>
              <w:ind w:left="85"/>
              <w:jc w:val="both"/>
            </w:pPr>
            <w:r>
              <w:t>Od čega: obveze koje su uređene pravom treće zemlje, osim onih unutar grupe</w:t>
            </w:r>
          </w:p>
          <w:p w14:paraId="7FE1B52C" w14:textId="77777777" w:rsidR="00393915" w:rsidRDefault="00F24D68">
            <w:pPr>
              <w:pStyle w:val="P68B1DB1-TableParagraph17"/>
              <w:spacing w:before="108"/>
              <w:ind w:left="85"/>
              <w:jc w:val="both"/>
            </w:pPr>
            <w:r>
              <w:t>U njih se uključuju bruto iznosi obveza koje su uređene pravom treće zemlje i/ili koje su izdali subjekti grupe s poslovnim nastanom u trećim zemljama. Isključuju se obveze unutar grupe.</w:t>
            </w:r>
          </w:p>
          <w:p w14:paraId="7FE1B52D" w14:textId="77777777" w:rsidR="00393915" w:rsidRDefault="00F24D68">
            <w:pPr>
              <w:pStyle w:val="TableParagraph"/>
              <w:spacing w:before="108"/>
              <w:ind w:left="85"/>
              <w:jc w:val="both"/>
              <w:rPr>
                <w:rFonts w:ascii="Times New Roman" w:hAnsi="Times New Roman" w:cs="Times New Roman"/>
                <w:b/>
                <w:bCs/>
                <w:color w:val="000000" w:themeColor="text1"/>
                <w:sz w:val="20"/>
                <w:szCs w:val="20"/>
              </w:rPr>
            </w:pPr>
            <w:r>
              <w:rPr>
                <w:rFonts w:ascii="Times New Roman" w:eastAsia="Cambria" w:hAnsi="Times New Roman" w:cs="Times New Roman"/>
                <w:color w:val="000000" w:themeColor="text1"/>
                <w:sz w:val="20"/>
                <w:szCs w:val="20"/>
              </w:rPr>
              <w:t>Ako je sanacijsko tijelo potvrdilo, u skladu s člankom 55. stavkom 3. Direktive 2014/59/EU Europskog parlamenta i Vijeća</w:t>
            </w:r>
            <w:r>
              <w:rPr>
                <w:rStyle w:val="FootnoteReference"/>
                <w:rFonts w:ascii="Times New Roman" w:eastAsia="Cambria" w:hAnsi="Times New Roman" w:cs="Times New Roman"/>
                <w:color w:val="000000" w:themeColor="text1"/>
              </w:rPr>
              <w:footnoteReference w:id="14"/>
            </w:r>
            <w:r>
              <w:rPr>
                <w:rFonts w:ascii="Times New Roman" w:eastAsia="Cambria" w:hAnsi="Times New Roman" w:cs="Times New Roman"/>
                <w:color w:val="000000" w:themeColor="text1"/>
                <w:sz w:val="20"/>
                <w:szCs w:val="20"/>
              </w:rPr>
              <w:t>, da je uvjereno da bi svaka odluka sanacijskog tijela o otpisu ili konverziji obveze bila izvršiva prema pravu te treće zemlje, ta obveza ne iskazuje se u ovom stupcu.</w:t>
            </w:r>
          </w:p>
        </w:tc>
      </w:tr>
    </w:tbl>
    <w:p w14:paraId="7FE1B532" w14:textId="77777777" w:rsidR="00393915" w:rsidRDefault="00393915">
      <w:pPr>
        <w:rPr>
          <w:rFonts w:ascii="Times New Roman" w:hAnsi="Times New Roman" w:cs="Times New Roman"/>
        </w:rPr>
      </w:pPr>
    </w:p>
    <w:p w14:paraId="7FE1B533" w14:textId="77777777" w:rsidR="00393915" w:rsidRDefault="00393915">
      <w:pPr>
        <w:rPr>
          <w:rFonts w:ascii="Times New Roman" w:hAnsi="Times New Roman" w:cs="Times New Roman"/>
          <w:color w:val="000000" w:themeColor="text1"/>
          <w:sz w:val="20"/>
          <w:szCs w:val="20"/>
        </w:rPr>
      </w:pPr>
    </w:p>
    <w:tbl>
      <w:tblPr>
        <w:tblW w:w="0" w:type="auto"/>
        <w:tblCellMar>
          <w:top w:w="57" w:type="dxa"/>
          <w:left w:w="57" w:type="dxa"/>
          <w:bottom w:w="57" w:type="dxa"/>
          <w:right w:w="0" w:type="dxa"/>
        </w:tblCellMar>
        <w:tblLook w:val="01E0" w:firstRow="1" w:lastRow="1" w:firstColumn="1" w:lastColumn="1" w:noHBand="0" w:noVBand="0"/>
      </w:tblPr>
      <w:tblGrid>
        <w:gridCol w:w="905"/>
        <w:gridCol w:w="8121"/>
      </w:tblGrid>
      <w:tr w:rsidR="00393915" w14:paraId="7FE1B536" w14:textId="77777777">
        <w:trPr>
          <w:tblHeader/>
        </w:trPr>
        <w:tc>
          <w:tcPr>
            <w:tcW w:w="905" w:type="dxa"/>
            <w:tcBorders>
              <w:top w:val="single" w:sz="4" w:space="0" w:color="1A171C"/>
              <w:left w:val="nil"/>
              <w:bottom w:val="single" w:sz="4" w:space="0" w:color="1A171C"/>
              <w:right w:val="single" w:sz="4" w:space="0" w:color="1A171C"/>
            </w:tcBorders>
            <w:shd w:val="clear" w:color="auto" w:fill="E4E5E5"/>
          </w:tcPr>
          <w:p w14:paraId="7FE1B534" w14:textId="77777777" w:rsidR="00393915" w:rsidRDefault="00F24D68">
            <w:pPr>
              <w:pStyle w:val="P68B1DB1-TableParagraph13"/>
              <w:spacing w:before="66"/>
              <w:rPr>
                <w:rFonts w:eastAsia="Cambria"/>
              </w:rPr>
            </w:pPr>
            <w:r>
              <w:t>Redci</w:t>
            </w:r>
          </w:p>
        </w:tc>
        <w:tc>
          <w:tcPr>
            <w:tcW w:w="8121" w:type="dxa"/>
            <w:tcBorders>
              <w:top w:val="single" w:sz="4" w:space="0" w:color="1A171C"/>
              <w:left w:val="single" w:sz="4" w:space="0" w:color="1A171C"/>
              <w:bottom w:val="single" w:sz="4" w:space="0" w:color="1A171C"/>
              <w:right w:val="nil"/>
            </w:tcBorders>
            <w:shd w:val="clear" w:color="auto" w:fill="E4E5E5"/>
          </w:tcPr>
          <w:p w14:paraId="7FE1B535" w14:textId="77777777" w:rsidR="00393915" w:rsidRDefault="00F24D68">
            <w:pPr>
              <w:pStyle w:val="P68B1DB1-TableParagraph13"/>
              <w:spacing w:before="66"/>
              <w:ind w:right="1"/>
              <w:jc w:val="center"/>
              <w:rPr>
                <w:rFonts w:eastAsia="Cambria"/>
              </w:rPr>
            </w:pPr>
            <w:r>
              <w:t>Upute</w:t>
            </w:r>
          </w:p>
        </w:tc>
      </w:tr>
      <w:tr w:rsidR="00393915" w14:paraId="7FE1B53B" w14:textId="77777777">
        <w:tc>
          <w:tcPr>
            <w:tcW w:w="905" w:type="dxa"/>
            <w:tcBorders>
              <w:top w:val="single" w:sz="4" w:space="0" w:color="1A171C"/>
              <w:left w:val="nil"/>
              <w:bottom w:val="single" w:sz="4" w:space="0" w:color="1A171C"/>
              <w:right w:val="single" w:sz="4" w:space="0" w:color="1A171C"/>
            </w:tcBorders>
            <w:vAlign w:val="center"/>
          </w:tcPr>
          <w:p w14:paraId="7FE1B537" w14:textId="77777777" w:rsidR="00393915" w:rsidRDefault="00F24D68">
            <w:pPr>
              <w:pStyle w:val="P68B1DB1-TableParagraph13"/>
              <w:spacing w:before="106"/>
              <w:ind w:left="-1"/>
              <w:rPr>
                <w:rFonts w:eastAsia="Cambria"/>
                <w:b/>
              </w:rPr>
            </w:pPr>
            <w:r>
              <w:t>0100</w:t>
            </w:r>
          </w:p>
        </w:tc>
        <w:tc>
          <w:tcPr>
            <w:tcW w:w="8121" w:type="dxa"/>
            <w:tcBorders>
              <w:top w:val="single" w:sz="4" w:space="0" w:color="1A171C"/>
              <w:left w:val="single" w:sz="4" w:space="0" w:color="1A171C"/>
              <w:bottom w:val="single" w:sz="4" w:space="0" w:color="1A171C"/>
              <w:right w:val="nil"/>
            </w:tcBorders>
            <w:vAlign w:val="center"/>
          </w:tcPr>
          <w:p w14:paraId="7FE1B538" w14:textId="77CA621A" w:rsidR="00393915" w:rsidRDefault="00F24D68">
            <w:pPr>
              <w:pStyle w:val="P68B1DB1-TableParagraph14"/>
              <w:spacing w:before="108"/>
              <w:ind w:left="85"/>
              <w:jc w:val="both"/>
            </w:pPr>
            <w:r>
              <w:t xml:space="preserve">Obveze koje su isključene iz </w:t>
            </w:r>
            <w:r w:rsidR="001E4895">
              <w:t>unutarnje sanacije</w:t>
            </w:r>
          </w:p>
          <w:p w14:paraId="7FE1B53A" w14:textId="5A5F469A" w:rsidR="00393915" w:rsidRDefault="00F24D68">
            <w:pPr>
              <w:pStyle w:val="P68B1DB1-TableParagraph17"/>
              <w:spacing w:before="108"/>
              <w:jc w:val="both"/>
            </w:pPr>
            <w:r>
              <w:t xml:space="preserve">Iznos obveza za koje sanacijska tijela ne izvršavaju ovlasti otpisa ili konverzije u skladu s člankom 44. stavkom 2. Direktive 2014/59/EU. </w:t>
            </w:r>
          </w:p>
        </w:tc>
      </w:tr>
      <w:tr w:rsidR="00393915" w14:paraId="7FE1B53F" w14:textId="77777777">
        <w:tc>
          <w:tcPr>
            <w:tcW w:w="905" w:type="dxa"/>
            <w:tcBorders>
              <w:top w:val="single" w:sz="4" w:space="0" w:color="1A171C"/>
              <w:left w:val="nil"/>
              <w:bottom w:val="single" w:sz="4" w:space="0" w:color="1A171C"/>
              <w:right w:val="single" w:sz="4" w:space="0" w:color="1A171C"/>
            </w:tcBorders>
            <w:vAlign w:val="center"/>
          </w:tcPr>
          <w:p w14:paraId="7FE1B53C" w14:textId="77777777" w:rsidR="00393915" w:rsidRDefault="00F24D68">
            <w:pPr>
              <w:pStyle w:val="P68B1DB1-TableParagraph13"/>
              <w:spacing w:before="106"/>
              <w:ind w:left="-1"/>
              <w:rPr>
                <w:rFonts w:eastAsia="Cambria"/>
              </w:rPr>
            </w:pPr>
            <w:r>
              <w:t>0110</w:t>
            </w:r>
          </w:p>
        </w:tc>
        <w:tc>
          <w:tcPr>
            <w:tcW w:w="8121" w:type="dxa"/>
            <w:tcBorders>
              <w:top w:val="single" w:sz="4" w:space="0" w:color="1A171C"/>
              <w:left w:val="single" w:sz="4" w:space="0" w:color="1A171C"/>
              <w:bottom w:val="single" w:sz="4" w:space="0" w:color="1A171C"/>
              <w:right w:val="nil"/>
            </w:tcBorders>
            <w:vAlign w:val="center"/>
          </w:tcPr>
          <w:p w14:paraId="7FE1B53D" w14:textId="77777777" w:rsidR="00393915" w:rsidRDefault="00F24D68">
            <w:pPr>
              <w:pStyle w:val="P68B1DB1-TableParagraph14"/>
              <w:spacing w:before="108"/>
              <w:ind w:left="85"/>
              <w:jc w:val="both"/>
            </w:pPr>
            <w:r>
              <w:t>Osigurani depoziti</w:t>
            </w:r>
          </w:p>
          <w:p w14:paraId="7FE1B53E" w14:textId="77777777" w:rsidR="00393915" w:rsidRDefault="00F24D68">
            <w:pPr>
              <w:pStyle w:val="TableParagraph"/>
              <w:spacing w:before="108"/>
              <w:ind w:left="85"/>
              <w:jc w:val="both"/>
              <w:rPr>
                <w:rFonts w:ascii="Times New Roman" w:eastAsia="Book Antiqua" w:hAnsi="Times New Roman" w:cs="Times New Roman"/>
                <w:color w:val="000000" w:themeColor="text1"/>
                <w:sz w:val="20"/>
                <w:szCs w:val="20"/>
              </w:rPr>
            </w:pPr>
            <w:r>
              <w:rPr>
                <w:rFonts w:ascii="Times New Roman" w:hAnsi="Times New Roman" w:cs="Times New Roman"/>
                <w:color w:val="000000" w:themeColor="text1"/>
                <w:sz w:val="20"/>
                <w:szCs w:val="20"/>
              </w:rPr>
              <w:t>Iznos osiguranih depozita kako su definirani u članku 2. stavku 1. točki 5. Direktive 2014/49/EU Europskog parlamenta i Vijeća</w:t>
            </w:r>
            <w:r>
              <w:rPr>
                <w:rStyle w:val="FootnoteReference"/>
                <w:rFonts w:ascii="Times New Roman" w:hAnsi="Times New Roman" w:cs="Times New Roman"/>
                <w:color w:val="000000" w:themeColor="text1"/>
              </w:rPr>
              <w:footnoteReference w:id="15"/>
            </w:r>
            <w:r>
              <w:rPr>
                <w:rFonts w:ascii="Times New Roman" w:eastAsia="Cambria" w:hAnsi="Times New Roman" w:cs="Times New Roman"/>
                <w:color w:val="000000" w:themeColor="text1"/>
                <w:sz w:val="20"/>
                <w:szCs w:val="20"/>
              </w:rPr>
              <w:t>, isključujući privremena visoka salda kako je utvrđeno u članku 6. stavku 2. te direktive.</w:t>
            </w:r>
          </w:p>
        </w:tc>
      </w:tr>
      <w:tr w:rsidR="00393915" w14:paraId="7FE1B546" w14:textId="77777777">
        <w:tc>
          <w:tcPr>
            <w:tcW w:w="905" w:type="dxa"/>
            <w:tcBorders>
              <w:top w:val="single" w:sz="4" w:space="0" w:color="1A171C"/>
              <w:left w:val="nil"/>
              <w:bottom w:val="single" w:sz="4" w:space="0" w:color="1A171C"/>
              <w:right w:val="single" w:sz="4" w:space="0" w:color="1A171C"/>
            </w:tcBorders>
            <w:vAlign w:val="center"/>
          </w:tcPr>
          <w:p w14:paraId="7FE1B540" w14:textId="77777777" w:rsidR="00393915" w:rsidRDefault="00F24D68">
            <w:pPr>
              <w:pStyle w:val="P68B1DB1-TableParagraph13"/>
              <w:spacing w:before="106"/>
              <w:ind w:left="-1"/>
              <w:rPr>
                <w:rFonts w:eastAsia="Cambria"/>
              </w:rPr>
            </w:pPr>
            <w:r>
              <w:lastRenderedPageBreak/>
              <w:t>0120</w:t>
            </w:r>
          </w:p>
        </w:tc>
        <w:tc>
          <w:tcPr>
            <w:tcW w:w="8121" w:type="dxa"/>
            <w:tcBorders>
              <w:top w:val="single" w:sz="4" w:space="0" w:color="1A171C"/>
              <w:left w:val="single" w:sz="4" w:space="0" w:color="1A171C"/>
              <w:bottom w:val="single" w:sz="4" w:space="0" w:color="1A171C"/>
              <w:right w:val="nil"/>
            </w:tcBorders>
            <w:vAlign w:val="center"/>
          </w:tcPr>
          <w:p w14:paraId="7FE1B541" w14:textId="77777777" w:rsidR="00393915" w:rsidRDefault="00F24D68">
            <w:pPr>
              <w:pStyle w:val="P68B1DB1-TableParagraph14"/>
              <w:spacing w:before="108"/>
              <w:ind w:left="85"/>
              <w:jc w:val="both"/>
            </w:pPr>
            <w:r>
              <w:t>Osigurane obveze – kolateralizirani dio</w:t>
            </w:r>
          </w:p>
          <w:p w14:paraId="7FE1B542" w14:textId="14245B0A" w:rsidR="00393915" w:rsidRDefault="00F24D68">
            <w:pPr>
              <w:pStyle w:val="P68B1DB1-TableParagraph17"/>
              <w:spacing w:before="108"/>
              <w:ind w:left="85"/>
              <w:jc w:val="both"/>
            </w:pPr>
            <w:r>
              <w:t>Iznos obveza kako je naveden u članku 44. stavku 2. točki (b) Direktive 2014/59/EU.</w:t>
            </w:r>
          </w:p>
          <w:p w14:paraId="7FE1B543" w14:textId="1B225249" w:rsidR="00393915" w:rsidRDefault="00F24D68">
            <w:pPr>
              <w:pStyle w:val="P68B1DB1-TableParagraph17"/>
              <w:spacing w:before="108"/>
              <w:ind w:left="85"/>
              <w:jc w:val="both"/>
            </w:pPr>
            <w:r>
              <w:t xml:space="preserve">Osigurane obveze, uključujući repo ugovore, pokrivene obveznice i obveze u obliku financijskih instrumenata koji čine sastavni dio </w:t>
            </w:r>
            <w:r w:rsidR="001E4895">
              <w:t xml:space="preserve">skupa </w:t>
            </w:r>
            <w:r>
              <w:t>imovine za pokriće i koji su prema nacionalnom pravu osigurani na sličan način kao pokrivene obveznice.</w:t>
            </w:r>
          </w:p>
          <w:p w14:paraId="7FE1B544" w14:textId="2A228A5D" w:rsidR="00393915" w:rsidRDefault="00F24D68">
            <w:pPr>
              <w:pStyle w:val="P68B1DB1-TableParagraph17"/>
              <w:spacing w:before="108"/>
              <w:ind w:left="85"/>
              <w:jc w:val="both"/>
            </w:pPr>
            <w:r>
              <w:t xml:space="preserve">Ni zahtjev da se osigura da sva osigurana imovina povezana s pokrivenim iznosom pokrivenih obveznica ostane </w:t>
            </w:r>
            <w:r w:rsidR="001E4895">
              <w:t>nepromijenjena</w:t>
            </w:r>
            <w:r>
              <w:t>, od</w:t>
            </w:r>
            <w:r w:rsidR="001E4895">
              <w:t>vojena</w:t>
            </w:r>
            <w:r>
              <w:t xml:space="preserve"> i s dovoljnim sredstvima ni isključenje iz članka 44. stavka 2. točke (b) Direktive 2014/59/EU ne sprečavaju sanacijska tijela da prema potrebi izvršavaju ovlasti u vezi s bilo kojim dijelom osigurane obveze ili obveze za koju je osiguran kolateral koji premašuje vrijednost imovine, zaloga, založnog prava ili kolaterala kojim je osigurana. Taj nepokriveni iznos tih osiguranih obveza ne iskazuje se u ovom retku, već se iskazuje u retku 0340, pri čemu podliježe dodatnoj raščlambi.</w:t>
            </w:r>
          </w:p>
          <w:p w14:paraId="7FE1B545" w14:textId="77777777" w:rsidR="00393915" w:rsidRDefault="00F24D68">
            <w:pPr>
              <w:pStyle w:val="P68B1DB1-TableParagraph20"/>
              <w:spacing w:before="108"/>
              <w:ind w:left="85"/>
              <w:jc w:val="both"/>
              <w:rPr>
                <w:color w:val="000000" w:themeColor="text1"/>
              </w:rPr>
            </w:pPr>
            <w:r>
              <w:rPr>
                <w:color w:val="000000" w:themeColor="text1"/>
              </w:rPr>
              <w:t>Obveze središnje banke koje su pokrivene skupom kolaterala (</w:t>
            </w:r>
            <w:r>
              <w:rPr>
                <w:color w:val="1A171C"/>
              </w:rPr>
              <w:t>primjerice, glavne operacije refinanciranja, operacije dugoročnog refinanciranja, ciljane operacije dugoročnijeg refinanciranja itd.</w:t>
            </w:r>
            <w:r>
              <w:rPr>
                <w:color w:val="000000" w:themeColor="text1"/>
              </w:rPr>
              <w:t xml:space="preserve">) smatraju se osiguranim obvezama. </w:t>
            </w:r>
          </w:p>
        </w:tc>
      </w:tr>
      <w:tr w:rsidR="00393915" w14:paraId="7FE1B54B" w14:textId="77777777">
        <w:tc>
          <w:tcPr>
            <w:tcW w:w="905" w:type="dxa"/>
            <w:tcBorders>
              <w:top w:val="single" w:sz="4" w:space="0" w:color="1A171C"/>
              <w:left w:val="nil"/>
              <w:bottom w:val="single" w:sz="4" w:space="0" w:color="1A171C"/>
              <w:right w:val="single" w:sz="4" w:space="0" w:color="1A171C"/>
            </w:tcBorders>
            <w:vAlign w:val="center"/>
          </w:tcPr>
          <w:p w14:paraId="7FE1B547" w14:textId="77777777" w:rsidR="00393915" w:rsidRDefault="00F24D68">
            <w:pPr>
              <w:pStyle w:val="P68B1DB1-TableParagraph13"/>
              <w:spacing w:before="106"/>
              <w:ind w:left="-1"/>
            </w:pPr>
            <w:r>
              <w:t>0130</w:t>
            </w:r>
          </w:p>
        </w:tc>
        <w:tc>
          <w:tcPr>
            <w:tcW w:w="8121" w:type="dxa"/>
            <w:tcBorders>
              <w:top w:val="single" w:sz="4" w:space="0" w:color="1A171C"/>
              <w:left w:val="single" w:sz="4" w:space="0" w:color="1A171C"/>
              <w:bottom w:val="single" w:sz="4" w:space="0" w:color="1A171C"/>
              <w:right w:val="nil"/>
            </w:tcBorders>
            <w:vAlign w:val="center"/>
          </w:tcPr>
          <w:p w14:paraId="7FE1B548" w14:textId="0A22E2A3" w:rsidR="00393915" w:rsidRDefault="00F24D68">
            <w:pPr>
              <w:pStyle w:val="P68B1DB1-TableParagraph14"/>
              <w:spacing w:before="108"/>
              <w:ind w:left="85"/>
              <w:jc w:val="both"/>
            </w:pPr>
            <w:r>
              <w:t xml:space="preserve">Obveze prema klijentima, ako su oni zaštićeni u slučaju </w:t>
            </w:r>
            <w:r w:rsidR="00863A0D">
              <w:t>in</w:t>
            </w:r>
            <w:r>
              <w:t>solventnosti</w:t>
            </w:r>
          </w:p>
          <w:p w14:paraId="7FE1B54A" w14:textId="2F60701C" w:rsidR="00393915" w:rsidRDefault="00F24D68">
            <w:pPr>
              <w:pStyle w:val="P68B1DB1-TableParagraph17"/>
              <w:spacing w:before="108"/>
              <w:ind w:left="85"/>
              <w:jc w:val="both"/>
              <w:rPr>
                <w:b/>
                <w:bCs/>
              </w:rPr>
            </w:pPr>
            <w:r>
              <w:t>Iznos obveza kako je naveden u članku 44. stavku 2. točki (c) Direktive 2014/59/EU.</w:t>
            </w:r>
          </w:p>
        </w:tc>
      </w:tr>
      <w:tr w:rsidR="00393915" w14:paraId="7FE1B550" w14:textId="77777777">
        <w:tc>
          <w:tcPr>
            <w:tcW w:w="905" w:type="dxa"/>
            <w:tcBorders>
              <w:top w:val="single" w:sz="4" w:space="0" w:color="1A171C"/>
              <w:left w:val="nil"/>
              <w:bottom w:val="single" w:sz="4" w:space="0" w:color="1A171C"/>
              <w:right w:val="single" w:sz="4" w:space="0" w:color="1A171C"/>
            </w:tcBorders>
            <w:vAlign w:val="center"/>
          </w:tcPr>
          <w:p w14:paraId="7FE1B54C" w14:textId="77777777" w:rsidR="00393915" w:rsidRDefault="00F24D68">
            <w:pPr>
              <w:pStyle w:val="P68B1DB1-TableParagraph13"/>
              <w:spacing w:before="106"/>
              <w:ind w:left="-1"/>
            </w:pPr>
            <w:r>
              <w:t>0140</w:t>
            </w:r>
          </w:p>
        </w:tc>
        <w:tc>
          <w:tcPr>
            <w:tcW w:w="8121" w:type="dxa"/>
            <w:tcBorders>
              <w:top w:val="single" w:sz="4" w:space="0" w:color="1A171C"/>
              <w:left w:val="single" w:sz="4" w:space="0" w:color="1A171C"/>
              <w:bottom w:val="single" w:sz="4" w:space="0" w:color="1A171C"/>
              <w:right w:val="nil"/>
            </w:tcBorders>
            <w:vAlign w:val="center"/>
          </w:tcPr>
          <w:p w14:paraId="7FE1B54D" w14:textId="775D3A50" w:rsidR="00393915" w:rsidRDefault="00F24D68">
            <w:pPr>
              <w:pStyle w:val="P68B1DB1-TableParagraph14"/>
              <w:spacing w:before="108"/>
              <w:ind w:left="85"/>
              <w:jc w:val="both"/>
            </w:pPr>
            <w:r>
              <w:t xml:space="preserve">Fiducijarne obveze, ako su korisnici zaštićeni u slučaju </w:t>
            </w:r>
            <w:r w:rsidR="00863A0D">
              <w:t>in</w:t>
            </w:r>
            <w:r>
              <w:t>solventnosti</w:t>
            </w:r>
          </w:p>
          <w:p w14:paraId="7FE1B54F" w14:textId="76B21996" w:rsidR="00393915" w:rsidRDefault="00F24D68">
            <w:pPr>
              <w:pStyle w:val="P68B1DB1-TableParagraph17"/>
              <w:spacing w:before="108"/>
              <w:ind w:left="85"/>
              <w:jc w:val="both"/>
              <w:rPr>
                <w:b/>
                <w:bCs/>
              </w:rPr>
            </w:pPr>
            <w:r>
              <w:t>Iznos obveza kako je naveden u članku 44. stavku 2. točki (d) Direktive 2014/59/EU.</w:t>
            </w:r>
          </w:p>
        </w:tc>
      </w:tr>
      <w:tr w:rsidR="00393915" w14:paraId="7FE1B555" w14:textId="77777777">
        <w:tc>
          <w:tcPr>
            <w:tcW w:w="905" w:type="dxa"/>
            <w:tcBorders>
              <w:top w:val="single" w:sz="4" w:space="0" w:color="1A171C"/>
              <w:left w:val="nil"/>
              <w:bottom w:val="single" w:sz="4" w:space="0" w:color="1A171C"/>
              <w:right w:val="single" w:sz="4" w:space="0" w:color="1A171C"/>
            </w:tcBorders>
            <w:vAlign w:val="center"/>
          </w:tcPr>
          <w:p w14:paraId="7FE1B551" w14:textId="77777777" w:rsidR="00393915" w:rsidRDefault="00F24D68">
            <w:pPr>
              <w:pStyle w:val="P68B1DB1-TableParagraph13"/>
              <w:spacing w:before="106"/>
              <w:ind w:left="-1"/>
            </w:pPr>
            <w:r>
              <w:t>0150</w:t>
            </w:r>
          </w:p>
        </w:tc>
        <w:tc>
          <w:tcPr>
            <w:tcW w:w="8121" w:type="dxa"/>
            <w:tcBorders>
              <w:top w:val="single" w:sz="4" w:space="0" w:color="1A171C"/>
              <w:left w:val="single" w:sz="4" w:space="0" w:color="1A171C"/>
              <w:bottom w:val="single" w:sz="4" w:space="0" w:color="1A171C"/>
              <w:right w:val="nil"/>
            </w:tcBorders>
            <w:vAlign w:val="center"/>
          </w:tcPr>
          <w:p w14:paraId="7FE1B552" w14:textId="4E930A9E" w:rsidR="00393915" w:rsidRDefault="00F24D68">
            <w:pPr>
              <w:pStyle w:val="P68B1DB1-TableParagraph14"/>
              <w:spacing w:before="108"/>
              <w:ind w:left="85"/>
              <w:jc w:val="both"/>
            </w:pPr>
            <w:r>
              <w:t xml:space="preserve">Obveze </w:t>
            </w:r>
            <w:r w:rsidR="00863A0D">
              <w:t xml:space="preserve">prema </w:t>
            </w:r>
            <w:r>
              <w:t>institucij</w:t>
            </w:r>
            <w:r w:rsidR="00863A0D">
              <w:t>ama</w:t>
            </w:r>
            <w:r>
              <w:t xml:space="preserve"> </w:t>
            </w:r>
            <w:r w:rsidR="00863A0D">
              <w:rPr>
                <w:rFonts w:ascii="Roboto" w:hAnsi="Roboto"/>
                <w:color w:val="111827"/>
                <w:sz w:val="21"/>
                <w:szCs w:val="21"/>
                <w:shd w:val="clear" w:color="auto" w:fill="FFFFFF"/>
              </w:rPr>
              <w:t>&lt;</w:t>
            </w:r>
            <w:r w:rsidR="00863A0D" w:rsidDel="00863A0D">
              <w:t xml:space="preserve"> </w:t>
            </w:r>
            <w:r>
              <w:t xml:space="preserve"> 7 dana </w:t>
            </w:r>
          </w:p>
          <w:p w14:paraId="7FE1B554" w14:textId="175AD873" w:rsidR="00393915" w:rsidRDefault="00F24D68">
            <w:pPr>
              <w:pStyle w:val="P68B1DB1-TableParagraph17"/>
              <w:spacing w:before="108"/>
              <w:ind w:left="85"/>
              <w:jc w:val="both"/>
              <w:rPr>
                <w:b/>
                <w:bCs/>
              </w:rPr>
            </w:pPr>
            <w:r>
              <w:t>Iznos obveza kako je naveden u članku 44. stavku 2. točki (e) Direktive 2014/59/EU.</w:t>
            </w:r>
          </w:p>
        </w:tc>
      </w:tr>
      <w:tr w:rsidR="00393915" w14:paraId="7FE1B559" w14:textId="77777777">
        <w:tc>
          <w:tcPr>
            <w:tcW w:w="905" w:type="dxa"/>
            <w:tcBorders>
              <w:top w:val="single" w:sz="4" w:space="0" w:color="1A171C"/>
              <w:left w:val="nil"/>
              <w:bottom w:val="single" w:sz="4" w:space="0" w:color="1A171C"/>
              <w:right w:val="single" w:sz="4" w:space="0" w:color="1A171C"/>
            </w:tcBorders>
            <w:vAlign w:val="center"/>
          </w:tcPr>
          <w:p w14:paraId="7FE1B556" w14:textId="77777777" w:rsidR="00393915" w:rsidRDefault="00F24D68">
            <w:pPr>
              <w:pStyle w:val="P68B1DB1-TableParagraph13"/>
              <w:spacing w:before="106"/>
              <w:ind w:left="-1"/>
            </w:pPr>
            <w:r>
              <w:t>0161</w:t>
            </w:r>
          </w:p>
        </w:tc>
        <w:tc>
          <w:tcPr>
            <w:tcW w:w="8121" w:type="dxa"/>
            <w:tcBorders>
              <w:top w:val="single" w:sz="4" w:space="0" w:color="1A171C"/>
              <w:left w:val="single" w:sz="4" w:space="0" w:color="1A171C"/>
              <w:bottom w:val="single" w:sz="4" w:space="0" w:color="1A171C"/>
              <w:right w:val="nil"/>
            </w:tcBorders>
            <w:vAlign w:val="center"/>
          </w:tcPr>
          <w:p w14:paraId="7FE1B557" w14:textId="77777777" w:rsidR="00393915" w:rsidRDefault="00F24D68">
            <w:pPr>
              <w:pStyle w:val="P68B1DB1-TableParagraph14"/>
              <w:spacing w:before="108"/>
              <w:ind w:left="85"/>
              <w:jc w:val="both"/>
            </w:pPr>
            <w:r>
              <w:t>Obveze prema sustavima (operaterima sustava) i drugim ugovornim stranama &lt; 7 dana</w:t>
            </w:r>
          </w:p>
          <w:p w14:paraId="7FE1B558" w14:textId="79B15273" w:rsidR="00393915" w:rsidRDefault="00F24D68">
            <w:pPr>
              <w:pStyle w:val="P68B1DB1-TableParagraph17"/>
              <w:spacing w:before="108"/>
              <w:ind w:left="85"/>
              <w:jc w:val="both"/>
              <w:rPr>
                <w:b/>
                <w:bCs/>
              </w:rPr>
            </w:pPr>
            <w:r>
              <w:t xml:space="preserve">Iznos obveza iz članka 44. stavka 2. točke (f) Direktive 2014/59/EU, uključujući platne sustave i sustave za namiru vrijednosnih papira te klirinške kuće, kao i izvedenice koje je poravnala središnja druga ugovorna strana s dospijećem kraćim od sedam dana. </w:t>
            </w:r>
          </w:p>
        </w:tc>
      </w:tr>
      <w:tr w:rsidR="00393915" w14:paraId="7FE1B55E" w14:textId="77777777">
        <w:tc>
          <w:tcPr>
            <w:tcW w:w="905" w:type="dxa"/>
            <w:tcBorders>
              <w:top w:val="single" w:sz="4" w:space="0" w:color="1A171C"/>
              <w:left w:val="nil"/>
              <w:bottom w:val="single" w:sz="4" w:space="0" w:color="1A171C"/>
              <w:right w:val="single" w:sz="4" w:space="0" w:color="1A171C"/>
            </w:tcBorders>
            <w:vAlign w:val="center"/>
          </w:tcPr>
          <w:p w14:paraId="7FE1B55A" w14:textId="77777777" w:rsidR="00393915" w:rsidRDefault="00F24D68">
            <w:pPr>
              <w:pStyle w:val="P68B1DB1-TableParagraph13"/>
              <w:spacing w:before="106"/>
              <w:ind w:left="-1"/>
            </w:pPr>
            <w:r>
              <w:t>0170</w:t>
            </w:r>
          </w:p>
        </w:tc>
        <w:tc>
          <w:tcPr>
            <w:tcW w:w="8121" w:type="dxa"/>
            <w:tcBorders>
              <w:top w:val="single" w:sz="4" w:space="0" w:color="1A171C"/>
              <w:left w:val="single" w:sz="4" w:space="0" w:color="1A171C"/>
              <w:bottom w:val="single" w:sz="4" w:space="0" w:color="1A171C"/>
              <w:right w:val="nil"/>
            </w:tcBorders>
            <w:vAlign w:val="center"/>
          </w:tcPr>
          <w:p w14:paraId="7FE1B55B" w14:textId="77777777" w:rsidR="00393915" w:rsidRDefault="00F24D68">
            <w:pPr>
              <w:pStyle w:val="P68B1DB1-TableParagraph14"/>
              <w:spacing w:before="108"/>
              <w:ind w:left="85"/>
              <w:jc w:val="both"/>
            </w:pPr>
            <w:r>
              <w:t>Obveze prema zaposlenicima</w:t>
            </w:r>
          </w:p>
          <w:p w14:paraId="7FE1B55C" w14:textId="77777777" w:rsidR="00393915" w:rsidRDefault="00F24D68">
            <w:pPr>
              <w:pStyle w:val="P68B1DB1-TableParagraph17"/>
              <w:spacing w:before="108"/>
              <w:ind w:left="85"/>
              <w:jc w:val="both"/>
            </w:pPr>
            <w:r>
              <w:t>Iznos obveza kako je naveden u članku 44. stavku 2. točki (g) podtočki i. Direktive 2014/59/EU.</w:t>
            </w:r>
          </w:p>
          <w:p w14:paraId="7FE1B55D" w14:textId="23F92953" w:rsidR="00393915" w:rsidRDefault="00F24D68">
            <w:pPr>
              <w:pStyle w:val="P68B1DB1-TableParagraph17"/>
              <w:spacing w:before="108"/>
              <w:ind w:left="85"/>
              <w:jc w:val="both"/>
              <w:rPr>
                <w:b/>
                <w:bCs/>
              </w:rPr>
            </w:pPr>
            <w:r>
              <w:t>Obveze prema zaposleniku u pogledu obračunatih</w:t>
            </w:r>
            <w:r w:rsidR="000A4A93">
              <w:t>,</w:t>
            </w:r>
            <w:r>
              <w:t xml:space="preserve"> a neisplaćenih plaća, mirovinskih davanja ili drugih fiksnih primanja, osim varijabilne komponente primitaka koja nije uređena kolektivnim ugovorom. Međutim, to se ne primjenjuje na varijabilnu komponentu primitaka kod osoba koje preuzimaju značajan rizik kako su utvrđene u članku 92. stavku 2. Direktive 2013/36/EU.</w:t>
            </w:r>
          </w:p>
        </w:tc>
      </w:tr>
      <w:tr w:rsidR="00393915" w14:paraId="7FE1B563" w14:textId="77777777">
        <w:tc>
          <w:tcPr>
            <w:tcW w:w="905" w:type="dxa"/>
            <w:tcBorders>
              <w:top w:val="single" w:sz="4" w:space="0" w:color="1A171C"/>
              <w:left w:val="nil"/>
              <w:bottom w:val="single" w:sz="4" w:space="0" w:color="1A171C"/>
              <w:right w:val="single" w:sz="4" w:space="0" w:color="1A171C"/>
            </w:tcBorders>
            <w:vAlign w:val="center"/>
          </w:tcPr>
          <w:p w14:paraId="7FE1B55F" w14:textId="77777777" w:rsidR="00393915" w:rsidRDefault="00F24D68">
            <w:pPr>
              <w:pStyle w:val="P68B1DB1-TableParagraph13"/>
              <w:spacing w:before="106"/>
              <w:ind w:left="-1"/>
            </w:pPr>
            <w:r>
              <w:t>0180</w:t>
            </w:r>
          </w:p>
        </w:tc>
        <w:tc>
          <w:tcPr>
            <w:tcW w:w="8121" w:type="dxa"/>
            <w:tcBorders>
              <w:top w:val="single" w:sz="4" w:space="0" w:color="1A171C"/>
              <w:left w:val="single" w:sz="4" w:space="0" w:color="1A171C"/>
              <w:bottom w:val="single" w:sz="4" w:space="0" w:color="1A171C"/>
              <w:right w:val="nil"/>
            </w:tcBorders>
            <w:vAlign w:val="center"/>
          </w:tcPr>
          <w:p w14:paraId="7FE1B560" w14:textId="77777777" w:rsidR="00393915" w:rsidRDefault="00F24D68">
            <w:pPr>
              <w:pStyle w:val="P68B1DB1-TableParagraph14"/>
              <w:spacing w:before="108"/>
              <w:ind w:left="85"/>
              <w:jc w:val="both"/>
            </w:pPr>
            <w:r>
              <w:t>Obveze koje su ključne za svakodnevno funkcioniranje poslovanja</w:t>
            </w:r>
          </w:p>
          <w:p w14:paraId="7FE1B562" w14:textId="61C90413" w:rsidR="00393915" w:rsidRDefault="00F24D68">
            <w:pPr>
              <w:pStyle w:val="P68B1DB1-TableParagraph17"/>
              <w:spacing w:before="108"/>
              <w:ind w:left="85"/>
              <w:jc w:val="both"/>
              <w:rPr>
                <w:b/>
                <w:bCs/>
              </w:rPr>
            </w:pPr>
            <w:r>
              <w:t>Iznos obveza kako je naveden u članku 44. stavku 2. točki (g) podtočki ii. Direktive 2014/59/EU.</w:t>
            </w:r>
          </w:p>
        </w:tc>
      </w:tr>
      <w:tr w:rsidR="00393915" w14:paraId="7FE1B568" w14:textId="77777777">
        <w:tc>
          <w:tcPr>
            <w:tcW w:w="905" w:type="dxa"/>
            <w:tcBorders>
              <w:top w:val="single" w:sz="4" w:space="0" w:color="1A171C"/>
              <w:left w:val="nil"/>
              <w:bottom w:val="single" w:sz="4" w:space="0" w:color="1A171C"/>
              <w:right w:val="single" w:sz="4" w:space="0" w:color="1A171C"/>
            </w:tcBorders>
            <w:vAlign w:val="center"/>
          </w:tcPr>
          <w:p w14:paraId="7FE1B564" w14:textId="77777777" w:rsidR="00393915" w:rsidRDefault="00F24D68">
            <w:pPr>
              <w:pStyle w:val="P68B1DB1-TableParagraph13"/>
              <w:spacing w:before="106"/>
              <w:ind w:left="-1"/>
            </w:pPr>
            <w:r>
              <w:t>0190</w:t>
            </w:r>
          </w:p>
        </w:tc>
        <w:tc>
          <w:tcPr>
            <w:tcW w:w="8121" w:type="dxa"/>
            <w:tcBorders>
              <w:top w:val="single" w:sz="4" w:space="0" w:color="1A171C"/>
              <w:left w:val="single" w:sz="4" w:space="0" w:color="1A171C"/>
              <w:bottom w:val="single" w:sz="4" w:space="0" w:color="1A171C"/>
              <w:right w:val="nil"/>
            </w:tcBorders>
            <w:vAlign w:val="center"/>
          </w:tcPr>
          <w:p w14:paraId="7FE1B565" w14:textId="77777777" w:rsidR="00393915" w:rsidRDefault="00F24D68">
            <w:pPr>
              <w:pStyle w:val="P68B1DB1-TableParagraph14"/>
              <w:spacing w:before="108"/>
              <w:ind w:left="85"/>
              <w:jc w:val="both"/>
            </w:pPr>
            <w:r>
              <w:t>Obveze prema poreznim tijelima i tijelima nadležnima za socijalno osiguranje, ako te obveze imaju prednost</w:t>
            </w:r>
          </w:p>
          <w:p w14:paraId="7FE1B567" w14:textId="46841715" w:rsidR="00393915" w:rsidRDefault="00F24D68">
            <w:pPr>
              <w:pStyle w:val="P68B1DB1-TableParagraph17"/>
              <w:spacing w:before="108"/>
              <w:ind w:left="85"/>
              <w:jc w:val="both"/>
              <w:rPr>
                <w:b/>
                <w:bCs/>
              </w:rPr>
            </w:pPr>
            <w:r>
              <w:t>Iznos obveza kako je naveden u članku 44. stavku 2. točki (g) podtočki iii. Direktive 2014/59/EU.</w:t>
            </w:r>
          </w:p>
        </w:tc>
      </w:tr>
      <w:tr w:rsidR="00393915" w14:paraId="7FE1B56D" w14:textId="77777777">
        <w:tc>
          <w:tcPr>
            <w:tcW w:w="905" w:type="dxa"/>
            <w:tcBorders>
              <w:top w:val="single" w:sz="4" w:space="0" w:color="1A171C"/>
              <w:left w:val="nil"/>
              <w:bottom w:val="single" w:sz="4" w:space="0" w:color="1A171C"/>
              <w:right w:val="single" w:sz="4" w:space="0" w:color="1A171C"/>
            </w:tcBorders>
            <w:vAlign w:val="center"/>
          </w:tcPr>
          <w:p w14:paraId="7FE1B569" w14:textId="77777777" w:rsidR="00393915" w:rsidRDefault="00F24D68">
            <w:pPr>
              <w:pStyle w:val="P68B1DB1-TableParagraph13"/>
              <w:spacing w:before="106"/>
              <w:ind w:left="-1"/>
            </w:pPr>
            <w:r>
              <w:t>0200</w:t>
            </w:r>
          </w:p>
        </w:tc>
        <w:tc>
          <w:tcPr>
            <w:tcW w:w="8121" w:type="dxa"/>
            <w:tcBorders>
              <w:top w:val="single" w:sz="4" w:space="0" w:color="1A171C"/>
              <w:left w:val="single" w:sz="4" w:space="0" w:color="1A171C"/>
              <w:bottom w:val="single" w:sz="4" w:space="0" w:color="1A171C"/>
              <w:right w:val="nil"/>
            </w:tcBorders>
            <w:vAlign w:val="center"/>
          </w:tcPr>
          <w:p w14:paraId="7FE1B56A" w14:textId="77777777" w:rsidR="00393915" w:rsidRDefault="00F24D68">
            <w:pPr>
              <w:pStyle w:val="P68B1DB1-TableParagraph14"/>
              <w:spacing w:before="108"/>
              <w:ind w:left="85"/>
              <w:jc w:val="both"/>
            </w:pPr>
            <w:r>
              <w:t>Obveze prema sustavima osiguranja depozita</w:t>
            </w:r>
          </w:p>
          <w:p w14:paraId="7FE1B56C" w14:textId="69555433" w:rsidR="00393915" w:rsidRDefault="00F24D68">
            <w:pPr>
              <w:pStyle w:val="P68B1DB1-TableParagraph17"/>
              <w:spacing w:before="108"/>
              <w:ind w:left="85"/>
              <w:jc w:val="both"/>
              <w:rPr>
                <w:b/>
                <w:bCs/>
              </w:rPr>
            </w:pPr>
            <w:r>
              <w:t>Iznos obveza kako je naveden u članku 44. stavku 2. točki (g) podtočki iv. Direktive 2014/59/EU.</w:t>
            </w:r>
          </w:p>
        </w:tc>
      </w:tr>
      <w:tr w:rsidR="00393915" w14:paraId="7FE1B574" w14:textId="77777777">
        <w:tc>
          <w:tcPr>
            <w:tcW w:w="905" w:type="dxa"/>
            <w:tcBorders>
              <w:top w:val="single" w:sz="4" w:space="0" w:color="1A171C"/>
              <w:left w:val="nil"/>
              <w:bottom w:val="single" w:sz="4" w:space="0" w:color="1A171C"/>
              <w:right w:val="single" w:sz="4" w:space="0" w:color="1A171C"/>
            </w:tcBorders>
            <w:vAlign w:val="center"/>
          </w:tcPr>
          <w:p w14:paraId="7FE1B56E" w14:textId="77777777" w:rsidR="00393915" w:rsidRDefault="00F24D68">
            <w:pPr>
              <w:pStyle w:val="P68B1DB1-TableParagraph13"/>
              <w:spacing w:before="106"/>
              <w:ind w:left="-1"/>
            </w:pPr>
            <w:r>
              <w:t>0210</w:t>
            </w:r>
          </w:p>
        </w:tc>
        <w:tc>
          <w:tcPr>
            <w:tcW w:w="8121" w:type="dxa"/>
            <w:tcBorders>
              <w:top w:val="single" w:sz="4" w:space="0" w:color="1A171C"/>
              <w:left w:val="single" w:sz="4" w:space="0" w:color="1A171C"/>
              <w:bottom w:val="single" w:sz="4" w:space="0" w:color="1A171C"/>
              <w:right w:val="nil"/>
            </w:tcBorders>
            <w:vAlign w:val="center"/>
          </w:tcPr>
          <w:p w14:paraId="7FE1B56F" w14:textId="77777777" w:rsidR="00393915" w:rsidRDefault="00F24D68">
            <w:pPr>
              <w:pStyle w:val="P68B1DB1-TableParagraph14"/>
              <w:spacing w:before="108"/>
              <w:ind w:left="85"/>
              <w:jc w:val="both"/>
            </w:pPr>
            <w:r>
              <w:t>Obveze prema ostalim subjektima grupe u sanaciji</w:t>
            </w:r>
          </w:p>
          <w:p w14:paraId="7FE1B570" w14:textId="77777777" w:rsidR="00393915" w:rsidRDefault="00F24D68">
            <w:pPr>
              <w:pStyle w:val="P68B1DB1-TableParagraph17"/>
              <w:spacing w:before="108"/>
              <w:ind w:left="85"/>
              <w:jc w:val="both"/>
            </w:pPr>
            <w:r>
              <w:t>Iznos obveza kako je naveden u članku 44. stavku 2. točki (h) Direktive 2014/59/EU</w:t>
            </w:r>
          </w:p>
          <w:p w14:paraId="7FE1B571" w14:textId="098C1D7E" w:rsidR="00393915" w:rsidRDefault="00F24D68">
            <w:pPr>
              <w:pStyle w:val="P68B1DB1-TableParagraph17"/>
              <w:spacing w:before="108"/>
              <w:ind w:left="85"/>
              <w:jc w:val="both"/>
            </w:pPr>
            <w:r>
              <w:lastRenderedPageBreak/>
              <w:t>Ako je isključena obveza obveza iz izvedenica, neto pozicije obveza, uzimajući u obzir bonitetna pravila o netiranju iz članka 429.c Uredbe (EU) br. 575/2013, iskazuju se u stupcima koji se odnose na ‚nepodmireni iznos’ (kao u retku r0334). Za stupce koji se odnose na ‚knjigovodstvenu vrijednost’ iskazuju se bilančne obveze koje proizlaze iz izvedenica (kao u retku r0330).</w:t>
            </w:r>
          </w:p>
          <w:p w14:paraId="7FE1B572" w14:textId="5F543301" w:rsidR="00393915" w:rsidRDefault="00F24D68">
            <w:pPr>
              <w:pStyle w:val="P68B1DB1-TableParagraph17"/>
              <w:spacing w:before="108"/>
              <w:ind w:left="85"/>
              <w:jc w:val="both"/>
            </w:pPr>
            <w:r>
              <w:t>Ako se izvještajni subjekt ne smatra sanacijskim subjektom, on mora iskazati samo one obveze obuhvaćene člankom 44. stavkom 2. točkom (h) BRRD-a koje drže njegova društva kćeri koja također nisu sanacijski subjekti, ali su dio iste sanacijske grupe kao i izvještajni subjekt.</w:t>
            </w:r>
          </w:p>
          <w:p w14:paraId="7FE1B573" w14:textId="0A9C3B4A" w:rsidR="00393915" w:rsidRDefault="00F24D68">
            <w:pPr>
              <w:pStyle w:val="P68B1DB1-TableParagraph17"/>
              <w:spacing w:before="108"/>
              <w:ind w:left="85"/>
              <w:jc w:val="both"/>
            </w:pPr>
            <w:r>
              <w:t xml:space="preserve">Unutargrupne obveze za subjekte s poslovnim nastanom izvan EU-a ne iskazuju se u ovom retku, u skladu s člankom 1. stavkom 1. točkom (b), (c) ili (d) BRRD-a, kako je navedeno u članku 44. stavku 2. točki (h) BRRD-a. </w:t>
            </w:r>
          </w:p>
        </w:tc>
      </w:tr>
      <w:tr w:rsidR="00393915" w14:paraId="7FE1B578" w14:textId="77777777">
        <w:tc>
          <w:tcPr>
            <w:tcW w:w="905" w:type="dxa"/>
            <w:tcBorders>
              <w:top w:val="single" w:sz="4" w:space="0" w:color="1A171C"/>
              <w:left w:val="nil"/>
              <w:bottom w:val="single" w:sz="4" w:space="0" w:color="1A171C"/>
              <w:right w:val="single" w:sz="4" w:space="0" w:color="1A171C"/>
            </w:tcBorders>
            <w:vAlign w:val="center"/>
          </w:tcPr>
          <w:p w14:paraId="7FE1B575" w14:textId="77777777" w:rsidR="00393915" w:rsidRDefault="00F24D68">
            <w:pPr>
              <w:pStyle w:val="P68B1DB1-TableParagraph13"/>
              <w:spacing w:before="106"/>
              <w:ind w:left="-1"/>
            </w:pPr>
            <w:r>
              <w:lastRenderedPageBreak/>
              <w:t>0300</w:t>
            </w:r>
          </w:p>
        </w:tc>
        <w:tc>
          <w:tcPr>
            <w:tcW w:w="8121" w:type="dxa"/>
            <w:tcBorders>
              <w:top w:val="single" w:sz="4" w:space="0" w:color="1A171C"/>
              <w:left w:val="single" w:sz="4" w:space="0" w:color="1A171C"/>
              <w:bottom w:val="single" w:sz="4" w:space="0" w:color="1A171C"/>
              <w:right w:val="nil"/>
            </w:tcBorders>
            <w:vAlign w:val="center"/>
          </w:tcPr>
          <w:p w14:paraId="7FE1B576" w14:textId="7A0B3D77" w:rsidR="00393915" w:rsidRDefault="00F24D68">
            <w:pPr>
              <w:pStyle w:val="P68B1DB1-TableParagraph14"/>
              <w:spacing w:before="108"/>
              <w:ind w:left="85"/>
              <w:jc w:val="both"/>
            </w:pPr>
            <w:r>
              <w:t xml:space="preserve">Obveze koje nisu isključene iz </w:t>
            </w:r>
            <w:r w:rsidR="000A4A93">
              <w:t>unutarnje sanacije</w:t>
            </w:r>
          </w:p>
          <w:p w14:paraId="7FE1B577" w14:textId="1C41F7EB" w:rsidR="00393915" w:rsidRDefault="00F24D68">
            <w:pPr>
              <w:pStyle w:val="P68B1DB1-TableParagraph17"/>
              <w:spacing w:before="108"/>
              <w:ind w:left="85"/>
              <w:jc w:val="both"/>
              <w:rPr>
                <w:b/>
                <w:bCs/>
              </w:rPr>
            </w:pPr>
            <w:r>
              <w:t xml:space="preserve">Iznos obveza prihvatljivih za </w:t>
            </w:r>
            <w:r w:rsidR="000A4A93">
              <w:t>unutarnju sanaciju</w:t>
            </w:r>
            <w:r>
              <w:t xml:space="preserve"> kako su definirane u članku 2. stavku 1. Direktive 2014/59/EU točki 71. To je zbroj redaka 0310, 0320, 0330, 0334, 0340, 0350, 0360, 0365, 0370, 0380, 0390 i 0400.</w:t>
            </w:r>
          </w:p>
        </w:tc>
      </w:tr>
      <w:tr w:rsidR="00393915" w14:paraId="7FE1B57D" w14:textId="77777777">
        <w:tc>
          <w:tcPr>
            <w:tcW w:w="905" w:type="dxa"/>
            <w:tcBorders>
              <w:top w:val="single" w:sz="4" w:space="0" w:color="1A171C"/>
              <w:left w:val="nil"/>
              <w:bottom w:val="single" w:sz="4" w:space="0" w:color="1A171C"/>
              <w:right w:val="single" w:sz="4" w:space="0" w:color="1A171C"/>
            </w:tcBorders>
            <w:vAlign w:val="center"/>
          </w:tcPr>
          <w:p w14:paraId="7FE1B579" w14:textId="77777777" w:rsidR="00393915" w:rsidRDefault="00F24D68">
            <w:pPr>
              <w:pStyle w:val="P68B1DB1-TableParagraph13"/>
              <w:spacing w:before="106"/>
              <w:ind w:left="-1"/>
            </w:pPr>
            <w:r>
              <w:t>0310 – 0314</w:t>
            </w:r>
          </w:p>
        </w:tc>
        <w:tc>
          <w:tcPr>
            <w:tcW w:w="8121" w:type="dxa"/>
            <w:tcBorders>
              <w:top w:val="single" w:sz="4" w:space="0" w:color="1A171C"/>
              <w:left w:val="single" w:sz="4" w:space="0" w:color="1A171C"/>
              <w:bottom w:val="single" w:sz="4" w:space="0" w:color="1A171C"/>
              <w:right w:val="nil"/>
            </w:tcBorders>
            <w:vAlign w:val="center"/>
          </w:tcPr>
          <w:p w14:paraId="7FE1B57A" w14:textId="77777777" w:rsidR="00393915" w:rsidRDefault="00F24D68">
            <w:pPr>
              <w:pStyle w:val="P68B1DB1-TableParagraph14"/>
              <w:spacing w:before="108"/>
              <w:ind w:left="85"/>
              <w:jc w:val="both"/>
            </w:pPr>
            <w:r>
              <w:t>Depoziti koji nisu osigurani, ali su povlašteni</w:t>
            </w:r>
          </w:p>
          <w:p w14:paraId="7FE1B57B" w14:textId="77777777" w:rsidR="00393915" w:rsidRDefault="00F24D68">
            <w:pPr>
              <w:pStyle w:val="P68B1DB1-TableParagraph17"/>
              <w:spacing w:before="108"/>
              <w:ind w:left="85"/>
              <w:jc w:val="both"/>
            </w:pPr>
            <w:r>
              <w:t>Članak 108. Direktive 2014/59/EU</w:t>
            </w:r>
          </w:p>
          <w:p w14:paraId="7FE1B57C" w14:textId="29D0A540" w:rsidR="00393915" w:rsidRDefault="00F24D68">
            <w:pPr>
              <w:pStyle w:val="P68B1DB1-TableParagraph17"/>
              <w:spacing w:before="108"/>
              <w:ind w:left="85"/>
              <w:jc w:val="both"/>
              <w:rPr>
                <w:b/>
                <w:bCs/>
              </w:rPr>
            </w:pPr>
            <w:r>
              <w:t xml:space="preserve">Depoziti kako su definirani u članku 2. stavku 1. točki 3. Direktive 2014/49/EU koji se ne mogu isključiti iz </w:t>
            </w:r>
            <w:r w:rsidR="009136F4">
              <w:t>unutarnje sanacije</w:t>
            </w:r>
            <w:r>
              <w:t xml:space="preserve"> (članak 44. stavak 2. točka (a) Direktive 2014/59/EU), ali za koje je predviđeno povlašteno postupanje u skladu s člankom 108. Direktive 2014/59/EU. </w:t>
            </w:r>
          </w:p>
        </w:tc>
      </w:tr>
      <w:tr w:rsidR="00393915" w14:paraId="7FE1B581" w14:textId="77777777">
        <w:tc>
          <w:tcPr>
            <w:tcW w:w="905" w:type="dxa"/>
            <w:tcBorders>
              <w:top w:val="single" w:sz="4" w:space="0" w:color="1A171C"/>
              <w:left w:val="nil"/>
              <w:bottom w:val="single" w:sz="4" w:space="0" w:color="1A171C"/>
              <w:right w:val="single" w:sz="4" w:space="0" w:color="1A171C"/>
            </w:tcBorders>
            <w:vAlign w:val="center"/>
          </w:tcPr>
          <w:p w14:paraId="7FE1B57E" w14:textId="77777777" w:rsidR="00393915" w:rsidRDefault="00F24D68">
            <w:pPr>
              <w:pStyle w:val="P68B1DB1-TableParagraph13"/>
              <w:spacing w:before="106"/>
              <w:ind w:left="-1"/>
            </w:pPr>
            <w:r>
              <w:t>0320 – 0324</w:t>
            </w:r>
          </w:p>
        </w:tc>
        <w:tc>
          <w:tcPr>
            <w:tcW w:w="8121" w:type="dxa"/>
            <w:tcBorders>
              <w:top w:val="single" w:sz="4" w:space="0" w:color="1A171C"/>
              <w:left w:val="single" w:sz="4" w:space="0" w:color="1A171C"/>
              <w:bottom w:val="single" w:sz="4" w:space="0" w:color="1A171C"/>
              <w:right w:val="nil"/>
            </w:tcBorders>
            <w:vAlign w:val="center"/>
          </w:tcPr>
          <w:p w14:paraId="7FE1B57F" w14:textId="77777777" w:rsidR="00393915" w:rsidRDefault="00F24D68">
            <w:pPr>
              <w:pStyle w:val="P68B1DB1-TableParagraph14"/>
              <w:spacing w:before="108"/>
              <w:ind w:left="85"/>
              <w:jc w:val="both"/>
            </w:pPr>
            <w:r>
              <w:t>Depoziti koji nisu ni osigurani ni povlašteni</w:t>
            </w:r>
          </w:p>
          <w:p w14:paraId="7FE1B580" w14:textId="4460488A" w:rsidR="00393915" w:rsidRDefault="00F24D68">
            <w:pPr>
              <w:pStyle w:val="P68B1DB1-TableParagraph17"/>
              <w:spacing w:before="108"/>
              <w:ind w:left="85"/>
              <w:jc w:val="both"/>
              <w:rPr>
                <w:b/>
                <w:bCs/>
              </w:rPr>
            </w:pPr>
            <w:r>
              <w:t xml:space="preserve">Depoziti kako su definirani u članku 2. stavku 1. točki 3. Direktive 2014/49/EU koji se ne mogu isključiti iz </w:t>
            </w:r>
            <w:r w:rsidR="009136F4">
              <w:t>unutarnje sanacije</w:t>
            </w:r>
            <w:r>
              <w:t xml:space="preserve"> niti je za njih predviđeno povlašteno postupanje primjenom članka 44. stavka 2. točke (a) ili članka 108. Direktive 2014/59/EU.</w:t>
            </w:r>
          </w:p>
        </w:tc>
      </w:tr>
      <w:tr w:rsidR="00393915" w14:paraId="7FE1B585" w14:textId="77777777">
        <w:tc>
          <w:tcPr>
            <w:tcW w:w="905" w:type="dxa"/>
            <w:tcBorders>
              <w:top w:val="single" w:sz="4" w:space="0" w:color="1A171C"/>
              <w:left w:val="nil"/>
              <w:bottom w:val="single" w:sz="4" w:space="0" w:color="1A171C"/>
              <w:right w:val="single" w:sz="4" w:space="0" w:color="1A171C"/>
            </w:tcBorders>
            <w:vAlign w:val="center"/>
          </w:tcPr>
          <w:p w14:paraId="7FE1B582" w14:textId="77777777" w:rsidR="00393915" w:rsidRDefault="00F24D68">
            <w:pPr>
              <w:pStyle w:val="P68B1DB1-TableParagraph13"/>
              <w:spacing w:before="106"/>
              <w:ind w:left="-1"/>
            </w:pPr>
            <w:r>
              <w:t>0330</w:t>
            </w:r>
          </w:p>
        </w:tc>
        <w:tc>
          <w:tcPr>
            <w:tcW w:w="8121" w:type="dxa"/>
            <w:tcBorders>
              <w:top w:val="single" w:sz="4" w:space="0" w:color="1A171C"/>
              <w:left w:val="single" w:sz="4" w:space="0" w:color="1A171C"/>
              <w:bottom w:val="single" w:sz="4" w:space="0" w:color="1A171C"/>
              <w:right w:val="nil"/>
            </w:tcBorders>
            <w:vAlign w:val="center"/>
          </w:tcPr>
          <w:p w14:paraId="7FE1B583" w14:textId="77777777" w:rsidR="00393915" w:rsidRDefault="00F24D68">
            <w:pPr>
              <w:pStyle w:val="P68B1DB1-TableParagraph14"/>
              <w:spacing w:before="108"/>
              <w:ind w:left="85"/>
              <w:jc w:val="both"/>
            </w:pPr>
            <w:r>
              <w:t>Bilančne obveze koje proizlaze iz izvedenica</w:t>
            </w:r>
          </w:p>
          <w:p w14:paraId="625CF843" w14:textId="77777777" w:rsidR="00393915" w:rsidRDefault="00F24D68">
            <w:pPr>
              <w:pStyle w:val="P68B1DB1-TableParagraph17"/>
              <w:spacing w:before="108"/>
              <w:ind w:left="85"/>
              <w:jc w:val="both"/>
            </w:pPr>
            <w:r>
              <w:t xml:space="preserve">Računovodstvena vrijednost obveza koje proizlaze iz izvedenica. </w:t>
            </w:r>
          </w:p>
          <w:p w14:paraId="7FE1B584" w14:textId="3CCBAA21" w:rsidR="00393915" w:rsidRDefault="00F24D68">
            <w:pPr>
              <w:pStyle w:val="P68B1DB1-TableParagraph17"/>
              <w:spacing w:before="108"/>
              <w:ind w:left="85"/>
              <w:jc w:val="both"/>
              <w:rPr>
                <w:b/>
                <w:bCs/>
              </w:rPr>
            </w:pPr>
            <w:r>
              <w:t>Iskazuju se samo vrijednosti u polju „</w:t>
            </w:r>
            <w:r w:rsidR="009136F4">
              <w:t>knjigovodstvena vrijednost</w:t>
            </w:r>
            <w:r>
              <w:t>”.</w:t>
            </w:r>
          </w:p>
        </w:tc>
      </w:tr>
      <w:tr w:rsidR="00393915" w14:paraId="7FE1B589" w14:textId="77777777">
        <w:tc>
          <w:tcPr>
            <w:tcW w:w="905" w:type="dxa"/>
            <w:tcBorders>
              <w:top w:val="single" w:sz="4" w:space="0" w:color="1A171C"/>
              <w:left w:val="nil"/>
              <w:bottom w:val="single" w:sz="4" w:space="0" w:color="1A171C"/>
              <w:right w:val="single" w:sz="4" w:space="0" w:color="1A171C"/>
            </w:tcBorders>
            <w:vAlign w:val="center"/>
          </w:tcPr>
          <w:p w14:paraId="7FE1B586" w14:textId="77777777" w:rsidR="00393915" w:rsidRDefault="00F24D68">
            <w:pPr>
              <w:pStyle w:val="P68B1DB1-TableParagraph13"/>
              <w:spacing w:before="106"/>
              <w:ind w:left="-1"/>
            </w:pPr>
            <w:r>
              <w:t>0331</w:t>
            </w:r>
          </w:p>
        </w:tc>
        <w:tc>
          <w:tcPr>
            <w:tcW w:w="8121" w:type="dxa"/>
            <w:tcBorders>
              <w:top w:val="single" w:sz="4" w:space="0" w:color="1A171C"/>
              <w:left w:val="single" w:sz="4" w:space="0" w:color="1A171C"/>
              <w:bottom w:val="single" w:sz="4" w:space="0" w:color="1A171C"/>
              <w:right w:val="nil"/>
            </w:tcBorders>
            <w:vAlign w:val="center"/>
          </w:tcPr>
          <w:p w14:paraId="7FE1B587" w14:textId="77777777" w:rsidR="00393915" w:rsidRDefault="00F24D68">
            <w:pPr>
              <w:pStyle w:val="P68B1DB1-TableParagraph14"/>
              <w:spacing w:before="108"/>
              <w:ind w:left="85"/>
              <w:jc w:val="both"/>
            </w:pPr>
            <w:r>
              <w:t>Zbroj neto pozicija obveza uzimajući u obzir ugovorne skupove za netiranje, nakon usklađivanja s tržišnom vrijednošću, a prije prijeboja kolaterala</w:t>
            </w:r>
          </w:p>
          <w:p w14:paraId="43E2EAD9" w14:textId="77777777" w:rsidR="00393915" w:rsidRDefault="00F24D68">
            <w:pPr>
              <w:pStyle w:val="P68B1DB1-TableParagraph17"/>
              <w:spacing w:before="108"/>
              <w:ind w:left="85"/>
              <w:jc w:val="both"/>
            </w:pPr>
            <w:r>
              <w:t xml:space="preserve">Kao zadana postavka, zbroj svih neto tržišnih vrijednosti obveza iz izvedenica po ugovornom skupu za netiranje. Skup za netiranje iskazuje se samo ako neto tržišna vrijednost skupa za netiranje predstavlja obvezu. U tu se svrhu s izvedenicama koje ne podliježu sporazumima o netiranju postupa kao da se radi o jednom ugovoru, tj. kao da se radi o skupu za netiranje sa samo jednom izvedenicom. </w:t>
            </w:r>
          </w:p>
          <w:p w14:paraId="7FE1B588" w14:textId="07C2ADA5" w:rsidR="00393915" w:rsidRDefault="00F24D68">
            <w:pPr>
              <w:pStyle w:val="P68B1DB1-TableParagraph17"/>
              <w:spacing w:before="108"/>
              <w:ind w:left="85"/>
              <w:jc w:val="both"/>
              <w:rPr>
                <w:b/>
                <w:bCs/>
              </w:rPr>
            </w:pPr>
            <w:r>
              <w:t>Iskazuju se samo vrijednosti u polju „nepodmireni iznos”.</w:t>
            </w:r>
          </w:p>
        </w:tc>
      </w:tr>
      <w:tr w:rsidR="00393915" w14:paraId="7FE1B58D" w14:textId="77777777">
        <w:tc>
          <w:tcPr>
            <w:tcW w:w="905" w:type="dxa"/>
            <w:tcBorders>
              <w:top w:val="single" w:sz="4" w:space="0" w:color="1A171C"/>
              <w:left w:val="nil"/>
              <w:bottom w:val="single" w:sz="4" w:space="0" w:color="1A171C"/>
              <w:right w:val="single" w:sz="4" w:space="0" w:color="1A171C"/>
            </w:tcBorders>
            <w:vAlign w:val="center"/>
          </w:tcPr>
          <w:p w14:paraId="7FE1B58A" w14:textId="77777777" w:rsidR="00393915" w:rsidRDefault="00F24D68">
            <w:pPr>
              <w:pStyle w:val="P68B1DB1-TableParagraph13"/>
              <w:spacing w:before="106"/>
              <w:ind w:left="-1"/>
            </w:pPr>
            <w:r>
              <w:t>0332</w:t>
            </w:r>
          </w:p>
        </w:tc>
        <w:tc>
          <w:tcPr>
            <w:tcW w:w="8121" w:type="dxa"/>
            <w:tcBorders>
              <w:top w:val="single" w:sz="4" w:space="0" w:color="1A171C"/>
              <w:left w:val="single" w:sz="4" w:space="0" w:color="1A171C"/>
              <w:bottom w:val="single" w:sz="4" w:space="0" w:color="1A171C"/>
              <w:right w:val="nil"/>
            </w:tcBorders>
            <w:vAlign w:val="center"/>
          </w:tcPr>
          <w:p w14:paraId="7FE1B58B" w14:textId="77777777" w:rsidR="00393915" w:rsidRDefault="00F24D68">
            <w:pPr>
              <w:pStyle w:val="P68B1DB1-TableParagraph14"/>
              <w:spacing w:before="108"/>
              <w:ind w:left="85"/>
              <w:jc w:val="both"/>
            </w:pPr>
            <w:r>
              <w:t>Zbroj neto pozicija obveza uzimajući u obzir ugovorne skupove za netiranje, nakon usklađivanja s tržišnom vrijednošću i poslije prijeboja kolaterala</w:t>
            </w:r>
          </w:p>
          <w:p w14:paraId="5A26CA7C" w14:textId="1D9E4DD4" w:rsidR="00393915" w:rsidRDefault="00F24D68">
            <w:pPr>
              <w:pStyle w:val="P68B1DB1-TableParagraph17"/>
              <w:spacing w:before="108"/>
              <w:ind w:left="85"/>
              <w:jc w:val="both"/>
            </w:pPr>
            <w:r>
              <w:t xml:space="preserve">Vrednovanje u retku 0331 podliježe usklađivanju za kolateral koji je dan radi osiguranja te izloženosti, čime se dolazi do zbroja tih neto tržišnih vrijednosti nakon prijeboja kolaterala po njegovoj tržišnoj vrijednosti. U ovom retku trebalo bi iskazati samo one ugovorne skupove za netiranje za koje je pozicija obveza nakon usklađenja tržišne vrijednosti i nakon prijeboja kolaterala pozitivan iznos (tj. samo ako je neto tržišna vrijednost (c0120 od Z15.00) veća od vrijednosti neto unesenog kolaterala (c0130 predloška Z15.00)). </w:t>
            </w:r>
          </w:p>
          <w:p w14:paraId="7FE1B58C" w14:textId="453C45AE" w:rsidR="00393915" w:rsidRDefault="00F24D68">
            <w:pPr>
              <w:pStyle w:val="P68B1DB1-TableParagraph17"/>
              <w:spacing w:before="108"/>
              <w:ind w:left="85"/>
              <w:jc w:val="both"/>
            </w:pPr>
            <w:r>
              <w:t>Iskazuju se samo vrijednosti u polju „nepodmireni iznos”.</w:t>
            </w:r>
          </w:p>
        </w:tc>
      </w:tr>
      <w:tr w:rsidR="00393915" w14:paraId="7FE1B592" w14:textId="77777777">
        <w:tc>
          <w:tcPr>
            <w:tcW w:w="905" w:type="dxa"/>
            <w:tcBorders>
              <w:top w:val="single" w:sz="4" w:space="0" w:color="1A171C"/>
              <w:left w:val="nil"/>
              <w:bottom w:val="single" w:sz="4" w:space="0" w:color="1A171C"/>
              <w:right w:val="single" w:sz="4" w:space="0" w:color="1A171C"/>
            </w:tcBorders>
            <w:vAlign w:val="center"/>
          </w:tcPr>
          <w:p w14:paraId="7FE1B58E" w14:textId="77777777" w:rsidR="00393915" w:rsidRDefault="00F24D68">
            <w:pPr>
              <w:pStyle w:val="P68B1DB1-TableParagraph13"/>
              <w:spacing w:before="106"/>
              <w:ind w:left="-1"/>
            </w:pPr>
            <w:r>
              <w:t>0333</w:t>
            </w:r>
          </w:p>
        </w:tc>
        <w:tc>
          <w:tcPr>
            <w:tcW w:w="8121" w:type="dxa"/>
            <w:tcBorders>
              <w:top w:val="single" w:sz="4" w:space="0" w:color="1A171C"/>
              <w:left w:val="single" w:sz="4" w:space="0" w:color="1A171C"/>
              <w:bottom w:val="single" w:sz="4" w:space="0" w:color="1A171C"/>
              <w:right w:val="nil"/>
            </w:tcBorders>
            <w:vAlign w:val="center"/>
          </w:tcPr>
          <w:p w14:paraId="7FE1B58F" w14:textId="77777777" w:rsidR="00393915" w:rsidRDefault="00F24D68">
            <w:pPr>
              <w:pStyle w:val="P68B1DB1-TableParagraph14"/>
              <w:spacing w:before="108"/>
              <w:ind w:left="85"/>
              <w:jc w:val="both"/>
            </w:pPr>
            <w:r>
              <w:t xml:space="preserve">Zbroj neto pozicija obveza uzimajući u obzir ugovorne skupove za netiranje, nakon usklađivanja s tržišnom vrijednošću, poslije prijeboja kolaterala, uz uključivanje </w:t>
            </w:r>
            <w:r>
              <w:lastRenderedPageBreak/>
              <w:t>procijenjenih iznosa za zatvaranje</w:t>
            </w:r>
          </w:p>
          <w:p w14:paraId="7FE1B590" w14:textId="77777777" w:rsidR="00393915" w:rsidRDefault="00F24D68">
            <w:pPr>
              <w:pStyle w:val="TableParagraph"/>
              <w:spacing w:before="108"/>
              <w:ind w:left="85"/>
              <w:jc w:val="both"/>
              <w:rPr>
                <w:rFonts w:ascii="Times New Roman" w:eastAsia="Cambria" w:hAnsi="Times New Roman" w:cs="Times New Roman"/>
                <w:color w:val="000000" w:themeColor="text1"/>
                <w:sz w:val="20"/>
                <w:szCs w:val="20"/>
              </w:rPr>
            </w:pPr>
            <w:r>
              <w:rPr>
                <w:rFonts w:ascii="Times New Roman" w:eastAsia="Cambria" w:hAnsi="Times New Roman" w:cs="Times New Roman"/>
                <w:color w:val="000000" w:themeColor="text1"/>
                <w:sz w:val="20"/>
                <w:szCs w:val="20"/>
              </w:rPr>
              <w:t>U skladu s Delegiranom uredbom Komisije</w:t>
            </w:r>
            <w:r>
              <w:rPr>
                <w:rStyle w:val="FootnoteReference"/>
                <w:rFonts w:ascii="Times New Roman" w:eastAsia="Cambria" w:hAnsi="Times New Roman" w:cs="Times New Roman"/>
                <w:color w:val="1A171C"/>
              </w:rPr>
              <w:footnoteReference w:id="16"/>
            </w:r>
            <w:r>
              <w:rPr>
                <w:rFonts w:ascii="Times New Roman" w:eastAsia="Cambria" w:hAnsi="Times New Roman" w:cs="Times New Roman"/>
                <w:color w:val="000000" w:themeColor="text1"/>
                <w:sz w:val="20"/>
                <w:szCs w:val="20"/>
              </w:rPr>
              <w:t xml:space="preserve"> 2016/1401 o vrednovanju obveza koje proizlaze iz izvedenica, dodatni iznos za zatvaranje koji pokriva iznos gubitaka ili troškova koje snose druge ugovorne strane ugovora o izvedenicama, ili dobitaka koje su ostvarile, zamjenom ili dobivanjem ekonomskog ekvivalenta značajnih uvjeta ugovora i prava na opcije strana u pogledu otkazanih ugovora.</w:t>
            </w:r>
          </w:p>
          <w:p w14:paraId="00480641" w14:textId="6C4A7F37" w:rsidR="00393915" w:rsidRDefault="00F24D68">
            <w:pPr>
              <w:pStyle w:val="TableParagraph"/>
              <w:spacing w:before="108"/>
              <w:ind w:left="85"/>
              <w:jc w:val="both"/>
              <w:rPr>
                <w:rFonts w:ascii="Times New Roman" w:eastAsia="Cambria" w:hAnsi="Times New Roman" w:cs="Times New Roman"/>
                <w:color w:val="000000" w:themeColor="text1"/>
                <w:sz w:val="20"/>
                <w:szCs w:val="20"/>
              </w:rPr>
            </w:pPr>
            <w:r>
              <w:rPr>
                <w:rFonts w:ascii="Times New Roman" w:eastAsia="Cambria" w:hAnsi="Times New Roman" w:cs="Times New Roman"/>
                <w:color w:val="000000" w:themeColor="text1"/>
                <w:sz w:val="20"/>
                <w:szCs w:val="20"/>
              </w:rPr>
              <w:t>Procjene koje su potrebne kako bi se utvrdio iznos za zatvaranje u skladu s prethodno navedenom uredbom mogu se pokazati poprilično teškima na pojedinačnoj osnovi. Stoga se umjesto njih mogu koristiti zamjenske vrijednosti, koje se mogu temeljiti na dostupnim podacima kao što su bonitetni zahtjevi za tržišni rizik. Ako se pokaže da je nemoguće izračunati iznos za zatvaranje za obveze iz izvedenica, iskazani iznos jednak je iznosu iskazanom u retku 0332.</w:t>
            </w:r>
            <w:r>
              <w:t xml:space="preserve"> </w:t>
            </w:r>
            <w:r>
              <w:rPr>
                <w:rFonts w:ascii="Times New Roman" w:eastAsia="Cambria" w:hAnsi="Times New Roman" w:cs="Times New Roman"/>
                <w:color w:val="000000" w:themeColor="text1"/>
                <w:sz w:val="20"/>
                <w:szCs w:val="20"/>
              </w:rPr>
              <w:t xml:space="preserve">U ovom retku treba iskazati samo one ugovorne skupove za netiranje za koje je pozicija obveza nakon usklađenja tržišne vrijednosti, </w:t>
            </w:r>
            <w:r>
              <w:rPr>
                <w:rFonts w:ascii="Times New Roman" w:eastAsia="Cambria" w:hAnsi="Times New Roman" w:cs="Times New Roman"/>
                <w:color w:val="000000" w:themeColor="text1"/>
                <w:sz w:val="20"/>
                <w:szCs w:val="20"/>
              </w:rPr>
              <w:t>prebijanja</w:t>
            </w:r>
            <w:r w:rsidR="00327743">
              <w:rPr>
                <w:rFonts w:ascii="Times New Roman" w:eastAsia="Cambria" w:hAnsi="Times New Roman" w:cs="Times New Roman"/>
                <w:color w:val="000000" w:themeColor="text1"/>
                <w:sz w:val="20"/>
                <w:szCs w:val="20"/>
              </w:rPr>
              <w:t xml:space="preserve"> kolaterala</w:t>
            </w:r>
            <w:r>
              <w:rPr>
                <w:rFonts w:ascii="Times New Roman" w:eastAsia="Cambria" w:hAnsi="Times New Roman" w:cs="Times New Roman"/>
                <w:color w:val="000000" w:themeColor="text1"/>
                <w:sz w:val="20"/>
                <w:szCs w:val="20"/>
              </w:rPr>
              <w:t xml:space="preserve"> i uključivanja procijenjenih iznosa zatvaranja pozitivan iznos (tj. samo ako je procijenjeni iznos prijevremenog raskida (c0150 od Z15.00) pozitivan).</w:t>
            </w:r>
          </w:p>
          <w:p w14:paraId="7FE1B591" w14:textId="3F2EA3D4" w:rsidR="00393915" w:rsidRDefault="00F24D68">
            <w:pPr>
              <w:pStyle w:val="P68B1DB1-TableParagraph17"/>
              <w:spacing w:before="108"/>
              <w:ind w:left="85"/>
              <w:jc w:val="both"/>
            </w:pPr>
            <w:r>
              <w:t>Iskazuju se samo vrijednosti u polju „nepodmireni iznos”.</w:t>
            </w:r>
          </w:p>
        </w:tc>
      </w:tr>
      <w:tr w:rsidR="00393915" w14:paraId="7FE1B596" w14:textId="77777777">
        <w:tc>
          <w:tcPr>
            <w:tcW w:w="905" w:type="dxa"/>
            <w:tcBorders>
              <w:top w:val="single" w:sz="4" w:space="0" w:color="1A171C"/>
              <w:left w:val="nil"/>
              <w:bottom w:val="single" w:sz="4" w:space="0" w:color="1A171C"/>
              <w:right w:val="single" w:sz="4" w:space="0" w:color="1A171C"/>
            </w:tcBorders>
            <w:vAlign w:val="center"/>
          </w:tcPr>
          <w:p w14:paraId="7FE1B593" w14:textId="77777777" w:rsidR="00393915" w:rsidRDefault="00F24D68">
            <w:pPr>
              <w:pStyle w:val="P68B1DB1-TableParagraph13"/>
              <w:spacing w:before="106"/>
              <w:ind w:left="-1"/>
            </w:pPr>
            <w:r>
              <w:lastRenderedPageBreak/>
              <w:t>0334</w:t>
            </w:r>
          </w:p>
        </w:tc>
        <w:tc>
          <w:tcPr>
            <w:tcW w:w="8121" w:type="dxa"/>
            <w:tcBorders>
              <w:top w:val="single" w:sz="4" w:space="0" w:color="1A171C"/>
              <w:left w:val="single" w:sz="4" w:space="0" w:color="1A171C"/>
              <w:bottom w:val="single" w:sz="4" w:space="0" w:color="1A171C"/>
              <w:right w:val="nil"/>
            </w:tcBorders>
            <w:vAlign w:val="center"/>
          </w:tcPr>
          <w:p w14:paraId="7FE1B594" w14:textId="77777777" w:rsidR="00393915" w:rsidRDefault="00F24D68">
            <w:pPr>
              <w:pStyle w:val="P68B1DB1-TableParagraph14"/>
              <w:spacing w:before="108"/>
              <w:ind w:left="85"/>
              <w:jc w:val="both"/>
              <w:rPr>
                <w:bCs/>
              </w:rPr>
            </w:pPr>
            <w:r>
              <w:t>Zbroj neto pozicija obveza uzimajući u obzir bonitetna pravila o netiranju</w:t>
            </w:r>
          </w:p>
          <w:p w14:paraId="225BC2D2" w14:textId="5634735D" w:rsidR="00393915" w:rsidRDefault="00F24D68">
            <w:pPr>
              <w:pStyle w:val="P68B1DB1-TableParagraph17"/>
              <w:spacing w:before="108"/>
              <w:ind w:left="85"/>
              <w:jc w:val="both"/>
            </w:pPr>
            <w:r>
              <w:t>Iskazuju se neto pozicije obveza za izvedenice uzimajući u obzir bonitetna pravila o netiranju iz članka 429. Uredbe (EU) br. 575/2013 (povezano s izračunom mjere ukupne izloženosti omjera financijske poluge).</w:t>
            </w:r>
          </w:p>
          <w:p w14:paraId="7FE1B595" w14:textId="1E8C2F86" w:rsidR="00393915" w:rsidRDefault="00F24D68">
            <w:pPr>
              <w:pStyle w:val="P68B1DB1-TableParagraph17"/>
              <w:spacing w:before="108"/>
              <w:ind w:left="85"/>
              <w:jc w:val="both"/>
              <w:rPr>
                <w:b/>
                <w:bCs/>
              </w:rPr>
            </w:pPr>
            <w:r>
              <w:t>Iskazuju se samo vrijednosti u polju „nepodmireni iznos”.</w:t>
            </w:r>
          </w:p>
        </w:tc>
      </w:tr>
      <w:tr w:rsidR="00393915" w14:paraId="7FE1B59A" w14:textId="77777777">
        <w:tc>
          <w:tcPr>
            <w:tcW w:w="905" w:type="dxa"/>
            <w:tcBorders>
              <w:top w:val="single" w:sz="4" w:space="0" w:color="1A171C"/>
              <w:left w:val="nil"/>
              <w:bottom w:val="single" w:sz="4" w:space="0" w:color="1A171C"/>
              <w:right w:val="single" w:sz="4" w:space="0" w:color="1A171C"/>
            </w:tcBorders>
            <w:vAlign w:val="center"/>
          </w:tcPr>
          <w:p w14:paraId="7FE1B597" w14:textId="77777777" w:rsidR="00393915" w:rsidRDefault="00F24D68">
            <w:pPr>
              <w:pStyle w:val="P68B1DB1-TableParagraph13"/>
              <w:spacing w:before="106"/>
              <w:ind w:left="-1"/>
            </w:pPr>
            <w:r>
              <w:t>0340 – 0344</w:t>
            </w:r>
          </w:p>
        </w:tc>
        <w:tc>
          <w:tcPr>
            <w:tcW w:w="8121" w:type="dxa"/>
            <w:tcBorders>
              <w:top w:val="single" w:sz="4" w:space="0" w:color="1A171C"/>
              <w:left w:val="single" w:sz="4" w:space="0" w:color="1A171C"/>
              <w:bottom w:val="single" w:sz="4" w:space="0" w:color="1A171C"/>
              <w:right w:val="nil"/>
            </w:tcBorders>
            <w:vAlign w:val="center"/>
          </w:tcPr>
          <w:p w14:paraId="7FE1B598" w14:textId="77777777" w:rsidR="00393915" w:rsidRDefault="00F24D68">
            <w:pPr>
              <w:pStyle w:val="P68B1DB1-TableParagraph14"/>
              <w:spacing w:before="108"/>
              <w:ind w:left="85"/>
              <w:jc w:val="both"/>
              <w:rPr>
                <w:bCs/>
              </w:rPr>
            </w:pPr>
            <w:r>
              <w:t>Nekolateralizirane osigurane obveze</w:t>
            </w:r>
          </w:p>
          <w:p w14:paraId="7FE1B599" w14:textId="5C9CC3B9" w:rsidR="00393915" w:rsidRDefault="00F24D68">
            <w:pPr>
              <w:pStyle w:val="P68B1DB1-TableParagraph13"/>
              <w:spacing w:before="108"/>
              <w:ind w:left="85"/>
              <w:jc w:val="both"/>
              <w:rPr>
                <w:b/>
                <w:bCs/>
              </w:rPr>
            </w:pPr>
            <w:r>
              <w:t>Iznos osiguranih obveza ili obveza za koje je osiguran kolateral koji premašuje vrijednost imovine, zaloga, založnog prava ili kolaterala kojim su osigurane. Time se obuhvaća „</w:t>
            </w:r>
            <w:r w:rsidR="006C3075">
              <w:t xml:space="preserve">nedovoljno </w:t>
            </w:r>
            <w:r>
              <w:t>kolateraliziran</w:t>
            </w:r>
            <w:r>
              <w:t xml:space="preserve">” dio bilo koje kolateralizirane obveze, primjerice </w:t>
            </w:r>
            <w:r w:rsidR="006C3075">
              <w:t xml:space="preserve">nedovoljno </w:t>
            </w:r>
            <w:r>
              <w:t>kolateraliziran</w:t>
            </w:r>
            <w:r>
              <w:t xml:space="preserve"> dio pokrivenih obveznica ili repo transakcija.</w:t>
            </w:r>
          </w:p>
        </w:tc>
      </w:tr>
      <w:tr w:rsidR="00393915" w14:paraId="7FE1B59E" w14:textId="77777777">
        <w:tc>
          <w:tcPr>
            <w:tcW w:w="905" w:type="dxa"/>
            <w:tcBorders>
              <w:top w:val="single" w:sz="4" w:space="0" w:color="1A171C"/>
              <w:left w:val="nil"/>
              <w:bottom w:val="single" w:sz="4" w:space="0" w:color="1A171C"/>
              <w:right w:val="single" w:sz="4" w:space="0" w:color="1A171C"/>
            </w:tcBorders>
            <w:vAlign w:val="center"/>
          </w:tcPr>
          <w:p w14:paraId="7FE1B59B" w14:textId="77777777" w:rsidR="00393915" w:rsidRDefault="00F24D68">
            <w:pPr>
              <w:pStyle w:val="P68B1DB1-TableParagraph13"/>
              <w:spacing w:before="106"/>
              <w:ind w:left="-1"/>
            </w:pPr>
            <w:r>
              <w:t>0350 – 0354</w:t>
            </w:r>
          </w:p>
        </w:tc>
        <w:tc>
          <w:tcPr>
            <w:tcW w:w="8121" w:type="dxa"/>
            <w:tcBorders>
              <w:top w:val="single" w:sz="4" w:space="0" w:color="1A171C"/>
              <w:left w:val="single" w:sz="4" w:space="0" w:color="1A171C"/>
              <w:bottom w:val="single" w:sz="4" w:space="0" w:color="1A171C"/>
              <w:right w:val="nil"/>
            </w:tcBorders>
            <w:vAlign w:val="center"/>
          </w:tcPr>
          <w:p w14:paraId="7FE1B59C" w14:textId="77777777" w:rsidR="00393915" w:rsidRDefault="00F24D68">
            <w:pPr>
              <w:pStyle w:val="P68B1DB1-TableParagraph14"/>
              <w:spacing w:before="108"/>
              <w:ind w:left="85"/>
              <w:jc w:val="both"/>
              <w:rPr>
                <w:bCs/>
              </w:rPr>
            </w:pPr>
            <w:r>
              <w:t>Strukturirani dužnički instrumenti</w:t>
            </w:r>
          </w:p>
          <w:p w14:paraId="7FE1B59D" w14:textId="77777777" w:rsidR="00393915" w:rsidRDefault="00F24D68">
            <w:pPr>
              <w:pStyle w:val="P68B1DB1-TableParagraph17"/>
              <w:spacing w:before="108"/>
              <w:ind w:left="85"/>
              <w:jc w:val="both"/>
              <w:rPr>
                <w:b/>
                <w:bCs/>
              </w:rPr>
            </w:pPr>
            <w:r>
              <w:t>Strukturirani dužnički instrumenti u ovu su svrhu definirani kao dužnički financijski instrumenti koji sadržavaju ugrađenu komponentu izvedenice, s prinosima koji su povezani s odnosnim vrijednosnim papirom ili indeksom (javni ili ugovoreni, kao što su vlasnički vrijednosni papiri ili obveznice, stope s fiksnim prinosom ili kredit, strane valute, robe itd.). Strukturirani dužnički instrumenti ne uključuju dužničke instrumente koji uključuju samo opcije kupnje ili prodaje, tj. vrijednost instrumenta ne ovisi o ugrađenoj komponenti izvedenice.</w:t>
            </w:r>
          </w:p>
        </w:tc>
      </w:tr>
      <w:tr w:rsidR="00393915" w14:paraId="7FE1B5A2" w14:textId="77777777">
        <w:tc>
          <w:tcPr>
            <w:tcW w:w="905" w:type="dxa"/>
            <w:tcBorders>
              <w:top w:val="single" w:sz="4" w:space="0" w:color="1A171C"/>
              <w:left w:val="nil"/>
              <w:bottom w:val="single" w:sz="4" w:space="0" w:color="1A171C"/>
              <w:right w:val="single" w:sz="4" w:space="0" w:color="1A171C"/>
            </w:tcBorders>
            <w:vAlign w:val="center"/>
          </w:tcPr>
          <w:p w14:paraId="7FE1B59F" w14:textId="77777777" w:rsidR="00393915" w:rsidRDefault="00F24D68">
            <w:pPr>
              <w:pStyle w:val="P68B1DB1-TableParagraph13"/>
              <w:spacing w:before="106"/>
              <w:ind w:left="-1"/>
            </w:pPr>
            <w:r>
              <w:t>0360 – 0364</w:t>
            </w:r>
          </w:p>
        </w:tc>
        <w:tc>
          <w:tcPr>
            <w:tcW w:w="8121" w:type="dxa"/>
            <w:tcBorders>
              <w:top w:val="single" w:sz="4" w:space="0" w:color="1A171C"/>
              <w:left w:val="single" w:sz="4" w:space="0" w:color="1A171C"/>
              <w:bottom w:val="single" w:sz="4" w:space="0" w:color="1A171C"/>
              <w:right w:val="nil"/>
            </w:tcBorders>
            <w:vAlign w:val="center"/>
          </w:tcPr>
          <w:p w14:paraId="7FE1B5A0" w14:textId="77777777" w:rsidR="00393915" w:rsidRDefault="00F24D68">
            <w:pPr>
              <w:pStyle w:val="P68B1DB1-TableParagraph14"/>
              <w:spacing w:before="108"/>
              <w:ind w:left="85"/>
              <w:jc w:val="both"/>
              <w:rPr>
                <w:bCs/>
              </w:rPr>
            </w:pPr>
            <w:r>
              <w:t>Nadređene neosigurane obveze</w:t>
            </w:r>
          </w:p>
          <w:p w14:paraId="7FE1B5A1" w14:textId="2515816B" w:rsidR="00393915" w:rsidRDefault="00F24D68">
            <w:pPr>
              <w:pStyle w:val="P68B1DB1-TableParagraph17"/>
              <w:spacing w:before="108"/>
              <w:ind w:left="85"/>
              <w:jc w:val="both"/>
              <w:rPr>
                <w:b/>
                <w:bCs/>
              </w:rPr>
            </w:pPr>
            <w:r>
              <w:t>Ovo uključuje sve nadređene, neosigurane instrumente koji nisu uključeni u druge kategorije iznad.</w:t>
            </w:r>
          </w:p>
        </w:tc>
      </w:tr>
      <w:tr w:rsidR="00393915" w14:paraId="7FE1B5A9" w14:textId="77777777">
        <w:tc>
          <w:tcPr>
            <w:tcW w:w="905" w:type="dxa"/>
            <w:tcBorders>
              <w:top w:val="single" w:sz="4" w:space="0" w:color="1A171C"/>
              <w:left w:val="nil"/>
              <w:bottom w:val="single" w:sz="4" w:space="0" w:color="1A171C"/>
              <w:right w:val="single" w:sz="4" w:space="0" w:color="1A171C"/>
            </w:tcBorders>
            <w:vAlign w:val="center"/>
          </w:tcPr>
          <w:p w14:paraId="7FE1B5A3" w14:textId="77777777" w:rsidR="00393915" w:rsidRDefault="00F24D68">
            <w:pPr>
              <w:pStyle w:val="P68B1DB1-TableParagraph13"/>
              <w:spacing w:before="106"/>
              <w:ind w:left="-1"/>
            </w:pPr>
            <w:r>
              <w:t>0365 – 0369</w:t>
            </w:r>
          </w:p>
        </w:tc>
        <w:tc>
          <w:tcPr>
            <w:tcW w:w="8121" w:type="dxa"/>
            <w:tcBorders>
              <w:top w:val="single" w:sz="4" w:space="0" w:color="1A171C"/>
              <w:left w:val="single" w:sz="4" w:space="0" w:color="1A171C"/>
              <w:bottom w:val="single" w:sz="4" w:space="0" w:color="1A171C"/>
              <w:right w:val="nil"/>
            </w:tcBorders>
            <w:vAlign w:val="center"/>
          </w:tcPr>
          <w:p w14:paraId="7FE1B5A4" w14:textId="77777777" w:rsidR="00393915" w:rsidRDefault="00F24D68">
            <w:pPr>
              <w:pStyle w:val="P68B1DB1-TableParagraph14"/>
              <w:spacing w:before="108"/>
              <w:ind w:left="85"/>
              <w:jc w:val="both"/>
            </w:pPr>
            <w:r>
              <w:t>Nadređene nepovlaštene obveze</w:t>
            </w:r>
          </w:p>
          <w:p w14:paraId="7FE1B5A5" w14:textId="77777777" w:rsidR="00393915" w:rsidRDefault="00F24D68">
            <w:pPr>
              <w:pStyle w:val="P68B1DB1-TableParagraph13"/>
              <w:spacing w:before="108"/>
              <w:ind w:left="85"/>
              <w:jc w:val="both"/>
            </w:pPr>
            <w:r>
              <w:t>Iznos bilo koje od sljedećih obveza:</w:t>
            </w:r>
          </w:p>
          <w:p w14:paraId="7FE1B5A6" w14:textId="51806099" w:rsidR="00393915" w:rsidRDefault="00F24D68">
            <w:pPr>
              <w:pStyle w:val="P68B1DB1-TableParagraph13"/>
              <w:numPr>
                <w:ilvl w:val="0"/>
                <w:numId w:val="69"/>
              </w:numPr>
              <w:spacing w:before="108"/>
              <w:jc w:val="both"/>
            </w:pPr>
            <w:r>
              <w:t xml:space="preserve">Neosigurane tražbine koje proizlaze iz dužničkih instrumenata koji ispunjavaju uvjete iz članka 108. Direktive 2014/59/EU, stavka 2. točaka (a), (b) i (c) i stavka 3.; </w:t>
            </w:r>
          </w:p>
          <w:p w14:paraId="7FE1B5A7" w14:textId="77777777" w:rsidR="00393915" w:rsidRDefault="00F24D68">
            <w:pPr>
              <w:pStyle w:val="P68B1DB1-TableParagraph13"/>
              <w:numPr>
                <w:ilvl w:val="0"/>
                <w:numId w:val="69"/>
              </w:numPr>
              <w:spacing w:before="108"/>
              <w:jc w:val="both"/>
            </w:pPr>
            <w:r>
              <w:t>Neosiguranih tražbina koje proizlaze iz dužničkih instrumenata iz članka 108. stavka 5. prvog podstavka točke (b) Direktive 2014/59/EU ili</w:t>
            </w:r>
          </w:p>
          <w:p w14:paraId="7FE1B5A8" w14:textId="77777777" w:rsidR="00393915" w:rsidRDefault="00F24D68">
            <w:pPr>
              <w:pStyle w:val="P68B1DB1-TableParagraph13"/>
              <w:numPr>
                <w:ilvl w:val="0"/>
                <w:numId w:val="69"/>
              </w:numPr>
              <w:spacing w:before="108"/>
              <w:jc w:val="both"/>
            </w:pPr>
            <w:r>
              <w:t xml:space="preserve">Dužničkih instrumenata s najnižim redom prvenstva među običnim neosiguranim tražbinama koje proizlaze iz dužničkih instrumenata iz članka 108. stavka 7. Direktive </w:t>
            </w:r>
            <w:r>
              <w:lastRenderedPageBreak/>
              <w:t>2014/59/EU za koje je država članica predvidjela, u skladu s tim stavkom, da imaju isti red prvenstva kao dužnički instrumenti koji ispunjavaju uvjete iz članka 108. stavka 2. točaka (a), (b) i (c) i članka 108. stavka 3. Direktive 2014/59/EU.</w:t>
            </w:r>
          </w:p>
        </w:tc>
      </w:tr>
      <w:tr w:rsidR="00393915" w14:paraId="7FE1B5AF" w14:textId="77777777">
        <w:tc>
          <w:tcPr>
            <w:tcW w:w="905" w:type="dxa"/>
            <w:tcBorders>
              <w:top w:val="single" w:sz="4" w:space="0" w:color="1A171C"/>
              <w:left w:val="nil"/>
              <w:bottom w:val="single" w:sz="4" w:space="0" w:color="1A171C"/>
              <w:right w:val="single" w:sz="4" w:space="0" w:color="1A171C"/>
            </w:tcBorders>
            <w:vAlign w:val="center"/>
          </w:tcPr>
          <w:p w14:paraId="7FE1B5AA" w14:textId="77777777" w:rsidR="00393915" w:rsidRDefault="00F24D68">
            <w:pPr>
              <w:pStyle w:val="P68B1DB1-TableParagraph13"/>
              <w:spacing w:before="106"/>
              <w:ind w:left="-1"/>
            </w:pPr>
            <w:r>
              <w:lastRenderedPageBreak/>
              <w:t>0370 – 0374</w:t>
            </w:r>
          </w:p>
        </w:tc>
        <w:tc>
          <w:tcPr>
            <w:tcW w:w="8121" w:type="dxa"/>
            <w:tcBorders>
              <w:top w:val="single" w:sz="4" w:space="0" w:color="1A171C"/>
              <w:left w:val="single" w:sz="4" w:space="0" w:color="1A171C"/>
              <w:bottom w:val="single" w:sz="4" w:space="0" w:color="1A171C"/>
              <w:right w:val="nil"/>
            </w:tcBorders>
            <w:vAlign w:val="center"/>
          </w:tcPr>
          <w:p w14:paraId="7FE1B5AB" w14:textId="77777777" w:rsidR="00393915" w:rsidRDefault="00F24D68">
            <w:pPr>
              <w:pStyle w:val="P68B1DB1-TableParagraph14"/>
              <w:spacing w:before="108"/>
              <w:ind w:left="85"/>
              <w:jc w:val="both"/>
              <w:rPr>
                <w:bCs/>
              </w:rPr>
            </w:pPr>
            <w:r>
              <w:t>Podređene obveze (koje nisu priznate kao regulatorni kapital)</w:t>
            </w:r>
          </w:p>
          <w:p w14:paraId="7FE1B5AC" w14:textId="6E84CD2D" w:rsidR="00393915" w:rsidRDefault="00F24D68">
            <w:pPr>
              <w:pStyle w:val="P68B1DB1-TableParagraph17"/>
              <w:spacing w:before="108"/>
              <w:ind w:left="85"/>
              <w:jc w:val="both"/>
            </w:pPr>
            <w:r>
              <w:t xml:space="preserve">Obveze koje će se na temelju nacionalnog prava o </w:t>
            </w:r>
            <w:r w:rsidR="00AA68FE">
              <w:t>in</w:t>
            </w:r>
            <w:r>
              <w:t>solventnosti</w:t>
            </w:r>
            <w:r>
              <w:t xml:space="preserve"> otplatiti tek nakon što se u potpunosti otplate obveze za sve kategorije običnih vjerovnika i nadređenih nepovlaštenih vjerovnika. To uključuje i ugovorno i zakonski podređene obveze. U slučaju </w:t>
            </w:r>
            <w:r>
              <w:t>holding</w:t>
            </w:r>
            <w:r w:rsidR="00AA68FE">
              <w:t>a</w:t>
            </w:r>
            <w:r>
              <w:t xml:space="preserve"> nepodređeni dužnički vrijednosni papiri mogu se iskazivati i u ovoj kategoriji (tj. strukturna podređenost).</w:t>
            </w:r>
          </w:p>
          <w:p w14:paraId="7FE1B5AD" w14:textId="77777777" w:rsidR="00393915" w:rsidRDefault="00F24D68">
            <w:pPr>
              <w:pStyle w:val="P68B1DB1-TableParagraph17"/>
              <w:spacing w:before="108"/>
              <w:ind w:left="85"/>
              <w:jc w:val="both"/>
            </w:pPr>
            <w:r>
              <w:t xml:space="preserve">U ovu se kategoriju uključuju samo podređeni instrumenti koji nisu priznati kao regulatorni kapital. </w:t>
            </w:r>
          </w:p>
          <w:p w14:paraId="7FE1B5AE" w14:textId="77777777" w:rsidR="00393915" w:rsidRDefault="00F24D68">
            <w:pPr>
              <w:pStyle w:val="P68B1DB1-TableParagraph17"/>
              <w:spacing w:before="108"/>
              <w:ind w:left="85"/>
              <w:jc w:val="both"/>
              <w:rPr>
                <w:b/>
                <w:bCs/>
              </w:rPr>
            </w:pPr>
            <w:r>
              <w:t xml:space="preserve">Ovaj redak uključuje i onaj dio podređenih obveza koji se u načelu smatra regulatornim kapitalom, ali nije uključen u regulatorni kapital zbog odredbi o postupnom ukidanju, kao što su članak 64. Uredbe (EU) br. 575/2013 (preostali rok do dospijeća) ili dio 10. Uredbe (EU) br. 575/2013 (učinak nastavka priznavanja). </w:t>
            </w:r>
          </w:p>
        </w:tc>
      </w:tr>
      <w:tr w:rsidR="00393915" w14:paraId="7FE1B5B3" w14:textId="77777777">
        <w:tc>
          <w:tcPr>
            <w:tcW w:w="905" w:type="dxa"/>
            <w:tcBorders>
              <w:top w:val="single" w:sz="4" w:space="0" w:color="1A171C"/>
              <w:left w:val="nil"/>
              <w:bottom w:val="single" w:sz="4" w:space="0" w:color="1A171C"/>
              <w:right w:val="single" w:sz="4" w:space="0" w:color="1A171C"/>
            </w:tcBorders>
            <w:vAlign w:val="center"/>
          </w:tcPr>
          <w:p w14:paraId="7FE1B5B0" w14:textId="77777777" w:rsidR="00393915" w:rsidRDefault="00F24D68">
            <w:pPr>
              <w:pStyle w:val="P68B1DB1-TableParagraph13"/>
              <w:spacing w:before="106"/>
              <w:ind w:left="-1"/>
            </w:pPr>
            <w:r>
              <w:t>0380 – 0382</w:t>
            </w:r>
          </w:p>
        </w:tc>
        <w:tc>
          <w:tcPr>
            <w:tcW w:w="8121" w:type="dxa"/>
            <w:tcBorders>
              <w:top w:val="single" w:sz="4" w:space="0" w:color="1A171C"/>
              <w:left w:val="single" w:sz="4" w:space="0" w:color="1A171C"/>
              <w:bottom w:val="single" w:sz="4" w:space="0" w:color="1A171C"/>
              <w:right w:val="nil"/>
            </w:tcBorders>
            <w:vAlign w:val="center"/>
          </w:tcPr>
          <w:p w14:paraId="7FE1B5B1" w14:textId="77C017ED" w:rsidR="00393915" w:rsidRDefault="00F24D68">
            <w:pPr>
              <w:pStyle w:val="P68B1DB1-TableParagraph14"/>
              <w:spacing w:before="108"/>
              <w:ind w:left="85"/>
              <w:jc w:val="both"/>
              <w:rPr>
                <w:bCs/>
              </w:rPr>
            </w:pPr>
            <w:r>
              <w:t xml:space="preserve">Ostale obveze koje su prihvatljive u pogledu </w:t>
            </w:r>
            <w:r>
              <w:t>minimaln</w:t>
            </w:r>
            <w:r w:rsidR="00AA68FE">
              <w:t>og</w:t>
            </w:r>
            <w:r>
              <w:t xml:space="preserve"> zahtjeva za regulatorni kapital i prihvatljive obveze (MREL)</w:t>
            </w:r>
          </w:p>
          <w:p w14:paraId="7FE1B5B2" w14:textId="1F62E48C" w:rsidR="00393915" w:rsidRDefault="00F24D68">
            <w:pPr>
              <w:pStyle w:val="P68B1DB1-TableParagraph13"/>
              <w:spacing w:before="108"/>
              <w:ind w:left="85"/>
              <w:jc w:val="both"/>
              <w:rPr>
                <w:b/>
                <w:bCs/>
              </w:rPr>
            </w:pPr>
            <w:r>
              <w:t>Iznos obveza koji je prihvatljiv za ispunjavanje zahtjeva</w:t>
            </w:r>
            <w:r w:rsidR="00AA68FE">
              <w:t xml:space="preserve"> </w:t>
            </w:r>
            <w:r w:rsidR="00AA68FE">
              <w:t>prema izvještajnom subjektu</w:t>
            </w:r>
            <w:r>
              <w:t xml:space="preserve"> </w:t>
            </w:r>
            <w:r>
              <w:t>iz članka 45. Direktive 2014/59/EU u skladu s njezinim člankom 45.e ili 45.f, ovisno o slučaju, ali nije obuhvaćen redcima 0320 i 0340 do 0370.</w:t>
            </w:r>
          </w:p>
        </w:tc>
      </w:tr>
      <w:tr w:rsidR="00393915" w14:paraId="7FE1B5B7" w14:textId="77777777">
        <w:tc>
          <w:tcPr>
            <w:tcW w:w="905" w:type="dxa"/>
            <w:tcBorders>
              <w:top w:val="single" w:sz="4" w:space="0" w:color="1A171C"/>
              <w:left w:val="nil"/>
              <w:bottom w:val="single" w:sz="4" w:space="0" w:color="1A171C"/>
              <w:right w:val="single" w:sz="4" w:space="0" w:color="1A171C"/>
            </w:tcBorders>
            <w:vAlign w:val="center"/>
          </w:tcPr>
          <w:p w14:paraId="7FE1B5B4" w14:textId="77777777" w:rsidR="00393915" w:rsidRDefault="00F24D68">
            <w:pPr>
              <w:pStyle w:val="P68B1DB1-TableParagraph13"/>
              <w:spacing w:before="106"/>
              <w:ind w:left="-1"/>
            </w:pPr>
            <w:r>
              <w:t>0390</w:t>
            </w:r>
          </w:p>
        </w:tc>
        <w:tc>
          <w:tcPr>
            <w:tcW w:w="8121" w:type="dxa"/>
            <w:tcBorders>
              <w:top w:val="single" w:sz="4" w:space="0" w:color="1A171C"/>
              <w:left w:val="single" w:sz="4" w:space="0" w:color="1A171C"/>
              <w:bottom w:val="single" w:sz="4" w:space="0" w:color="1A171C"/>
              <w:right w:val="nil"/>
            </w:tcBorders>
            <w:vAlign w:val="center"/>
          </w:tcPr>
          <w:p w14:paraId="7FE1B5B5" w14:textId="77777777" w:rsidR="00393915" w:rsidRDefault="00F24D68">
            <w:pPr>
              <w:pStyle w:val="P68B1DB1-TableParagraph14"/>
              <w:spacing w:before="108"/>
              <w:ind w:left="85"/>
              <w:jc w:val="both"/>
              <w:rPr>
                <w:bCs/>
              </w:rPr>
            </w:pPr>
            <w:r>
              <w:t>Nefinancijske obveze</w:t>
            </w:r>
          </w:p>
          <w:p w14:paraId="7FE1B5B6" w14:textId="2FE695AB" w:rsidR="00393915" w:rsidRDefault="00F24D68">
            <w:pPr>
              <w:pStyle w:val="P68B1DB1-TableParagraph17"/>
              <w:spacing w:before="108"/>
              <w:ind w:left="85"/>
              <w:jc w:val="both"/>
              <w:rPr>
                <w:b/>
                <w:bCs/>
              </w:rPr>
            </w:pPr>
            <w:r>
              <w:t xml:space="preserve">Iznos obveza koje se ne smatraju financijskim obvezama u skladu s primjenjivim računovodstvenim okvirom, kao što su rezervacije povezane sa sudskim sporovima </w:t>
            </w:r>
            <w:r>
              <w:t>koji</w:t>
            </w:r>
            <w:r w:rsidR="00AA68FE">
              <w:t xml:space="preserve"> se vode nad</w:t>
            </w:r>
            <w:r>
              <w:t xml:space="preserve"> subjekt</w:t>
            </w:r>
            <w:r w:rsidR="00AA68FE">
              <w:t>om</w:t>
            </w:r>
            <w:r>
              <w:t xml:space="preserve">. </w:t>
            </w:r>
          </w:p>
        </w:tc>
      </w:tr>
      <w:tr w:rsidR="00393915" w14:paraId="7FE1B5BB" w14:textId="77777777">
        <w:tc>
          <w:tcPr>
            <w:tcW w:w="905" w:type="dxa"/>
            <w:tcBorders>
              <w:top w:val="single" w:sz="4" w:space="0" w:color="1A171C"/>
              <w:left w:val="nil"/>
              <w:bottom w:val="single" w:sz="4" w:space="0" w:color="1A171C"/>
              <w:right w:val="single" w:sz="4" w:space="0" w:color="1A171C"/>
            </w:tcBorders>
            <w:vAlign w:val="center"/>
          </w:tcPr>
          <w:p w14:paraId="7FE1B5B8" w14:textId="77777777" w:rsidR="00393915" w:rsidRDefault="00F24D68">
            <w:pPr>
              <w:pStyle w:val="P68B1DB1-TableParagraph13"/>
              <w:spacing w:before="106"/>
              <w:ind w:left="-1"/>
            </w:pPr>
            <w:r>
              <w:t>0400</w:t>
            </w:r>
          </w:p>
        </w:tc>
        <w:tc>
          <w:tcPr>
            <w:tcW w:w="8121" w:type="dxa"/>
            <w:tcBorders>
              <w:top w:val="single" w:sz="4" w:space="0" w:color="1A171C"/>
              <w:left w:val="single" w:sz="4" w:space="0" w:color="1A171C"/>
              <w:bottom w:val="single" w:sz="4" w:space="0" w:color="1A171C"/>
              <w:right w:val="nil"/>
            </w:tcBorders>
            <w:vAlign w:val="center"/>
          </w:tcPr>
          <w:p w14:paraId="7FE1B5B9" w14:textId="77777777" w:rsidR="00393915" w:rsidRDefault="00F24D68">
            <w:pPr>
              <w:pStyle w:val="P68B1DB1-TableParagraph14"/>
              <w:spacing w:before="108"/>
              <w:ind w:left="85"/>
              <w:jc w:val="both"/>
              <w:rPr>
                <w:bCs/>
              </w:rPr>
            </w:pPr>
            <w:r>
              <w:t>Preostale obveze</w:t>
            </w:r>
          </w:p>
          <w:p w14:paraId="7FE1B5BA" w14:textId="66DA2802" w:rsidR="00393915" w:rsidRDefault="00F24D68">
            <w:pPr>
              <w:pStyle w:val="P68B1DB1-TableParagraph17"/>
              <w:spacing w:before="108"/>
              <w:ind w:left="85"/>
              <w:jc w:val="both"/>
              <w:rPr>
                <w:b/>
                <w:bCs/>
              </w:rPr>
            </w:pPr>
            <w:r>
              <w:t xml:space="preserve">Iznos obveza koje nisu iskazane u redcima od 0100 do 0390. </w:t>
            </w:r>
          </w:p>
        </w:tc>
      </w:tr>
      <w:tr w:rsidR="00393915" w14:paraId="7FE1B5C0" w14:textId="77777777">
        <w:tc>
          <w:tcPr>
            <w:tcW w:w="905" w:type="dxa"/>
            <w:tcBorders>
              <w:top w:val="single" w:sz="4" w:space="0" w:color="1A171C"/>
              <w:left w:val="nil"/>
              <w:bottom w:val="single" w:sz="4" w:space="0" w:color="1A171C"/>
              <w:right w:val="single" w:sz="4" w:space="0" w:color="1A171C"/>
            </w:tcBorders>
            <w:vAlign w:val="center"/>
          </w:tcPr>
          <w:p w14:paraId="7FE1B5BC" w14:textId="77777777" w:rsidR="00393915" w:rsidRDefault="00F24D68">
            <w:pPr>
              <w:pStyle w:val="P68B1DB1-TableParagraph13"/>
              <w:spacing w:before="106"/>
              <w:ind w:left="-1"/>
            </w:pPr>
            <w:r>
              <w:t>0500</w:t>
            </w:r>
          </w:p>
        </w:tc>
        <w:tc>
          <w:tcPr>
            <w:tcW w:w="8121" w:type="dxa"/>
            <w:tcBorders>
              <w:top w:val="single" w:sz="4" w:space="0" w:color="1A171C"/>
              <w:left w:val="single" w:sz="4" w:space="0" w:color="1A171C"/>
              <w:bottom w:val="single" w:sz="4" w:space="0" w:color="1A171C"/>
              <w:right w:val="nil"/>
            </w:tcBorders>
            <w:vAlign w:val="center"/>
          </w:tcPr>
          <w:p w14:paraId="7FE1B5BD" w14:textId="3C088D8C" w:rsidR="00393915" w:rsidRDefault="00D04858">
            <w:pPr>
              <w:pStyle w:val="P68B1DB1-TableParagraph14"/>
              <w:spacing w:before="108"/>
              <w:ind w:left="85"/>
              <w:jc w:val="both"/>
            </w:pPr>
            <w:r>
              <w:t>Regulatorni kapital</w:t>
            </w:r>
          </w:p>
          <w:p w14:paraId="7FE1B5BE" w14:textId="77777777" w:rsidR="00393915" w:rsidRDefault="00F24D68">
            <w:pPr>
              <w:pStyle w:val="P68B1DB1-TableParagraph17"/>
              <w:spacing w:before="108"/>
              <w:ind w:left="85"/>
              <w:jc w:val="both"/>
            </w:pPr>
            <w:r>
              <w:t>Članak 4. stavak 1. točka 118. i članak 72. Uredbe (EU) br. 575/2013.</w:t>
            </w:r>
          </w:p>
          <w:p w14:paraId="7FE1B5BF" w14:textId="2F2B1831" w:rsidR="00393915" w:rsidRDefault="00F24D68">
            <w:pPr>
              <w:pStyle w:val="P68B1DB1-TableParagraph17"/>
              <w:spacing w:before="108"/>
              <w:ind w:left="85"/>
              <w:jc w:val="both"/>
            </w:pPr>
            <w:r>
              <w:t xml:space="preserve">Ista definicija kao i za COREP (OF): </w:t>
            </w:r>
            <w:r w:rsidR="00D04858">
              <w:rPr>
                <w:spacing w:val="-2"/>
                <w:w w:val="95"/>
                <w:lang w:val="en-GB"/>
              </w:rPr>
              <w:t>{</w:t>
            </w:r>
            <w:r>
              <w:t>C</w:t>
            </w:r>
            <w:r>
              <w:t xml:space="preserve"> 01.00;010;010;010</w:t>
            </w:r>
            <w:r w:rsidR="00D04858">
              <w:rPr>
                <w:spacing w:val="-2"/>
                <w:w w:val="95"/>
                <w:lang w:val="en-GB"/>
              </w:rPr>
              <w:t>}</w:t>
            </w:r>
          </w:p>
        </w:tc>
      </w:tr>
      <w:tr w:rsidR="00393915" w14:paraId="7FE1B5C5" w14:textId="77777777">
        <w:tc>
          <w:tcPr>
            <w:tcW w:w="905" w:type="dxa"/>
            <w:tcBorders>
              <w:top w:val="single" w:sz="4" w:space="0" w:color="1A171C"/>
              <w:left w:val="nil"/>
              <w:bottom w:val="single" w:sz="4" w:space="0" w:color="1A171C"/>
              <w:right w:val="single" w:sz="4" w:space="0" w:color="1A171C"/>
            </w:tcBorders>
            <w:vAlign w:val="center"/>
          </w:tcPr>
          <w:p w14:paraId="7FE1B5C1" w14:textId="77777777" w:rsidR="00393915" w:rsidRDefault="00F24D68">
            <w:pPr>
              <w:pStyle w:val="P68B1DB1-TableParagraph13"/>
              <w:spacing w:before="106"/>
              <w:ind w:left="-1"/>
            </w:pPr>
            <w:r>
              <w:t>0510</w:t>
            </w:r>
          </w:p>
        </w:tc>
        <w:tc>
          <w:tcPr>
            <w:tcW w:w="8121" w:type="dxa"/>
            <w:tcBorders>
              <w:top w:val="single" w:sz="4" w:space="0" w:color="1A171C"/>
              <w:left w:val="single" w:sz="4" w:space="0" w:color="1A171C"/>
              <w:bottom w:val="single" w:sz="4" w:space="0" w:color="1A171C"/>
              <w:right w:val="nil"/>
            </w:tcBorders>
            <w:vAlign w:val="center"/>
          </w:tcPr>
          <w:p w14:paraId="7FE1B5C2" w14:textId="77777777" w:rsidR="00393915" w:rsidRDefault="00F24D68">
            <w:pPr>
              <w:pStyle w:val="P68B1DB1-TableParagraph14"/>
              <w:spacing w:before="108"/>
              <w:ind w:left="85"/>
              <w:jc w:val="both"/>
              <w:rPr>
                <w:bCs/>
              </w:rPr>
            </w:pPr>
            <w:r>
              <w:t>Redovni osnovni kapital</w:t>
            </w:r>
          </w:p>
          <w:p w14:paraId="7FE1B5C3" w14:textId="77777777" w:rsidR="00393915" w:rsidRDefault="00F24D68">
            <w:pPr>
              <w:pStyle w:val="P68B1DB1-TableParagraph17"/>
              <w:spacing w:before="108"/>
              <w:ind w:left="85"/>
              <w:jc w:val="both"/>
            </w:pPr>
            <w:r>
              <w:t>Članak 50. Uredbe (EU) br. 575/2013</w:t>
            </w:r>
          </w:p>
          <w:p w14:paraId="7FE1B5C4" w14:textId="234BCB98" w:rsidR="00393915" w:rsidRDefault="00F24D68">
            <w:pPr>
              <w:pStyle w:val="P68B1DB1-TableParagraph17"/>
              <w:spacing w:before="108"/>
              <w:ind w:left="85"/>
              <w:jc w:val="both"/>
              <w:rPr>
                <w:b/>
                <w:bCs/>
              </w:rPr>
            </w:pPr>
            <w:r>
              <w:t xml:space="preserve">Ista definicija kao i za COREP (OF): </w:t>
            </w:r>
            <w:r w:rsidR="00D04858">
              <w:rPr>
                <w:spacing w:val="-2"/>
                <w:w w:val="95"/>
                <w:lang w:val="en-GB"/>
              </w:rPr>
              <w:t>{</w:t>
            </w:r>
            <w:r>
              <w:t>C</w:t>
            </w:r>
            <w:r>
              <w:t xml:space="preserve"> 01.00;020;010</w:t>
            </w:r>
            <w:r w:rsidR="00D04858">
              <w:rPr>
                <w:spacing w:val="-2"/>
                <w:w w:val="95"/>
                <w:lang w:val="en-GB"/>
              </w:rPr>
              <w:t>}</w:t>
            </w:r>
          </w:p>
        </w:tc>
      </w:tr>
      <w:tr w:rsidR="00393915" w14:paraId="7FE1B5CA" w14:textId="77777777">
        <w:tc>
          <w:tcPr>
            <w:tcW w:w="905" w:type="dxa"/>
            <w:tcBorders>
              <w:top w:val="single" w:sz="4" w:space="0" w:color="1A171C"/>
              <w:left w:val="nil"/>
              <w:bottom w:val="single" w:sz="4" w:space="0" w:color="1A171C"/>
              <w:right w:val="single" w:sz="4" w:space="0" w:color="1A171C"/>
            </w:tcBorders>
            <w:vAlign w:val="center"/>
          </w:tcPr>
          <w:p w14:paraId="7FE1B5C6" w14:textId="77777777" w:rsidR="00393915" w:rsidRDefault="00F24D68">
            <w:pPr>
              <w:pStyle w:val="P68B1DB1-TableParagraph13"/>
              <w:spacing w:before="106"/>
              <w:ind w:left="-1"/>
            </w:pPr>
            <w:r>
              <w:t>0511</w:t>
            </w:r>
          </w:p>
        </w:tc>
        <w:tc>
          <w:tcPr>
            <w:tcW w:w="8121" w:type="dxa"/>
            <w:tcBorders>
              <w:top w:val="single" w:sz="4" w:space="0" w:color="1A171C"/>
              <w:left w:val="single" w:sz="4" w:space="0" w:color="1A171C"/>
              <w:bottom w:val="single" w:sz="4" w:space="0" w:color="1A171C"/>
              <w:right w:val="nil"/>
            </w:tcBorders>
            <w:vAlign w:val="center"/>
          </w:tcPr>
          <w:p w14:paraId="7FE1B5C7" w14:textId="77777777" w:rsidR="00393915" w:rsidRDefault="00F24D68">
            <w:pPr>
              <w:pStyle w:val="P68B1DB1-TableParagraph14"/>
              <w:spacing w:before="108"/>
              <w:ind w:left="85"/>
              <w:jc w:val="both"/>
              <w:rPr>
                <w:bCs/>
              </w:rPr>
            </w:pPr>
            <w:r>
              <w:t>Od čega: instrumenti kapitala/dionički kapital</w:t>
            </w:r>
          </w:p>
          <w:p w14:paraId="7FE1B5C8" w14:textId="77777777" w:rsidR="00393915" w:rsidRDefault="00F24D68">
            <w:pPr>
              <w:pStyle w:val="P68B1DB1-TableParagraph17"/>
              <w:spacing w:before="108"/>
              <w:ind w:left="85"/>
              <w:jc w:val="both"/>
            </w:pPr>
            <w:r>
              <w:t>Pravni instrumenti koji čine redovni osnovni kapital (ili njegov dio) u obliku instrumenata kapitala/dioničkog kapitala.</w:t>
            </w:r>
          </w:p>
          <w:p w14:paraId="7FE1B5C9" w14:textId="00DDAEA0" w:rsidR="00393915" w:rsidRDefault="00F24D68">
            <w:pPr>
              <w:pStyle w:val="P68B1DB1-TableParagraph13"/>
              <w:spacing w:before="108"/>
              <w:ind w:left="85"/>
              <w:jc w:val="both"/>
            </w:pPr>
            <w:r>
              <w:t>Knjigovodstvena vrijednost (FINREP F01.03</w:t>
            </w:r>
            <w:r>
              <w:t>–</w:t>
            </w:r>
            <w:r>
              <w:t>020</w:t>
            </w:r>
            <w:r>
              <w:t>–</w:t>
            </w:r>
            <w:r>
              <w:t>010 + F01.03</w:t>
            </w:r>
            <w:r>
              <w:t>–</w:t>
            </w:r>
            <w:r>
              <w:t>040</w:t>
            </w:r>
            <w:r>
              <w:t>–</w:t>
            </w:r>
            <w:r>
              <w:t>010) smatra se nominalnom vrijednošću instrumenata, dok nepodmireni iznos predstavlja preostalo potraživanje dionica u ukupnom računovodstvenom kapitalu, tj. uključujući rezerve subjekta/grupe.</w:t>
            </w:r>
          </w:p>
        </w:tc>
      </w:tr>
      <w:tr w:rsidR="00393915" w14:paraId="7FE1B5CE" w14:textId="77777777">
        <w:tc>
          <w:tcPr>
            <w:tcW w:w="905" w:type="dxa"/>
            <w:tcBorders>
              <w:top w:val="single" w:sz="4" w:space="0" w:color="1A171C"/>
              <w:left w:val="nil"/>
              <w:bottom w:val="single" w:sz="4" w:space="0" w:color="1A171C"/>
              <w:right w:val="single" w:sz="4" w:space="0" w:color="1A171C"/>
            </w:tcBorders>
            <w:vAlign w:val="center"/>
          </w:tcPr>
          <w:p w14:paraId="7FE1B5CB" w14:textId="77777777" w:rsidR="00393915" w:rsidRDefault="00F24D68">
            <w:pPr>
              <w:pStyle w:val="P68B1DB1-TableParagraph13"/>
              <w:spacing w:before="106"/>
              <w:ind w:left="-1"/>
            </w:pPr>
            <w:r>
              <w:t>0512</w:t>
            </w:r>
          </w:p>
        </w:tc>
        <w:tc>
          <w:tcPr>
            <w:tcW w:w="8121" w:type="dxa"/>
            <w:tcBorders>
              <w:top w:val="single" w:sz="4" w:space="0" w:color="1A171C"/>
              <w:left w:val="single" w:sz="4" w:space="0" w:color="1A171C"/>
              <w:bottom w:val="single" w:sz="4" w:space="0" w:color="1A171C"/>
              <w:right w:val="nil"/>
            </w:tcBorders>
            <w:vAlign w:val="center"/>
          </w:tcPr>
          <w:p w14:paraId="7FE1B5CC" w14:textId="77777777" w:rsidR="00393915" w:rsidRDefault="00F24D68">
            <w:pPr>
              <w:pStyle w:val="P68B1DB1-TableParagraph14"/>
              <w:spacing w:before="108"/>
              <w:ind w:left="85"/>
              <w:jc w:val="both"/>
              <w:rPr>
                <w:bCs/>
              </w:rPr>
            </w:pPr>
            <w:r>
              <w:t>Od čega: instrumenti koji su jednako rangirani kao redovne dionice</w:t>
            </w:r>
          </w:p>
          <w:p w14:paraId="7FE1B5CD" w14:textId="5380E480" w:rsidR="00393915" w:rsidRDefault="00F24D68">
            <w:pPr>
              <w:pStyle w:val="TableParagraph"/>
              <w:spacing w:before="108"/>
              <w:ind w:left="85"/>
              <w:jc w:val="both"/>
              <w:rPr>
                <w:rFonts w:ascii="Times New Roman" w:hAnsi="Times New Roman" w:cs="Times New Roman"/>
                <w:b/>
                <w:bCs/>
                <w:color w:val="000000" w:themeColor="text1"/>
                <w:sz w:val="20"/>
                <w:szCs w:val="20"/>
              </w:rPr>
            </w:pPr>
            <w:r>
              <w:rPr>
                <w:rFonts w:ascii="Times New Roman" w:eastAsia="Cambria" w:hAnsi="Times New Roman" w:cs="Times New Roman"/>
                <w:color w:val="000000" w:themeColor="text1"/>
                <w:sz w:val="20"/>
                <w:szCs w:val="20"/>
              </w:rPr>
              <w:t>Pravni instrumenti koji čine redovni osnovni kapital (ili njegov dio) u obliku instrumenata koji nisu instrumenti kapitala/dionički kapital, ali su jednako rangirani kao ta kategorija.</w:t>
            </w:r>
            <w:r>
              <w:rPr>
                <w:rFonts w:ascii="Times New Roman" w:hAnsi="Times New Roman" w:cs="Times New Roman"/>
              </w:rPr>
              <w:t xml:space="preserve"> </w:t>
            </w:r>
            <w:bookmarkStart w:id="58" w:name="_Hlk170122776"/>
            <w:r>
              <w:rPr>
                <w:rFonts w:ascii="Times New Roman" w:eastAsia="Cambria" w:hAnsi="Times New Roman" w:cs="Times New Roman"/>
                <w:color w:val="000000" w:themeColor="text1"/>
                <w:sz w:val="20"/>
                <w:szCs w:val="20"/>
              </w:rPr>
              <w:t xml:space="preserve">Zadržana dobit i </w:t>
            </w:r>
            <w:r w:rsidR="00D04858">
              <w:rPr>
                <w:rFonts w:ascii="Times New Roman" w:eastAsia="Cambria" w:hAnsi="Times New Roman" w:cs="Times New Roman"/>
                <w:color w:val="000000" w:themeColor="text1"/>
                <w:sz w:val="20"/>
                <w:szCs w:val="20"/>
              </w:rPr>
              <w:t>rezerve</w:t>
            </w:r>
            <w:r>
              <w:rPr>
                <w:rFonts w:ascii="Times New Roman" w:eastAsia="Cambria" w:hAnsi="Times New Roman" w:cs="Times New Roman"/>
                <w:color w:val="000000" w:themeColor="text1"/>
                <w:sz w:val="20"/>
                <w:szCs w:val="20"/>
              </w:rPr>
              <w:t xml:space="preserve"> ne iskazuju se u ovom retku.</w:t>
            </w:r>
            <w:bookmarkEnd w:id="58"/>
          </w:p>
        </w:tc>
      </w:tr>
      <w:tr w:rsidR="00393915" w14:paraId="7FE1B5D3" w14:textId="77777777">
        <w:tc>
          <w:tcPr>
            <w:tcW w:w="905" w:type="dxa"/>
            <w:tcBorders>
              <w:top w:val="single" w:sz="4" w:space="0" w:color="1A171C"/>
              <w:left w:val="nil"/>
              <w:bottom w:val="single" w:sz="4" w:space="0" w:color="1A171C"/>
              <w:right w:val="single" w:sz="4" w:space="0" w:color="1A171C"/>
            </w:tcBorders>
            <w:vAlign w:val="center"/>
          </w:tcPr>
          <w:p w14:paraId="7FE1B5CF" w14:textId="77777777" w:rsidR="00393915" w:rsidRDefault="00F24D68">
            <w:pPr>
              <w:pStyle w:val="P68B1DB1-TableParagraph13"/>
              <w:spacing w:before="106"/>
              <w:ind w:left="-1"/>
            </w:pPr>
            <w:r>
              <w:t>0520</w:t>
            </w:r>
          </w:p>
        </w:tc>
        <w:tc>
          <w:tcPr>
            <w:tcW w:w="8121" w:type="dxa"/>
            <w:tcBorders>
              <w:top w:val="single" w:sz="4" w:space="0" w:color="1A171C"/>
              <w:left w:val="single" w:sz="4" w:space="0" w:color="1A171C"/>
              <w:bottom w:val="single" w:sz="4" w:space="0" w:color="1A171C"/>
              <w:right w:val="nil"/>
            </w:tcBorders>
            <w:vAlign w:val="center"/>
          </w:tcPr>
          <w:p w14:paraId="7FE1B5D0" w14:textId="77777777" w:rsidR="00393915" w:rsidRDefault="00F24D68">
            <w:pPr>
              <w:pStyle w:val="P68B1DB1-TableParagraph14"/>
              <w:spacing w:before="108"/>
              <w:ind w:left="85"/>
              <w:jc w:val="both"/>
              <w:rPr>
                <w:bCs/>
              </w:rPr>
            </w:pPr>
            <w:r>
              <w:t>Dodatni osnovni kapital</w:t>
            </w:r>
          </w:p>
          <w:p w14:paraId="7FE1B5D1" w14:textId="77777777" w:rsidR="00393915" w:rsidRDefault="00F24D68">
            <w:pPr>
              <w:pStyle w:val="P68B1DB1-TableParagraph17"/>
              <w:spacing w:before="108"/>
              <w:ind w:left="85"/>
              <w:jc w:val="both"/>
            </w:pPr>
            <w:r>
              <w:t>Članak 61. Uredbe (EU) br. 575/2013</w:t>
            </w:r>
          </w:p>
          <w:p w14:paraId="7FE1B5D2" w14:textId="47A411F3" w:rsidR="00393915" w:rsidRDefault="00F24D68">
            <w:pPr>
              <w:pStyle w:val="P68B1DB1-TableParagraph17"/>
              <w:spacing w:before="108"/>
              <w:ind w:left="85"/>
              <w:jc w:val="both"/>
              <w:rPr>
                <w:b/>
                <w:bCs/>
              </w:rPr>
            </w:pPr>
            <w:r>
              <w:lastRenderedPageBreak/>
              <w:t xml:space="preserve">Ista definicija kao i za COREP (OF): </w:t>
            </w:r>
            <w:r w:rsidR="00D04858">
              <w:rPr>
                <w:spacing w:val="-2"/>
                <w:w w:val="95"/>
                <w:lang w:val="en-GB"/>
              </w:rPr>
              <w:t>{</w:t>
            </w:r>
            <w:r>
              <w:t>C</w:t>
            </w:r>
            <w:r>
              <w:t xml:space="preserve"> 01.00;530;010</w:t>
            </w:r>
            <w:r w:rsidR="00D04858">
              <w:rPr>
                <w:spacing w:val="-2"/>
                <w:w w:val="95"/>
                <w:lang w:val="en-GB"/>
              </w:rPr>
              <w:t>}</w:t>
            </w:r>
          </w:p>
        </w:tc>
      </w:tr>
      <w:tr w:rsidR="00393915" w14:paraId="7FE1B5D7" w14:textId="77777777">
        <w:tc>
          <w:tcPr>
            <w:tcW w:w="905" w:type="dxa"/>
            <w:tcBorders>
              <w:top w:val="single" w:sz="4" w:space="0" w:color="1A171C"/>
              <w:left w:val="nil"/>
              <w:bottom w:val="single" w:sz="4" w:space="0" w:color="1A171C"/>
              <w:right w:val="single" w:sz="4" w:space="0" w:color="1A171C"/>
            </w:tcBorders>
            <w:vAlign w:val="center"/>
          </w:tcPr>
          <w:p w14:paraId="7FE1B5D4" w14:textId="77777777" w:rsidR="00393915" w:rsidRDefault="00F24D68">
            <w:pPr>
              <w:pStyle w:val="P68B1DB1-TableParagraph13"/>
              <w:spacing w:before="106"/>
              <w:ind w:left="-1"/>
            </w:pPr>
            <w:r>
              <w:lastRenderedPageBreak/>
              <w:t>0521</w:t>
            </w:r>
          </w:p>
        </w:tc>
        <w:tc>
          <w:tcPr>
            <w:tcW w:w="8121" w:type="dxa"/>
            <w:tcBorders>
              <w:top w:val="single" w:sz="4" w:space="0" w:color="1A171C"/>
              <w:left w:val="single" w:sz="4" w:space="0" w:color="1A171C"/>
              <w:bottom w:val="single" w:sz="4" w:space="0" w:color="1A171C"/>
              <w:right w:val="nil"/>
            </w:tcBorders>
            <w:vAlign w:val="center"/>
          </w:tcPr>
          <w:p w14:paraId="7FE1B5D5" w14:textId="77777777" w:rsidR="00393915" w:rsidRDefault="00F24D68">
            <w:pPr>
              <w:pStyle w:val="P68B1DB1-TableParagraph14"/>
              <w:spacing w:before="108"/>
              <w:ind w:left="85"/>
              <w:jc w:val="both"/>
              <w:rPr>
                <w:bCs/>
              </w:rPr>
            </w:pPr>
            <w:r>
              <w:t>Od čega: podređene obveze (ili njihov dio) koje su priznate kao regulatorni kapital</w:t>
            </w:r>
          </w:p>
          <w:p w14:paraId="7FE1B5D6" w14:textId="77777777" w:rsidR="00393915" w:rsidRDefault="00F24D68">
            <w:pPr>
              <w:pStyle w:val="P68B1DB1-TableParagraph17"/>
              <w:spacing w:before="108"/>
              <w:ind w:left="85"/>
              <w:jc w:val="both"/>
              <w:rPr>
                <w:b/>
                <w:bCs/>
              </w:rPr>
            </w:pPr>
            <w:r>
              <w:t>Pravni instrumenti koji čine dodatni osnovni kapital (ili njegov dio).</w:t>
            </w:r>
          </w:p>
        </w:tc>
      </w:tr>
      <w:tr w:rsidR="00393915" w14:paraId="7FE1B5DC" w14:textId="77777777">
        <w:tc>
          <w:tcPr>
            <w:tcW w:w="905" w:type="dxa"/>
            <w:tcBorders>
              <w:top w:val="single" w:sz="4" w:space="0" w:color="1A171C"/>
              <w:left w:val="nil"/>
              <w:bottom w:val="single" w:sz="4" w:space="0" w:color="1A171C"/>
              <w:right w:val="single" w:sz="4" w:space="0" w:color="1A171C"/>
            </w:tcBorders>
            <w:vAlign w:val="center"/>
          </w:tcPr>
          <w:p w14:paraId="7FE1B5D8" w14:textId="77777777" w:rsidR="00393915" w:rsidRDefault="00F24D68">
            <w:pPr>
              <w:pStyle w:val="P68B1DB1-TableParagraph13"/>
              <w:spacing w:before="106"/>
              <w:ind w:left="-1"/>
            </w:pPr>
            <w:r>
              <w:t>0530</w:t>
            </w:r>
          </w:p>
        </w:tc>
        <w:tc>
          <w:tcPr>
            <w:tcW w:w="8121" w:type="dxa"/>
            <w:tcBorders>
              <w:top w:val="single" w:sz="4" w:space="0" w:color="1A171C"/>
              <w:left w:val="single" w:sz="4" w:space="0" w:color="1A171C"/>
              <w:bottom w:val="single" w:sz="4" w:space="0" w:color="1A171C"/>
              <w:right w:val="nil"/>
            </w:tcBorders>
            <w:vAlign w:val="center"/>
          </w:tcPr>
          <w:p w14:paraId="7FE1B5D9" w14:textId="77777777" w:rsidR="00393915" w:rsidRDefault="00F24D68">
            <w:pPr>
              <w:pStyle w:val="P68B1DB1-TableParagraph14"/>
              <w:spacing w:before="108"/>
              <w:ind w:left="85"/>
              <w:jc w:val="both"/>
              <w:rPr>
                <w:bCs/>
              </w:rPr>
            </w:pPr>
            <w:r>
              <w:t>Dopunski kapital</w:t>
            </w:r>
          </w:p>
          <w:p w14:paraId="48A24EF4" w14:textId="5FDC7475" w:rsidR="00D222CD" w:rsidRDefault="00D222CD" w:rsidP="00D222CD">
            <w:pPr>
              <w:pStyle w:val="P68B1DB1-TableParagraph17"/>
              <w:spacing w:before="108"/>
              <w:ind w:left="85"/>
              <w:jc w:val="both"/>
            </w:pPr>
            <w:r>
              <w:t>Članak 71. Uredbe (EU) br. 575/2013</w:t>
            </w:r>
          </w:p>
          <w:p w14:paraId="7FE1B5DB" w14:textId="5B2580CD" w:rsidR="00393915" w:rsidRDefault="00F24D68">
            <w:pPr>
              <w:pStyle w:val="P68B1DB1-TableParagraph17"/>
              <w:spacing w:before="108"/>
              <w:ind w:left="85"/>
              <w:jc w:val="both"/>
              <w:rPr>
                <w:b/>
                <w:bCs/>
              </w:rPr>
            </w:pPr>
            <w:r>
              <w:t xml:space="preserve">Ista definicija kao i za COREP (OF): </w:t>
            </w:r>
            <w:r w:rsidR="00D222CD">
              <w:rPr>
                <w:spacing w:val="-2"/>
                <w:w w:val="95"/>
                <w:lang w:val="en-GB"/>
              </w:rPr>
              <w:t>{</w:t>
            </w:r>
            <w:r>
              <w:t>C</w:t>
            </w:r>
            <w:r>
              <w:t xml:space="preserve"> 01.00;750;010</w:t>
            </w:r>
            <w:r w:rsidR="00D222CD">
              <w:rPr>
                <w:spacing w:val="-2"/>
                <w:w w:val="95"/>
                <w:lang w:val="en-GB"/>
              </w:rPr>
              <w:t>}</w:t>
            </w:r>
          </w:p>
        </w:tc>
      </w:tr>
      <w:tr w:rsidR="00393915" w14:paraId="7FE1B5E0" w14:textId="77777777">
        <w:tc>
          <w:tcPr>
            <w:tcW w:w="905" w:type="dxa"/>
            <w:tcBorders>
              <w:top w:val="single" w:sz="4" w:space="0" w:color="1A171C"/>
              <w:left w:val="nil"/>
              <w:bottom w:val="single" w:sz="4" w:space="0" w:color="1A171C"/>
              <w:right w:val="single" w:sz="4" w:space="0" w:color="1A171C"/>
            </w:tcBorders>
            <w:vAlign w:val="center"/>
          </w:tcPr>
          <w:p w14:paraId="7FE1B5DD" w14:textId="77777777" w:rsidR="00393915" w:rsidRDefault="00F24D68">
            <w:pPr>
              <w:pStyle w:val="P68B1DB1-TableParagraph13"/>
              <w:spacing w:before="106"/>
              <w:ind w:left="-1"/>
            </w:pPr>
            <w:r>
              <w:t>0531</w:t>
            </w:r>
          </w:p>
        </w:tc>
        <w:tc>
          <w:tcPr>
            <w:tcW w:w="8121" w:type="dxa"/>
            <w:tcBorders>
              <w:top w:val="single" w:sz="4" w:space="0" w:color="1A171C"/>
              <w:left w:val="single" w:sz="4" w:space="0" w:color="1A171C"/>
              <w:bottom w:val="single" w:sz="4" w:space="0" w:color="1A171C"/>
              <w:right w:val="nil"/>
            </w:tcBorders>
            <w:vAlign w:val="center"/>
          </w:tcPr>
          <w:p w14:paraId="7FE1B5DE" w14:textId="77777777" w:rsidR="00393915" w:rsidRDefault="00F24D68">
            <w:pPr>
              <w:pStyle w:val="P68B1DB1-TableParagraph14"/>
              <w:spacing w:before="108"/>
              <w:ind w:left="85"/>
              <w:jc w:val="both"/>
              <w:rPr>
                <w:bCs/>
              </w:rPr>
            </w:pPr>
            <w:r>
              <w:t>Od čega: podređene obveze (ili njihov dio) koje su priznate kao regulatorni kapital</w:t>
            </w:r>
          </w:p>
          <w:p w14:paraId="7FE1B5DF" w14:textId="77777777" w:rsidR="00393915" w:rsidRDefault="00F24D68">
            <w:pPr>
              <w:pStyle w:val="P68B1DB1-TableParagraph17"/>
              <w:spacing w:before="108"/>
              <w:ind w:left="85"/>
              <w:jc w:val="both"/>
              <w:rPr>
                <w:b/>
                <w:bCs/>
              </w:rPr>
            </w:pPr>
            <w:r>
              <w:t>U ovoj raščlambi utvrđuju se pravni instrumenti koji čine dopunski kapital (ili njegov dio).</w:t>
            </w:r>
          </w:p>
        </w:tc>
      </w:tr>
      <w:tr w:rsidR="00393915" w14:paraId="7FE1B5E4" w14:textId="77777777">
        <w:tc>
          <w:tcPr>
            <w:tcW w:w="905" w:type="dxa"/>
            <w:tcBorders>
              <w:top w:val="single" w:sz="4" w:space="0" w:color="1A171C"/>
              <w:left w:val="nil"/>
              <w:bottom w:val="single" w:sz="4" w:space="0" w:color="1A171C"/>
              <w:right w:val="single" w:sz="4" w:space="0" w:color="1A171C"/>
            </w:tcBorders>
            <w:vAlign w:val="center"/>
          </w:tcPr>
          <w:p w14:paraId="7FE1B5E1" w14:textId="77777777" w:rsidR="00393915" w:rsidRDefault="00F24D68">
            <w:pPr>
              <w:pStyle w:val="P68B1DB1-TableParagraph13"/>
              <w:spacing w:before="106"/>
              <w:ind w:left="-1"/>
            </w:pPr>
            <w:r>
              <w:t>0600</w:t>
            </w:r>
          </w:p>
        </w:tc>
        <w:tc>
          <w:tcPr>
            <w:tcW w:w="8121" w:type="dxa"/>
            <w:tcBorders>
              <w:top w:val="single" w:sz="4" w:space="0" w:color="1A171C"/>
              <w:left w:val="single" w:sz="4" w:space="0" w:color="1A171C"/>
              <w:bottom w:val="single" w:sz="4" w:space="0" w:color="1A171C"/>
              <w:right w:val="nil"/>
            </w:tcBorders>
            <w:vAlign w:val="center"/>
          </w:tcPr>
          <w:p w14:paraId="7FE1B5E2" w14:textId="77777777" w:rsidR="00393915" w:rsidRDefault="00F24D68">
            <w:pPr>
              <w:pStyle w:val="P68B1DB1-TableParagraph14"/>
              <w:spacing w:before="108"/>
              <w:ind w:left="85"/>
              <w:jc w:val="both"/>
              <w:rPr>
                <w:bCs/>
              </w:rPr>
            </w:pPr>
            <w:r>
              <w:t>Ukupne obveze i regulatorni kapital uključujući obveze iz izvedenica</w:t>
            </w:r>
          </w:p>
          <w:p w14:paraId="7FE1B5E3" w14:textId="77777777" w:rsidR="00393915" w:rsidRDefault="00F24D68">
            <w:pPr>
              <w:pStyle w:val="P68B1DB1-TableParagraph17"/>
              <w:spacing w:before="108"/>
              <w:ind w:left="85"/>
              <w:jc w:val="both"/>
              <w:rPr>
                <w:b/>
                <w:bCs/>
              </w:rPr>
            </w:pPr>
            <w:r>
              <w:t>Zbroj svih obveza iskazanih u ovom predlošku i iznos regulatornog kapitala. U tu se svrhu zbrajaju svi iznosi iz prethodnih linija. S obzirom na izvedenice, koristi se vrijednost iz retka 0334 „Zbroj neto pozicija obveza uzimajući u obzir bonitetna pravila o netiranju”.</w:t>
            </w:r>
          </w:p>
        </w:tc>
      </w:tr>
      <w:tr w:rsidR="00393915" w14:paraId="7FE1B607" w14:textId="77777777">
        <w:tc>
          <w:tcPr>
            <w:tcW w:w="905" w:type="dxa"/>
            <w:tcBorders>
              <w:top w:val="single" w:sz="4" w:space="0" w:color="1A171C"/>
              <w:left w:val="nil"/>
              <w:bottom w:val="single" w:sz="4" w:space="0" w:color="1A171C"/>
              <w:right w:val="single" w:sz="4" w:space="0" w:color="1A171C"/>
            </w:tcBorders>
            <w:vAlign w:val="center"/>
          </w:tcPr>
          <w:p w14:paraId="7FE1B602" w14:textId="77777777" w:rsidR="00393915" w:rsidRDefault="00F24D68">
            <w:pPr>
              <w:pStyle w:val="P68B1DB1-TableParagraph13"/>
            </w:pPr>
            <w:r>
              <w:t>0800</w:t>
            </w:r>
          </w:p>
        </w:tc>
        <w:tc>
          <w:tcPr>
            <w:tcW w:w="8121" w:type="dxa"/>
            <w:tcBorders>
              <w:top w:val="single" w:sz="4" w:space="0" w:color="1A171C"/>
              <w:left w:val="single" w:sz="4" w:space="0" w:color="1A171C"/>
              <w:bottom w:val="single" w:sz="4" w:space="0" w:color="1A171C"/>
              <w:right w:val="nil"/>
            </w:tcBorders>
            <w:vAlign w:val="center"/>
          </w:tcPr>
          <w:p w14:paraId="7FE1B603" w14:textId="48CB2C3D" w:rsidR="00393915" w:rsidRDefault="00F24D68">
            <w:pPr>
              <w:pStyle w:val="P68B1DB1-TableParagraph14"/>
              <w:jc w:val="both"/>
              <w:rPr>
                <w:bCs/>
              </w:rPr>
            </w:pPr>
            <w:r>
              <w:t>Ukupn</w:t>
            </w:r>
            <w:r w:rsidR="000C63FA">
              <w:t>i</w:t>
            </w:r>
            <w:r>
              <w:t>kapital</w:t>
            </w:r>
          </w:p>
          <w:p w14:paraId="7FE1B604" w14:textId="77777777" w:rsidR="00393915" w:rsidRDefault="00F24D68">
            <w:pPr>
              <w:pStyle w:val="P68B1DB1-Normal21"/>
              <w:spacing w:line="276" w:lineRule="auto"/>
              <w:jc w:val="both"/>
            </w:pPr>
            <w:r>
              <w:t>(FINREP F01.03 – 300 – 010) za knjigovodstvenu vrijednost.</w:t>
            </w:r>
          </w:p>
          <w:p w14:paraId="7FE1B605" w14:textId="356CEBFD" w:rsidR="00393915" w:rsidRDefault="00F24D68">
            <w:pPr>
              <w:pStyle w:val="P68B1DB1-Normal21"/>
              <w:spacing w:line="276" w:lineRule="auto"/>
              <w:jc w:val="both"/>
            </w:pPr>
            <w:r>
              <w:t xml:space="preserve">Taj je ukupni iznos jednak </w:t>
            </w:r>
            <w:r>
              <w:t xml:space="preserve">ukupnomkapitalu </w:t>
            </w:r>
            <w:r w:rsidR="000C63FA">
              <w:t xml:space="preserve">u </w:t>
            </w:r>
            <w:r>
              <w:t>bilanc</w:t>
            </w:r>
            <w:r w:rsidR="000C63FA">
              <w:t>i</w:t>
            </w:r>
            <w:r>
              <w:t>.</w:t>
            </w:r>
          </w:p>
          <w:p w14:paraId="7FE1B606" w14:textId="77777777" w:rsidR="00393915" w:rsidRDefault="00393915">
            <w:pPr>
              <w:pStyle w:val="TableParagraph"/>
              <w:jc w:val="both"/>
              <w:rPr>
                <w:rFonts w:ascii="Times New Roman" w:hAnsi="Times New Roman" w:cs="Times New Roman"/>
                <w:b/>
                <w:bCs/>
                <w:color w:val="000000" w:themeColor="text1"/>
                <w:sz w:val="20"/>
                <w:szCs w:val="20"/>
              </w:rPr>
            </w:pPr>
          </w:p>
        </w:tc>
      </w:tr>
    </w:tbl>
    <w:p w14:paraId="7FE1B60E" w14:textId="77777777" w:rsidR="00393915" w:rsidRDefault="00393915">
      <w:pPr>
        <w:rPr>
          <w:rFonts w:ascii="Times New Roman" w:hAnsi="Times New Roman" w:cs="Times New Roman"/>
        </w:rPr>
      </w:pPr>
    </w:p>
    <w:p w14:paraId="7FE1B60F" w14:textId="2EA61BDB" w:rsidR="00393915" w:rsidRDefault="00F24D68">
      <w:pPr>
        <w:pStyle w:val="P68B1DB1-Instructionsberschrift25"/>
        <w:numPr>
          <w:ilvl w:val="1"/>
          <w:numId w:val="49"/>
        </w:numPr>
        <w:ind w:left="357" w:hanging="357"/>
      </w:pPr>
      <w:bookmarkStart w:id="59" w:name="_Toc492542323"/>
      <w:bookmarkStart w:id="60" w:name="_Toc81454181"/>
      <w:bookmarkStart w:id="61" w:name="_Toc208244799"/>
      <w:r>
        <w:t>Z 03.01 – Kapitalni zahtjevi – kreditne institucije (LIAB 2)</w:t>
      </w:r>
      <w:bookmarkEnd w:id="59"/>
      <w:bookmarkEnd w:id="60"/>
      <w:bookmarkEnd w:id="61"/>
    </w:p>
    <w:p w14:paraId="7FE1B610" w14:textId="77777777" w:rsidR="00393915" w:rsidRDefault="00F24D68">
      <w:pPr>
        <w:pStyle w:val="Instructionsberschrift3"/>
      </w:pPr>
      <w:r>
        <w:t>Opće napomene</w:t>
      </w:r>
    </w:p>
    <w:p w14:paraId="7FE1B611" w14:textId="77777777" w:rsidR="00393915" w:rsidRDefault="00F24D68">
      <w:pPr>
        <w:pStyle w:val="P68B1DB1-InstructionsText26"/>
        <w:numPr>
          <w:ilvl w:val="0"/>
          <w:numId w:val="232"/>
        </w:numPr>
        <w:spacing w:before="0"/>
      </w:pPr>
      <w:r>
        <w:t>Ovim predloškom prikupljaju se informacije o kapitalnim zahtjevima za subjekta ili grupu.</w:t>
      </w:r>
    </w:p>
    <w:p w14:paraId="7FE1B612" w14:textId="77777777" w:rsidR="00393915" w:rsidRDefault="00F24D68">
      <w:pPr>
        <w:pStyle w:val="P68B1DB1-InstructionsText26"/>
        <w:numPr>
          <w:ilvl w:val="0"/>
          <w:numId w:val="232"/>
        </w:numPr>
        <w:spacing w:before="0"/>
      </w:pPr>
      <w:r>
        <w:t>Sve iskazane informacije odražavaju kapitalne zahtjeve primjenjive na referentni izvještajni datum.</w:t>
      </w:r>
    </w:p>
    <w:p w14:paraId="7FE1B613" w14:textId="4DFC06F2" w:rsidR="00393915" w:rsidRDefault="00F24D68">
      <w:pPr>
        <w:pStyle w:val="P68B1DB1-InstructionsText26"/>
        <w:numPr>
          <w:ilvl w:val="0"/>
          <w:numId w:val="232"/>
        </w:numPr>
        <w:spacing w:before="0"/>
      </w:pPr>
      <w:r>
        <w:t>Iznimno, informacije o stopi ukupnog kapitalnog zahtjeva u okviru SREP-a (TSCR) iskazane u ovom predlošku</w:t>
      </w:r>
      <w:r w:rsidR="00BB6E23">
        <w:t xml:space="preserve"> </w:t>
      </w:r>
      <w:r w:rsidR="00BB6E23">
        <w:t>(redak 0030)</w:t>
      </w:r>
      <w:r>
        <w:t xml:space="preserve"> </w:t>
      </w:r>
      <w:r>
        <w:t>temelje se na posljednjoj dostupnoj službenoj odluci u okviru SREP-a koju je nadležno tijelo priopćilo do datuma dostave tog izvješća.</w:t>
      </w:r>
    </w:p>
    <w:p w14:paraId="7FE1B614" w14:textId="460171AA" w:rsidR="00393915" w:rsidRDefault="00F24D68">
      <w:pPr>
        <w:pStyle w:val="P68B1DB1-InstructionsText26"/>
        <w:numPr>
          <w:ilvl w:val="0"/>
          <w:numId w:val="232"/>
        </w:numPr>
        <w:spacing w:before="0"/>
      </w:pPr>
      <w:r>
        <w:t xml:space="preserve">Za izvješćivanje na konsolidiranoj ili pojedinačnoj osnovi, ako je subjekt te podatke već </w:t>
      </w:r>
      <w:r w:rsidR="00BB6E23">
        <w:t>izvijestio</w:t>
      </w:r>
      <w:r>
        <w:t xml:space="preserve"> u FINREP-u ili COREP-u za isti referentni datum i opseg izvješćivanja (vidjeti upućivanja na COREP/FINREP u uputama), izvještajni subjekt ne mora ponovno </w:t>
      </w:r>
      <w:r w:rsidR="00BB6E23">
        <w:t>izvijestiti te</w:t>
      </w:r>
      <w:r>
        <w:t xml:space="preserve"> </w:t>
      </w:r>
      <w:r w:rsidR="00BB6E23">
        <w:t xml:space="preserve">te </w:t>
      </w:r>
      <w:r>
        <w:t>podatak</w:t>
      </w:r>
      <w:r w:rsidR="00BB6E23">
        <w:t>e</w:t>
      </w:r>
      <w:r>
        <w:t>.</w:t>
      </w:r>
      <w:r>
        <w:t xml:space="preserve"> Podaci se iskazuju</w:t>
      </w:r>
      <w:r w:rsidR="00BB6E23">
        <w:t>, naprimjer,</w:t>
      </w:r>
      <w:r>
        <w:t xml:space="preserve"> samo ako je izvještajni subjekt izuzet od obveza financijskog ili bonitetnog izvješćivanja, </w:t>
      </w:r>
      <w:r w:rsidR="00BB6E23">
        <w:t xml:space="preserve">u </w:t>
      </w:r>
      <w:r w:rsidR="00BB6E23">
        <w:t xml:space="preserve">kojem </w:t>
      </w:r>
      <w:r>
        <w:t xml:space="preserve"> </w:t>
      </w:r>
      <w:r>
        <w:t xml:space="preserve"> slučaju</w:t>
      </w:r>
      <w:r w:rsidR="00BB6E23">
        <w:t xml:space="preserve"> </w:t>
      </w:r>
      <w:r w:rsidR="00BB6E23">
        <w:t>je</w:t>
      </w:r>
      <w:r>
        <w:t xml:space="preserve"> </w:t>
      </w:r>
      <w:r>
        <w:t xml:space="preserve">ovo izvješće jedini izvor </w:t>
      </w:r>
      <w:r w:rsidR="00BB6E23">
        <w:t xml:space="preserve">tih </w:t>
      </w:r>
      <w:r>
        <w:t>podataka za sanacijska tijela.</w:t>
      </w:r>
    </w:p>
    <w:p w14:paraId="7FE1B615" w14:textId="77777777" w:rsidR="00393915" w:rsidRDefault="00393915">
      <w:pPr>
        <w:pStyle w:val="InstructionsText2"/>
        <w:numPr>
          <w:ilvl w:val="0"/>
          <w:numId w:val="0"/>
        </w:numPr>
        <w:spacing w:before="0"/>
        <w:ind w:left="1440"/>
        <w:rPr>
          <w:rFonts w:ascii="Times New Roman" w:hAnsi="Times New Roman" w:cs="Times New Roman"/>
          <w:sz w:val="20"/>
          <w:szCs w:val="20"/>
        </w:rPr>
      </w:pPr>
    </w:p>
    <w:p w14:paraId="7FE1B61B" w14:textId="77777777" w:rsidR="00393915" w:rsidRDefault="00F24D68">
      <w:pPr>
        <w:pStyle w:val="Instructionsberschrift3"/>
      </w:pPr>
      <w:r>
        <w:t>Upute za specifične pozicije</w:t>
      </w:r>
    </w:p>
    <w:p w14:paraId="7FE1B61C" w14:textId="77777777" w:rsidR="00393915" w:rsidRDefault="00393915">
      <w:pPr>
        <w:pStyle w:val="Instructionsberschrift3"/>
        <w:numPr>
          <w:ilvl w:val="0"/>
          <w:numId w:val="0"/>
        </w:numPr>
      </w:pPr>
    </w:p>
    <w:tbl>
      <w:tblPr>
        <w:tblW w:w="0" w:type="auto"/>
        <w:tblCellMar>
          <w:top w:w="57" w:type="dxa"/>
          <w:left w:w="57" w:type="dxa"/>
          <w:bottom w:w="57" w:type="dxa"/>
          <w:right w:w="0" w:type="dxa"/>
        </w:tblCellMar>
        <w:tblLook w:val="01E0" w:firstRow="1" w:lastRow="1" w:firstColumn="1" w:lastColumn="1" w:noHBand="0" w:noVBand="0"/>
      </w:tblPr>
      <w:tblGrid>
        <w:gridCol w:w="856"/>
        <w:gridCol w:w="8170"/>
      </w:tblGrid>
      <w:tr w:rsidR="00393915" w14:paraId="7FE1B61F" w14:textId="77777777">
        <w:trPr>
          <w:tblHeader/>
        </w:trPr>
        <w:tc>
          <w:tcPr>
            <w:tcW w:w="856" w:type="dxa"/>
            <w:tcBorders>
              <w:top w:val="single" w:sz="4" w:space="0" w:color="1A171C"/>
              <w:left w:val="nil"/>
              <w:bottom w:val="single" w:sz="4" w:space="0" w:color="1A171C"/>
              <w:right w:val="single" w:sz="4" w:space="0" w:color="1A171C"/>
            </w:tcBorders>
            <w:shd w:val="clear" w:color="auto" w:fill="E4E5E5"/>
          </w:tcPr>
          <w:p w14:paraId="7FE1B61D" w14:textId="77777777" w:rsidR="00393915" w:rsidRDefault="00F24D68">
            <w:pPr>
              <w:pStyle w:val="P68B1DB1-TableParagraph13"/>
              <w:spacing w:before="66"/>
              <w:rPr>
                <w:rFonts w:eastAsia="Cambria"/>
              </w:rPr>
            </w:pPr>
            <w:r>
              <w:t>Redci</w:t>
            </w:r>
          </w:p>
        </w:tc>
        <w:tc>
          <w:tcPr>
            <w:tcW w:w="8170" w:type="dxa"/>
            <w:tcBorders>
              <w:top w:val="single" w:sz="4" w:space="0" w:color="1A171C"/>
              <w:left w:val="single" w:sz="4" w:space="0" w:color="1A171C"/>
              <w:bottom w:val="single" w:sz="4" w:space="0" w:color="1A171C"/>
              <w:right w:val="nil"/>
            </w:tcBorders>
            <w:shd w:val="clear" w:color="auto" w:fill="E4E5E5"/>
          </w:tcPr>
          <w:p w14:paraId="7FE1B61E" w14:textId="77777777" w:rsidR="00393915" w:rsidRDefault="00F24D68">
            <w:pPr>
              <w:pStyle w:val="P68B1DB1-TableParagraph13"/>
              <w:spacing w:before="66"/>
              <w:ind w:right="1"/>
              <w:jc w:val="center"/>
              <w:rPr>
                <w:rFonts w:eastAsia="Cambria"/>
              </w:rPr>
            </w:pPr>
            <w:r>
              <w:t>Upute</w:t>
            </w:r>
          </w:p>
        </w:tc>
      </w:tr>
      <w:tr w:rsidR="00393915" w14:paraId="7FE1B623" w14:textId="77777777">
        <w:tc>
          <w:tcPr>
            <w:tcW w:w="856" w:type="dxa"/>
            <w:tcBorders>
              <w:top w:val="single" w:sz="4" w:space="0" w:color="1A171C"/>
              <w:left w:val="nil"/>
              <w:bottom w:val="single" w:sz="4" w:space="0" w:color="1A171C"/>
              <w:right w:val="single" w:sz="4" w:space="0" w:color="1A171C"/>
            </w:tcBorders>
            <w:vAlign w:val="center"/>
          </w:tcPr>
          <w:p w14:paraId="7FE1B620" w14:textId="77777777" w:rsidR="00393915" w:rsidRDefault="00F24D68">
            <w:pPr>
              <w:pStyle w:val="P68B1DB1-TableParagraph13"/>
              <w:spacing w:before="106"/>
              <w:ind w:left="-1"/>
              <w:rPr>
                <w:rFonts w:eastAsia="Cambria"/>
                <w:b/>
              </w:rPr>
            </w:pPr>
            <w:r>
              <w:t>0100</w:t>
            </w:r>
          </w:p>
        </w:tc>
        <w:tc>
          <w:tcPr>
            <w:tcW w:w="8170" w:type="dxa"/>
            <w:tcBorders>
              <w:top w:val="single" w:sz="4" w:space="0" w:color="1A171C"/>
              <w:left w:val="single" w:sz="4" w:space="0" w:color="1A171C"/>
              <w:bottom w:val="single" w:sz="4" w:space="0" w:color="1A171C"/>
              <w:right w:val="nil"/>
            </w:tcBorders>
            <w:vAlign w:val="center"/>
          </w:tcPr>
          <w:p w14:paraId="7FE1B621" w14:textId="77777777" w:rsidR="00393915" w:rsidRDefault="00F24D68">
            <w:pPr>
              <w:pStyle w:val="P68B1DB1-TableParagraph14"/>
              <w:spacing w:before="108"/>
              <w:rPr>
                <w:bCs/>
              </w:rPr>
            </w:pPr>
            <w:r>
              <w:t>Ukupan iznos izloženosti riziku</w:t>
            </w:r>
          </w:p>
          <w:p w14:paraId="7FE1B622" w14:textId="77777777" w:rsidR="00393915" w:rsidRDefault="00F24D68">
            <w:pPr>
              <w:pStyle w:val="P68B1DB1-TableParagraph17"/>
              <w:spacing w:before="108"/>
            </w:pPr>
            <w:r>
              <w:lastRenderedPageBreak/>
              <w:t>Iznos koji se navodi u točki (a) članka 45. stavka 2. Direktive 2014/59/EU, izračunat u skladu s člankom 92. stavak 3. Uredbe (EU) br. 575/2013.</w:t>
            </w:r>
          </w:p>
        </w:tc>
      </w:tr>
      <w:tr w:rsidR="00393915" w14:paraId="7FE1B627" w14:textId="77777777">
        <w:tc>
          <w:tcPr>
            <w:tcW w:w="856" w:type="dxa"/>
            <w:tcBorders>
              <w:top w:val="single" w:sz="4" w:space="0" w:color="1A171C"/>
              <w:left w:val="nil"/>
              <w:bottom w:val="single" w:sz="4" w:space="0" w:color="1A171C"/>
              <w:right w:val="single" w:sz="4" w:space="0" w:color="1A171C"/>
            </w:tcBorders>
            <w:vAlign w:val="center"/>
          </w:tcPr>
          <w:p w14:paraId="7FE1B624" w14:textId="77777777" w:rsidR="00393915" w:rsidRDefault="00F24D68">
            <w:pPr>
              <w:pStyle w:val="P68B1DB1-TableParagraph13"/>
              <w:spacing w:before="106"/>
              <w:ind w:left="-1"/>
            </w:pPr>
            <w:r>
              <w:lastRenderedPageBreak/>
              <w:t>0120</w:t>
            </w:r>
          </w:p>
        </w:tc>
        <w:tc>
          <w:tcPr>
            <w:tcW w:w="8170" w:type="dxa"/>
            <w:tcBorders>
              <w:top w:val="single" w:sz="4" w:space="0" w:color="1A171C"/>
              <w:left w:val="single" w:sz="4" w:space="0" w:color="1A171C"/>
              <w:bottom w:val="single" w:sz="4" w:space="0" w:color="1A171C"/>
              <w:right w:val="nil"/>
            </w:tcBorders>
            <w:vAlign w:val="center"/>
          </w:tcPr>
          <w:p w14:paraId="7FE1B625" w14:textId="77777777" w:rsidR="00393915" w:rsidRDefault="00F24D68">
            <w:pPr>
              <w:pStyle w:val="P68B1DB1-TableParagraph14"/>
              <w:spacing w:before="108"/>
              <w:jc w:val="both"/>
              <w:rPr>
                <w:bCs/>
              </w:rPr>
            </w:pPr>
            <w:r>
              <w:t>Mjera ukupne izloženosti</w:t>
            </w:r>
          </w:p>
          <w:p w14:paraId="7FE1B626" w14:textId="77777777" w:rsidR="00393915" w:rsidRDefault="00F24D68">
            <w:pPr>
              <w:pStyle w:val="P68B1DB1-TableParagraph17"/>
              <w:spacing w:before="108"/>
              <w:jc w:val="both"/>
              <w:rPr>
                <w:b/>
                <w:bCs/>
              </w:rPr>
            </w:pPr>
            <w:r>
              <w:t>Iznos koji se odnosi na točku (b) članka 45. stavka 2. Direktive 2014/59/EU, koji se izračunava u skladu s člankom 429. stavkom 4. i člankom 429.a Uredbe (EU) br. 575/2013.</w:t>
            </w:r>
          </w:p>
        </w:tc>
      </w:tr>
      <w:tr w:rsidR="00393915" w14:paraId="7FE1B62A" w14:textId="77777777">
        <w:tc>
          <w:tcPr>
            <w:tcW w:w="856" w:type="dxa"/>
            <w:tcBorders>
              <w:top w:val="single" w:sz="4" w:space="0" w:color="1A171C"/>
              <w:left w:val="nil"/>
              <w:bottom w:val="single" w:sz="4" w:space="0" w:color="1A171C"/>
              <w:right w:val="single" w:sz="4" w:space="0" w:color="1A171C"/>
            </w:tcBorders>
            <w:vAlign w:val="center"/>
          </w:tcPr>
          <w:p w14:paraId="7FE1B628" w14:textId="77777777" w:rsidR="00393915" w:rsidRDefault="00F24D68">
            <w:pPr>
              <w:pStyle w:val="P68B1DB1-TableParagraph13"/>
              <w:spacing w:before="106"/>
              <w:ind w:left="-1"/>
            </w:pPr>
            <w:r>
              <w:t>0210 – 0220</w:t>
            </w:r>
          </w:p>
        </w:tc>
        <w:tc>
          <w:tcPr>
            <w:tcW w:w="8170" w:type="dxa"/>
            <w:tcBorders>
              <w:top w:val="single" w:sz="4" w:space="0" w:color="1A171C"/>
              <w:left w:val="single" w:sz="4" w:space="0" w:color="1A171C"/>
              <w:bottom w:val="single" w:sz="4" w:space="0" w:color="1A171C"/>
              <w:right w:val="nil"/>
            </w:tcBorders>
            <w:vAlign w:val="center"/>
          </w:tcPr>
          <w:p w14:paraId="7FE1B629" w14:textId="40726B77" w:rsidR="00393915" w:rsidRDefault="00F24D68">
            <w:pPr>
              <w:pStyle w:val="P68B1DB1-TableParagraph14"/>
              <w:spacing w:before="108"/>
              <w:jc w:val="both"/>
              <w:rPr>
                <w:bCs/>
              </w:rPr>
            </w:pPr>
            <w:r>
              <w:t xml:space="preserve">Zahtjevi u pogledu </w:t>
            </w:r>
            <w:r w:rsidR="00C6621C">
              <w:t>temeljnog</w:t>
            </w:r>
            <w:r>
              <w:t xml:space="preserve"> kapitala i omjera financijske poluge</w:t>
            </w:r>
          </w:p>
        </w:tc>
      </w:tr>
      <w:tr w:rsidR="00393915" w14:paraId="7FE1B62F" w14:textId="77777777">
        <w:tc>
          <w:tcPr>
            <w:tcW w:w="856" w:type="dxa"/>
            <w:tcBorders>
              <w:top w:val="single" w:sz="4" w:space="0" w:color="1A171C"/>
              <w:left w:val="nil"/>
              <w:bottom w:val="single" w:sz="4" w:space="0" w:color="1A171C"/>
              <w:right w:val="single" w:sz="4" w:space="0" w:color="1A171C"/>
            </w:tcBorders>
            <w:vAlign w:val="center"/>
          </w:tcPr>
          <w:p w14:paraId="7FE1B62B" w14:textId="77777777" w:rsidR="00393915" w:rsidRDefault="00F24D68">
            <w:pPr>
              <w:pStyle w:val="P68B1DB1-TableParagraph13"/>
              <w:spacing w:before="106"/>
              <w:ind w:left="-1"/>
            </w:pPr>
            <w:r>
              <w:t>0210</w:t>
            </w:r>
          </w:p>
        </w:tc>
        <w:tc>
          <w:tcPr>
            <w:tcW w:w="8170" w:type="dxa"/>
            <w:tcBorders>
              <w:top w:val="single" w:sz="4" w:space="0" w:color="1A171C"/>
              <w:left w:val="single" w:sz="4" w:space="0" w:color="1A171C"/>
              <w:bottom w:val="single" w:sz="4" w:space="0" w:color="1A171C"/>
              <w:right w:val="nil"/>
            </w:tcBorders>
            <w:vAlign w:val="center"/>
          </w:tcPr>
          <w:p w14:paraId="7FE1B62C" w14:textId="77777777" w:rsidR="00393915" w:rsidRDefault="00F24D68">
            <w:pPr>
              <w:pStyle w:val="P68B1DB1-TableParagraph14"/>
              <w:spacing w:before="108"/>
              <w:jc w:val="both"/>
              <w:rPr>
                <w:bCs/>
              </w:rPr>
            </w:pPr>
            <w:r>
              <w:t>Temeljni kapital</w:t>
            </w:r>
          </w:p>
          <w:p w14:paraId="7FE1B62D" w14:textId="77777777" w:rsidR="00393915" w:rsidRDefault="00F24D68">
            <w:pPr>
              <w:pStyle w:val="P68B1DB1-TableParagraph17"/>
              <w:spacing w:before="108"/>
              <w:jc w:val="both"/>
            </w:pPr>
            <w:r>
              <w:t>Iznos naveden u članku 12. Direktive 2013/36/EU, članku 93. Uredbe (EU) br. 575/2013.</w:t>
            </w:r>
          </w:p>
          <w:p w14:paraId="7FE1B62E" w14:textId="00917AE4" w:rsidR="00393915" w:rsidRDefault="00F24D68">
            <w:pPr>
              <w:pStyle w:val="P68B1DB1-TableParagraph17"/>
              <w:spacing w:before="108"/>
              <w:jc w:val="both"/>
              <w:rPr>
                <w:b/>
                <w:bCs/>
              </w:rPr>
            </w:pPr>
            <w:r>
              <w:t xml:space="preserve">Iznos </w:t>
            </w:r>
            <w:r w:rsidR="00C6621C">
              <w:t>temeljnog</w:t>
            </w:r>
            <w:r>
              <w:t xml:space="preserve"> kapitala koji je potreban kao preduvjet za dobivanje odobrenja za početak rada institucije.</w:t>
            </w:r>
          </w:p>
        </w:tc>
      </w:tr>
      <w:tr w:rsidR="00393915" w14:paraId="7FE1B633" w14:textId="77777777">
        <w:tc>
          <w:tcPr>
            <w:tcW w:w="856" w:type="dxa"/>
            <w:tcBorders>
              <w:top w:val="single" w:sz="4" w:space="0" w:color="1A171C"/>
              <w:left w:val="nil"/>
              <w:bottom w:val="single" w:sz="4" w:space="0" w:color="1A171C"/>
              <w:right w:val="single" w:sz="4" w:space="0" w:color="1A171C"/>
            </w:tcBorders>
            <w:vAlign w:val="center"/>
          </w:tcPr>
          <w:p w14:paraId="7FE1B630" w14:textId="77777777" w:rsidR="00393915" w:rsidRDefault="00F24D68">
            <w:pPr>
              <w:pStyle w:val="P68B1DB1-TableParagraph13"/>
              <w:spacing w:before="106"/>
              <w:ind w:left="-1"/>
            </w:pPr>
            <w:r>
              <w:t>0220</w:t>
            </w:r>
          </w:p>
        </w:tc>
        <w:tc>
          <w:tcPr>
            <w:tcW w:w="8170" w:type="dxa"/>
            <w:tcBorders>
              <w:top w:val="single" w:sz="4" w:space="0" w:color="1A171C"/>
              <w:left w:val="single" w:sz="4" w:space="0" w:color="1A171C"/>
              <w:bottom w:val="single" w:sz="4" w:space="0" w:color="1A171C"/>
              <w:right w:val="nil"/>
            </w:tcBorders>
            <w:vAlign w:val="center"/>
          </w:tcPr>
          <w:p w14:paraId="7FE1B631" w14:textId="77777777" w:rsidR="00393915" w:rsidRDefault="00F24D68">
            <w:pPr>
              <w:pStyle w:val="P68B1DB1-TableParagraph14"/>
              <w:spacing w:before="108"/>
              <w:jc w:val="both"/>
              <w:rPr>
                <w:bCs/>
              </w:rPr>
            </w:pPr>
            <w:r>
              <w:t>Zahtjev u pogledu omjera financijske poluge</w:t>
            </w:r>
          </w:p>
          <w:p w14:paraId="7FE1B632" w14:textId="51047EFF" w:rsidR="00393915" w:rsidRDefault="00F24D68">
            <w:pPr>
              <w:pStyle w:val="P68B1DB1-TableParagraph13"/>
              <w:spacing w:before="108"/>
              <w:jc w:val="both"/>
            </w:pPr>
            <w:r>
              <w:t xml:space="preserve">Zahtjev u pogledu omjera financijske poluge, isključujući zahtjev </w:t>
            </w:r>
            <w:r w:rsidR="007702C3">
              <w:t>utvrđen</w:t>
            </w:r>
            <w:r>
              <w:t xml:space="preserve"> u članku 92. </w:t>
            </w:r>
            <w:r>
              <w:t>stavk</w:t>
            </w:r>
            <w:r w:rsidR="007702C3">
              <w:t>u</w:t>
            </w:r>
            <w:r>
              <w:t xml:space="preserve"> 1a. Uredbe (EU) br. 575/2013, kako je primjenjiv na subjekt ili grupu, izražen kao postotak mjere ukupne izloženosti. Ako ne postoje nikakvi formalni zahtjevi, subjekti ovu rubriku ostavljaju praznom.</w:t>
            </w:r>
          </w:p>
        </w:tc>
      </w:tr>
      <w:tr w:rsidR="00393915" w14:paraId="7FE1B63D" w14:textId="77777777">
        <w:tc>
          <w:tcPr>
            <w:tcW w:w="856" w:type="dxa"/>
            <w:tcBorders>
              <w:top w:val="single" w:sz="4" w:space="0" w:color="1A171C"/>
              <w:left w:val="nil"/>
              <w:bottom w:val="single" w:sz="4" w:space="0" w:color="1A171C"/>
              <w:right w:val="single" w:sz="4" w:space="0" w:color="1A171C"/>
            </w:tcBorders>
            <w:vAlign w:val="center"/>
          </w:tcPr>
          <w:p w14:paraId="7FE1B634" w14:textId="77777777" w:rsidR="00393915" w:rsidRDefault="00F24D68">
            <w:pPr>
              <w:pStyle w:val="P68B1DB1-TableParagraph13"/>
              <w:spacing w:before="106"/>
              <w:ind w:left="-1"/>
            </w:pPr>
            <w:r>
              <w:t>0300</w:t>
            </w:r>
          </w:p>
        </w:tc>
        <w:tc>
          <w:tcPr>
            <w:tcW w:w="8170" w:type="dxa"/>
            <w:tcBorders>
              <w:top w:val="single" w:sz="4" w:space="0" w:color="1A171C"/>
              <w:left w:val="single" w:sz="4" w:space="0" w:color="1A171C"/>
              <w:bottom w:val="single" w:sz="4" w:space="0" w:color="1A171C"/>
              <w:right w:val="nil"/>
            </w:tcBorders>
            <w:vAlign w:val="center"/>
          </w:tcPr>
          <w:p w14:paraId="7FE1B635" w14:textId="77777777" w:rsidR="00393915" w:rsidRDefault="00F24D68">
            <w:pPr>
              <w:pStyle w:val="P68B1DB1-TableParagraph14"/>
              <w:spacing w:before="108"/>
              <w:jc w:val="both"/>
              <w:rPr>
                <w:bCs/>
              </w:rPr>
            </w:pPr>
            <w:r>
              <w:t xml:space="preserve">Stopa ukupnog kapitalnog zahtjeva u okviru postupka nadzorne provjere i ocjene (SREP) </w:t>
            </w:r>
          </w:p>
          <w:p w14:paraId="7FE1B636" w14:textId="3488E982" w:rsidR="00393915" w:rsidRDefault="00F24D68">
            <w:pPr>
              <w:pStyle w:val="P68B1DB1-TableParagraph13"/>
              <w:spacing w:before="108"/>
              <w:jc w:val="both"/>
            </w:pPr>
            <w:r>
              <w:t xml:space="preserve">COREP (OF): </w:t>
            </w:r>
            <w:r w:rsidR="007702C3" w:rsidRPr="002F61BB">
              <w:rPr>
                <w:lang w:val="en-GB"/>
              </w:rPr>
              <w:t>{</w:t>
            </w:r>
            <w:r>
              <w:t>C</w:t>
            </w:r>
            <w:r>
              <w:t xml:space="preserve"> 03.00;130;010</w:t>
            </w:r>
            <w:r w:rsidR="007702C3" w:rsidRPr="002F61BB">
              <w:rPr>
                <w:lang w:val="en-GB"/>
              </w:rPr>
              <w:t>}</w:t>
            </w:r>
          </w:p>
          <w:p w14:paraId="7FE1B637" w14:textId="6C8014E4" w:rsidR="00393915" w:rsidRDefault="00F24D68">
            <w:pPr>
              <w:pStyle w:val="P68B1DB1-InstructionsText22"/>
              <w:ind w:firstLine="0"/>
            </w:pPr>
            <w:r>
              <w:t xml:space="preserve">Zbroj točaka </w:t>
            </w:r>
            <w:r w:rsidR="007702C3">
              <w:t>(</w:t>
            </w:r>
            <w:r>
              <w:t>i</w:t>
            </w:r>
            <w:r w:rsidR="007702C3">
              <w:t>)</w:t>
            </w:r>
            <w:r>
              <w:t>.</w:t>
            </w:r>
            <w:r>
              <w:t xml:space="preserve"> i </w:t>
            </w:r>
            <w:r w:rsidR="007702C3">
              <w:t>(</w:t>
            </w:r>
            <w:r>
              <w:t>ii</w:t>
            </w:r>
            <w:r w:rsidR="007702C3">
              <w:t>)</w:t>
            </w:r>
            <w:r>
              <w:t>.</w:t>
            </w:r>
            <w:r>
              <w:t xml:space="preserve"> kako slijedi:</w:t>
            </w:r>
          </w:p>
          <w:p w14:paraId="7FE1B638" w14:textId="77777777" w:rsidR="00393915" w:rsidRDefault="00F24D68">
            <w:pPr>
              <w:pStyle w:val="P68B1DB1-InstructionsText22"/>
              <w:numPr>
                <w:ilvl w:val="3"/>
                <w:numId w:val="49"/>
              </w:numPr>
            </w:pPr>
            <w:r>
              <w:t xml:space="preserve">i. stopa ukupnog kapitala (8 %) kako je utvrđena u članku 92. stavku 1. točki (c) Uredbe (EU) br. 575/2013; </w:t>
            </w:r>
          </w:p>
          <w:p w14:paraId="7FE1B639" w14:textId="77777777" w:rsidR="00393915" w:rsidRDefault="00F24D68">
            <w:pPr>
              <w:pStyle w:val="P68B1DB1-InstructionsText22"/>
              <w:numPr>
                <w:ilvl w:val="3"/>
                <w:numId w:val="49"/>
              </w:numPr>
            </w:pPr>
            <w:r>
              <w:t xml:space="preserve">stopa dodatnih kapitalnih zahtjeva (zahtjevi iz stupa 2.) utvrđena u skladu s kriterijima navedenima u </w:t>
            </w:r>
            <w:r>
              <w:rPr>
                <w:i/>
              </w:rPr>
              <w:t xml:space="preserve">Smjernicama EBA-e o zajedničkim postupcima i metodologijama za postupak nadzorne provjere i ocjene i nadzorno testiranje otpornosti na stres </w:t>
            </w:r>
            <w:r>
              <w:t>(Smjernice EBA-e o SREP-u).</w:t>
            </w:r>
          </w:p>
          <w:p w14:paraId="7FE1B63A" w14:textId="1BF8952D" w:rsidR="00393915" w:rsidRDefault="00F24D68">
            <w:pPr>
              <w:pStyle w:val="P68B1DB1-InstructionsText22"/>
              <w:ind w:firstLine="0"/>
            </w:pPr>
            <w:r>
              <w:t xml:space="preserve">Ova stavka odražava </w:t>
            </w:r>
            <w:r>
              <w:t>posljednj</w:t>
            </w:r>
            <w:r w:rsidR="00F77853">
              <w:t>u</w:t>
            </w:r>
            <w:r>
              <w:t xml:space="preserve">, od datuma dostave, stopu ukupnog kapitalnog zahtjeva u okviru SREP-a (TSCR) o kojoj je nadležno tijelo obavijestilo instituciju, tj. za </w:t>
            </w:r>
            <w:r w:rsidR="00F77853">
              <w:t>izvješćivanje</w:t>
            </w:r>
            <w:r>
              <w:t xml:space="preserve"> s referentnim datumom 31. prosinca određene godine iskazuje se stopa P2R koja se primjenjuje u sljedećoj godini. Ukupni kapitalni zahtjev u okviru SREP-a definiran je u odjeljku 1.2 EBA-inih smjernica </w:t>
            </w:r>
            <w:r w:rsidR="00F77853">
              <w:t>o</w:t>
            </w:r>
            <w:r w:rsidR="00F77853">
              <w:t xml:space="preserve"> SREP</w:t>
            </w:r>
            <w:r w:rsidR="00F77853">
              <w:t>-u</w:t>
            </w:r>
            <w:r>
              <w:t>.</w:t>
            </w:r>
          </w:p>
          <w:p w14:paraId="7FE1B63B" w14:textId="35E4E0E5" w:rsidR="00393915" w:rsidRDefault="00F24D68">
            <w:pPr>
              <w:pStyle w:val="P68B1DB1-InstructionsText22"/>
              <w:ind w:firstLine="0"/>
            </w:pPr>
            <w:r>
              <w:t xml:space="preserve">Ako je izvještajni subjekt sanacijski subjekt na </w:t>
            </w:r>
            <w:r>
              <w:t>koj</w:t>
            </w:r>
            <w:r w:rsidR="00F77853">
              <w:t>eg</w:t>
            </w:r>
            <w:r>
              <w:t xml:space="preserve"> se na konsolidiranoj razini sanacijske grupe ne primjenjuje dodatni kapitalni zahtjev iz članka 104.a Direktive 2013/36/EU, očekuje se da će iskazana vrijednost </w:t>
            </w:r>
            <w:r w:rsidR="00F77853">
              <w:t>pod (</w:t>
            </w:r>
            <w:r>
              <w:t>ii</w:t>
            </w:r>
            <w:r>
              <w:t>.</w:t>
            </w:r>
            <w:r w:rsidR="00F77853">
              <w:t>)</w:t>
            </w:r>
            <w:r>
              <w:t xml:space="preserve"> biti rezultat procjene iz članka 1. Delegirane uredbe Komisije (EU) 2021/1118, </w:t>
            </w:r>
            <w:r w:rsidR="00F77853">
              <w:t xml:space="preserve">s time da </w:t>
            </w:r>
            <w:r>
              <w:t xml:space="preserve"> ju je izvještajni subjekt proveo preliminarno.</w:t>
            </w:r>
          </w:p>
          <w:p w14:paraId="7FE1B63C" w14:textId="656186AE" w:rsidR="00393915" w:rsidRDefault="00F24D68">
            <w:pPr>
              <w:pStyle w:val="P68B1DB1-TableParagraph13"/>
              <w:spacing w:before="108"/>
              <w:jc w:val="both"/>
              <w:rPr>
                <w:b/>
                <w:bCs/>
              </w:rPr>
            </w:pPr>
            <w:r>
              <w:t xml:space="preserve">Ako nadležno tijelo nije obavijestilo instituciju ni o kakvim dodatnim kapitalnim zahtjevima i ako se ne primjenjuje gornji paragraf, tada se </w:t>
            </w:r>
            <w:r w:rsidR="00182ED1">
              <w:t>izvještava</w:t>
            </w:r>
            <w:r>
              <w:t xml:space="preserve"> samo točka </w:t>
            </w:r>
            <w:r w:rsidR="00182ED1">
              <w:t>(</w:t>
            </w:r>
            <w:r>
              <w:t>i</w:t>
            </w:r>
            <w:r>
              <w:t>.</w:t>
            </w:r>
            <w:r w:rsidR="00182ED1">
              <w:t>).</w:t>
            </w:r>
          </w:p>
        </w:tc>
      </w:tr>
      <w:tr w:rsidR="00393915" w14:paraId="7FE1B643" w14:textId="77777777">
        <w:tc>
          <w:tcPr>
            <w:tcW w:w="856" w:type="dxa"/>
            <w:tcBorders>
              <w:top w:val="single" w:sz="4" w:space="0" w:color="1A171C"/>
              <w:left w:val="nil"/>
              <w:bottom w:val="single" w:sz="4" w:space="0" w:color="1A171C"/>
              <w:right w:val="single" w:sz="4" w:space="0" w:color="1A171C"/>
            </w:tcBorders>
            <w:vAlign w:val="center"/>
          </w:tcPr>
          <w:p w14:paraId="7FE1B63E" w14:textId="77777777" w:rsidR="00393915" w:rsidRDefault="00F24D68">
            <w:pPr>
              <w:pStyle w:val="P68B1DB1-TableParagraph13"/>
              <w:spacing w:before="106"/>
              <w:ind w:left="-1"/>
            </w:pPr>
            <w:r>
              <w:t>0400</w:t>
            </w:r>
          </w:p>
        </w:tc>
        <w:tc>
          <w:tcPr>
            <w:tcW w:w="8170" w:type="dxa"/>
            <w:tcBorders>
              <w:top w:val="single" w:sz="4" w:space="0" w:color="1A171C"/>
              <w:left w:val="single" w:sz="4" w:space="0" w:color="1A171C"/>
              <w:bottom w:val="single" w:sz="4" w:space="0" w:color="1A171C"/>
              <w:right w:val="nil"/>
            </w:tcBorders>
            <w:vAlign w:val="center"/>
          </w:tcPr>
          <w:p w14:paraId="7FE1B63F" w14:textId="77777777" w:rsidR="00393915" w:rsidRDefault="00F24D68">
            <w:pPr>
              <w:pStyle w:val="P68B1DB1-TableParagraph14"/>
              <w:spacing w:before="108"/>
              <w:jc w:val="both"/>
              <w:rPr>
                <w:bCs/>
              </w:rPr>
            </w:pPr>
            <w:r>
              <w:t>Zahtjev za kombinirani zaštitni sloj</w:t>
            </w:r>
          </w:p>
          <w:p w14:paraId="7FE1B640" w14:textId="5622ADE4" w:rsidR="00393915" w:rsidRDefault="00F24D68">
            <w:pPr>
              <w:pStyle w:val="P68B1DB1-TableParagraph13"/>
              <w:spacing w:before="108"/>
              <w:jc w:val="both"/>
            </w:pPr>
            <w:r>
              <w:t xml:space="preserve">COREP (OF): </w:t>
            </w:r>
            <w:r w:rsidR="0092197E" w:rsidRPr="00F15538">
              <w:t>{</w:t>
            </w:r>
            <w:r>
              <w:t>C</w:t>
            </w:r>
            <w:r>
              <w:t xml:space="preserve"> 04.00;740;010</w:t>
            </w:r>
            <w:r w:rsidR="0092197E" w:rsidRPr="00F15538">
              <w:t>}</w:t>
            </w:r>
          </w:p>
          <w:p w14:paraId="7FE1B641" w14:textId="64811851" w:rsidR="00393915" w:rsidRDefault="00F24D68">
            <w:pPr>
              <w:pStyle w:val="TableParagraph"/>
              <w:spacing w:before="108"/>
              <w:jc w:val="both"/>
              <w:rPr>
                <w:rFonts w:ascii="Times New Roman" w:eastAsia="Cambria" w:hAnsi="Times New Roman" w:cs="Times New Roman"/>
                <w:color w:val="000000" w:themeColor="text1"/>
                <w:sz w:val="20"/>
                <w:szCs w:val="20"/>
              </w:rPr>
            </w:pPr>
            <w:r>
              <w:rPr>
                <w:rFonts w:ascii="Times New Roman" w:eastAsia="Cambria" w:hAnsi="Times New Roman" w:cs="Times New Roman"/>
                <w:color w:val="000000" w:themeColor="text1"/>
                <w:sz w:val="20"/>
                <w:szCs w:val="20"/>
              </w:rPr>
              <w:t>Zahtjev iz</w:t>
            </w:r>
            <w:r>
              <w:rPr>
                <w:rStyle w:val="InstructionsTabelleberschrift"/>
                <w:rFonts w:ascii="Times New Roman" w:hAnsi="Times New Roman"/>
                <w:b w:val="0"/>
                <w:color w:val="000000" w:themeColor="text1"/>
                <w:szCs w:val="20"/>
                <w:u w:val="none"/>
              </w:rPr>
              <w:t xml:space="preserve"> </w:t>
            </w:r>
            <w:r>
              <w:rPr>
                <w:rStyle w:val="InstructionsTabelleberschrift"/>
                <w:rFonts w:ascii="Times New Roman" w:hAnsi="Times New Roman"/>
                <w:b w:val="0"/>
                <w:color w:val="000000" w:themeColor="text1"/>
                <w:szCs w:val="20"/>
                <w:u w:val="none"/>
              </w:rPr>
              <w:t>članka</w:t>
            </w:r>
            <w:r w:rsidR="0092197E">
              <w:rPr>
                <w:rStyle w:val="InstructionsTabelleberschrift"/>
                <w:rFonts w:ascii="Times New Roman" w:hAnsi="Times New Roman"/>
                <w:b w:val="0"/>
                <w:color w:val="000000" w:themeColor="text1"/>
                <w:szCs w:val="20"/>
                <w:u w:val="none"/>
              </w:rPr>
              <w:t xml:space="preserve"> </w:t>
            </w:r>
            <w:r>
              <w:rPr>
                <w:rFonts w:ascii="Times New Roman" w:eastAsia="Cambria" w:hAnsi="Times New Roman" w:cs="Times New Roman"/>
                <w:color w:val="000000" w:themeColor="text1"/>
                <w:sz w:val="20"/>
                <w:szCs w:val="20"/>
              </w:rPr>
              <w:t>128. točk</w:t>
            </w:r>
            <w:r w:rsidR="0092197E">
              <w:rPr>
                <w:rFonts w:ascii="Times New Roman" w:eastAsia="Cambria" w:hAnsi="Times New Roman" w:cs="Times New Roman"/>
                <w:color w:val="000000" w:themeColor="text1"/>
                <w:sz w:val="20"/>
                <w:szCs w:val="20"/>
              </w:rPr>
              <w:t>e</w:t>
            </w:r>
            <w:r>
              <w:rPr>
                <w:rFonts w:ascii="Times New Roman" w:eastAsia="Cambria" w:hAnsi="Times New Roman" w:cs="Times New Roman"/>
                <w:color w:val="000000" w:themeColor="text1"/>
                <w:sz w:val="20"/>
                <w:szCs w:val="20"/>
              </w:rPr>
              <w:t xml:space="preserve"> 6. </w:t>
            </w:r>
            <w:r>
              <w:rPr>
                <w:rFonts w:ascii="Times New Roman" w:eastAsia="Cambria" w:hAnsi="Times New Roman" w:cs="Times New Roman"/>
                <w:color w:val="000000" w:themeColor="text1"/>
                <w:sz w:val="20"/>
                <w:szCs w:val="20"/>
              </w:rPr>
              <w:t>podstav</w:t>
            </w:r>
            <w:r w:rsidR="0092197E">
              <w:rPr>
                <w:rFonts w:ascii="Times New Roman" w:eastAsia="Cambria" w:hAnsi="Times New Roman" w:cs="Times New Roman"/>
                <w:color w:val="000000" w:themeColor="text1"/>
                <w:sz w:val="20"/>
                <w:szCs w:val="20"/>
              </w:rPr>
              <w:t xml:space="preserve">ka </w:t>
            </w:r>
            <w:r w:rsidR="00D16281">
              <w:rPr>
                <w:rFonts w:ascii="Times New Roman" w:eastAsia="Cambria" w:hAnsi="Times New Roman" w:cs="Times New Roman"/>
                <w:color w:val="000000" w:themeColor="text1"/>
                <w:sz w:val="20"/>
                <w:szCs w:val="20"/>
              </w:rPr>
              <w:t>1.</w:t>
            </w:r>
            <w:r>
              <w:rPr>
                <w:rFonts w:ascii="Times New Roman" w:eastAsia="Cambria" w:hAnsi="Times New Roman" w:cs="Times New Roman"/>
                <w:color w:val="000000" w:themeColor="text1"/>
                <w:sz w:val="20"/>
                <w:szCs w:val="20"/>
              </w:rPr>
              <w:t xml:space="preserve"> Direktive 2013/36/EU.</w:t>
            </w:r>
          </w:p>
          <w:p w14:paraId="7FE1B642" w14:textId="4DD7694F" w:rsidR="00393915" w:rsidRDefault="00F24D68">
            <w:pPr>
              <w:pStyle w:val="P68B1DB1-TableParagraph13"/>
              <w:spacing w:before="108"/>
              <w:jc w:val="both"/>
            </w:pPr>
            <w:r>
              <w:t>Ako se opseg sanacije razlikuje od bonitetnog</w:t>
            </w:r>
            <w:r w:rsidR="00D16281">
              <w:t xml:space="preserve"> opsega</w:t>
            </w:r>
            <w:r>
              <w:t xml:space="preserve">, procjena elemenata zahtjeva za kombinirani zaštitni sloj sanacijskog subjekta na konsolidiranoj razini sanacijske grupe u skladu je s člankom 3. stavkom 1. Delegirane uredbe Komisije (EU) 2021/1118, ali bi </w:t>
            </w:r>
            <w:r w:rsidR="00D16281">
              <w:t>ga</w:t>
            </w:r>
            <w:r>
              <w:t xml:space="preserve"> izvještajni subjekt trebao preliminarno</w:t>
            </w:r>
            <w:r w:rsidR="00D16281">
              <w:t xml:space="preserve"> izračunati</w:t>
            </w:r>
            <w:r>
              <w:t xml:space="preserve">. </w:t>
            </w:r>
          </w:p>
        </w:tc>
      </w:tr>
      <w:tr w:rsidR="00393915" w14:paraId="7FE1B649" w14:textId="77777777">
        <w:tc>
          <w:tcPr>
            <w:tcW w:w="856" w:type="dxa"/>
            <w:tcBorders>
              <w:top w:val="single" w:sz="4" w:space="0" w:color="1A171C"/>
              <w:left w:val="nil"/>
              <w:bottom w:val="single" w:sz="4" w:space="0" w:color="1A171C"/>
              <w:right w:val="single" w:sz="4" w:space="0" w:color="1A171C"/>
            </w:tcBorders>
            <w:vAlign w:val="center"/>
          </w:tcPr>
          <w:p w14:paraId="7FE1B644" w14:textId="77777777" w:rsidR="00393915" w:rsidRDefault="00F24D68">
            <w:pPr>
              <w:pStyle w:val="P68B1DB1-TableParagraph13"/>
              <w:spacing w:before="106"/>
              <w:ind w:left="-1"/>
            </w:pPr>
            <w:r>
              <w:t>0410</w:t>
            </w:r>
          </w:p>
        </w:tc>
        <w:tc>
          <w:tcPr>
            <w:tcW w:w="8170" w:type="dxa"/>
            <w:tcBorders>
              <w:top w:val="single" w:sz="4" w:space="0" w:color="1A171C"/>
              <w:left w:val="single" w:sz="4" w:space="0" w:color="1A171C"/>
              <w:bottom w:val="single" w:sz="4" w:space="0" w:color="1A171C"/>
              <w:right w:val="nil"/>
            </w:tcBorders>
            <w:vAlign w:val="center"/>
          </w:tcPr>
          <w:p w14:paraId="7FE1B645" w14:textId="77777777" w:rsidR="00393915" w:rsidRDefault="00F24D68">
            <w:pPr>
              <w:pStyle w:val="P68B1DB1-TableParagraph14"/>
              <w:spacing w:before="108"/>
              <w:jc w:val="both"/>
              <w:rPr>
                <w:bCs/>
              </w:rPr>
            </w:pPr>
            <w:r>
              <w:t>Zaštitni sloj za očuvanje kapitala</w:t>
            </w:r>
          </w:p>
          <w:p w14:paraId="7FE1B646" w14:textId="197890F9" w:rsidR="00393915" w:rsidRDefault="00F24D68">
            <w:pPr>
              <w:pStyle w:val="P68B1DB1-TableParagraph13"/>
              <w:spacing w:before="108"/>
              <w:jc w:val="both"/>
            </w:pPr>
            <w:r>
              <w:lastRenderedPageBreak/>
              <w:t xml:space="preserve">COREP (OF): </w:t>
            </w:r>
            <w:r w:rsidR="00936B0C" w:rsidRPr="002F61BB">
              <w:rPr>
                <w:lang w:val="en-GB"/>
              </w:rPr>
              <w:t>{</w:t>
            </w:r>
            <w:r>
              <w:t>C</w:t>
            </w:r>
            <w:r>
              <w:t xml:space="preserve"> 04.00;750;010</w:t>
            </w:r>
            <w:r w:rsidR="00936B0C" w:rsidRPr="002F61BB">
              <w:rPr>
                <w:rStyle w:val="InstructionsTabelleberschrift"/>
                <w:rFonts w:ascii="Times New Roman" w:hAnsi="Times New Roman"/>
                <w:b w:val="0"/>
                <w:bCs w:val="0"/>
                <w:u w:val="none"/>
                <w:lang w:val="en-GB"/>
              </w:rPr>
              <w:t>}</w:t>
            </w:r>
            <w:r>
              <w:t> </w:t>
            </w:r>
          </w:p>
          <w:p w14:paraId="7FE1B647" w14:textId="77777777" w:rsidR="00393915" w:rsidRDefault="00F24D68">
            <w:pPr>
              <w:pStyle w:val="TableParagraph"/>
              <w:spacing w:before="108"/>
              <w:jc w:val="both"/>
              <w:rPr>
                <w:rFonts w:ascii="Times New Roman" w:eastAsia="Cambria" w:hAnsi="Times New Roman" w:cs="Times New Roman"/>
                <w:color w:val="000000" w:themeColor="text1"/>
                <w:sz w:val="20"/>
                <w:szCs w:val="20"/>
              </w:rPr>
            </w:pPr>
            <w:r>
              <w:rPr>
                <w:rFonts w:ascii="Times New Roman" w:eastAsia="Cambria" w:hAnsi="Times New Roman" w:cs="Times New Roman"/>
                <w:color w:val="000000" w:themeColor="text1"/>
                <w:sz w:val="20"/>
                <w:szCs w:val="20"/>
              </w:rPr>
              <w:t>Zahtjev iz članka</w:t>
            </w:r>
            <w:r>
              <w:rPr>
                <w:rStyle w:val="InstructionsTabelleberschrift"/>
                <w:rFonts w:ascii="Times New Roman" w:hAnsi="Times New Roman"/>
                <w:b w:val="0"/>
                <w:color w:val="000000" w:themeColor="text1"/>
                <w:szCs w:val="20"/>
                <w:u w:val="none"/>
              </w:rPr>
              <w:t xml:space="preserve"> </w:t>
            </w:r>
            <w:r>
              <w:rPr>
                <w:rFonts w:ascii="Times New Roman" w:eastAsia="Cambria" w:hAnsi="Times New Roman" w:cs="Times New Roman"/>
                <w:color w:val="000000" w:themeColor="text1"/>
                <w:sz w:val="20"/>
                <w:szCs w:val="20"/>
              </w:rPr>
              <w:t>128. točke 1. i članka 129. Direktive 2013/36/EU.</w:t>
            </w:r>
          </w:p>
          <w:p w14:paraId="7FE1B648" w14:textId="6F135274" w:rsidR="00393915" w:rsidRDefault="00F24D68">
            <w:pPr>
              <w:pStyle w:val="P68B1DB1-TableParagraph13"/>
              <w:spacing w:before="108"/>
              <w:jc w:val="both"/>
              <w:rPr>
                <w:rFonts w:eastAsia="Cambria"/>
              </w:rPr>
            </w:pPr>
            <w:r>
              <w:t>Ako se opseg sanacije razlikuje od bonitetnog</w:t>
            </w:r>
            <w:r w:rsidR="00936B0C">
              <w:t xml:space="preserve"> opsega</w:t>
            </w:r>
            <w:r>
              <w:t xml:space="preserve">, procjena </w:t>
            </w:r>
            <w:r w:rsidR="00936B0C">
              <w:t>ovog</w:t>
            </w:r>
            <w:r>
              <w:t xml:space="preserve"> zahtjeva za zaštitni sloj sanacijskog subjekta na konsolidiranoj razini sanacijske grupe u skladu je s člankom 3. stavkom 2. Delegirane uredbe Komisije (EU) 2021/1118, ali bi </w:t>
            </w:r>
            <w:r w:rsidR="00936B0C">
              <w:t>ga</w:t>
            </w:r>
            <w:r>
              <w:t xml:space="preserve"> izvještajni subjekt trebao preliminarno</w:t>
            </w:r>
            <w:r w:rsidR="00936B0C">
              <w:t xml:space="preserve"> izračunati</w:t>
            </w:r>
          </w:p>
        </w:tc>
      </w:tr>
      <w:tr w:rsidR="00393915" w14:paraId="7FE1B64F" w14:textId="77777777">
        <w:tc>
          <w:tcPr>
            <w:tcW w:w="856" w:type="dxa"/>
            <w:tcBorders>
              <w:top w:val="single" w:sz="4" w:space="0" w:color="1A171C"/>
              <w:left w:val="nil"/>
              <w:bottom w:val="single" w:sz="4" w:space="0" w:color="1A171C"/>
              <w:right w:val="single" w:sz="4" w:space="0" w:color="1A171C"/>
            </w:tcBorders>
            <w:vAlign w:val="center"/>
          </w:tcPr>
          <w:p w14:paraId="7FE1B64A" w14:textId="77777777" w:rsidR="00393915" w:rsidRDefault="00F24D68">
            <w:pPr>
              <w:pStyle w:val="P68B1DB1-TableParagraph13"/>
              <w:spacing w:before="106"/>
              <w:ind w:left="-1"/>
            </w:pPr>
            <w:r>
              <w:lastRenderedPageBreak/>
              <w:t>0420</w:t>
            </w:r>
          </w:p>
        </w:tc>
        <w:tc>
          <w:tcPr>
            <w:tcW w:w="8170" w:type="dxa"/>
            <w:tcBorders>
              <w:top w:val="single" w:sz="4" w:space="0" w:color="1A171C"/>
              <w:left w:val="single" w:sz="4" w:space="0" w:color="1A171C"/>
              <w:bottom w:val="single" w:sz="4" w:space="0" w:color="1A171C"/>
              <w:right w:val="nil"/>
            </w:tcBorders>
            <w:vAlign w:val="center"/>
          </w:tcPr>
          <w:p w14:paraId="7FE1B64B" w14:textId="77777777" w:rsidR="00393915" w:rsidRDefault="00F24D68">
            <w:pPr>
              <w:rPr>
                <w:rStyle w:val="InstructionsTabelleberschrift"/>
                <w:rFonts w:ascii="Times New Roman" w:hAnsi="Times New Roman"/>
                <w:color w:val="000000" w:themeColor="text1"/>
                <w:szCs w:val="20"/>
                <w:u w:val="none"/>
              </w:rPr>
            </w:pPr>
            <w:r>
              <w:rPr>
                <w:rStyle w:val="InstructionsTabelleberschrift"/>
                <w:rFonts w:ascii="Times New Roman" w:hAnsi="Times New Roman"/>
                <w:color w:val="000000" w:themeColor="text1"/>
                <w:szCs w:val="20"/>
                <w:u w:val="none"/>
              </w:rPr>
              <w:t>Zaštitni sloj za očuvanje kapitala zbog makrobonitetnog ili sistemskog rizika utvrđenog na razini države članice</w:t>
            </w:r>
          </w:p>
          <w:p w14:paraId="7FE1B64C" w14:textId="1FDAD857" w:rsidR="00393915" w:rsidRDefault="00F24D68">
            <w:pPr>
              <w:rPr>
                <w:rStyle w:val="InstructionsTabelleberschrift"/>
                <w:rFonts w:ascii="Times New Roman" w:hAnsi="Times New Roman"/>
                <w:b w:val="0"/>
                <w:bCs w:val="0"/>
                <w:color w:val="000000" w:themeColor="text1"/>
                <w:szCs w:val="20"/>
                <w:u w:val="none"/>
              </w:rPr>
            </w:pPr>
            <w:r>
              <w:rPr>
                <w:rStyle w:val="InstructionsTabelleberschrift"/>
                <w:rFonts w:ascii="Times New Roman" w:hAnsi="Times New Roman"/>
                <w:b w:val="0"/>
                <w:bCs w:val="0"/>
                <w:color w:val="000000" w:themeColor="text1"/>
                <w:szCs w:val="20"/>
                <w:u w:val="none"/>
              </w:rPr>
              <w:t xml:space="preserve">COREP (OF): </w:t>
            </w:r>
            <w:r w:rsidR="00684448" w:rsidRPr="00BB7A2E">
              <w:rPr>
                <w:rStyle w:val="InstructionsTabelleberschrift"/>
                <w:rFonts w:ascii="Times New Roman" w:hAnsi="Times New Roman"/>
                <w:b w:val="0"/>
                <w:bCs w:val="0"/>
                <w:color w:val="000000" w:themeColor="text1"/>
                <w:szCs w:val="20"/>
                <w:u w:val="none"/>
              </w:rPr>
              <w:t>{</w:t>
            </w:r>
            <w:r>
              <w:rPr>
                <w:rStyle w:val="InstructionsTabelleberschrift"/>
                <w:rFonts w:ascii="Times New Roman" w:hAnsi="Times New Roman"/>
                <w:b w:val="0"/>
                <w:bCs w:val="0"/>
                <w:color w:val="000000" w:themeColor="text1"/>
                <w:szCs w:val="20"/>
                <w:u w:val="none"/>
              </w:rPr>
              <w:t>C</w:t>
            </w:r>
            <w:r>
              <w:rPr>
                <w:rStyle w:val="InstructionsTabelleberschrift"/>
                <w:rFonts w:ascii="Times New Roman" w:hAnsi="Times New Roman"/>
                <w:b w:val="0"/>
                <w:bCs w:val="0"/>
                <w:color w:val="000000" w:themeColor="text1"/>
                <w:szCs w:val="20"/>
                <w:u w:val="none"/>
              </w:rPr>
              <w:t xml:space="preserve"> 04.00;760;010 </w:t>
            </w:r>
            <w:r w:rsidR="00F66DB4" w:rsidRPr="00BB7A2E">
              <w:rPr>
                <w:rStyle w:val="InstructionsTabelleberschrift"/>
                <w:rFonts w:ascii="Times New Roman" w:hAnsi="Times New Roman"/>
                <w:b w:val="0"/>
                <w:bCs w:val="0"/>
                <w:color w:val="000000" w:themeColor="text1"/>
                <w:szCs w:val="20"/>
                <w:u w:val="none"/>
              </w:rPr>
              <w:t>}</w:t>
            </w:r>
          </w:p>
          <w:p w14:paraId="7FE1B64D" w14:textId="1D29CF6A" w:rsidR="00393915" w:rsidRDefault="00F24D68">
            <w:pPr>
              <w:rPr>
                <w:rStyle w:val="InstructionsTabelleberschrift"/>
                <w:rFonts w:ascii="Times New Roman" w:hAnsi="Times New Roman"/>
                <w:b w:val="0"/>
                <w:color w:val="000000" w:themeColor="text1"/>
                <w:szCs w:val="20"/>
                <w:u w:val="none"/>
              </w:rPr>
            </w:pPr>
            <w:r>
              <w:rPr>
                <w:rFonts w:ascii="Times New Roman" w:eastAsia="Cambria" w:hAnsi="Times New Roman" w:cs="Times New Roman"/>
                <w:color w:val="000000" w:themeColor="text1"/>
                <w:sz w:val="20"/>
                <w:szCs w:val="20"/>
              </w:rPr>
              <w:t>Zahtjev iz</w:t>
            </w:r>
            <w:r>
              <w:rPr>
                <w:rStyle w:val="InstructionsTabelleberschrift"/>
                <w:rFonts w:ascii="Times New Roman" w:hAnsi="Times New Roman"/>
                <w:b w:val="0"/>
                <w:color w:val="000000" w:themeColor="text1"/>
                <w:szCs w:val="20"/>
                <w:u w:val="none"/>
              </w:rPr>
              <w:t xml:space="preserve"> članka 458.</w:t>
            </w:r>
            <w:r>
              <w:rPr>
                <w:rFonts w:ascii="Times New Roman" w:eastAsia="Cambria" w:hAnsi="Times New Roman" w:cs="Times New Roman"/>
                <w:color w:val="000000" w:themeColor="text1"/>
                <w:sz w:val="20"/>
                <w:szCs w:val="20"/>
              </w:rPr>
              <w:t xml:space="preserve"> stavka 2. točke (d) točke (vi)</w:t>
            </w:r>
            <w:r>
              <w:rPr>
                <w:rStyle w:val="FootnoteReference"/>
                <w:rFonts w:cs="Times New Roman"/>
                <w:color w:val="000000" w:themeColor="text1"/>
              </w:rPr>
              <w:footnoteReference w:id="17"/>
            </w:r>
            <w:r>
              <w:rPr>
                <w:rFonts w:ascii="Times New Roman" w:eastAsia="Cambria" w:hAnsi="Times New Roman" w:cs="Times New Roman"/>
                <w:color w:val="000000" w:themeColor="text1"/>
                <w:sz w:val="20"/>
                <w:szCs w:val="20"/>
              </w:rPr>
              <w:t xml:space="preserve"> Uredbe (EU) br. 575/2013</w:t>
            </w:r>
          </w:p>
          <w:p w14:paraId="7FE1B64E" w14:textId="29AA4B7D" w:rsidR="00393915" w:rsidRDefault="00F24D68">
            <w:pPr>
              <w:pStyle w:val="P68B1DB1-TableParagraph13"/>
              <w:spacing w:before="108"/>
              <w:jc w:val="both"/>
              <w:rPr>
                <w:rFonts w:eastAsia="Cambria"/>
              </w:rPr>
            </w:pPr>
            <w:r>
              <w:t>Ako se opseg sanacije razlikuje od bonitetnog</w:t>
            </w:r>
            <w:r w:rsidR="00F66DB4">
              <w:t xml:space="preserve"> opsega</w:t>
            </w:r>
            <w:r>
              <w:t xml:space="preserve">, iskazani iznos odgovara zaštitnom sloju koji se primjenjuje na </w:t>
            </w:r>
            <w:r>
              <w:t>izloženost</w:t>
            </w:r>
            <w:r>
              <w:t xml:space="preserve"> sanacijske grupe.</w:t>
            </w:r>
          </w:p>
        </w:tc>
      </w:tr>
      <w:tr w:rsidR="00393915" w14:paraId="7FE1B655" w14:textId="77777777">
        <w:tc>
          <w:tcPr>
            <w:tcW w:w="856" w:type="dxa"/>
            <w:tcBorders>
              <w:top w:val="single" w:sz="4" w:space="0" w:color="1A171C"/>
              <w:left w:val="nil"/>
              <w:bottom w:val="single" w:sz="4" w:space="0" w:color="1A171C"/>
              <w:right w:val="single" w:sz="4" w:space="0" w:color="1A171C"/>
            </w:tcBorders>
            <w:vAlign w:val="center"/>
          </w:tcPr>
          <w:p w14:paraId="7FE1B650" w14:textId="77777777" w:rsidR="00393915" w:rsidRDefault="00F24D68">
            <w:pPr>
              <w:pStyle w:val="P68B1DB1-TableParagraph13"/>
              <w:spacing w:before="106"/>
              <w:ind w:left="-1"/>
            </w:pPr>
            <w:r>
              <w:t>0430</w:t>
            </w:r>
          </w:p>
        </w:tc>
        <w:tc>
          <w:tcPr>
            <w:tcW w:w="8170" w:type="dxa"/>
            <w:tcBorders>
              <w:top w:val="single" w:sz="4" w:space="0" w:color="1A171C"/>
              <w:left w:val="single" w:sz="4" w:space="0" w:color="1A171C"/>
              <w:bottom w:val="single" w:sz="4" w:space="0" w:color="1A171C"/>
              <w:right w:val="nil"/>
            </w:tcBorders>
            <w:vAlign w:val="center"/>
          </w:tcPr>
          <w:p w14:paraId="7FE1B651" w14:textId="77777777" w:rsidR="00393915" w:rsidRDefault="00F24D68">
            <w:pPr>
              <w:pStyle w:val="P68B1DB1-TableParagraph14"/>
              <w:spacing w:before="108"/>
              <w:jc w:val="both"/>
              <w:rPr>
                <w:bCs/>
              </w:rPr>
            </w:pPr>
            <w:r>
              <w:t xml:space="preserve">Stopa protucikličkog zaštitnog sloja kapitala specifična za instituciju </w:t>
            </w:r>
          </w:p>
          <w:p w14:paraId="7FE1B652" w14:textId="366959A3" w:rsidR="00393915" w:rsidRDefault="00F24D68">
            <w:pPr>
              <w:rPr>
                <w:rStyle w:val="InstructionsTabelleberschrift"/>
                <w:rFonts w:ascii="Times New Roman" w:hAnsi="Times New Roman"/>
                <w:b w:val="0"/>
                <w:bCs w:val="0"/>
                <w:color w:val="000000" w:themeColor="text1"/>
                <w:szCs w:val="20"/>
                <w:u w:val="none"/>
              </w:rPr>
            </w:pPr>
            <w:r>
              <w:rPr>
                <w:rStyle w:val="InstructionsTabelleberschrift"/>
                <w:rFonts w:ascii="Times New Roman" w:hAnsi="Times New Roman"/>
                <w:b w:val="0"/>
                <w:bCs w:val="0"/>
                <w:color w:val="000000" w:themeColor="text1"/>
                <w:szCs w:val="20"/>
                <w:u w:val="none"/>
              </w:rPr>
              <w:t xml:space="preserve"> COREP (OF): </w:t>
            </w:r>
            <w:r w:rsidR="00F66DB4" w:rsidRPr="00BB7A2E">
              <w:rPr>
                <w:rStyle w:val="InstructionsTabelleberschrift"/>
                <w:rFonts w:ascii="Times New Roman" w:hAnsi="Times New Roman"/>
                <w:b w:val="0"/>
                <w:bCs w:val="0"/>
                <w:color w:val="000000" w:themeColor="text1"/>
                <w:szCs w:val="20"/>
                <w:u w:val="none"/>
              </w:rPr>
              <w:t>{</w:t>
            </w:r>
            <w:r>
              <w:rPr>
                <w:rStyle w:val="InstructionsTabelleberschrift"/>
                <w:rFonts w:ascii="Times New Roman" w:hAnsi="Times New Roman"/>
                <w:b w:val="0"/>
                <w:bCs w:val="0"/>
                <w:color w:val="000000" w:themeColor="text1"/>
                <w:szCs w:val="20"/>
                <w:u w:val="none"/>
              </w:rPr>
              <w:t>C</w:t>
            </w:r>
            <w:r>
              <w:rPr>
                <w:rStyle w:val="InstructionsTabelleberschrift"/>
                <w:rFonts w:ascii="Times New Roman" w:hAnsi="Times New Roman"/>
                <w:b w:val="0"/>
                <w:bCs w:val="0"/>
                <w:color w:val="000000" w:themeColor="text1"/>
                <w:szCs w:val="20"/>
                <w:u w:val="none"/>
              </w:rPr>
              <w:t xml:space="preserve"> 04.00;770;010</w:t>
            </w:r>
            <w:r w:rsidR="00F31F33" w:rsidRPr="00BB7A2E">
              <w:rPr>
                <w:rStyle w:val="InstructionsTabelleberschrift"/>
                <w:rFonts w:ascii="Times New Roman" w:hAnsi="Times New Roman"/>
                <w:b w:val="0"/>
                <w:bCs w:val="0"/>
                <w:color w:val="000000" w:themeColor="text1"/>
                <w:szCs w:val="20"/>
                <w:u w:val="none"/>
              </w:rPr>
              <w:t>}</w:t>
            </w:r>
          </w:p>
          <w:p w14:paraId="7FE1B653" w14:textId="77777777" w:rsidR="00393915" w:rsidRDefault="00F24D68">
            <w:pPr>
              <w:pStyle w:val="P68B1DB1-TableParagraph17"/>
              <w:spacing w:before="108"/>
              <w:jc w:val="both"/>
            </w:pPr>
            <w:r>
              <w:t>Zahtjev naveden u članku 128. točka 2., članku 130. i člancima 135. – 140.Direktive 2013/36/EU.</w:t>
            </w:r>
          </w:p>
          <w:p w14:paraId="7FE1B654" w14:textId="02A0A32D" w:rsidR="00393915" w:rsidRDefault="00F24D68">
            <w:pPr>
              <w:pStyle w:val="P68B1DB1-TableParagraph13"/>
              <w:spacing w:before="108"/>
              <w:jc w:val="both"/>
              <w:rPr>
                <w:rFonts w:eastAsia="Cambria"/>
              </w:rPr>
            </w:pPr>
            <w:r>
              <w:t>Ako se opseg sanacije razlikuje od bonitetnog</w:t>
            </w:r>
            <w:r w:rsidR="004E60AD">
              <w:t xml:space="preserve"> opsega</w:t>
            </w:r>
            <w:r>
              <w:t xml:space="preserve">, iskazani iznos odgovara zahtjevu za zaštitni sloj koji se primjenjuje na </w:t>
            </w:r>
            <w:r>
              <w:t>izloženost</w:t>
            </w:r>
            <w:r>
              <w:t xml:space="preserve"> sanacijske grupe.</w:t>
            </w:r>
          </w:p>
        </w:tc>
      </w:tr>
      <w:tr w:rsidR="00393915" w14:paraId="7FE1B65B" w14:textId="77777777">
        <w:tc>
          <w:tcPr>
            <w:tcW w:w="856" w:type="dxa"/>
            <w:tcBorders>
              <w:top w:val="single" w:sz="4" w:space="0" w:color="1A171C"/>
              <w:left w:val="nil"/>
              <w:bottom w:val="single" w:sz="4" w:space="0" w:color="1A171C"/>
              <w:right w:val="single" w:sz="4" w:space="0" w:color="1A171C"/>
            </w:tcBorders>
            <w:vAlign w:val="center"/>
          </w:tcPr>
          <w:p w14:paraId="7FE1B656" w14:textId="77777777" w:rsidR="00393915" w:rsidRDefault="00F24D68">
            <w:pPr>
              <w:pStyle w:val="P68B1DB1-TableParagraph13"/>
              <w:spacing w:before="106"/>
              <w:ind w:left="-1"/>
            </w:pPr>
            <w:r>
              <w:t>0440</w:t>
            </w:r>
          </w:p>
        </w:tc>
        <w:tc>
          <w:tcPr>
            <w:tcW w:w="8170" w:type="dxa"/>
            <w:tcBorders>
              <w:top w:val="single" w:sz="4" w:space="0" w:color="1A171C"/>
              <w:left w:val="single" w:sz="4" w:space="0" w:color="1A171C"/>
              <w:bottom w:val="single" w:sz="4" w:space="0" w:color="1A171C"/>
              <w:right w:val="nil"/>
            </w:tcBorders>
            <w:vAlign w:val="center"/>
          </w:tcPr>
          <w:p w14:paraId="7FE1B657" w14:textId="77777777" w:rsidR="00393915" w:rsidRDefault="00F24D68">
            <w:pPr>
              <w:pStyle w:val="P68B1DB1-TableParagraph14"/>
              <w:spacing w:before="108"/>
              <w:jc w:val="both"/>
              <w:rPr>
                <w:bCs/>
              </w:rPr>
            </w:pPr>
            <w:r>
              <w:t>Zaštitni sloj za sistemski rizik</w:t>
            </w:r>
          </w:p>
          <w:p w14:paraId="7FE1B658" w14:textId="5E171223" w:rsidR="00393915" w:rsidRDefault="00F24D68">
            <w:pPr>
              <w:pStyle w:val="P68B1DB1-TableParagraph13"/>
              <w:spacing w:before="108"/>
              <w:jc w:val="both"/>
            </w:pPr>
            <w:r>
              <w:t xml:space="preserve"> COREP (OF): </w:t>
            </w:r>
            <w:r w:rsidR="004E60AD" w:rsidRPr="002F61BB">
              <w:rPr>
                <w:lang w:val="en-GB"/>
              </w:rPr>
              <w:t>{</w:t>
            </w:r>
            <w:r>
              <w:t>C</w:t>
            </w:r>
            <w:r>
              <w:t xml:space="preserve"> 04.00;780;010</w:t>
            </w:r>
            <w:r w:rsidR="004E60AD" w:rsidRPr="002F61BB">
              <w:rPr>
                <w:lang w:val="en-GB"/>
              </w:rPr>
              <w:t>}</w:t>
            </w:r>
            <w:r w:rsidR="004E60AD">
              <w:t>.</w:t>
            </w:r>
          </w:p>
          <w:p w14:paraId="7FE1B659" w14:textId="77777777" w:rsidR="00393915" w:rsidRDefault="00F24D68">
            <w:pPr>
              <w:pStyle w:val="P68B1DB1-TableParagraph17"/>
              <w:spacing w:before="108"/>
              <w:jc w:val="both"/>
            </w:pPr>
            <w:r>
              <w:t>Zahtjev naveden u člancima 128. točka 5., 133. i 134. Direktive 2013/36/EU</w:t>
            </w:r>
          </w:p>
          <w:p w14:paraId="7FE1B65A" w14:textId="48CB2289" w:rsidR="00393915" w:rsidRDefault="00F24D68">
            <w:pPr>
              <w:pStyle w:val="TableParagraph"/>
              <w:spacing w:before="108"/>
              <w:jc w:val="both"/>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Ako se opseg sanacije razlikuje od bonitetnog</w:t>
            </w:r>
            <w:r w:rsidR="003205C7">
              <w:rPr>
                <w:rFonts w:ascii="Times New Roman" w:hAnsi="Times New Roman" w:cs="Times New Roman"/>
                <w:color w:val="000000" w:themeColor="text1"/>
                <w:sz w:val="20"/>
                <w:szCs w:val="20"/>
              </w:rPr>
              <w:t xml:space="preserve"> opsega</w:t>
            </w:r>
            <w:r>
              <w:rPr>
                <w:rFonts w:ascii="Times New Roman" w:hAnsi="Times New Roman" w:cs="Times New Roman"/>
                <w:color w:val="000000" w:themeColor="text1"/>
                <w:sz w:val="20"/>
                <w:szCs w:val="20"/>
              </w:rPr>
              <w:t xml:space="preserve">, procjena </w:t>
            </w:r>
            <w:r w:rsidR="00FC79D3">
              <w:rPr>
                <w:rFonts w:ascii="Times New Roman" w:hAnsi="Times New Roman" w:cs="Times New Roman"/>
                <w:color w:val="000000" w:themeColor="text1"/>
                <w:sz w:val="20"/>
                <w:szCs w:val="20"/>
              </w:rPr>
              <w:t>ovog</w:t>
            </w:r>
            <w:r>
              <w:rPr>
                <w:rFonts w:ascii="Times New Roman" w:hAnsi="Times New Roman" w:cs="Times New Roman"/>
                <w:color w:val="000000" w:themeColor="text1"/>
                <w:sz w:val="20"/>
                <w:szCs w:val="20"/>
              </w:rPr>
              <w:t xml:space="preserve"> zahtjeva za zaštitni sloj sanacijskog subjekta na konsolidiranoj razini sanacijske grupe u skladu je s člankom 3. stavkom 5. Delegirane uredbe Komisije (EU) 2021/1118,</w:t>
            </w:r>
            <w:r>
              <w:t xml:space="preserve"> </w:t>
            </w:r>
            <w:r>
              <w:rPr>
                <w:rFonts w:ascii="Times New Roman" w:hAnsi="Times New Roman" w:cs="Times New Roman"/>
                <w:color w:val="000000" w:themeColor="text1"/>
                <w:sz w:val="20"/>
                <w:szCs w:val="20"/>
              </w:rPr>
              <w:t xml:space="preserve">ali bi </w:t>
            </w:r>
            <w:r w:rsidR="008812DE">
              <w:rPr>
                <w:rFonts w:ascii="Times New Roman" w:hAnsi="Times New Roman" w:cs="Times New Roman"/>
                <w:color w:val="000000" w:themeColor="text1"/>
                <w:sz w:val="20"/>
                <w:szCs w:val="20"/>
              </w:rPr>
              <w:t>ga</w:t>
            </w:r>
            <w:r>
              <w:rPr>
                <w:rFonts w:ascii="Times New Roman" w:hAnsi="Times New Roman" w:cs="Times New Roman"/>
                <w:color w:val="000000" w:themeColor="text1"/>
                <w:sz w:val="20"/>
                <w:szCs w:val="20"/>
              </w:rPr>
              <w:t xml:space="preserve"> izvještajni subjekt trebao preliminarno</w:t>
            </w:r>
            <w:r w:rsidR="00FC79D3">
              <w:rPr>
                <w:rFonts w:ascii="Times New Roman" w:hAnsi="Times New Roman" w:cs="Times New Roman"/>
                <w:color w:val="000000" w:themeColor="text1"/>
                <w:sz w:val="20"/>
                <w:szCs w:val="20"/>
              </w:rPr>
              <w:t xml:space="preserve"> izračunati</w:t>
            </w:r>
            <w:r>
              <w:rPr>
                <w:rFonts w:ascii="Times New Roman" w:hAnsi="Times New Roman" w:cs="Times New Roman"/>
                <w:color w:val="000000" w:themeColor="text1"/>
                <w:sz w:val="20"/>
                <w:szCs w:val="20"/>
              </w:rPr>
              <w:t xml:space="preserve">. </w:t>
            </w:r>
          </w:p>
        </w:tc>
      </w:tr>
      <w:tr w:rsidR="00393915" w14:paraId="7FE1B661" w14:textId="77777777">
        <w:tc>
          <w:tcPr>
            <w:tcW w:w="856" w:type="dxa"/>
            <w:tcBorders>
              <w:top w:val="single" w:sz="4" w:space="0" w:color="1A171C"/>
              <w:left w:val="nil"/>
              <w:bottom w:val="single" w:sz="4" w:space="0" w:color="1A171C"/>
              <w:right w:val="single" w:sz="4" w:space="0" w:color="1A171C"/>
            </w:tcBorders>
            <w:vAlign w:val="center"/>
          </w:tcPr>
          <w:p w14:paraId="7FE1B65C" w14:textId="77777777" w:rsidR="00393915" w:rsidRDefault="00F24D68">
            <w:pPr>
              <w:pStyle w:val="P68B1DB1-TableParagraph13"/>
              <w:spacing w:before="106"/>
              <w:ind w:left="-1"/>
            </w:pPr>
            <w:r>
              <w:t>0450</w:t>
            </w:r>
          </w:p>
        </w:tc>
        <w:tc>
          <w:tcPr>
            <w:tcW w:w="8170" w:type="dxa"/>
            <w:tcBorders>
              <w:top w:val="single" w:sz="4" w:space="0" w:color="1A171C"/>
              <w:left w:val="single" w:sz="4" w:space="0" w:color="1A171C"/>
              <w:bottom w:val="single" w:sz="4" w:space="0" w:color="1A171C"/>
              <w:right w:val="nil"/>
            </w:tcBorders>
            <w:vAlign w:val="center"/>
          </w:tcPr>
          <w:p w14:paraId="7FE1B65D" w14:textId="77777777" w:rsidR="00393915" w:rsidRDefault="00F24D68">
            <w:pPr>
              <w:pStyle w:val="P68B1DB1-TableParagraph14"/>
              <w:spacing w:before="108"/>
              <w:jc w:val="both"/>
              <w:rPr>
                <w:bCs/>
              </w:rPr>
            </w:pPr>
            <w:r>
              <w:t>Zaštitni sloj za globalnu sistemski važnu instituciju</w:t>
            </w:r>
          </w:p>
          <w:p w14:paraId="7FE1B65E" w14:textId="33F8BE9B" w:rsidR="00393915" w:rsidRDefault="00F24D68">
            <w:pPr>
              <w:pStyle w:val="P68B1DB1-TableParagraph17"/>
              <w:spacing w:before="108"/>
              <w:jc w:val="both"/>
            </w:pPr>
            <w:r>
              <w:t xml:space="preserve">COREP (OF): </w:t>
            </w:r>
            <w:r w:rsidR="007272AB">
              <w:rPr>
                <w:spacing w:val="-2"/>
                <w:w w:val="95"/>
                <w:lang w:val="en-GB"/>
              </w:rPr>
              <w:t>{</w:t>
            </w:r>
            <w:r>
              <w:t>C</w:t>
            </w:r>
            <w:r>
              <w:t xml:space="preserve"> 04.00;800;010</w:t>
            </w:r>
            <w:r w:rsidR="007272AB">
              <w:rPr>
                <w:spacing w:val="-2"/>
                <w:w w:val="95"/>
                <w:lang w:val="en-GB"/>
              </w:rPr>
              <w:t>}</w:t>
            </w:r>
          </w:p>
          <w:p w14:paraId="7FE1B65F" w14:textId="77777777" w:rsidR="00393915" w:rsidRDefault="00F24D68">
            <w:pPr>
              <w:pStyle w:val="P68B1DB1-TableParagraph17"/>
              <w:spacing w:before="108"/>
              <w:jc w:val="both"/>
            </w:pPr>
            <w:r>
              <w:t>Zahtjev iz članka 128. točka 3. i članka 131. Direktive 2013/36/EU.</w:t>
            </w:r>
          </w:p>
          <w:p w14:paraId="7FE1B660" w14:textId="221B4DC3" w:rsidR="00393915" w:rsidRDefault="00F24D68">
            <w:pPr>
              <w:pStyle w:val="TableParagraph"/>
              <w:spacing w:before="108"/>
              <w:jc w:val="both"/>
              <w:rPr>
                <w:rFonts w:ascii="Times New Roman" w:eastAsia="Cambria" w:hAnsi="Times New Roman" w:cs="Times New Roman"/>
                <w:color w:val="000000" w:themeColor="text1"/>
                <w:sz w:val="20"/>
                <w:szCs w:val="20"/>
              </w:rPr>
            </w:pPr>
            <w:r>
              <w:rPr>
                <w:rFonts w:ascii="Times New Roman" w:hAnsi="Times New Roman" w:cs="Times New Roman"/>
                <w:color w:val="000000" w:themeColor="text1"/>
                <w:sz w:val="20"/>
                <w:szCs w:val="20"/>
              </w:rPr>
              <w:t>Ako se opseg sanacije razlikuje od bonitetnog</w:t>
            </w:r>
            <w:r w:rsidR="008812DE">
              <w:rPr>
                <w:rFonts w:ascii="Times New Roman" w:hAnsi="Times New Roman" w:cs="Times New Roman"/>
                <w:color w:val="000000" w:themeColor="text1"/>
                <w:sz w:val="20"/>
                <w:szCs w:val="20"/>
              </w:rPr>
              <w:t xml:space="preserve"> opsega</w:t>
            </w:r>
            <w:r>
              <w:rPr>
                <w:rFonts w:ascii="Times New Roman" w:hAnsi="Times New Roman" w:cs="Times New Roman"/>
                <w:color w:val="000000" w:themeColor="text1"/>
                <w:sz w:val="20"/>
                <w:szCs w:val="20"/>
              </w:rPr>
              <w:t xml:space="preserve">, procjena </w:t>
            </w:r>
            <w:r w:rsidR="008812DE">
              <w:rPr>
                <w:rFonts w:ascii="Times New Roman" w:hAnsi="Times New Roman" w:cs="Times New Roman"/>
                <w:color w:val="000000" w:themeColor="text1"/>
                <w:sz w:val="20"/>
                <w:szCs w:val="20"/>
              </w:rPr>
              <w:t>ovog</w:t>
            </w:r>
            <w:r>
              <w:rPr>
                <w:rFonts w:ascii="Times New Roman" w:hAnsi="Times New Roman" w:cs="Times New Roman"/>
                <w:color w:val="000000" w:themeColor="text1"/>
                <w:sz w:val="20"/>
                <w:szCs w:val="20"/>
              </w:rPr>
              <w:t xml:space="preserve"> zahtjeva za zaštitni sloj sanacijskog subjekta na konsolidiranoj razini sanacijske grupe u skladu je s člankom 3. stavkom 3. Delegirane uredbe Komisije (EU) 2021/1118,</w:t>
            </w:r>
            <w:r>
              <w:t xml:space="preserve"> </w:t>
            </w:r>
            <w:r>
              <w:rPr>
                <w:rFonts w:ascii="Times New Roman" w:hAnsi="Times New Roman" w:cs="Times New Roman"/>
                <w:color w:val="000000" w:themeColor="text1"/>
                <w:sz w:val="20"/>
                <w:szCs w:val="20"/>
              </w:rPr>
              <w:t xml:space="preserve">ali bi </w:t>
            </w:r>
            <w:r w:rsidR="008812DE">
              <w:rPr>
                <w:rFonts w:ascii="Times New Roman" w:hAnsi="Times New Roman" w:cs="Times New Roman"/>
                <w:color w:val="000000" w:themeColor="text1"/>
                <w:sz w:val="20"/>
                <w:szCs w:val="20"/>
              </w:rPr>
              <w:t>ga</w:t>
            </w:r>
            <w:r>
              <w:rPr>
                <w:rFonts w:ascii="Times New Roman" w:hAnsi="Times New Roman" w:cs="Times New Roman"/>
                <w:color w:val="000000" w:themeColor="text1"/>
                <w:sz w:val="20"/>
                <w:szCs w:val="20"/>
              </w:rPr>
              <w:t xml:space="preserve"> izvještajni subjekt trebao preliminarno</w:t>
            </w:r>
            <w:r w:rsidR="008812DE">
              <w:rPr>
                <w:rFonts w:ascii="Times New Roman" w:hAnsi="Times New Roman" w:cs="Times New Roman"/>
                <w:color w:val="000000" w:themeColor="text1"/>
                <w:sz w:val="20"/>
                <w:szCs w:val="20"/>
              </w:rPr>
              <w:t xml:space="preserve"> izračunati</w:t>
            </w:r>
            <w:r>
              <w:rPr>
                <w:rFonts w:ascii="Times New Roman" w:hAnsi="Times New Roman" w:cs="Times New Roman"/>
                <w:color w:val="000000" w:themeColor="text1"/>
                <w:sz w:val="20"/>
                <w:szCs w:val="20"/>
              </w:rPr>
              <w:t xml:space="preserve">. </w:t>
            </w:r>
          </w:p>
        </w:tc>
      </w:tr>
      <w:tr w:rsidR="00393915" w14:paraId="7FE1B667" w14:textId="77777777">
        <w:tc>
          <w:tcPr>
            <w:tcW w:w="856" w:type="dxa"/>
            <w:tcBorders>
              <w:top w:val="single" w:sz="4" w:space="0" w:color="1A171C"/>
              <w:left w:val="nil"/>
              <w:bottom w:val="single" w:sz="4" w:space="0" w:color="1A171C"/>
              <w:right w:val="single" w:sz="4" w:space="0" w:color="1A171C"/>
            </w:tcBorders>
            <w:vAlign w:val="center"/>
          </w:tcPr>
          <w:p w14:paraId="7FE1B662" w14:textId="77777777" w:rsidR="00393915" w:rsidRDefault="00F24D68">
            <w:pPr>
              <w:pStyle w:val="P68B1DB1-TableParagraph13"/>
              <w:spacing w:before="106"/>
              <w:ind w:left="-1"/>
            </w:pPr>
            <w:r>
              <w:t>0460</w:t>
            </w:r>
          </w:p>
        </w:tc>
        <w:tc>
          <w:tcPr>
            <w:tcW w:w="8170" w:type="dxa"/>
            <w:tcBorders>
              <w:top w:val="single" w:sz="4" w:space="0" w:color="1A171C"/>
              <w:left w:val="single" w:sz="4" w:space="0" w:color="1A171C"/>
              <w:bottom w:val="single" w:sz="4" w:space="0" w:color="1A171C"/>
              <w:right w:val="nil"/>
            </w:tcBorders>
            <w:vAlign w:val="center"/>
          </w:tcPr>
          <w:p w14:paraId="7FE1B664" w14:textId="0C82E3D2" w:rsidR="00393915" w:rsidRDefault="001D31E9">
            <w:pPr>
              <w:pStyle w:val="P68B1DB1-TableParagraph13"/>
              <w:spacing w:before="108"/>
              <w:jc w:val="both"/>
            </w:pPr>
            <w:r>
              <w:rPr>
                <w:b/>
              </w:rPr>
              <w:t>Zaštitni sloj za o</w:t>
            </w:r>
            <w:r w:rsidR="00F24D68">
              <w:rPr>
                <w:b/>
              </w:rPr>
              <w:t>stale</w:t>
            </w:r>
            <w:r w:rsidR="00F24D68">
              <w:rPr>
                <w:b/>
              </w:rPr>
              <w:t xml:space="preserve"> sistemski važne institucije – </w:t>
            </w:r>
            <w:r w:rsidR="00F24D68">
              <w:t xml:space="preserve">članak 128. točka 4. i članak 131. Direktive 2013/36/EU </w:t>
            </w:r>
          </w:p>
          <w:p w14:paraId="7FE1B665" w14:textId="146AA8B0" w:rsidR="00393915" w:rsidRDefault="00F24D68">
            <w:pPr>
              <w:pStyle w:val="P68B1DB1-TableParagraph13"/>
              <w:spacing w:before="108"/>
              <w:jc w:val="both"/>
            </w:pPr>
            <w:r>
              <w:t xml:space="preserve">COREP (OF): </w:t>
            </w:r>
            <w:r w:rsidR="00F3409C" w:rsidRPr="00BB7A2E">
              <w:t>{</w:t>
            </w:r>
            <w:r>
              <w:t>C</w:t>
            </w:r>
            <w:r>
              <w:t xml:space="preserve"> 04.00;810;010</w:t>
            </w:r>
            <w:r w:rsidR="00F3409C" w:rsidRPr="00BB7A2E">
              <w:t xml:space="preserve">} </w:t>
            </w:r>
            <w:r>
              <w:t xml:space="preserve"> </w:t>
            </w:r>
          </w:p>
          <w:p w14:paraId="7FE1B666" w14:textId="77777777" w:rsidR="00393915" w:rsidRDefault="00F24D68">
            <w:pPr>
              <w:pStyle w:val="P68B1DB1-TableParagraph13"/>
              <w:spacing w:before="108"/>
              <w:jc w:val="both"/>
              <w:rPr>
                <w:b/>
                <w:bCs/>
              </w:rPr>
            </w:pPr>
            <w:r>
              <w:t>Iskazani iznos predstavlja iznos regulatornog kapitala koji je potreban za ispunjenje odgovarajućeg zahtjeva za zaštitni sloj kapitala na izvještajni datum.</w:t>
            </w:r>
          </w:p>
        </w:tc>
      </w:tr>
      <w:tr w:rsidR="00393915" w14:paraId="7FE1B670" w14:textId="77777777">
        <w:tc>
          <w:tcPr>
            <w:tcW w:w="856" w:type="dxa"/>
            <w:tcBorders>
              <w:top w:val="single" w:sz="4" w:space="0" w:color="1A171C"/>
              <w:left w:val="nil"/>
              <w:bottom w:val="single" w:sz="4" w:space="0" w:color="1A171C"/>
              <w:right w:val="single" w:sz="4" w:space="0" w:color="1A171C"/>
            </w:tcBorders>
            <w:vAlign w:val="center"/>
          </w:tcPr>
          <w:p w14:paraId="7FE1B668" w14:textId="77777777" w:rsidR="00393915" w:rsidRDefault="00F24D68">
            <w:pPr>
              <w:pStyle w:val="P68B1DB1-TableParagraph13"/>
              <w:spacing w:before="106"/>
              <w:ind w:left="-1"/>
            </w:pPr>
            <w:r>
              <w:t>0500</w:t>
            </w:r>
          </w:p>
        </w:tc>
        <w:tc>
          <w:tcPr>
            <w:tcW w:w="8170" w:type="dxa"/>
            <w:tcBorders>
              <w:top w:val="single" w:sz="4" w:space="0" w:color="1A171C"/>
              <w:left w:val="single" w:sz="4" w:space="0" w:color="1A171C"/>
              <w:bottom w:val="single" w:sz="4" w:space="0" w:color="1A171C"/>
              <w:right w:val="nil"/>
            </w:tcBorders>
            <w:vAlign w:val="center"/>
          </w:tcPr>
          <w:p w14:paraId="7FE1B669" w14:textId="77777777" w:rsidR="00393915" w:rsidRDefault="00F24D68">
            <w:pPr>
              <w:pStyle w:val="P68B1DB1-TableParagraph14"/>
              <w:spacing w:before="108"/>
              <w:jc w:val="both"/>
              <w:rPr>
                <w:bCs/>
              </w:rPr>
            </w:pPr>
            <w:r>
              <w:t xml:space="preserve">Stopa sveukupnog kapitalnog zahtjeva (OCR) </w:t>
            </w:r>
          </w:p>
          <w:p w14:paraId="7FE1B66A" w14:textId="5AD620A8" w:rsidR="00393915" w:rsidRDefault="00F24D68">
            <w:pPr>
              <w:pStyle w:val="P68B1DB1-TableParagraph13"/>
              <w:spacing w:before="108"/>
              <w:jc w:val="both"/>
            </w:pPr>
            <w:r>
              <w:t xml:space="preserve">COREP (OF): </w:t>
            </w:r>
            <w:r w:rsidR="005605AA" w:rsidRPr="002F61BB">
              <w:rPr>
                <w:lang w:val="en-GB"/>
              </w:rPr>
              <w:t>{</w:t>
            </w:r>
            <w:r>
              <w:t>C</w:t>
            </w:r>
            <w:r>
              <w:t xml:space="preserve"> 03.00;160;010</w:t>
            </w:r>
            <w:r w:rsidR="005605AA" w:rsidRPr="002F61BB">
              <w:rPr>
                <w:lang w:val="en-GB"/>
              </w:rPr>
              <w:t>}</w:t>
            </w:r>
            <w:r>
              <w:t xml:space="preserve"> </w:t>
            </w:r>
          </w:p>
          <w:p w14:paraId="7FE1B66B" w14:textId="67844972" w:rsidR="00393915" w:rsidRDefault="00F24D68">
            <w:pPr>
              <w:pStyle w:val="P68B1DB1-TableParagraph13"/>
              <w:spacing w:before="108"/>
              <w:jc w:val="both"/>
            </w:pPr>
            <w:r>
              <w:t xml:space="preserve">Zbroj točaka </w:t>
            </w:r>
            <w:r w:rsidR="005605AA">
              <w:t>(</w:t>
            </w:r>
            <w:r>
              <w:t>i</w:t>
            </w:r>
            <w:r>
              <w:t>.</w:t>
            </w:r>
            <w:r w:rsidR="005605AA">
              <w:t>)</w:t>
            </w:r>
            <w:r>
              <w:t xml:space="preserve"> i </w:t>
            </w:r>
            <w:r w:rsidR="005605AA">
              <w:t>(</w:t>
            </w:r>
            <w:r>
              <w:t>ii</w:t>
            </w:r>
            <w:r>
              <w:t>.</w:t>
            </w:r>
            <w:r w:rsidR="005605AA">
              <w:t>)</w:t>
            </w:r>
            <w:r>
              <w:t xml:space="preserve"> kako slijedi: </w:t>
            </w:r>
          </w:p>
          <w:p w14:paraId="7FE1B66C" w14:textId="77777777" w:rsidR="00393915" w:rsidRDefault="00F24D68">
            <w:pPr>
              <w:pStyle w:val="P68B1DB1-TableParagraph13"/>
              <w:numPr>
                <w:ilvl w:val="3"/>
                <w:numId w:val="211"/>
              </w:numPr>
              <w:spacing w:before="108"/>
              <w:ind w:left="931" w:hanging="567"/>
              <w:jc w:val="both"/>
            </w:pPr>
            <w:r>
              <w:t xml:space="preserve">stopa TSCR iz retka 0300; </w:t>
            </w:r>
          </w:p>
          <w:p w14:paraId="7FE1B66D" w14:textId="77777777" w:rsidR="00393915" w:rsidRDefault="00F24D68">
            <w:pPr>
              <w:pStyle w:val="P68B1DB1-TableParagraph13"/>
              <w:numPr>
                <w:ilvl w:val="3"/>
                <w:numId w:val="211"/>
              </w:numPr>
              <w:spacing w:before="108"/>
              <w:ind w:left="931" w:hanging="567"/>
              <w:jc w:val="both"/>
            </w:pPr>
            <w:r>
              <w:lastRenderedPageBreak/>
              <w:t xml:space="preserve">u mjeri u kojoj je to pravno primjenjivo, stopa zahtjeva za kombinirani zaštitni sloj iz članka 128. točke 6. Direktive 2013/36/EU. </w:t>
            </w:r>
          </w:p>
          <w:p w14:paraId="7FE1B66E" w14:textId="77777777" w:rsidR="00393915" w:rsidRDefault="00F24D68">
            <w:pPr>
              <w:pStyle w:val="P68B1DB1-TableParagraph13"/>
              <w:spacing w:before="108"/>
              <w:jc w:val="both"/>
            </w:pPr>
            <w:r>
              <w:t xml:space="preserve">Ova stavka odražava stopu sveukupnog kapitalnog zahtjeva (OCR) kako je definirano u odjeljku 1.2.Smjernica EBA-e o SREP-u. </w:t>
            </w:r>
          </w:p>
          <w:p w14:paraId="7FE1B66F" w14:textId="590282DD" w:rsidR="00393915" w:rsidRDefault="00F24D68">
            <w:pPr>
              <w:pStyle w:val="P68B1DB1-TableParagraph13"/>
              <w:spacing w:before="108"/>
              <w:jc w:val="both"/>
              <w:rPr>
                <w:b/>
                <w:bCs/>
              </w:rPr>
            </w:pPr>
            <w:r>
              <w:t xml:space="preserve">Ako nije primjenjiv nijedan zahtjev o zaštitnom sloju, iskazuje se samo točka </w:t>
            </w:r>
            <w:r w:rsidR="005E62AC">
              <w:t>(</w:t>
            </w:r>
            <w:r>
              <w:t>i</w:t>
            </w:r>
            <w:r>
              <w:t>.</w:t>
            </w:r>
            <w:r w:rsidR="005E62AC">
              <w:t>).</w:t>
            </w:r>
          </w:p>
        </w:tc>
      </w:tr>
    </w:tbl>
    <w:p w14:paraId="7FE1B712" w14:textId="77777777" w:rsidR="00393915" w:rsidRDefault="00393915">
      <w:pPr>
        <w:rPr>
          <w:rFonts w:ascii="Times New Roman" w:hAnsi="Times New Roman" w:cs="Times New Roman"/>
        </w:rPr>
      </w:pPr>
    </w:p>
    <w:p w14:paraId="7FE1B713" w14:textId="77777777" w:rsidR="00393915" w:rsidRDefault="00393915">
      <w:pPr>
        <w:rPr>
          <w:rFonts w:ascii="Times New Roman" w:hAnsi="Times New Roman" w:cs="Times New Roman"/>
        </w:rPr>
      </w:pPr>
    </w:p>
    <w:p w14:paraId="7FE1B714" w14:textId="50633A11" w:rsidR="00393915" w:rsidRDefault="00F24D68">
      <w:pPr>
        <w:pStyle w:val="P68B1DB1-Instructionsberschrift25"/>
        <w:numPr>
          <w:ilvl w:val="1"/>
          <w:numId w:val="49"/>
        </w:numPr>
        <w:ind w:left="357" w:hanging="357"/>
      </w:pPr>
      <w:bookmarkStart w:id="62" w:name="_Toc208244800"/>
      <w:r>
        <w:t>Z 03.02 – Kapitalni zahtjevi – investicijska društva (LIAB 3)</w:t>
      </w:r>
      <w:bookmarkEnd w:id="62"/>
    </w:p>
    <w:p w14:paraId="7FE1B715" w14:textId="77777777" w:rsidR="00393915" w:rsidRDefault="00F24D68">
      <w:pPr>
        <w:pStyle w:val="Instructionsberschrift3"/>
      </w:pPr>
      <w:r>
        <w:t>Opće napomene</w:t>
      </w:r>
    </w:p>
    <w:p w14:paraId="7FE1B716" w14:textId="77777777" w:rsidR="00393915" w:rsidRDefault="00F24D68">
      <w:pPr>
        <w:pStyle w:val="Instructionsberschrift3"/>
        <w:numPr>
          <w:ilvl w:val="4"/>
          <w:numId w:val="260"/>
        </w:numPr>
      </w:pPr>
      <w:r>
        <w:t>Ovim predloškom prikupljaju se informacije o kapitalnim zahtjevima za subjekta ili grupu.</w:t>
      </w:r>
    </w:p>
    <w:p w14:paraId="7FE1B717" w14:textId="1213D388" w:rsidR="00393915" w:rsidRDefault="00F24D68">
      <w:pPr>
        <w:pStyle w:val="Instructionsberschrift3"/>
        <w:numPr>
          <w:ilvl w:val="4"/>
          <w:numId w:val="260"/>
        </w:numPr>
      </w:pPr>
      <w:r>
        <w:t>Sve iskazane informacije odražavaju kapitalne zahtjeve primjenjive na referentni izvještajni datum.</w:t>
      </w:r>
    </w:p>
    <w:p w14:paraId="666AF7EE" w14:textId="03A3ED7E" w:rsidR="00393915" w:rsidRDefault="00F24D68">
      <w:pPr>
        <w:pStyle w:val="P68B1DB1-ListParagraph23"/>
        <w:numPr>
          <w:ilvl w:val="4"/>
          <w:numId w:val="260"/>
        </w:numPr>
      </w:pPr>
      <w:r>
        <w:t xml:space="preserve">Kad je riječ o izvješćivanju na konsolidiranoj ili pojedinačnoj osnovi, ako je subjekt te podatke već prijavio u IFREP-u za isti referentni datum i opseg izvješćivanja (vidjeti upućivanja na IFREP u uputama), izvještajni subjekt ne mora ponovno </w:t>
      </w:r>
      <w:r>
        <w:t>izvje</w:t>
      </w:r>
      <w:r w:rsidR="00D86EBB">
        <w:t>stiti te podatke</w:t>
      </w:r>
      <w:r>
        <w:t>.</w:t>
      </w:r>
      <w:r>
        <w:t xml:space="preserve"> Podaci se iskazuju samo ako je izvještajni subjekt izuzet od obveza financijskog ili bonitetnog izvješćivanja, </w:t>
      </w:r>
      <w:r w:rsidR="00D86EBB">
        <w:t xml:space="preserve">u </w:t>
      </w:r>
      <w:r w:rsidR="00D86EBB">
        <w:t>kojem</w:t>
      </w:r>
      <w:r>
        <w:t>slučaju</w:t>
      </w:r>
      <w:r>
        <w:t xml:space="preserve"> </w:t>
      </w:r>
      <w:r w:rsidR="00D86EBB">
        <w:t xml:space="preserve">je </w:t>
      </w:r>
      <w:r>
        <w:t>ovo izvješće jedini izvor podataka za sanacijska tijela</w:t>
      </w:r>
      <w:r w:rsidR="00D86EBB">
        <w:t>.</w:t>
      </w:r>
      <w:r>
        <w:t>.</w:t>
      </w:r>
    </w:p>
    <w:p w14:paraId="1DA6CBB2" w14:textId="77777777" w:rsidR="00393915" w:rsidRDefault="00393915">
      <w:pPr>
        <w:pStyle w:val="Instructionsberschrift3"/>
        <w:numPr>
          <w:ilvl w:val="4"/>
          <w:numId w:val="260"/>
        </w:numPr>
      </w:pPr>
    </w:p>
    <w:p w14:paraId="7FE1B718" w14:textId="4C8CE473" w:rsidR="00393915" w:rsidRDefault="00393915">
      <w:pPr>
        <w:pStyle w:val="InstructionsText2"/>
        <w:numPr>
          <w:ilvl w:val="0"/>
          <w:numId w:val="0"/>
        </w:numPr>
        <w:spacing w:before="0"/>
        <w:ind w:left="1440"/>
        <w:rPr>
          <w:rFonts w:ascii="Times New Roman" w:hAnsi="Times New Roman" w:cs="Times New Roman"/>
          <w:sz w:val="20"/>
          <w:szCs w:val="20"/>
        </w:rPr>
      </w:pPr>
    </w:p>
    <w:p w14:paraId="7FE1B719" w14:textId="77777777" w:rsidR="00393915" w:rsidRDefault="00F24D68">
      <w:pPr>
        <w:pStyle w:val="Instructionsberschrift3"/>
      </w:pPr>
      <w:r>
        <w:t>Upute za specifične pozicije</w:t>
      </w:r>
    </w:p>
    <w:p w14:paraId="7FE1B71A" w14:textId="77777777" w:rsidR="00393915" w:rsidRDefault="00393915">
      <w:pPr>
        <w:pStyle w:val="Instructionsberschrift3"/>
        <w:numPr>
          <w:ilvl w:val="0"/>
          <w:numId w:val="0"/>
        </w:numPr>
        <w:ind w:left="720" w:hanging="432"/>
      </w:pPr>
    </w:p>
    <w:tbl>
      <w:tblPr>
        <w:tblW w:w="0" w:type="auto"/>
        <w:tblCellMar>
          <w:top w:w="57" w:type="dxa"/>
          <w:left w:w="57" w:type="dxa"/>
          <w:bottom w:w="57" w:type="dxa"/>
          <w:right w:w="0" w:type="dxa"/>
        </w:tblCellMar>
        <w:tblLook w:val="01E0" w:firstRow="1" w:lastRow="1" w:firstColumn="1" w:lastColumn="1" w:noHBand="0" w:noVBand="0"/>
      </w:tblPr>
      <w:tblGrid>
        <w:gridCol w:w="856"/>
        <w:gridCol w:w="8170"/>
      </w:tblGrid>
      <w:tr w:rsidR="00393915" w14:paraId="7FE1B71D" w14:textId="77777777">
        <w:trPr>
          <w:tblHeader/>
        </w:trPr>
        <w:tc>
          <w:tcPr>
            <w:tcW w:w="856" w:type="dxa"/>
            <w:tcBorders>
              <w:top w:val="single" w:sz="4" w:space="0" w:color="1A171C"/>
              <w:left w:val="nil"/>
              <w:bottom w:val="single" w:sz="4" w:space="0" w:color="1A171C"/>
              <w:right w:val="single" w:sz="4" w:space="0" w:color="1A171C"/>
            </w:tcBorders>
            <w:shd w:val="clear" w:color="auto" w:fill="E4E5E5"/>
          </w:tcPr>
          <w:p w14:paraId="7FE1B71B" w14:textId="77777777" w:rsidR="00393915" w:rsidRDefault="00F24D68">
            <w:pPr>
              <w:pStyle w:val="P68B1DB1-TableParagraph13"/>
              <w:spacing w:before="66"/>
              <w:rPr>
                <w:rFonts w:eastAsia="Cambria"/>
              </w:rPr>
            </w:pPr>
            <w:r>
              <w:t>Redci</w:t>
            </w:r>
          </w:p>
        </w:tc>
        <w:tc>
          <w:tcPr>
            <w:tcW w:w="8170" w:type="dxa"/>
            <w:tcBorders>
              <w:top w:val="single" w:sz="4" w:space="0" w:color="1A171C"/>
              <w:left w:val="single" w:sz="4" w:space="0" w:color="1A171C"/>
              <w:bottom w:val="single" w:sz="4" w:space="0" w:color="1A171C"/>
              <w:right w:val="nil"/>
            </w:tcBorders>
            <w:shd w:val="clear" w:color="auto" w:fill="E4E5E5"/>
          </w:tcPr>
          <w:p w14:paraId="7FE1B71C" w14:textId="77777777" w:rsidR="00393915" w:rsidRDefault="00F24D68">
            <w:pPr>
              <w:pStyle w:val="P68B1DB1-TableParagraph13"/>
              <w:spacing w:before="66"/>
              <w:ind w:right="1"/>
              <w:jc w:val="center"/>
              <w:rPr>
                <w:rFonts w:eastAsia="Cambria"/>
              </w:rPr>
            </w:pPr>
            <w:r>
              <w:t>Upute</w:t>
            </w:r>
          </w:p>
        </w:tc>
      </w:tr>
      <w:tr w:rsidR="00393915" w14:paraId="7FE1B722" w14:textId="77777777">
        <w:tc>
          <w:tcPr>
            <w:tcW w:w="856" w:type="dxa"/>
            <w:tcBorders>
              <w:top w:val="single" w:sz="4" w:space="0" w:color="1A171C"/>
              <w:left w:val="nil"/>
              <w:bottom w:val="single" w:sz="4" w:space="0" w:color="1A171C"/>
              <w:right w:val="single" w:sz="4" w:space="0" w:color="1A171C"/>
            </w:tcBorders>
            <w:vAlign w:val="center"/>
          </w:tcPr>
          <w:p w14:paraId="7FE1B71E" w14:textId="77777777" w:rsidR="00393915" w:rsidRDefault="00F24D68">
            <w:pPr>
              <w:pStyle w:val="P68B1DB1-TableParagraph13"/>
              <w:spacing w:before="106"/>
              <w:ind w:left="-1"/>
              <w:rPr>
                <w:rFonts w:eastAsia="Cambria"/>
                <w:b/>
              </w:rPr>
            </w:pPr>
            <w:r>
              <w:t>0100</w:t>
            </w:r>
          </w:p>
        </w:tc>
        <w:tc>
          <w:tcPr>
            <w:tcW w:w="8170" w:type="dxa"/>
            <w:tcBorders>
              <w:top w:val="single" w:sz="4" w:space="0" w:color="1A171C"/>
              <w:left w:val="single" w:sz="4" w:space="0" w:color="1A171C"/>
              <w:bottom w:val="single" w:sz="4" w:space="0" w:color="1A171C"/>
              <w:right w:val="nil"/>
            </w:tcBorders>
            <w:vAlign w:val="center"/>
          </w:tcPr>
          <w:p w14:paraId="0E4C8C5E" w14:textId="5424F59B" w:rsidR="00393915" w:rsidRDefault="00F24D68">
            <w:pPr>
              <w:rPr>
                <w:rStyle w:val="InstructionsTabelleberschrift"/>
                <w:rFonts w:ascii="Times New Roman" w:hAnsi="Times New Roman"/>
                <w:color w:val="000000" w:themeColor="text1"/>
                <w:szCs w:val="20"/>
                <w:u w:val="none"/>
              </w:rPr>
            </w:pPr>
            <w:r>
              <w:rPr>
                <w:rStyle w:val="InstructionsTabelleberschrift"/>
                <w:rFonts w:ascii="Times New Roman" w:hAnsi="Times New Roman"/>
                <w:color w:val="000000" w:themeColor="text1"/>
                <w:szCs w:val="20"/>
                <w:u w:val="none"/>
              </w:rPr>
              <w:t xml:space="preserve">Ukupni kapitalni zahtjev </w:t>
            </w:r>
            <w:r>
              <w:rPr>
                <w:rStyle w:val="InstructionsTabelleberschrift"/>
                <w:rFonts w:ascii="Times New Roman" w:hAnsi="Times New Roman"/>
                <w:color w:val="000000" w:themeColor="text1"/>
                <w:szCs w:val="20"/>
              </w:rPr>
              <w:t>(IFREP I 02.01 r0130)</w:t>
            </w:r>
          </w:p>
          <w:p w14:paraId="29B1A135" w14:textId="77777777" w:rsidR="00393915" w:rsidRDefault="00393915">
            <w:pPr>
              <w:rPr>
                <w:rStyle w:val="InstructionsTabelleberschrift"/>
                <w:rFonts w:ascii="Times New Roman" w:hAnsi="Times New Roman"/>
                <w:color w:val="000000" w:themeColor="text1"/>
                <w:szCs w:val="20"/>
                <w:u w:val="none"/>
              </w:rPr>
            </w:pPr>
          </w:p>
          <w:p w14:paraId="4F8C79FA" w14:textId="5898533A" w:rsidR="00393915" w:rsidRDefault="00F24D68">
            <w:pPr>
              <w:pStyle w:val="P68B1DB1-TableParagraph17"/>
              <w:spacing w:before="108"/>
            </w:pPr>
            <w:r>
              <w:t>Kapitalni zahtjev investicijskog društva sastoji se od zbroja kapitalnih zahtjeva primjenjivih na referentni datum</w:t>
            </w:r>
            <w:r w:rsidR="00401478">
              <w:t xml:space="preserve"> i</w:t>
            </w:r>
            <w:r>
              <w:t xml:space="preserve"> dodatnog</w:t>
            </w:r>
            <w:r w:rsidR="00401478">
              <w:t xml:space="preserve"> </w:t>
            </w:r>
            <w:r>
              <w:t>kapitalnog</w:t>
            </w:r>
            <w:r>
              <w:t xml:space="preserve"> zahtjeva kako je iskazan u retku 0120 i smjernice o dodatnom regulatornom kapitalu kako je </w:t>
            </w:r>
            <w:r>
              <w:t>iskazan</w:t>
            </w:r>
            <w:r w:rsidR="00A403C3">
              <w:t>o</w:t>
            </w:r>
            <w:r>
              <w:t xml:space="preserve"> u retku 0130.</w:t>
            </w:r>
          </w:p>
          <w:p w14:paraId="7FE1B721" w14:textId="77777777" w:rsidR="00393915" w:rsidRDefault="00393915">
            <w:pPr>
              <w:pStyle w:val="TableParagraph"/>
              <w:spacing w:before="108"/>
              <w:rPr>
                <w:rFonts w:ascii="Times New Roman" w:hAnsi="Times New Roman" w:cs="Times New Roman"/>
                <w:color w:val="000000" w:themeColor="text1"/>
                <w:sz w:val="20"/>
                <w:szCs w:val="20"/>
              </w:rPr>
            </w:pPr>
          </w:p>
        </w:tc>
      </w:tr>
      <w:tr w:rsidR="00393915" w14:paraId="7FE1B728" w14:textId="77777777">
        <w:tc>
          <w:tcPr>
            <w:tcW w:w="856" w:type="dxa"/>
            <w:tcBorders>
              <w:top w:val="single" w:sz="4" w:space="0" w:color="1A171C"/>
              <w:left w:val="nil"/>
              <w:bottom w:val="single" w:sz="4" w:space="0" w:color="1A171C"/>
              <w:right w:val="single" w:sz="4" w:space="0" w:color="1A171C"/>
            </w:tcBorders>
            <w:vAlign w:val="center"/>
          </w:tcPr>
          <w:p w14:paraId="7FE1B723" w14:textId="6F3D19E1" w:rsidR="00393915" w:rsidRDefault="00F24D68">
            <w:pPr>
              <w:pStyle w:val="P68B1DB1-TableParagraph13"/>
              <w:spacing w:before="106"/>
              <w:ind w:left="-1"/>
            </w:pPr>
            <w:r>
              <w:t>0110</w:t>
            </w:r>
          </w:p>
        </w:tc>
        <w:tc>
          <w:tcPr>
            <w:tcW w:w="8170" w:type="dxa"/>
            <w:tcBorders>
              <w:top w:val="single" w:sz="4" w:space="0" w:color="1A171C"/>
              <w:left w:val="single" w:sz="4" w:space="0" w:color="1A171C"/>
              <w:bottom w:val="single" w:sz="4" w:space="0" w:color="1A171C"/>
              <w:right w:val="nil"/>
            </w:tcBorders>
            <w:vAlign w:val="center"/>
          </w:tcPr>
          <w:p w14:paraId="1CBC0494" w14:textId="1616B09F" w:rsidR="00393915" w:rsidRDefault="00F24D68">
            <w:pPr>
              <w:pStyle w:val="TableParagraph"/>
              <w:spacing w:before="108"/>
              <w:rPr>
                <w:rFonts w:ascii="Times New Roman" w:hAnsi="Times New Roman" w:cs="Times New Roman"/>
                <w:b/>
                <w:bCs/>
                <w:color w:val="000000" w:themeColor="text1"/>
                <w:sz w:val="20"/>
                <w:szCs w:val="20"/>
              </w:rPr>
            </w:pPr>
            <w:r>
              <w:rPr>
                <w:rFonts w:ascii="Times New Roman" w:hAnsi="Times New Roman" w:cs="Times New Roman"/>
                <w:b/>
                <w:color w:val="000000" w:themeColor="text1"/>
                <w:sz w:val="20"/>
                <w:szCs w:val="20"/>
              </w:rPr>
              <w:t xml:space="preserve">Kapitalni zahtjev </w:t>
            </w:r>
            <w:r>
              <w:rPr>
                <w:rStyle w:val="InstructionsTabelleberschrift"/>
                <w:rFonts w:ascii="Times New Roman" w:hAnsi="Times New Roman"/>
                <w:color w:val="000000" w:themeColor="text1"/>
                <w:szCs w:val="20"/>
              </w:rPr>
              <w:t>(IFREP I 02.01 r0010)</w:t>
            </w:r>
          </w:p>
          <w:p w14:paraId="74086713" w14:textId="7F827C2E" w:rsidR="00393915" w:rsidRDefault="00F24D68">
            <w:pPr>
              <w:pStyle w:val="P68B1DB1-TableParagraph17"/>
              <w:spacing w:before="108"/>
            </w:pPr>
            <w:r>
              <w:t>Članak 11. stavak 1. Uredbe (EU) 2019/2033.</w:t>
            </w:r>
          </w:p>
          <w:p w14:paraId="016729EC" w14:textId="77777777" w:rsidR="00393915" w:rsidRDefault="00F24D68">
            <w:pPr>
              <w:pStyle w:val="P68B1DB1-TableParagraph17"/>
              <w:spacing w:before="108"/>
            </w:pPr>
            <w:r>
              <w:t>Iskazuje se iznos bez primjene članka 57. stavaka 3., 4. ili 6. Uredbe (EU) 2019/2033.</w:t>
            </w:r>
          </w:p>
          <w:p w14:paraId="7FE1B727" w14:textId="77777777" w:rsidR="00393915" w:rsidRDefault="00393915">
            <w:pPr>
              <w:pStyle w:val="TableParagraph"/>
              <w:spacing w:before="108"/>
              <w:jc w:val="both"/>
              <w:rPr>
                <w:rFonts w:ascii="Times New Roman" w:eastAsia="Cambria" w:hAnsi="Times New Roman" w:cs="Times New Roman"/>
                <w:color w:val="000000" w:themeColor="text1"/>
                <w:sz w:val="20"/>
                <w:szCs w:val="20"/>
              </w:rPr>
            </w:pPr>
          </w:p>
        </w:tc>
      </w:tr>
      <w:tr w:rsidR="00393915" w14:paraId="7FE1B72F" w14:textId="77777777">
        <w:tc>
          <w:tcPr>
            <w:tcW w:w="856" w:type="dxa"/>
            <w:tcBorders>
              <w:top w:val="single" w:sz="4" w:space="0" w:color="1A171C"/>
              <w:left w:val="nil"/>
              <w:bottom w:val="single" w:sz="4" w:space="0" w:color="1A171C"/>
              <w:right w:val="single" w:sz="4" w:space="0" w:color="1A171C"/>
            </w:tcBorders>
            <w:vAlign w:val="center"/>
          </w:tcPr>
          <w:p w14:paraId="7FE1B729" w14:textId="4BE2E84C" w:rsidR="00393915" w:rsidRDefault="00F24D68">
            <w:pPr>
              <w:pStyle w:val="P68B1DB1-TableParagraph13"/>
              <w:spacing w:before="106"/>
              <w:ind w:left="-1"/>
            </w:pPr>
            <w:r>
              <w:t>0120</w:t>
            </w:r>
          </w:p>
        </w:tc>
        <w:tc>
          <w:tcPr>
            <w:tcW w:w="8170" w:type="dxa"/>
            <w:tcBorders>
              <w:top w:val="single" w:sz="4" w:space="0" w:color="1A171C"/>
              <w:left w:val="single" w:sz="4" w:space="0" w:color="1A171C"/>
              <w:bottom w:val="single" w:sz="4" w:space="0" w:color="1A171C"/>
              <w:right w:val="nil"/>
            </w:tcBorders>
            <w:vAlign w:val="center"/>
          </w:tcPr>
          <w:p w14:paraId="694F6CD4" w14:textId="5AF6818D" w:rsidR="00393915" w:rsidRDefault="00F24D68">
            <w:pPr>
              <w:pStyle w:val="TableParagraph"/>
              <w:spacing w:before="108"/>
              <w:jc w:val="both"/>
              <w:rPr>
                <w:rFonts w:ascii="Times New Roman" w:hAnsi="Times New Roman" w:cs="Times New Roman"/>
                <w:b/>
                <w:bCs/>
                <w:color w:val="000000" w:themeColor="text1"/>
                <w:sz w:val="20"/>
                <w:szCs w:val="20"/>
              </w:rPr>
            </w:pPr>
            <w:r>
              <w:rPr>
                <w:rFonts w:ascii="Times New Roman" w:hAnsi="Times New Roman" w:cs="Times New Roman"/>
                <w:b/>
                <w:color w:val="000000" w:themeColor="text1"/>
                <w:sz w:val="20"/>
                <w:szCs w:val="20"/>
              </w:rPr>
              <w:t xml:space="preserve">Dodatni kapitalni zahtjev </w:t>
            </w:r>
            <w:r>
              <w:rPr>
                <w:rStyle w:val="InstructionsTabelleberschrift"/>
                <w:rFonts w:ascii="Times New Roman" w:hAnsi="Times New Roman"/>
                <w:color w:val="000000" w:themeColor="text1"/>
                <w:szCs w:val="20"/>
              </w:rPr>
              <w:t>(IFREP I 02.01 r0110)</w:t>
            </w:r>
          </w:p>
          <w:p w14:paraId="05BFD23E" w14:textId="06165C78" w:rsidR="00393915" w:rsidRDefault="00F24D68">
            <w:pPr>
              <w:pStyle w:val="P68B1DB1-TableParagraph17"/>
              <w:spacing w:before="108"/>
              <w:jc w:val="both"/>
            </w:pPr>
            <w:r>
              <w:t>Članak 40. Direktive (EU) 2019/2034</w:t>
            </w:r>
          </w:p>
          <w:p w14:paraId="2AF15530" w14:textId="66BDAC4A" w:rsidR="00393915" w:rsidRDefault="00F24D68">
            <w:pPr>
              <w:pStyle w:val="P68B1DB1-TableParagraph13"/>
              <w:spacing w:before="108"/>
              <w:jc w:val="both"/>
            </w:pPr>
            <w:r>
              <w:t xml:space="preserve">Dodatni regulatorni kapital </w:t>
            </w:r>
            <w:r w:rsidR="00B4319E">
              <w:t>zahtijevan</w:t>
            </w:r>
            <w:r>
              <w:t xml:space="preserve"> nakon postupka nadzorne provjere i ocjene (SREP) </w:t>
            </w:r>
          </w:p>
          <w:p w14:paraId="7FE1B72E" w14:textId="77777777" w:rsidR="00393915" w:rsidRDefault="00393915">
            <w:pPr>
              <w:pStyle w:val="TableParagraph"/>
              <w:spacing w:before="108"/>
              <w:rPr>
                <w:rFonts w:ascii="Times New Roman" w:eastAsia="Cambria" w:hAnsi="Times New Roman" w:cs="Times New Roman"/>
                <w:color w:val="000000" w:themeColor="text1"/>
                <w:sz w:val="20"/>
                <w:szCs w:val="20"/>
              </w:rPr>
            </w:pPr>
          </w:p>
        </w:tc>
      </w:tr>
      <w:tr w:rsidR="00393915" w14:paraId="7FE1B738" w14:textId="77777777">
        <w:tc>
          <w:tcPr>
            <w:tcW w:w="856" w:type="dxa"/>
            <w:tcBorders>
              <w:top w:val="single" w:sz="4" w:space="0" w:color="1A171C"/>
              <w:left w:val="nil"/>
              <w:bottom w:val="single" w:sz="4" w:space="0" w:color="1A171C"/>
              <w:right w:val="single" w:sz="4" w:space="0" w:color="1A171C"/>
            </w:tcBorders>
            <w:vAlign w:val="center"/>
          </w:tcPr>
          <w:p w14:paraId="7FE1B730" w14:textId="22E6147A" w:rsidR="00393915" w:rsidRDefault="00F24D68">
            <w:pPr>
              <w:pStyle w:val="P68B1DB1-TableParagraph13"/>
              <w:spacing w:before="106"/>
              <w:ind w:left="-1"/>
            </w:pPr>
            <w:r>
              <w:t>0130</w:t>
            </w:r>
          </w:p>
        </w:tc>
        <w:tc>
          <w:tcPr>
            <w:tcW w:w="8170" w:type="dxa"/>
            <w:tcBorders>
              <w:top w:val="single" w:sz="4" w:space="0" w:color="1A171C"/>
              <w:left w:val="single" w:sz="4" w:space="0" w:color="1A171C"/>
              <w:bottom w:val="single" w:sz="4" w:space="0" w:color="1A171C"/>
              <w:right w:val="nil"/>
            </w:tcBorders>
            <w:vAlign w:val="center"/>
          </w:tcPr>
          <w:p w14:paraId="721CC100" w14:textId="6FAC5E97" w:rsidR="00393915" w:rsidRDefault="00F24D68">
            <w:pPr>
              <w:pStyle w:val="TableParagraph"/>
              <w:spacing w:before="108"/>
              <w:jc w:val="both"/>
              <w:rPr>
                <w:rFonts w:ascii="Times New Roman" w:hAnsi="Times New Roman" w:cs="Times New Roman"/>
                <w:b/>
                <w:bCs/>
                <w:color w:val="000000" w:themeColor="text1"/>
                <w:sz w:val="20"/>
                <w:szCs w:val="20"/>
              </w:rPr>
            </w:pPr>
            <w:r>
              <w:rPr>
                <w:rFonts w:ascii="Times New Roman" w:hAnsi="Times New Roman" w:cs="Times New Roman"/>
                <w:b/>
                <w:color w:val="000000" w:themeColor="text1"/>
                <w:sz w:val="20"/>
                <w:szCs w:val="20"/>
              </w:rPr>
              <w:t xml:space="preserve">Dodatne smjernice o regulatornom </w:t>
            </w:r>
            <w:r>
              <w:rPr>
                <w:rStyle w:val="InstructionsTabelleberschrift"/>
                <w:rFonts w:ascii="Times New Roman" w:hAnsi="Times New Roman"/>
                <w:color w:val="000000" w:themeColor="text1"/>
                <w:szCs w:val="20"/>
              </w:rPr>
              <w:t>kapitalu (IFREP I 02.01 r0120)</w:t>
            </w:r>
          </w:p>
          <w:p w14:paraId="4094919F" w14:textId="67C4E4FA" w:rsidR="00393915" w:rsidRDefault="00F24D68">
            <w:pPr>
              <w:pStyle w:val="P68B1DB1-TableParagraph17"/>
              <w:spacing w:before="108"/>
            </w:pPr>
            <w:r>
              <w:lastRenderedPageBreak/>
              <w:t>Članak 41. Direktive (EU) 2019/2034</w:t>
            </w:r>
          </w:p>
          <w:p w14:paraId="1EA34579" w14:textId="15877305" w:rsidR="00393915" w:rsidRDefault="00F24D68">
            <w:pPr>
              <w:pStyle w:val="P68B1DB1-TableParagraph17"/>
              <w:spacing w:before="108"/>
            </w:pPr>
            <w:r>
              <w:t xml:space="preserve">Dodatni regulatorni kapital </w:t>
            </w:r>
            <w:r w:rsidR="008E3427">
              <w:t>zahtijevan temeljem</w:t>
            </w:r>
            <w:r>
              <w:t xml:space="preserve"> dodatne smjernice o regulatornom kapitalu</w:t>
            </w:r>
          </w:p>
          <w:p w14:paraId="7FE1B736" w14:textId="77777777" w:rsidR="00393915" w:rsidRDefault="00393915">
            <w:pPr>
              <w:pStyle w:val="TableParagraph"/>
              <w:spacing w:before="108"/>
              <w:jc w:val="both"/>
              <w:rPr>
                <w:rStyle w:val="InstructionsTabelleberschrift"/>
                <w:rFonts w:ascii="Times New Roman" w:eastAsia="Cambria" w:hAnsi="Times New Roman"/>
                <w:b w:val="0"/>
                <w:bCs w:val="0"/>
                <w:color w:val="000000" w:themeColor="text1"/>
                <w:szCs w:val="20"/>
                <w:u w:val="none"/>
              </w:rPr>
            </w:pPr>
          </w:p>
          <w:p w14:paraId="7FE1B737" w14:textId="77777777" w:rsidR="00393915" w:rsidRDefault="00393915">
            <w:pPr>
              <w:pStyle w:val="TableParagraph"/>
              <w:spacing w:before="108"/>
              <w:jc w:val="both"/>
              <w:rPr>
                <w:rFonts w:ascii="Times New Roman" w:hAnsi="Times New Roman" w:cs="Times New Roman"/>
                <w:b/>
                <w:bCs/>
                <w:color w:val="000000" w:themeColor="text1"/>
                <w:sz w:val="20"/>
                <w:szCs w:val="20"/>
              </w:rPr>
            </w:pPr>
          </w:p>
        </w:tc>
      </w:tr>
    </w:tbl>
    <w:p w14:paraId="7FE1B741" w14:textId="77777777" w:rsidR="00393915" w:rsidRDefault="00393915">
      <w:pPr>
        <w:pStyle w:val="Instructionsberschrift3"/>
        <w:numPr>
          <w:ilvl w:val="0"/>
          <w:numId w:val="0"/>
        </w:numPr>
        <w:ind w:left="720" w:hanging="432"/>
      </w:pPr>
    </w:p>
    <w:p w14:paraId="7FE1B742" w14:textId="77777777" w:rsidR="00393915" w:rsidRDefault="00393915">
      <w:pPr>
        <w:pStyle w:val="Instructionsberschrift3"/>
        <w:numPr>
          <w:ilvl w:val="0"/>
          <w:numId w:val="0"/>
        </w:numPr>
        <w:ind w:left="720" w:hanging="432"/>
      </w:pPr>
    </w:p>
    <w:p w14:paraId="7FE1B743" w14:textId="77777777" w:rsidR="00393915" w:rsidRDefault="00393915">
      <w:pPr>
        <w:pStyle w:val="Instructionsberschrift3"/>
        <w:numPr>
          <w:ilvl w:val="0"/>
          <w:numId w:val="0"/>
        </w:numPr>
        <w:ind w:left="720" w:hanging="432"/>
      </w:pPr>
    </w:p>
    <w:p w14:paraId="7FE1B744" w14:textId="49BA0C03" w:rsidR="00393915" w:rsidRDefault="00393915">
      <w:pPr>
        <w:rPr>
          <w:rFonts w:ascii="Times New Roman" w:hAnsi="Times New Roman" w:cs="Times New Roman"/>
          <w:color w:val="000000" w:themeColor="text1"/>
          <w:sz w:val="20"/>
          <w:szCs w:val="20"/>
        </w:rPr>
      </w:pPr>
    </w:p>
    <w:p w14:paraId="7FE1B745" w14:textId="08543C05" w:rsidR="00393915" w:rsidRDefault="00F24D68">
      <w:pPr>
        <w:pStyle w:val="P68B1DB1-Instructionsberschrift25"/>
        <w:numPr>
          <w:ilvl w:val="1"/>
          <w:numId w:val="49"/>
        </w:numPr>
        <w:ind w:left="357" w:hanging="357"/>
      </w:pPr>
      <w:bookmarkStart w:id="63" w:name="_Toc492542324"/>
      <w:bookmarkStart w:id="64" w:name="_Toc81454182"/>
      <w:bookmarkStart w:id="65" w:name="_Toc208244801"/>
      <w:r>
        <w:t>Z 04.00 – Međusobne financijske veze unutar grupe (</w:t>
      </w:r>
      <w:r w:rsidR="009630F6">
        <w:t>LIAB 4</w:t>
      </w:r>
      <w:r>
        <w:t>)</w:t>
      </w:r>
      <w:bookmarkEnd w:id="63"/>
      <w:bookmarkEnd w:id="64"/>
      <w:bookmarkEnd w:id="65"/>
    </w:p>
    <w:p w14:paraId="7FE1B746" w14:textId="77777777" w:rsidR="00393915" w:rsidRDefault="00F24D68">
      <w:pPr>
        <w:pStyle w:val="Instructionsberschrift3"/>
      </w:pPr>
      <w:r>
        <w:t>Opće napomene</w:t>
      </w:r>
    </w:p>
    <w:p w14:paraId="7FE1B747" w14:textId="3BB98E0B" w:rsidR="00393915" w:rsidRDefault="00F24D68">
      <w:pPr>
        <w:pStyle w:val="P68B1DB1-InstructionsText26"/>
        <w:numPr>
          <w:ilvl w:val="0"/>
          <w:numId w:val="232"/>
        </w:numPr>
        <w:spacing w:before="0"/>
      </w:pPr>
      <w:r>
        <w:t xml:space="preserve">U ovom se predlošku zahtijevaju informacije o obvezama unutar grupe, instrumentima kapitala i jamstvima. </w:t>
      </w:r>
    </w:p>
    <w:p w14:paraId="7FE1B748" w14:textId="14111B81" w:rsidR="00393915" w:rsidRDefault="00F24D68">
      <w:pPr>
        <w:pStyle w:val="P68B1DB1-InstructionsText26"/>
        <w:numPr>
          <w:ilvl w:val="0"/>
          <w:numId w:val="232"/>
        </w:numPr>
        <w:spacing w:before="0"/>
      </w:pPr>
      <w:r>
        <w:t xml:space="preserve">Iskazuju se sve međusobne financijske veze relevantnih pravnih osoba koje su uključene u konsolidirane financijske izvještaje. Iskazani iznosi zbrajaju se ako se odnose na iste druge ugovorne strane (izdavatelj ili subjekt za </w:t>
      </w:r>
      <w:r>
        <w:t>koj</w:t>
      </w:r>
      <w:r w:rsidR="00D854D1">
        <w:t>eg</w:t>
      </w:r>
      <w:r>
        <w:t xml:space="preserve"> je dano jamstvo i vjerovnik, imatelj ili pružatelj jamstva) i na iste vrste obveza, instrumenata kapitala ili jamstava.</w:t>
      </w:r>
    </w:p>
    <w:p w14:paraId="7FE1B749" w14:textId="77777777" w:rsidR="00393915" w:rsidRDefault="00F24D68">
      <w:pPr>
        <w:pStyle w:val="P68B1DB1-InstructionsText26"/>
        <w:numPr>
          <w:ilvl w:val="0"/>
          <w:numId w:val="232"/>
        </w:numPr>
        <w:spacing w:before="0"/>
      </w:pPr>
      <w:r>
        <w:t>Kombinacija vrijednosti iskazanih u stupcima 0020, 0040 i 0050 ovog predloška čini primarni ključ koji mora biti jedinstven za svaki redak predloška.</w:t>
      </w:r>
    </w:p>
    <w:p w14:paraId="7FE1B74A" w14:textId="77777777" w:rsidR="00393915" w:rsidRDefault="00F24D68">
      <w:pPr>
        <w:pStyle w:val="P68B1DB1-Instructionsberschrift312"/>
      </w:pPr>
      <w:r>
        <w:t>Upute za specifične pozicije</w:t>
      </w:r>
    </w:p>
    <w:tbl>
      <w:tblPr>
        <w:tblW w:w="0" w:type="auto"/>
        <w:tblCellMar>
          <w:top w:w="57" w:type="dxa"/>
          <w:left w:w="57" w:type="dxa"/>
          <w:bottom w:w="57" w:type="dxa"/>
          <w:right w:w="0" w:type="dxa"/>
        </w:tblCellMar>
        <w:tblLook w:val="01E0" w:firstRow="1" w:lastRow="1" w:firstColumn="1" w:lastColumn="1" w:noHBand="0" w:noVBand="0"/>
      </w:tblPr>
      <w:tblGrid>
        <w:gridCol w:w="907"/>
        <w:gridCol w:w="8119"/>
      </w:tblGrid>
      <w:tr w:rsidR="00393915" w14:paraId="7FE1B74D" w14:textId="77777777">
        <w:trPr>
          <w:tblHeader/>
        </w:trPr>
        <w:tc>
          <w:tcPr>
            <w:tcW w:w="907" w:type="dxa"/>
            <w:tcBorders>
              <w:top w:val="single" w:sz="4" w:space="0" w:color="1A171C"/>
              <w:left w:val="nil"/>
              <w:bottom w:val="single" w:sz="4" w:space="0" w:color="1A171C"/>
              <w:right w:val="single" w:sz="4" w:space="0" w:color="1A171C"/>
            </w:tcBorders>
            <w:shd w:val="clear" w:color="auto" w:fill="E4E5E5"/>
          </w:tcPr>
          <w:p w14:paraId="7FE1B74B" w14:textId="77777777" w:rsidR="00393915" w:rsidRDefault="00F24D68">
            <w:pPr>
              <w:pStyle w:val="P68B1DB1-TableParagraph13"/>
              <w:spacing w:before="66"/>
              <w:rPr>
                <w:rFonts w:eastAsia="Cambria"/>
              </w:rPr>
            </w:pPr>
            <w:r>
              <w:t>Stupci</w:t>
            </w:r>
          </w:p>
        </w:tc>
        <w:tc>
          <w:tcPr>
            <w:tcW w:w="8119" w:type="dxa"/>
            <w:tcBorders>
              <w:top w:val="single" w:sz="4" w:space="0" w:color="1A171C"/>
              <w:left w:val="single" w:sz="4" w:space="0" w:color="1A171C"/>
              <w:bottom w:val="single" w:sz="4" w:space="0" w:color="1A171C"/>
              <w:right w:val="nil"/>
            </w:tcBorders>
            <w:shd w:val="clear" w:color="auto" w:fill="E4E5E5"/>
          </w:tcPr>
          <w:p w14:paraId="7FE1B74C" w14:textId="77777777" w:rsidR="00393915" w:rsidRDefault="00F24D68">
            <w:pPr>
              <w:pStyle w:val="P68B1DB1-TableParagraph13"/>
              <w:spacing w:before="66"/>
              <w:ind w:right="1"/>
              <w:jc w:val="center"/>
              <w:rPr>
                <w:rFonts w:eastAsia="Cambria"/>
              </w:rPr>
            </w:pPr>
            <w:r>
              <w:t>Upute</w:t>
            </w:r>
          </w:p>
        </w:tc>
      </w:tr>
      <w:tr w:rsidR="00393915" w14:paraId="7FE1B751" w14:textId="77777777">
        <w:tc>
          <w:tcPr>
            <w:tcW w:w="907" w:type="dxa"/>
            <w:tcBorders>
              <w:top w:val="single" w:sz="4" w:space="0" w:color="1A171C"/>
              <w:left w:val="nil"/>
              <w:bottom w:val="single" w:sz="4" w:space="0" w:color="1A171C"/>
              <w:right w:val="single" w:sz="4" w:space="0" w:color="1A171C"/>
            </w:tcBorders>
            <w:vAlign w:val="center"/>
          </w:tcPr>
          <w:p w14:paraId="7FE1B74E" w14:textId="6C279506" w:rsidR="00393915" w:rsidRDefault="00F24D68">
            <w:pPr>
              <w:pStyle w:val="P68B1DB1-TableParagraph13"/>
              <w:spacing w:before="106"/>
              <w:ind w:left="-1"/>
            </w:pPr>
            <w:r>
              <w:t xml:space="preserve">0010 – 0025 </w:t>
            </w:r>
          </w:p>
        </w:tc>
        <w:tc>
          <w:tcPr>
            <w:tcW w:w="8119" w:type="dxa"/>
            <w:tcBorders>
              <w:top w:val="single" w:sz="4" w:space="0" w:color="1A171C"/>
              <w:left w:val="single" w:sz="4" w:space="0" w:color="1A171C"/>
              <w:bottom w:val="single" w:sz="4" w:space="0" w:color="1A171C"/>
              <w:right w:val="nil"/>
            </w:tcBorders>
            <w:vAlign w:val="center"/>
          </w:tcPr>
          <w:p w14:paraId="7FE1B74F" w14:textId="6F58E174" w:rsidR="00393915" w:rsidRDefault="00F24D68">
            <w:pPr>
              <w:pStyle w:val="P68B1DB1-TableParagraph14"/>
              <w:spacing w:before="108"/>
              <w:ind w:left="85"/>
              <w:jc w:val="both"/>
              <w:rPr>
                <w:bCs/>
              </w:rPr>
            </w:pPr>
            <w:r>
              <w:t xml:space="preserve">Izdavatelj ili subjekt za </w:t>
            </w:r>
            <w:r>
              <w:t>koj</w:t>
            </w:r>
            <w:r w:rsidR="000811E0">
              <w:t>eg</w:t>
            </w:r>
            <w:r>
              <w:t xml:space="preserve"> je dano jamstvo</w:t>
            </w:r>
          </w:p>
          <w:p w14:paraId="7FE1B750" w14:textId="3FCE1BD2" w:rsidR="00393915" w:rsidRDefault="00F24D68">
            <w:pPr>
              <w:pStyle w:val="P68B1DB1-TableParagraph17"/>
              <w:spacing w:before="108"/>
              <w:ind w:left="85"/>
              <w:jc w:val="both"/>
            </w:pPr>
            <w:r>
              <w:t xml:space="preserve">Pravna osoba koja izdaje obveze ili instrument kapitala ili je subjekt za </w:t>
            </w:r>
            <w:r>
              <w:t>koj</w:t>
            </w:r>
            <w:r w:rsidR="000811E0">
              <w:t>eg</w:t>
            </w:r>
            <w:r>
              <w:t xml:space="preserve"> je dano jamstvo.</w:t>
            </w:r>
          </w:p>
        </w:tc>
      </w:tr>
      <w:tr w:rsidR="00393915" w14:paraId="7FE1B755" w14:textId="77777777">
        <w:tc>
          <w:tcPr>
            <w:tcW w:w="907" w:type="dxa"/>
            <w:tcBorders>
              <w:top w:val="single" w:sz="4" w:space="0" w:color="1A171C"/>
              <w:left w:val="nil"/>
              <w:bottom w:val="single" w:sz="4" w:space="0" w:color="1A171C"/>
              <w:right w:val="single" w:sz="4" w:space="0" w:color="1A171C"/>
            </w:tcBorders>
            <w:vAlign w:val="center"/>
          </w:tcPr>
          <w:p w14:paraId="7FE1B752" w14:textId="77777777" w:rsidR="00393915" w:rsidRDefault="00F24D68">
            <w:pPr>
              <w:pStyle w:val="P68B1DB1-TableParagraph13"/>
              <w:spacing w:before="106"/>
              <w:ind w:left="-1"/>
            </w:pPr>
            <w:r>
              <w:t xml:space="preserve">0010 </w:t>
            </w:r>
          </w:p>
        </w:tc>
        <w:tc>
          <w:tcPr>
            <w:tcW w:w="8119" w:type="dxa"/>
            <w:tcBorders>
              <w:top w:val="single" w:sz="4" w:space="0" w:color="1A171C"/>
              <w:left w:val="single" w:sz="4" w:space="0" w:color="1A171C"/>
              <w:bottom w:val="single" w:sz="4" w:space="0" w:color="1A171C"/>
              <w:right w:val="nil"/>
            </w:tcBorders>
            <w:vAlign w:val="center"/>
          </w:tcPr>
          <w:p w14:paraId="7FE1B753" w14:textId="77777777" w:rsidR="00393915" w:rsidRDefault="00F24D68">
            <w:pPr>
              <w:pStyle w:val="P68B1DB1-TableParagraph14"/>
              <w:spacing w:before="108"/>
              <w:ind w:left="85"/>
              <w:jc w:val="both"/>
              <w:rPr>
                <w:bCs/>
              </w:rPr>
            </w:pPr>
            <w:r>
              <w:t xml:space="preserve">Naziv subjekta </w:t>
            </w:r>
          </w:p>
          <w:p w14:paraId="7FE1B754" w14:textId="77777777" w:rsidR="00393915" w:rsidRDefault="00F24D68">
            <w:pPr>
              <w:pStyle w:val="P68B1DB1-TableParagraph17"/>
              <w:spacing w:before="108"/>
              <w:ind w:left="85"/>
              <w:jc w:val="both"/>
            </w:pPr>
            <w:r>
              <w:t xml:space="preserve">Mora se razlikovati od naziva subjekta navedenog u stupcu 0030. </w:t>
            </w:r>
          </w:p>
        </w:tc>
      </w:tr>
      <w:tr w:rsidR="00393915" w14:paraId="7FE1B75C" w14:textId="77777777">
        <w:tc>
          <w:tcPr>
            <w:tcW w:w="907" w:type="dxa"/>
            <w:tcBorders>
              <w:top w:val="single" w:sz="4" w:space="0" w:color="1A171C"/>
              <w:left w:val="nil"/>
              <w:bottom w:val="single" w:sz="4" w:space="0" w:color="1A171C"/>
              <w:right w:val="single" w:sz="4" w:space="0" w:color="1A171C"/>
            </w:tcBorders>
            <w:vAlign w:val="center"/>
          </w:tcPr>
          <w:p w14:paraId="7FE1B756" w14:textId="77777777" w:rsidR="00393915" w:rsidRDefault="00F24D68">
            <w:pPr>
              <w:pStyle w:val="P68B1DB1-TableParagraph13"/>
              <w:spacing w:before="106"/>
              <w:ind w:left="-1"/>
            </w:pPr>
            <w:r>
              <w:t xml:space="preserve">0020 </w:t>
            </w:r>
          </w:p>
        </w:tc>
        <w:tc>
          <w:tcPr>
            <w:tcW w:w="8119" w:type="dxa"/>
            <w:tcBorders>
              <w:top w:val="single" w:sz="4" w:space="0" w:color="1A171C"/>
              <w:left w:val="single" w:sz="4" w:space="0" w:color="1A171C"/>
              <w:bottom w:val="single" w:sz="4" w:space="0" w:color="1A171C"/>
              <w:right w:val="nil"/>
            </w:tcBorders>
            <w:vAlign w:val="center"/>
          </w:tcPr>
          <w:p w14:paraId="7FE1B757" w14:textId="77777777" w:rsidR="00393915" w:rsidRDefault="00F24D68">
            <w:pPr>
              <w:pStyle w:val="P68B1DB1-TableParagraph14"/>
              <w:spacing w:before="108"/>
              <w:ind w:left="85"/>
              <w:jc w:val="both"/>
              <w:rPr>
                <w:bCs/>
              </w:rPr>
            </w:pPr>
            <w:r>
              <w:t>Oznaka</w:t>
            </w:r>
          </w:p>
          <w:p w14:paraId="22E99FB3" w14:textId="77777777" w:rsidR="00393915" w:rsidRDefault="00F24D68">
            <w:pPr>
              <w:pStyle w:val="P68B1DB1-TableParagraph17"/>
              <w:spacing w:before="108"/>
              <w:ind w:left="85"/>
              <w:jc w:val="both"/>
            </w:pPr>
            <w:r>
              <w:t xml:space="preserve">Oznaka izdavatelja ili primatelja jamstva. </w:t>
            </w:r>
          </w:p>
          <w:p w14:paraId="4BE5BA2E" w14:textId="5E7AE5A4" w:rsidR="00393915" w:rsidRDefault="00F24D68">
            <w:pPr>
              <w:pStyle w:val="P68B1DB1-TableParagraph17"/>
              <w:spacing w:before="108"/>
              <w:ind w:left="85"/>
              <w:jc w:val="both"/>
            </w:pPr>
            <w:r>
              <w:t>Za institucije s identifikacijskom oznakom pravne osobe (LEI), dvadeseteroznamenkasta alfanumerička oznaka LEI;</w:t>
            </w:r>
          </w:p>
          <w:p w14:paraId="7FE1B758" w14:textId="458CE8E3" w:rsidR="00393915" w:rsidRDefault="00F24D68">
            <w:pPr>
              <w:pStyle w:val="P68B1DB1-TableParagraph17"/>
              <w:spacing w:before="108"/>
              <w:ind w:left="85"/>
              <w:jc w:val="both"/>
            </w:pPr>
            <w:r>
              <w:t>Ako nije dostupna, koristite oznaku MFI-ja ili oznaku u okviru jedinstvene kodifikacije koja se primjenjuje u Uniji.</w:t>
            </w:r>
          </w:p>
          <w:p w14:paraId="7FE1B759" w14:textId="77777777" w:rsidR="00393915" w:rsidRDefault="00F24D68">
            <w:pPr>
              <w:pStyle w:val="P68B1DB1-TableParagraph17"/>
              <w:spacing w:before="108"/>
              <w:ind w:left="85"/>
              <w:jc w:val="both"/>
            </w:pPr>
            <w:r>
              <w:t>Ta je oznaka jedinstvena i primjenjuje se dosljedno u svim predlošcima.</w:t>
            </w:r>
          </w:p>
          <w:p w14:paraId="7FE1B75A" w14:textId="77777777" w:rsidR="00393915" w:rsidRDefault="00F24D68">
            <w:pPr>
              <w:pStyle w:val="P68B1DB1-TableParagraph17"/>
              <w:spacing w:before="108"/>
              <w:ind w:left="85"/>
              <w:jc w:val="both"/>
            </w:pPr>
            <w:r>
              <w:t>Oznaka se mora razlikovati od oznake navedene u stupcu 0040.</w:t>
            </w:r>
          </w:p>
          <w:p w14:paraId="7FE1B75B" w14:textId="77777777" w:rsidR="00393915" w:rsidRDefault="00393915">
            <w:pPr>
              <w:pStyle w:val="TableParagraph"/>
              <w:spacing w:before="108"/>
              <w:ind w:left="85"/>
              <w:jc w:val="both"/>
              <w:rPr>
                <w:rFonts w:ascii="Times New Roman" w:eastAsia="Cambria" w:hAnsi="Times New Roman" w:cs="Times New Roman"/>
                <w:color w:val="000000" w:themeColor="text1"/>
                <w:sz w:val="20"/>
                <w:szCs w:val="20"/>
              </w:rPr>
            </w:pPr>
          </w:p>
        </w:tc>
      </w:tr>
      <w:tr w:rsidR="00393915" w14:paraId="7FE1B763" w14:textId="77777777">
        <w:tc>
          <w:tcPr>
            <w:tcW w:w="907" w:type="dxa"/>
            <w:tcBorders>
              <w:top w:val="single" w:sz="4" w:space="0" w:color="1A171C"/>
              <w:left w:val="nil"/>
              <w:bottom w:val="single" w:sz="4" w:space="0" w:color="1A171C"/>
              <w:right w:val="single" w:sz="4" w:space="0" w:color="1A171C"/>
            </w:tcBorders>
            <w:vAlign w:val="center"/>
          </w:tcPr>
          <w:p w14:paraId="7FE1B75D" w14:textId="77777777" w:rsidR="00393915" w:rsidRDefault="00F24D68">
            <w:pPr>
              <w:pStyle w:val="P68B1DB1-TableParagraph13"/>
              <w:spacing w:before="106"/>
              <w:ind w:left="-1"/>
            </w:pPr>
            <w:r>
              <w:t>0025</w:t>
            </w:r>
          </w:p>
        </w:tc>
        <w:tc>
          <w:tcPr>
            <w:tcW w:w="8119" w:type="dxa"/>
            <w:tcBorders>
              <w:top w:val="single" w:sz="4" w:space="0" w:color="1A171C"/>
              <w:left w:val="single" w:sz="4" w:space="0" w:color="1A171C"/>
              <w:bottom w:val="single" w:sz="4" w:space="0" w:color="1A171C"/>
              <w:right w:val="nil"/>
            </w:tcBorders>
            <w:vAlign w:val="center"/>
          </w:tcPr>
          <w:p w14:paraId="7FE1B75E" w14:textId="77777777" w:rsidR="00393915" w:rsidRDefault="00F24D68">
            <w:pPr>
              <w:pStyle w:val="P68B1DB1-TableParagraph14"/>
              <w:spacing w:before="108"/>
              <w:ind w:left="85"/>
              <w:jc w:val="both"/>
              <w:rPr>
                <w:bCs/>
              </w:rPr>
            </w:pPr>
            <w:r>
              <w:t>Vrsta oznake</w:t>
            </w:r>
          </w:p>
          <w:p w14:paraId="7FE1B75F" w14:textId="2A2E5952" w:rsidR="00393915" w:rsidRDefault="00F24D68">
            <w:pPr>
              <w:pStyle w:val="P68B1DB1-TableParagraph13"/>
              <w:spacing w:before="108"/>
              <w:ind w:left="85"/>
              <w:jc w:val="both"/>
              <w:rPr>
                <w:bCs/>
              </w:rPr>
            </w:pPr>
            <w:r>
              <w:lastRenderedPageBreak/>
              <w:t xml:space="preserve">Oznaka je jednaka oznaci iskazanoj u predlošku Z 01.01 (ORG 1). </w:t>
            </w:r>
          </w:p>
          <w:p w14:paraId="7FE1B761" w14:textId="635A8A91" w:rsidR="00393915" w:rsidRDefault="00F24D68">
            <w:pPr>
              <w:pStyle w:val="P68B1DB1-TableParagraph13"/>
              <w:spacing w:before="108"/>
              <w:ind w:left="85"/>
              <w:jc w:val="both"/>
              <w:rPr>
                <w:bCs/>
              </w:rPr>
            </w:pPr>
            <w:r>
              <w:t>Odabrati među sljedećim opcijama: „Oznaka LEI”, „oznaka MFI” ili „Vrsta identifikacijske oznake, osim LEI-ja ili MFI-ja.</w:t>
            </w:r>
          </w:p>
          <w:p w14:paraId="7FE1B762" w14:textId="7789B01A" w:rsidR="00393915" w:rsidRDefault="00F24D68">
            <w:pPr>
              <w:pStyle w:val="P68B1DB1-TableParagraph13"/>
              <w:spacing w:before="108"/>
              <w:ind w:left="85"/>
              <w:jc w:val="both"/>
              <w:rPr>
                <w:b/>
                <w:bCs/>
              </w:rPr>
            </w:pPr>
            <w:r>
              <w:t xml:space="preserve">Za identifikaciju subjekata ili subjekata u koje se ulaže, par </w:t>
            </w:r>
            <w:r>
              <w:t>oznak</w:t>
            </w:r>
            <w:r w:rsidR="000811E0">
              <w:t>e</w:t>
            </w:r>
            <w:r>
              <w:t xml:space="preserve"> i vrste dosljedno se </w:t>
            </w:r>
            <w:r>
              <w:t>upotrebljava</w:t>
            </w:r>
            <w:r>
              <w:t xml:space="preserve"> u svim obrascima.</w:t>
            </w:r>
          </w:p>
        </w:tc>
      </w:tr>
      <w:tr w:rsidR="00393915" w14:paraId="7FE1B767" w14:textId="77777777">
        <w:tc>
          <w:tcPr>
            <w:tcW w:w="907" w:type="dxa"/>
            <w:tcBorders>
              <w:top w:val="single" w:sz="4" w:space="0" w:color="1A171C"/>
              <w:left w:val="nil"/>
              <w:bottom w:val="single" w:sz="4" w:space="0" w:color="1A171C"/>
              <w:right w:val="single" w:sz="4" w:space="0" w:color="1A171C"/>
            </w:tcBorders>
            <w:vAlign w:val="center"/>
          </w:tcPr>
          <w:p w14:paraId="7FE1B764" w14:textId="2382C727" w:rsidR="00393915" w:rsidRDefault="00F24D68">
            <w:pPr>
              <w:pStyle w:val="P68B1DB1-TableParagraph13"/>
              <w:spacing w:before="106"/>
              <w:ind w:left="-1"/>
            </w:pPr>
            <w:r>
              <w:lastRenderedPageBreak/>
              <w:t xml:space="preserve">0030 – 0045 </w:t>
            </w:r>
          </w:p>
        </w:tc>
        <w:tc>
          <w:tcPr>
            <w:tcW w:w="8119" w:type="dxa"/>
            <w:tcBorders>
              <w:top w:val="single" w:sz="4" w:space="0" w:color="1A171C"/>
              <w:left w:val="single" w:sz="4" w:space="0" w:color="1A171C"/>
              <w:bottom w:val="single" w:sz="4" w:space="0" w:color="1A171C"/>
              <w:right w:val="nil"/>
            </w:tcBorders>
            <w:vAlign w:val="center"/>
          </w:tcPr>
          <w:p w14:paraId="7FE1B765" w14:textId="77777777" w:rsidR="00393915" w:rsidRDefault="00F24D68">
            <w:pPr>
              <w:pStyle w:val="P68B1DB1-TableParagraph14"/>
              <w:spacing w:before="108"/>
              <w:ind w:left="85"/>
              <w:jc w:val="both"/>
              <w:rPr>
                <w:bCs/>
              </w:rPr>
            </w:pPr>
            <w:r>
              <w:t>Vjerovnik, imatelj ili pružatelj jamstva</w:t>
            </w:r>
          </w:p>
          <w:p w14:paraId="7FE1B766" w14:textId="7835DEC9" w:rsidR="00393915" w:rsidRDefault="00F24D68">
            <w:pPr>
              <w:pStyle w:val="P68B1DB1-TableParagraph17"/>
              <w:spacing w:before="108"/>
              <w:ind w:left="85"/>
              <w:jc w:val="both"/>
            </w:pPr>
            <w:r>
              <w:t xml:space="preserve">Pravna osoba koja je vjerovnik obveze, </w:t>
            </w:r>
            <w:r w:rsidR="00826952">
              <w:t xml:space="preserve"> drži</w:t>
            </w:r>
            <w:r>
              <w:t xml:space="preserve"> instrument kapitala ili pruža jamstvo.</w:t>
            </w:r>
          </w:p>
        </w:tc>
      </w:tr>
      <w:tr w:rsidR="00393915" w14:paraId="7FE1B76B" w14:textId="77777777">
        <w:tc>
          <w:tcPr>
            <w:tcW w:w="907" w:type="dxa"/>
            <w:tcBorders>
              <w:top w:val="single" w:sz="4" w:space="0" w:color="1A171C"/>
              <w:left w:val="nil"/>
              <w:bottom w:val="single" w:sz="4" w:space="0" w:color="1A171C"/>
              <w:right w:val="single" w:sz="4" w:space="0" w:color="1A171C"/>
            </w:tcBorders>
            <w:vAlign w:val="center"/>
          </w:tcPr>
          <w:p w14:paraId="7FE1B768" w14:textId="77777777" w:rsidR="00393915" w:rsidRDefault="00F24D68">
            <w:pPr>
              <w:pStyle w:val="P68B1DB1-TableParagraph13"/>
              <w:spacing w:before="106"/>
              <w:ind w:left="-1"/>
            </w:pPr>
            <w:r>
              <w:t xml:space="preserve">0030 </w:t>
            </w:r>
          </w:p>
        </w:tc>
        <w:tc>
          <w:tcPr>
            <w:tcW w:w="8119" w:type="dxa"/>
            <w:tcBorders>
              <w:top w:val="single" w:sz="4" w:space="0" w:color="1A171C"/>
              <w:left w:val="single" w:sz="4" w:space="0" w:color="1A171C"/>
              <w:bottom w:val="single" w:sz="4" w:space="0" w:color="1A171C"/>
              <w:right w:val="nil"/>
            </w:tcBorders>
            <w:vAlign w:val="center"/>
          </w:tcPr>
          <w:p w14:paraId="7FE1B769" w14:textId="77777777" w:rsidR="00393915" w:rsidRDefault="00F24D68">
            <w:pPr>
              <w:pStyle w:val="P68B1DB1-TableParagraph14"/>
              <w:spacing w:before="108"/>
              <w:ind w:left="85"/>
              <w:jc w:val="both"/>
              <w:rPr>
                <w:bCs/>
              </w:rPr>
            </w:pPr>
            <w:r>
              <w:t xml:space="preserve">Naziv subjekta </w:t>
            </w:r>
          </w:p>
          <w:p w14:paraId="7FE1B76A" w14:textId="77777777" w:rsidR="00393915" w:rsidRDefault="00F24D68">
            <w:pPr>
              <w:pStyle w:val="P68B1DB1-TableParagraph17"/>
              <w:spacing w:before="108"/>
              <w:ind w:left="85"/>
              <w:jc w:val="both"/>
            </w:pPr>
            <w:r>
              <w:t xml:space="preserve">Mora se razlikovati od naziva subjekta navedenog u stupcu 0010. </w:t>
            </w:r>
          </w:p>
        </w:tc>
      </w:tr>
      <w:tr w:rsidR="00393915" w14:paraId="7FE1B771" w14:textId="77777777">
        <w:tc>
          <w:tcPr>
            <w:tcW w:w="907" w:type="dxa"/>
            <w:tcBorders>
              <w:top w:val="single" w:sz="4" w:space="0" w:color="1A171C"/>
              <w:left w:val="nil"/>
              <w:bottom w:val="single" w:sz="4" w:space="0" w:color="1A171C"/>
              <w:right w:val="single" w:sz="4" w:space="0" w:color="1A171C"/>
            </w:tcBorders>
            <w:vAlign w:val="center"/>
          </w:tcPr>
          <w:p w14:paraId="7FE1B76C" w14:textId="77777777" w:rsidR="00393915" w:rsidRDefault="00F24D68">
            <w:pPr>
              <w:pStyle w:val="P68B1DB1-TableParagraph13"/>
              <w:spacing w:before="106"/>
              <w:ind w:left="-1"/>
            </w:pPr>
            <w:r>
              <w:t xml:space="preserve">0040 </w:t>
            </w:r>
          </w:p>
        </w:tc>
        <w:tc>
          <w:tcPr>
            <w:tcW w:w="8119" w:type="dxa"/>
            <w:tcBorders>
              <w:top w:val="single" w:sz="4" w:space="0" w:color="1A171C"/>
              <w:left w:val="single" w:sz="4" w:space="0" w:color="1A171C"/>
              <w:bottom w:val="single" w:sz="4" w:space="0" w:color="1A171C"/>
              <w:right w:val="nil"/>
            </w:tcBorders>
            <w:vAlign w:val="center"/>
          </w:tcPr>
          <w:p w14:paraId="7FE1B76D" w14:textId="77777777" w:rsidR="00393915" w:rsidRDefault="00F24D68">
            <w:pPr>
              <w:pStyle w:val="P68B1DB1-TableParagraph14"/>
              <w:spacing w:before="108"/>
              <w:ind w:left="85"/>
              <w:jc w:val="both"/>
              <w:rPr>
                <w:bCs/>
              </w:rPr>
            </w:pPr>
            <w:r>
              <w:t>Oznaka</w:t>
            </w:r>
          </w:p>
          <w:p w14:paraId="07AEB6DE" w14:textId="77777777" w:rsidR="00393915" w:rsidRDefault="00F24D68">
            <w:pPr>
              <w:pStyle w:val="P68B1DB1-TableParagraph17"/>
              <w:spacing w:before="108"/>
              <w:ind w:left="85"/>
              <w:jc w:val="both"/>
            </w:pPr>
            <w:r>
              <w:t xml:space="preserve">Oznaka vjerovnika, imatelja ili pružatelja jamstva. </w:t>
            </w:r>
          </w:p>
          <w:p w14:paraId="706B20DB" w14:textId="77777777" w:rsidR="00393915" w:rsidRDefault="00F24D68">
            <w:pPr>
              <w:pStyle w:val="P68B1DB1-TableParagraph17"/>
              <w:spacing w:before="108"/>
              <w:ind w:left="85"/>
              <w:jc w:val="both"/>
            </w:pPr>
            <w:r>
              <w:t>Za institucije s identifikacijskom oznakom pravne osobe (LEI), dvadeseteroznamenkasta alfanumerička oznaka LEI;</w:t>
            </w:r>
          </w:p>
          <w:p w14:paraId="69DCA339" w14:textId="67781040" w:rsidR="00393915" w:rsidRDefault="00F24D68">
            <w:pPr>
              <w:pStyle w:val="P68B1DB1-TableParagraph17"/>
              <w:spacing w:before="108"/>
              <w:ind w:left="85"/>
              <w:jc w:val="both"/>
            </w:pPr>
            <w:r>
              <w:t>Ako nije dostupna, koristite oznaku MFI-ja ili oznaku u okviru jedinstvene kodifikacije koja se primjenjuje u Uniji.</w:t>
            </w:r>
          </w:p>
          <w:p w14:paraId="7FE1B76F" w14:textId="02D6147D" w:rsidR="00393915" w:rsidRDefault="00F24D68">
            <w:pPr>
              <w:pStyle w:val="P68B1DB1-TableParagraph17"/>
              <w:spacing w:before="108"/>
              <w:ind w:left="85"/>
              <w:jc w:val="both"/>
            </w:pPr>
            <w:r>
              <w:t>Ta je oznaka jedinstvena i primjenjuje se dosljedno u svim predlošcima.</w:t>
            </w:r>
          </w:p>
          <w:p w14:paraId="1E86BFA0" w14:textId="77777777" w:rsidR="00393915" w:rsidRDefault="00F24D68">
            <w:pPr>
              <w:pStyle w:val="P68B1DB1-TableParagraph17"/>
              <w:spacing w:before="108"/>
              <w:ind w:left="85"/>
              <w:jc w:val="both"/>
            </w:pPr>
            <w:r>
              <w:t>Mora se razlikovati od oznake navedene u stupcu 0020.</w:t>
            </w:r>
          </w:p>
          <w:p w14:paraId="7FE1B770" w14:textId="1F36E256" w:rsidR="00393915" w:rsidRDefault="00F24D68">
            <w:pPr>
              <w:pStyle w:val="P68B1DB1-TableParagraph13"/>
              <w:spacing w:before="108"/>
              <w:ind w:left="85"/>
              <w:jc w:val="both"/>
              <w:rPr>
                <w:rFonts w:eastAsia="Cambria"/>
              </w:rPr>
            </w:pPr>
            <w:r>
              <w:t xml:space="preserve">Ako je </w:t>
            </w:r>
            <w:r w:rsidR="00826952">
              <w:t>vjerovnik, imatelj</w:t>
            </w:r>
            <w:r w:rsidR="00826952">
              <w:t xml:space="preserve"> ili pružatelj </w:t>
            </w:r>
            <w:r w:rsidR="00826952">
              <w:t>jamstva</w:t>
            </w:r>
            <w:r>
              <w:t xml:space="preserve"> </w:t>
            </w:r>
            <w:r>
              <w:t xml:space="preserve">subjekt grupe, oznaka je jednaka onoj koja je iskazana u predlošku Z 01.01 (ORG 1). Za identifikaciju subjekata ili subjekata u koje se ulaže, par </w:t>
            </w:r>
            <w:r>
              <w:t>oznak</w:t>
            </w:r>
            <w:r w:rsidR="00826952">
              <w:t>e</w:t>
            </w:r>
            <w:r>
              <w:t xml:space="preserve"> i vrste dosljedno se </w:t>
            </w:r>
            <w:r>
              <w:t>upotrebljava</w:t>
            </w:r>
            <w:r>
              <w:t xml:space="preserve"> u svim obrascima.</w:t>
            </w:r>
          </w:p>
        </w:tc>
      </w:tr>
      <w:tr w:rsidR="00393915" w14:paraId="7FE1B778" w14:textId="77777777">
        <w:tc>
          <w:tcPr>
            <w:tcW w:w="907" w:type="dxa"/>
            <w:tcBorders>
              <w:top w:val="single" w:sz="4" w:space="0" w:color="1A171C"/>
              <w:left w:val="nil"/>
              <w:bottom w:val="single" w:sz="4" w:space="0" w:color="1A171C"/>
              <w:right w:val="single" w:sz="4" w:space="0" w:color="1A171C"/>
            </w:tcBorders>
            <w:vAlign w:val="center"/>
          </w:tcPr>
          <w:p w14:paraId="7FE1B772" w14:textId="77777777" w:rsidR="00393915" w:rsidRDefault="00F24D68">
            <w:pPr>
              <w:pStyle w:val="P68B1DB1-TableParagraph13"/>
              <w:spacing w:before="106"/>
              <w:ind w:left="-1"/>
            </w:pPr>
            <w:r>
              <w:t>0045</w:t>
            </w:r>
          </w:p>
        </w:tc>
        <w:tc>
          <w:tcPr>
            <w:tcW w:w="8119" w:type="dxa"/>
            <w:tcBorders>
              <w:top w:val="single" w:sz="4" w:space="0" w:color="1A171C"/>
              <w:left w:val="single" w:sz="4" w:space="0" w:color="1A171C"/>
              <w:bottom w:val="single" w:sz="4" w:space="0" w:color="1A171C"/>
              <w:right w:val="nil"/>
            </w:tcBorders>
            <w:vAlign w:val="center"/>
          </w:tcPr>
          <w:p w14:paraId="7FE1B773" w14:textId="77777777" w:rsidR="00393915" w:rsidRDefault="00F24D68">
            <w:pPr>
              <w:pStyle w:val="P68B1DB1-TableParagraph14"/>
              <w:spacing w:before="108"/>
              <w:ind w:left="85"/>
              <w:jc w:val="both"/>
              <w:rPr>
                <w:bCs/>
              </w:rPr>
            </w:pPr>
            <w:r>
              <w:t>Vrsta oznake</w:t>
            </w:r>
          </w:p>
          <w:p w14:paraId="00DFF190" w14:textId="04144C55" w:rsidR="00393915" w:rsidRDefault="00393915">
            <w:pPr>
              <w:pStyle w:val="TableParagraph"/>
              <w:spacing w:before="108"/>
              <w:ind w:left="85"/>
              <w:jc w:val="both"/>
              <w:rPr>
                <w:rFonts w:ascii="Times New Roman" w:hAnsi="Times New Roman" w:cs="Times New Roman"/>
                <w:bCs/>
                <w:color w:val="000000" w:themeColor="text1"/>
                <w:sz w:val="20"/>
                <w:szCs w:val="20"/>
              </w:rPr>
            </w:pPr>
          </w:p>
          <w:p w14:paraId="1CBCA0DC" w14:textId="04764F45" w:rsidR="00393915" w:rsidRDefault="00F24D68">
            <w:pPr>
              <w:pStyle w:val="P68B1DB1-TableParagraph13"/>
              <w:spacing w:before="108" w:line="276" w:lineRule="auto"/>
              <w:ind w:left="85"/>
              <w:jc w:val="both"/>
              <w:rPr>
                <w:color w:val="000000"/>
              </w:rPr>
            </w:pPr>
            <w:bookmarkStart w:id="66" w:name="_Hlk191377037"/>
            <w:r>
              <w:t>Odabrati među sljedećim opcijama: „Oznaka LEI”, „oznaka MFI” ili „Vrsta identifikacijske oznake, osim LEI-ja ili MFI-ja”.</w:t>
            </w:r>
            <w:bookmarkEnd w:id="66"/>
          </w:p>
          <w:p w14:paraId="072CFC22" w14:textId="7B94F65F" w:rsidR="00393915" w:rsidRDefault="00F24D68">
            <w:pPr>
              <w:pStyle w:val="P68B1DB1-TableParagraph13"/>
              <w:spacing w:before="108" w:line="276" w:lineRule="auto"/>
              <w:ind w:left="85"/>
              <w:jc w:val="both"/>
              <w:rPr>
                <w:color w:val="000000"/>
              </w:rPr>
            </w:pPr>
            <w:r>
              <w:t>Vrsta oznake uvijek se iskazuje.</w:t>
            </w:r>
          </w:p>
          <w:p w14:paraId="63D16443" w14:textId="1795B1D8" w:rsidR="00393915" w:rsidRDefault="00F24D68">
            <w:pPr>
              <w:pStyle w:val="P68B1DB1-TableParagraph13"/>
              <w:spacing w:before="108" w:line="276" w:lineRule="auto"/>
              <w:ind w:left="85"/>
              <w:jc w:val="both"/>
              <w:rPr>
                <w:color w:val="000000"/>
              </w:rPr>
            </w:pPr>
            <w:r>
              <w:t xml:space="preserve">Ako vjerovnik, imatelj ili pružatelj jamstva nije subjekt grupe, vrsta oznake po mogućnosti </w:t>
            </w:r>
            <w:r w:rsidR="00C7433F">
              <w:t>će biti</w:t>
            </w:r>
            <w:r>
              <w:t xml:space="preserve"> oznaka LEI.</w:t>
            </w:r>
          </w:p>
          <w:p w14:paraId="7FE1B777" w14:textId="69660BC3" w:rsidR="00393915" w:rsidRDefault="00393915">
            <w:pPr>
              <w:pStyle w:val="TableParagraph"/>
              <w:spacing w:before="108"/>
              <w:ind w:left="85"/>
              <w:jc w:val="both"/>
              <w:rPr>
                <w:rFonts w:ascii="Times New Roman" w:hAnsi="Times New Roman" w:cs="Times New Roman"/>
                <w:b/>
                <w:bCs/>
                <w:color w:val="000000" w:themeColor="text1"/>
                <w:sz w:val="20"/>
                <w:szCs w:val="20"/>
              </w:rPr>
            </w:pPr>
          </w:p>
        </w:tc>
      </w:tr>
      <w:tr w:rsidR="00393915" w14:paraId="7FE1B77C" w14:textId="77777777">
        <w:tc>
          <w:tcPr>
            <w:tcW w:w="907" w:type="dxa"/>
            <w:tcBorders>
              <w:top w:val="single" w:sz="4" w:space="0" w:color="1A171C"/>
              <w:left w:val="nil"/>
              <w:bottom w:val="single" w:sz="4" w:space="0" w:color="1A171C"/>
              <w:right w:val="single" w:sz="4" w:space="0" w:color="1A171C"/>
            </w:tcBorders>
            <w:vAlign w:val="center"/>
          </w:tcPr>
          <w:p w14:paraId="7FE1B779" w14:textId="77777777" w:rsidR="00393915" w:rsidRDefault="00F24D68">
            <w:pPr>
              <w:pStyle w:val="P68B1DB1-TableParagraph13"/>
              <w:spacing w:before="106"/>
              <w:ind w:left="-1"/>
            </w:pPr>
            <w:r>
              <w:t xml:space="preserve">0050 – 0080 </w:t>
            </w:r>
          </w:p>
        </w:tc>
        <w:tc>
          <w:tcPr>
            <w:tcW w:w="8119" w:type="dxa"/>
            <w:tcBorders>
              <w:top w:val="single" w:sz="4" w:space="0" w:color="1A171C"/>
              <w:left w:val="single" w:sz="4" w:space="0" w:color="1A171C"/>
              <w:bottom w:val="single" w:sz="4" w:space="0" w:color="1A171C"/>
              <w:right w:val="nil"/>
            </w:tcBorders>
            <w:vAlign w:val="center"/>
          </w:tcPr>
          <w:p w14:paraId="7FE1B77A" w14:textId="77777777" w:rsidR="00393915" w:rsidRDefault="00F24D68">
            <w:pPr>
              <w:pStyle w:val="P68B1DB1-TableParagraph14"/>
              <w:spacing w:before="108"/>
              <w:ind w:left="85"/>
              <w:jc w:val="both"/>
              <w:rPr>
                <w:bCs/>
              </w:rPr>
            </w:pPr>
            <w:r>
              <w:t>Međusobne financijske veze</w:t>
            </w:r>
          </w:p>
          <w:p w14:paraId="7FE1B77B" w14:textId="079D8C41" w:rsidR="00393915" w:rsidRDefault="00F24D68">
            <w:pPr>
              <w:pStyle w:val="P68B1DB1-TableParagraph17"/>
              <w:spacing w:before="108"/>
              <w:ind w:left="85"/>
              <w:jc w:val="both"/>
            </w:pPr>
            <w:r>
              <w:t>U ovom polju opisuju se međusobne financijske veze među svim pravnim osobama.</w:t>
            </w:r>
          </w:p>
        </w:tc>
      </w:tr>
      <w:tr w:rsidR="00393915" w14:paraId="7FE1B7A9" w14:textId="77777777">
        <w:tc>
          <w:tcPr>
            <w:tcW w:w="907" w:type="dxa"/>
            <w:tcBorders>
              <w:top w:val="single" w:sz="4" w:space="0" w:color="1A171C"/>
              <w:left w:val="nil"/>
              <w:bottom w:val="single" w:sz="4" w:space="0" w:color="1A171C"/>
              <w:right w:val="single" w:sz="4" w:space="0" w:color="1A171C"/>
            </w:tcBorders>
            <w:vAlign w:val="center"/>
          </w:tcPr>
          <w:p w14:paraId="7FE1B77D" w14:textId="77777777" w:rsidR="00393915" w:rsidRDefault="00F24D68">
            <w:pPr>
              <w:pStyle w:val="P68B1DB1-TableParagraph13"/>
              <w:spacing w:before="106"/>
              <w:ind w:left="-1"/>
            </w:pPr>
            <w:r>
              <w:t xml:space="preserve">0050 </w:t>
            </w:r>
          </w:p>
        </w:tc>
        <w:tc>
          <w:tcPr>
            <w:tcW w:w="8119" w:type="dxa"/>
            <w:tcBorders>
              <w:top w:val="single" w:sz="4" w:space="0" w:color="1A171C"/>
              <w:left w:val="single" w:sz="4" w:space="0" w:color="1A171C"/>
              <w:bottom w:val="single" w:sz="4" w:space="0" w:color="1A171C"/>
              <w:right w:val="nil"/>
            </w:tcBorders>
            <w:vAlign w:val="center"/>
          </w:tcPr>
          <w:p w14:paraId="7FE1B77E" w14:textId="77777777" w:rsidR="00393915" w:rsidRDefault="00F24D68">
            <w:pPr>
              <w:pStyle w:val="P68B1DB1-TableParagraph14"/>
              <w:spacing w:before="108"/>
              <w:ind w:left="85"/>
              <w:jc w:val="both"/>
              <w:rPr>
                <w:bCs/>
              </w:rPr>
            </w:pPr>
            <w:r>
              <w:t>Vrsta</w:t>
            </w:r>
          </w:p>
          <w:p w14:paraId="7FE1B77F" w14:textId="77777777" w:rsidR="00393915" w:rsidRDefault="00F24D68">
            <w:pPr>
              <w:pStyle w:val="P68B1DB1-TableParagraph17"/>
              <w:spacing w:before="108"/>
              <w:ind w:left="85"/>
              <w:jc w:val="both"/>
            </w:pPr>
            <w:r>
              <w:t>Treba je odabrati sa sljedećeg popisa:</w:t>
            </w:r>
          </w:p>
          <w:p w14:paraId="7FE1B780" w14:textId="77777777" w:rsidR="00393915" w:rsidRDefault="00F24D68">
            <w:pPr>
              <w:pStyle w:val="P68B1DB1-TableParagraph24"/>
              <w:spacing w:before="108"/>
              <w:ind w:left="85"/>
              <w:jc w:val="both"/>
            </w:pPr>
            <w:r>
              <w:t>Obveze unutar grupe</w:t>
            </w:r>
          </w:p>
          <w:p w14:paraId="7FE1B781" w14:textId="77777777" w:rsidR="00393915" w:rsidRDefault="00393915">
            <w:pPr>
              <w:pStyle w:val="TableParagraph"/>
              <w:spacing w:before="108"/>
              <w:ind w:left="85"/>
              <w:jc w:val="both"/>
              <w:rPr>
                <w:rFonts w:ascii="Times New Roman" w:eastAsia="Cambria" w:hAnsi="Times New Roman" w:cs="Times New Roman"/>
                <w:color w:val="000000" w:themeColor="text1"/>
                <w:sz w:val="20"/>
                <w:szCs w:val="20"/>
                <w:u w:val="single"/>
              </w:rPr>
            </w:pPr>
          </w:p>
          <w:p w14:paraId="7FE1B782" w14:textId="64D47293" w:rsidR="00393915" w:rsidRDefault="00F24D68">
            <w:pPr>
              <w:pStyle w:val="P68B1DB1-ListParagraph25"/>
              <w:numPr>
                <w:ilvl w:val="0"/>
                <w:numId w:val="54"/>
              </w:numPr>
              <w:autoSpaceDE w:val="0"/>
              <w:autoSpaceDN w:val="0"/>
              <w:adjustRightInd w:val="0"/>
              <w:ind w:left="539" w:hanging="454"/>
              <w:contextualSpacing/>
              <w:jc w:val="both"/>
            </w:pPr>
            <w:r>
              <w:t xml:space="preserve">Obveze koje su isključene iz </w:t>
            </w:r>
            <w:r w:rsidR="0053748C">
              <w:t>unutarnje sanacije</w:t>
            </w:r>
            <w:r>
              <w:t xml:space="preserve"> </w:t>
            </w:r>
          </w:p>
          <w:p w14:paraId="7FE1B783" w14:textId="047CAF02" w:rsidR="00393915" w:rsidRDefault="00F24D68">
            <w:pPr>
              <w:pStyle w:val="P68B1DB1-ListParagraph25"/>
              <w:autoSpaceDE w:val="0"/>
              <w:autoSpaceDN w:val="0"/>
              <w:adjustRightInd w:val="0"/>
              <w:ind w:left="539"/>
              <w:contextualSpacing/>
              <w:jc w:val="both"/>
            </w:pPr>
            <w:r>
              <w:t>Jednaka definicija kao u predlošku Z 02.00 (LIAB 1), retku 0100</w:t>
            </w:r>
          </w:p>
          <w:p w14:paraId="7FE1B784" w14:textId="77777777" w:rsidR="00393915" w:rsidRDefault="00F24D68">
            <w:pPr>
              <w:pStyle w:val="P68B1DB1-ListParagraph25"/>
              <w:numPr>
                <w:ilvl w:val="0"/>
                <w:numId w:val="54"/>
              </w:numPr>
              <w:autoSpaceDE w:val="0"/>
              <w:autoSpaceDN w:val="0"/>
              <w:adjustRightInd w:val="0"/>
              <w:ind w:left="539" w:hanging="454"/>
              <w:contextualSpacing/>
              <w:jc w:val="both"/>
            </w:pPr>
            <w:r>
              <w:t>Depoziti koji nisu osigurani, ali su povlašteni</w:t>
            </w:r>
          </w:p>
          <w:p w14:paraId="7FE1B785" w14:textId="69E9007C" w:rsidR="00393915" w:rsidRDefault="00F24D68">
            <w:pPr>
              <w:pStyle w:val="P68B1DB1-ListParagraph25"/>
              <w:autoSpaceDE w:val="0"/>
              <w:autoSpaceDN w:val="0"/>
              <w:adjustRightInd w:val="0"/>
              <w:ind w:left="539"/>
              <w:jc w:val="both"/>
            </w:pPr>
            <w:r>
              <w:t>Jednaka definicija kao u predlošku Z 02.00 (LIAB 1), retku 0310</w:t>
            </w:r>
          </w:p>
          <w:p w14:paraId="7FE1B786" w14:textId="77777777" w:rsidR="00393915" w:rsidRDefault="00F24D68">
            <w:pPr>
              <w:pStyle w:val="P68B1DB1-ListParagraph25"/>
              <w:numPr>
                <w:ilvl w:val="0"/>
                <w:numId w:val="54"/>
              </w:numPr>
              <w:autoSpaceDE w:val="0"/>
              <w:autoSpaceDN w:val="0"/>
              <w:adjustRightInd w:val="0"/>
              <w:ind w:left="539" w:hanging="454"/>
              <w:contextualSpacing/>
              <w:jc w:val="both"/>
            </w:pPr>
            <w:r>
              <w:t>Depoziti koji nisu ni osigurani ni povlašteni</w:t>
            </w:r>
          </w:p>
          <w:p w14:paraId="7FE1B787" w14:textId="4FA7AC10" w:rsidR="00393915" w:rsidRDefault="00F24D68">
            <w:pPr>
              <w:pStyle w:val="P68B1DB1-ListParagraph25"/>
              <w:autoSpaceDE w:val="0"/>
              <w:autoSpaceDN w:val="0"/>
              <w:adjustRightInd w:val="0"/>
              <w:ind w:left="539"/>
              <w:jc w:val="both"/>
            </w:pPr>
            <w:r>
              <w:t>Jednaka definicija kao u predlošku Z 02.00 (LIAB 1), retku 0320</w:t>
            </w:r>
          </w:p>
          <w:p w14:paraId="7FE1B788" w14:textId="77777777" w:rsidR="00393915" w:rsidRDefault="00F24D68">
            <w:pPr>
              <w:pStyle w:val="P68B1DB1-ListParagraph25"/>
              <w:numPr>
                <w:ilvl w:val="0"/>
                <w:numId w:val="54"/>
              </w:numPr>
              <w:autoSpaceDE w:val="0"/>
              <w:autoSpaceDN w:val="0"/>
              <w:adjustRightInd w:val="0"/>
              <w:ind w:left="539" w:hanging="454"/>
              <w:contextualSpacing/>
              <w:jc w:val="both"/>
            </w:pPr>
            <w:r>
              <w:lastRenderedPageBreak/>
              <w:t>Obveze koje proizlaze iz izvedenica (iznosi za zatvaranje)</w:t>
            </w:r>
          </w:p>
          <w:p w14:paraId="7FE1B789" w14:textId="5DAB7051" w:rsidR="00393915" w:rsidRDefault="00F24D68">
            <w:pPr>
              <w:pStyle w:val="P68B1DB1-ListParagraph25"/>
              <w:autoSpaceDE w:val="0"/>
              <w:autoSpaceDN w:val="0"/>
              <w:adjustRightInd w:val="0"/>
              <w:ind w:left="539"/>
              <w:jc w:val="both"/>
            </w:pPr>
            <w:r>
              <w:t>Jednaka definicija kao u predlošku Z 02.00 (LIAB 1), retku 0330</w:t>
            </w:r>
          </w:p>
          <w:p w14:paraId="7FE1B78A" w14:textId="77777777" w:rsidR="00393915" w:rsidRDefault="00F24D68">
            <w:pPr>
              <w:pStyle w:val="P68B1DB1-ListParagraph25"/>
              <w:numPr>
                <w:ilvl w:val="0"/>
                <w:numId w:val="54"/>
              </w:numPr>
              <w:autoSpaceDE w:val="0"/>
              <w:autoSpaceDN w:val="0"/>
              <w:adjustRightInd w:val="0"/>
              <w:ind w:left="539" w:hanging="454"/>
              <w:contextualSpacing/>
              <w:jc w:val="both"/>
            </w:pPr>
            <w:r>
              <w:t>Nekolateralizirane osigurane obveze</w:t>
            </w:r>
          </w:p>
          <w:p w14:paraId="7FE1B78B" w14:textId="5B0021F4" w:rsidR="00393915" w:rsidRDefault="00F24D68">
            <w:pPr>
              <w:pStyle w:val="P68B1DB1-ListParagraph25"/>
              <w:autoSpaceDE w:val="0"/>
              <w:autoSpaceDN w:val="0"/>
              <w:adjustRightInd w:val="0"/>
              <w:ind w:left="539"/>
              <w:jc w:val="both"/>
            </w:pPr>
            <w:r>
              <w:t>Jednaka definicija kao u predlošku Z 02.00 (LIAB 1), retku 0340</w:t>
            </w:r>
          </w:p>
          <w:p w14:paraId="7FE1B78C" w14:textId="77777777" w:rsidR="00393915" w:rsidRDefault="00F24D68">
            <w:pPr>
              <w:pStyle w:val="P68B1DB1-ListParagraph25"/>
              <w:numPr>
                <w:ilvl w:val="0"/>
                <w:numId w:val="54"/>
              </w:numPr>
              <w:autoSpaceDE w:val="0"/>
              <w:autoSpaceDN w:val="0"/>
              <w:adjustRightInd w:val="0"/>
              <w:ind w:left="539" w:hanging="454"/>
              <w:contextualSpacing/>
              <w:jc w:val="both"/>
            </w:pPr>
            <w:r>
              <w:t>Strukturirani dužnički instrumenti</w:t>
            </w:r>
          </w:p>
          <w:p w14:paraId="7FE1B78D" w14:textId="7DF4D7F4" w:rsidR="00393915" w:rsidRDefault="00F24D68">
            <w:pPr>
              <w:pStyle w:val="P68B1DB1-ListParagraph25"/>
              <w:autoSpaceDE w:val="0"/>
              <w:autoSpaceDN w:val="0"/>
              <w:adjustRightInd w:val="0"/>
              <w:ind w:left="539"/>
              <w:jc w:val="both"/>
            </w:pPr>
            <w:r>
              <w:t>Jednaka definicija kao u predlošku Z 02.00 (LIAB 1), retku 0350</w:t>
            </w:r>
          </w:p>
          <w:p w14:paraId="7FE1B78E" w14:textId="77777777" w:rsidR="00393915" w:rsidRDefault="00F24D68">
            <w:pPr>
              <w:pStyle w:val="P68B1DB1-ListParagraph25"/>
              <w:numPr>
                <w:ilvl w:val="0"/>
                <w:numId w:val="54"/>
              </w:numPr>
              <w:autoSpaceDE w:val="0"/>
              <w:autoSpaceDN w:val="0"/>
              <w:adjustRightInd w:val="0"/>
              <w:ind w:left="539" w:hanging="454"/>
              <w:contextualSpacing/>
              <w:jc w:val="both"/>
            </w:pPr>
            <w:r>
              <w:t>Nadređene neosigurane obveze</w:t>
            </w:r>
          </w:p>
          <w:p w14:paraId="7FE1B78F" w14:textId="67CE577E" w:rsidR="00393915" w:rsidRDefault="00F24D68">
            <w:pPr>
              <w:pStyle w:val="P68B1DB1-ListParagraph25"/>
              <w:autoSpaceDE w:val="0"/>
              <w:autoSpaceDN w:val="0"/>
              <w:adjustRightInd w:val="0"/>
              <w:ind w:left="539"/>
              <w:jc w:val="both"/>
            </w:pPr>
            <w:r>
              <w:t>Jednaka definicija kao u predlošku Z 02.00 (LIAB 1), retku 0360</w:t>
            </w:r>
          </w:p>
          <w:p w14:paraId="7FE1B790" w14:textId="77777777" w:rsidR="00393915" w:rsidRDefault="00F24D68">
            <w:pPr>
              <w:pStyle w:val="P68B1DB1-ListParagraph25"/>
              <w:numPr>
                <w:ilvl w:val="0"/>
                <w:numId w:val="54"/>
              </w:numPr>
              <w:autoSpaceDE w:val="0"/>
              <w:autoSpaceDN w:val="0"/>
              <w:adjustRightInd w:val="0"/>
              <w:ind w:left="539" w:hanging="454"/>
              <w:contextualSpacing/>
              <w:jc w:val="both"/>
            </w:pPr>
            <w:r>
              <w:t>Nadređene nepovlaštene obveze</w:t>
            </w:r>
          </w:p>
          <w:p w14:paraId="7FE1B791" w14:textId="6BECB3BB" w:rsidR="00393915" w:rsidRDefault="00F24D68">
            <w:pPr>
              <w:pStyle w:val="P68B1DB1-ListParagraph25"/>
              <w:autoSpaceDE w:val="0"/>
              <w:autoSpaceDN w:val="0"/>
              <w:adjustRightInd w:val="0"/>
              <w:ind w:left="539"/>
              <w:contextualSpacing/>
              <w:jc w:val="both"/>
            </w:pPr>
            <w:r>
              <w:t>Jednaka definicija kao u predlošku Z 02.00 (LIAB 1), retku 0365</w:t>
            </w:r>
          </w:p>
          <w:p w14:paraId="7FE1B792" w14:textId="77777777" w:rsidR="00393915" w:rsidRDefault="00F24D68">
            <w:pPr>
              <w:pStyle w:val="P68B1DB1-ListParagraph25"/>
              <w:numPr>
                <w:ilvl w:val="0"/>
                <w:numId w:val="54"/>
              </w:numPr>
              <w:autoSpaceDE w:val="0"/>
              <w:autoSpaceDN w:val="0"/>
              <w:adjustRightInd w:val="0"/>
              <w:ind w:left="539" w:hanging="454"/>
              <w:contextualSpacing/>
              <w:jc w:val="both"/>
            </w:pPr>
            <w:r>
              <w:t>Podređene obveze</w:t>
            </w:r>
          </w:p>
          <w:p w14:paraId="7FE1B793" w14:textId="1719A947" w:rsidR="00393915" w:rsidRDefault="00F24D68">
            <w:pPr>
              <w:pStyle w:val="P68B1DB1-ListParagraph25"/>
              <w:autoSpaceDE w:val="0"/>
              <w:autoSpaceDN w:val="0"/>
              <w:adjustRightInd w:val="0"/>
              <w:ind w:left="539"/>
              <w:jc w:val="both"/>
            </w:pPr>
            <w:r>
              <w:t>Jednaka definicija kao u predlošku Z 02.00 (LIAB 1), retku 0370</w:t>
            </w:r>
          </w:p>
          <w:p w14:paraId="7FE1B794" w14:textId="77777777" w:rsidR="00393915" w:rsidRDefault="00F24D68">
            <w:pPr>
              <w:pStyle w:val="P68B1DB1-ListParagraph25"/>
              <w:numPr>
                <w:ilvl w:val="0"/>
                <w:numId w:val="54"/>
              </w:numPr>
              <w:autoSpaceDE w:val="0"/>
              <w:autoSpaceDN w:val="0"/>
              <w:adjustRightInd w:val="0"/>
              <w:ind w:left="539" w:hanging="454"/>
              <w:contextualSpacing/>
              <w:jc w:val="both"/>
            </w:pPr>
            <w:r>
              <w:t>Ostale obveze koje su prihvatljive u pogledu minimalnih zahtjeva za regulatorni kapital i prihvatljive obveze (MREL)</w:t>
            </w:r>
          </w:p>
          <w:p w14:paraId="7FE1B795" w14:textId="18D60D2B" w:rsidR="00393915" w:rsidRDefault="00F24D68">
            <w:pPr>
              <w:pStyle w:val="P68B1DB1-ListParagraph25"/>
              <w:autoSpaceDE w:val="0"/>
              <w:autoSpaceDN w:val="0"/>
              <w:adjustRightInd w:val="0"/>
              <w:ind w:left="539"/>
              <w:jc w:val="both"/>
            </w:pPr>
            <w:r>
              <w:t>Jednaka definicija kao u predlošku Z 02.00 (LIAB 1), retku 0380</w:t>
            </w:r>
          </w:p>
          <w:p w14:paraId="7FE1B796" w14:textId="77777777" w:rsidR="00393915" w:rsidRDefault="00F24D68">
            <w:pPr>
              <w:pStyle w:val="P68B1DB1-ListParagraph25"/>
              <w:numPr>
                <w:ilvl w:val="0"/>
                <w:numId w:val="54"/>
              </w:numPr>
              <w:autoSpaceDE w:val="0"/>
              <w:autoSpaceDN w:val="0"/>
              <w:adjustRightInd w:val="0"/>
              <w:ind w:left="539" w:hanging="454"/>
              <w:contextualSpacing/>
              <w:jc w:val="both"/>
            </w:pPr>
            <w:r>
              <w:t>Nefinancijske obveze</w:t>
            </w:r>
          </w:p>
          <w:p w14:paraId="7FE1B797" w14:textId="03D8AF00" w:rsidR="00393915" w:rsidRDefault="00F24D68">
            <w:pPr>
              <w:pStyle w:val="P68B1DB1-ListParagraph25"/>
              <w:autoSpaceDE w:val="0"/>
              <w:autoSpaceDN w:val="0"/>
              <w:adjustRightInd w:val="0"/>
              <w:ind w:left="539"/>
              <w:jc w:val="both"/>
            </w:pPr>
            <w:r>
              <w:t>Jednaka definicija kao u predlošku Z 02.00 (LIAB 1), retku 0390</w:t>
            </w:r>
          </w:p>
          <w:p w14:paraId="7FE1B798" w14:textId="77777777" w:rsidR="00393915" w:rsidRDefault="00F24D68">
            <w:pPr>
              <w:pStyle w:val="P68B1DB1-ListParagraph25"/>
              <w:numPr>
                <w:ilvl w:val="0"/>
                <w:numId w:val="54"/>
              </w:numPr>
              <w:autoSpaceDE w:val="0"/>
              <w:autoSpaceDN w:val="0"/>
              <w:adjustRightInd w:val="0"/>
              <w:ind w:left="539" w:hanging="454"/>
              <w:contextualSpacing/>
              <w:jc w:val="both"/>
            </w:pPr>
            <w:r>
              <w:t>Preostale obveze</w:t>
            </w:r>
          </w:p>
          <w:p w14:paraId="7FE1B799" w14:textId="5E01E641" w:rsidR="00393915" w:rsidRDefault="00F24D68">
            <w:pPr>
              <w:pStyle w:val="P68B1DB1-ListParagraph25"/>
              <w:autoSpaceDE w:val="0"/>
              <w:autoSpaceDN w:val="0"/>
              <w:adjustRightInd w:val="0"/>
              <w:ind w:left="539"/>
              <w:jc w:val="both"/>
            </w:pPr>
            <w:r>
              <w:t>Jednaka definicija kao u predlošku Z 02.00 (LIAB 1), retku 0400. Bilo koja obveza koja nije obuhvaćena ni u jednoj od prethodnih stavki.</w:t>
            </w:r>
          </w:p>
          <w:p w14:paraId="7FE1B79A" w14:textId="77777777" w:rsidR="00393915" w:rsidRDefault="00F24D68">
            <w:pPr>
              <w:pStyle w:val="P68B1DB1-ListParagraph25"/>
              <w:numPr>
                <w:ilvl w:val="0"/>
                <w:numId w:val="54"/>
              </w:numPr>
              <w:autoSpaceDE w:val="0"/>
              <w:autoSpaceDN w:val="0"/>
              <w:adjustRightInd w:val="0"/>
              <w:ind w:left="539" w:hanging="454"/>
              <w:contextualSpacing/>
              <w:jc w:val="both"/>
            </w:pPr>
            <w:r>
              <w:t>Dopunski kapital</w:t>
            </w:r>
          </w:p>
          <w:p w14:paraId="7FE1B79B" w14:textId="1DC09C8A" w:rsidR="00393915" w:rsidRDefault="00F24D68">
            <w:pPr>
              <w:pStyle w:val="P68B1DB1-ListParagraph25"/>
              <w:autoSpaceDE w:val="0"/>
              <w:autoSpaceDN w:val="0"/>
              <w:adjustRightInd w:val="0"/>
              <w:ind w:left="539"/>
              <w:jc w:val="both"/>
            </w:pPr>
            <w:r>
              <w:t>Jednaka definicija kao u predlošku Z 02.00 (LIAB 1), retku 0530</w:t>
            </w:r>
          </w:p>
          <w:p w14:paraId="7FE1B79C" w14:textId="77777777" w:rsidR="00393915" w:rsidRDefault="00F24D68">
            <w:pPr>
              <w:pStyle w:val="P68B1DB1-ListParagraph25"/>
              <w:numPr>
                <w:ilvl w:val="0"/>
                <w:numId w:val="54"/>
              </w:numPr>
              <w:autoSpaceDE w:val="0"/>
              <w:autoSpaceDN w:val="0"/>
              <w:adjustRightInd w:val="0"/>
              <w:ind w:left="539" w:hanging="454"/>
              <w:contextualSpacing/>
              <w:jc w:val="both"/>
            </w:pPr>
            <w:r>
              <w:t>Dodatni osnovni kapital</w:t>
            </w:r>
          </w:p>
          <w:p w14:paraId="7FE1B79D" w14:textId="5EB7A3D7" w:rsidR="00393915" w:rsidRDefault="00F24D68">
            <w:pPr>
              <w:pStyle w:val="P68B1DB1-ListParagraph25"/>
              <w:autoSpaceDE w:val="0"/>
              <w:autoSpaceDN w:val="0"/>
              <w:adjustRightInd w:val="0"/>
              <w:ind w:left="539"/>
              <w:jc w:val="both"/>
            </w:pPr>
            <w:r>
              <w:t>Jednaka definicija kao u predlošku Z 02.00 (LIAB 1), retku 0520</w:t>
            </w:r>
          </w:p>
          <w:p w14:paraId="7FE1B79E" w14:textId="77777777" w:rsidR="00393915" w:rsidRDefault="00F24D68">
            <w:pPr>
              <w:pStyle w:val="P68B1DB1-ListParagraph25"/>
              <w:numPr>
                <w:ilvl w:val="0"/>
                <w:numId w:val="54"/>
              </w:numPr>
              <w:autoSpaceDE w:val="0"/>
              <w:autoSpaceDN w:val="0"/>
              <w:adjustRightInd w:val="0"/>
              <w:ind w:left="539" w:hanging="454"/>
              <w:contextualSpacing/>
              <w:jc w:val="both"/>
            </w:pPr>
            <w:r>
              <w:t>Redovni osnovni kapital</w:t>
            </w:r>
          </w:p>
          <w:p w14:paraId="7FE1B79F" w14:textId="3DF796DF" w:rsidR="00393915" w:rsidRDefault="00F24D68">
            <w:pPr>
              <w:pStyle w:val="P68B1DB1-ListParagraph25"/>
              <w:autoSpaceDE w:val="0"/>
              <w:autoSpaceDN w:val="0"/>
              <w:adjustRightInd w:val="0"/>
              <w:ind w:left="539"/>
              <w:jc w:val="both"/>
            </w:pPr>
            <w:r>
              <w:t>Jednaka definicija kao u predlošku Z 02.00 (LIAB 1), retku 0510</w:t>
            </w:r>
          </w:p>
          <w:p w14:paraId="7FE1B7A0" w14:textId="77777777" w:rsidR="00393915" w:rsidRDefault="00F24D68">
            <w:pPr>
              <w:pStyle w:val="P68B1DB1-TableParagraph24"/>
              <w:spacing w:before="108"/>
              <w:ind w:left="85"/>
              <w:jc w:val="both"/>
            </w:pPr>
            <w:r>
              <w:t>Jamstva unutar grupe</w:t>
            </w:r>
          </w:p>
          <w:p w14:paraId="7FE1B7A1" w14:textId="426DD2CE" w:rsidR="00393915" w:rsidRDefault="00F24D68">
            <w:pPr>
              <w:pStyle w:val="P68B1DB1-ListParagraph25"/>
              <w:numPr>
                <w:ilvl w:val="0"/>
                <w:numId w:val="55"/>
              </w:numPr>
              <w:autoSpaceDE w:val="0"/>
              <w:autoSpaceDN w:val="0"/>
              <w:adjustRightInd w:val="0"/>
              <w:ind w:left="539" w:hanging="454"/>
              <w:contextualSpacing/>
              <w:jc w:val="both"/>
            </w:pPr>
            <w:r>
              <w:t>Jamstva za izdavanje</w:t>
            </w:r>
          </w:p>
          <w:p w14:paraId="7FE1B7A2" w14:textId="453C59B4" w:rsidR="00393915" w:rsidRDefault="00F24D68">
            <w:pPr>
              <w:pStyle w:val="P68B1DB1-ListParagraph25"/>
              <w:autoSpaceDE w:val="0"/>
              <w:autoSpaceDN w:val="0"/>
              <w:adjustRightInd w:val="0"/>
              <w:ind w:left="539"/>
              <w:jc w:val="both"/>
            </w:pPr>
            <w:r>
              <w:t xml:space="preserve">Jamstva za </w:t>
            </w:r>
            <w:r w:rsidR="00252772">
              <w:t xml:space="preserve">izdane </w:t>
            </w:r>
            <w:r>
              <w:t xml:space="preserve">posebne instrumente/obveze </w:t>
            </w:r>
          </w:p>
          <w:p w14:paraId="7FE1B7A3" w14:textId="71CD6004" w:rsidR="00393915" w:rsidRDefault="00F24D68">
            <w:pPr>
              <w:pStyle w:val="P68B1DB1-ListParagraph25"/>
              <w:numPr>
                <w:ilvl w:val="0"/>
                <w:numId w:val="55"/>
              </w:numPr>
              <w:autoSpaceDE w:val="0"/>
              <w:autoSpaceDN w:val="0"/>
              <w:adjustRightInd w:val="0"/>
              <w:ind w:left="539" w:hanging="454"/>
              <w:contextualSpacing/>
              <w:jc w:val="both"/>
            </w:pPr>
            <w:r>
              <w:t>Jamstva druge ugovorne strane</w:t>
            </w:r>
          </w:p>
          <w:p w14:paraId="7FE1B7A4" w14:textId="77777777" w:rsidR="00393915" w:rsidRDefault="00F24D68">
            <w:pPr>
              <w:pStyle w:val="P68B1DB1-ListParagraph25"/>
              <w:autoSpaceDE w:val="0"/>
              <w:autoSpaceDN w:val="0"/>
              <w:adjustRightInd w:val="0"/>
              <w:ind w:left="539"/>
              <w:jc w:val="both"/>
            </w:pPr>
            <w:r>
              <w:t>Jamstva odobrena posebnoj drugoj ugovornoj strani institucije</w:t>
            </w:r>
          </w:p>
          <w:p w14:paraId="7FE1B7A5" w14:textId="50A984E1" w:rsidR="00393915" w:rsidRDefault="00F24D68">
            <w:pPr>
              <w:pStyle w:val="P68B1DB1-ListParagraph25"/>
              <w:numPr>
                <w:ilvl w:val="0"/>
                <w:numId w:val="55"/>
              </w:numPr>
              <w:autoSpaceDE w:val="0"/>
              <w:autoSpaceDN w:val="0"/>
              <w:adjustRightInd w:val="0"/>
              <w:ind w:left="539" w:hanging="454"/>
              <w:contextualSpacing/>
              <w:jc w:val="both"/>
            </w:pPr>
            <w:r>
              <w:t>Neograničena jamstva</w:t>
            </w:r>
          </w:p>
          <w:p w14:paraId="7FE1B7A6" w14:textId="77777777" w:rsidR="00393915" w:rsidRDefault="00F24D68">
            <w:pPr>
              <w:pStyle w:val="P68B1DB1-ListParagraph25"/>
              <w:autoSpaceDE w:val="0"/>
              <w:autoSpaceDN w:val="0"/>
              <w:adjustRightInd w:val="0"/>
              <w:ind w:left="539"/>
              <w:jc w:val="both"/>
            </w:pPr>
            <w:r>
              <w:t xml:space="preserve">Opća jamstva koja nisu ograničena na fiksni iznos </w:t>
            </w:r>
          </w:p>
          <w:p w14:paraId="7FE1B7A7" w14:textId="391BAF8D" w:rsidR="00393915" w:rsidRDefault="00F24D68">
            <w:pPr>
              <w:pStyle w:val="P68B1DB1-ListParagraph25"/>
              <w:numPr>
                <w:ilvl w:val="0"/>
                <w:numId w:val="55"/>
              </w:numPr>
              <w:autoSpaceDE w:val="0"/>
              <w:autoSpaceDN w:val="0"/>
              <w:adjustRightInd w:val="0"/>
              <w:ind w:left="539" w:hanging="454"/>
              <w:contextualSpacing/>
              <w:jc w:val="both"/>
            </w:pPr>
            <w:r>
              <w:t>Ostala jamstva</w:t>
            </w:r>
          </w:p>
          <w:p w14:paraId="7FE1B7A8" w14:textId="77777777" w:rsidR="00393915" w:rsidRDefault="00F24D68">
            <w:pPr>
              <w:pStyle w:val="P68B1DB1-ListParagraph25"/>
              <w:autoSpaceDE w:val="0"/>
              <w:autoSpaceDN w:val="0"/>
              <w:adjustRightInd w:val="0"/>
              <w:ind w:left="539"/>
              <w:jc w:val="both"/>
            </w:pPr>
            <w:r>
              <w:t xml:space="preserve">Sve vrste jamstva koje nisu obuhvaćene prethodno navedenim vrstama. </w:t>
            </w:r>
          </w:p>
        </w:tc>
      </w:tr>
      <w:tr w:rsidR="00393915" w14:paraId="7FE1B7AE" w14:textId="77777777">
        <w:tc>
          <w:tcPr>
            <w:tcW w:w="907" w:type="dxa"/>
            <w:tcBorders>
              <w:top w:val="single" w:sz="4" w:space="0" w:color="1A171C"/>
              <w:left w:val="nil"/>
              <w:bottom w:val="single" w:sz="4" w:space="0" w:color="1A171C"/>
              <w:right w:val="single" w:sz="4" w:space="0" w:color="1A171C"/>
            </w:tcBorders>
            <w:vAlign w:val="center"/>
          </w:tcPr>
          <w:p w14:paraId="7FE1B7AA" w14:textId="0E2AA2E7" w:rsidR="00393915" w:rsidRDefault="00F24D68">
            <w:pPr>
              <w:pStyle w:val="P68B1DB1-TableParagraph13"/>
              <w:spacing w:before="106"/>
              <w:ind w:left="-1"/>
            </w:pPr>
            <w:r>
              <w:lastRenderedPageBreak/>
              <w:t>0060 – 0080</w:t>
            </w:r>
          </w:p>
        </w:tc>
        <w:tc>
          <w:tcPr>
            <w:tcW w:w="8119" w:type="dxa"/>
            <w:tcBorders>
              <w:top w:val="single" w:sz="4" w:space="0" w:color="1A171C"/>
              <w:left w:val="single" w:sz="4" w:space="0" w:color="1A171C"/>
              <w:bottom w:val="single" w:sz="4" w:space="0" w:color="1A171C"/>
              <w:right w:val="nil"/>
            </w:tcBorders>
            <w:vAlign w:val="center"/>
          </w:tcPr>
          <w:p w14:paraId="7FE1B7AB" w14:textId="77777777" w:rsidR="00393915" w:rsidRDefault="00F24D68">
            <w:pPr>
              <w:pStyle w:val="P68B1DB1-TableParagraph14"/>
              <w:spacing w:before="108"/>
              <w:ind w:left="85"/>
              <w:jc w:val="both"/>
              <w:rPr>
                <w:bCs/>
              </w:rPr>
            </w:pPr>
            <w:r>
              <w:t>Nepodmireni iznos</w:t>
            </w:r>
          </w:p>
          <w:p w14:paraId="7FE1B7AC" w14:textId="0BB5F57D" w:rsidR="00393915" w:rsidRDefault="00F24D68">
            <w:pPr>
              <w:pStyle w:val="P68B1DB1-TableParagraph17"/>
              <w:spacing w:before="108"/>
              <w:ind w:left="85"/>
              <w:jc w:val="both"/>
            </w:pPr>
            <w:r>
              <w:t>Za obveze u stupcu 0050, nepodmireni iznos unutargrupnih obveza; za obveze koje proizlaze iz izvedenica, iznosi za zatvaranje kako su definirani za potrebe predloška Z 02.00 (LIAB 1), redak 0333.</w:t>
            </w:r>
          </w:p>
          <w:p w14:paraId="7FE1B7AD" w14:textId="75442B42" w:rsidR="00393915" w:rsidRDefault="00F24D68">
            <w:pPr>
              <w:pStyle w:val="P68B1DB1-TableParagraph17"/>
              <w:spacing w:before="108"/>
              <w:ind w:left="85"/>
              <w:jc w:val="both"/>
            </w:pPr>
            <w:r>
              <w:t xml:space="preserve">Za jamstva u stupcu 0050, najveći mogući iznos budućih plaćanja u okviru jamstva </w:t>
            </w:r>
          </w:p>
        </w:tc>
      </w:tr>
      <w:tr w:rsidR="00393915" w14:paraId="7FE1B7B2" w14:textId="77777777">
        <w:tc>
          <w:tcPr>
            <w:tcW w:w="907" w:type="dxa"/>
            <w:tcBorders>
              <w:top w:val="single" w:sz="4" w:space="0" w:color="1A171C"/>
              <w:left w:val="nil"/>
              <w:bottom w:val="single" w:sz="4" w:space="0" w:color="1A171C"/>
              <w:right w:val="single" w:sz="4" w:space="0" w:color="1A171C"/>
            </w:tcBorders>
            <w:vAlign w:val="center"/>
          </w:tcPr>
          <w:p w14:paraId="7FE1B7AF" w14:textId="77777777" w:rsidR="00393915" w:rsidRDefault="00F24D68">
            <w:pPr>
              <w:pStyle w:val="P68B1DB1-TableParagraph13"/>
              <w:spacing w:before="106"/>
              <w:ind w:left="-1"/>
            </w:pPr>
            <w:r>
              <w:t>0070</w:t>
            </w:r>
          </w:p>
        </w:tc>
        <w:tc>
          <w:tcPr>
            <w:tcW w:w="8119" w:type="dxa"/>
            <w:tcBorders>
              <w:top w:val="single" w:sz="4" w:space="0" w:color="1A171C"/>
              <w:left w:val="single" w:sz="4" w:space="0" w:color="1A171C"/>
              <w:bottom w:val="single" w:sz="4" w:space="0" w:color="1A171C"/>
              <w:right w:val="nil"/>
            </w:tcBorders>
            <w:vAlign w:val="center"/>
          </w:tcPr>
          <w:p w14:paraId="7FE1B7B0" w14:textId="374A223C" w:rsidR="00393915" w:rsidRDefault="00F24D68">
            <w:pPr>
              <w:pStyle w:val="P68B1DB1-TableParagraph14"/>
              <w:spacing w:before="108"/>
              <w:ind w:left="85"/>
              <w:jc w:val="both"/>
              <w:rPr>
                <w:bCs/>
              </w:rPr>
            </w:pPr>
            <w:r>
              <w:t>od čega</w:t>
            </w:r>
            <w:r w:rsidR="009105D6">
              <w:t xml:space="preserve"> </w:t>
            </w:r>
            <w:r>
              <w:t>izdano na temelju prava treće zemlje</w:t>
            </w:r>
          </w:p>
          <w:p w14:paraId="7FE1B7B1" w14:textId="77777777" w:rsidR="00393915" w:rsidRDefault="00F24D68">
            <w:pPr>
              <w:pStyle w:val="P68B1DB1-TableParagraph13"/>
              <w:spacing w:before="108"/>
              <w:ind w:left="85"/>
              <w:jc w:val="both"/>
              <w:rPr>
                <w:bCs/>
              </w:rPr>
            </w:pPr>
            <w:r>
              <w:t>Udio, u novčanom iznosu, nepodmirenog iznosa koji je uređen pravom treće zemlje.</w:t>
            </w:r>
          </w:p>
        </w:tc>
      </w:tr>
      <w:tr w:rsidR="00393915" w14:paraId="7FE1B7B6" w14:textId="77777777">
        <w:tc>
          <w:tcPr>
            <w:tcW w:w="907" w:type="dxa"/>
            <w:tcBorders>
              <w:top w:val="single" w:sz="4" w:space="0" w:color="1A171C"/>
              <w:left w:val="nil"/>
              <w:bottom w:val="single" w:sz="4" w:space="0" w:color="1A171C"/>
              <w:right w:val="single" w:sz="4" w:space="0" w:color="1A171C"/>
            </w:tcBorders>
            <w:vAlign w:val="center"/>
          </w:tcPr>
          <w:p w14:paraId="7FE1B7B3" w14:textId="77777777" w:rsidR="00393915" w:rsidRDefault="00F24D68">
            <w:pPr>
              <w:pStyle w:val="P68B1DB1-TableParagraph13"/>
              <w:spacing w:before="106"/>
              <w:ind w:left="-1"/>
            </w:pPr>
            <w:r>
              <w:t>0080</w:t>
            </w:r>
          </w:p>
        </w:tc>
        <w:tc>
          <w:tcPr>
            <w:tcW w:w="8119" w:type="dxa"/>
            <w:tcBorders>
              <w:top w:val="single" w:sz="4" w:space="0" w:color="1A171C"/>
              <w:left w:val="single" w:sz="4" w:space="0" w:color="1A171C"/>
              <w:bottom w:val="single" w:sz="4" w:space="0" w:color="1A171C"/>
              <w:right w:val="nil"/>
            </w:tcBorders>
            <w:vAlign w:val="center"/>
          </w:tcPr>
          <w:p w14:paraId="7FE1B7B4" w14:textId="77777777" w:rsidR="00393915" w:rsidRDefault="00F24D68">
            <w:pPr>
              <w:pStyle w:val="P68B1DB1-TableParagraph14"/>
              <w:spacing w:before="108"/>
              <w:ind w:left="85"/>
              <w:jc w:val="both"/>
              <w:rPr>
                <w:rFonts w:eastAsia="Cambria"/>
              </w:rPr>
            </w:pPr>
            <w:r>
              <w:t>od čega: Iznos prihvatljiv u pogledu minimalnih zahtjeva za regulatorni kapital i prihvatljive obveze (MREL)</w:t>
            </w:r>
          </w:p>
          <w:p w14:paraId="7FE1B7B5" w14:textId="77777777" w:rsidR="00393915" w:rsidRDefault="00F24D68">
            <w:pPr>
              <w:pStyle w:val="TableParagraph"/>
              <w:spacing w:before="108"/>
              <w:ind w:left="85"/>
              <w:jc w:val="both"/>
              <w:rPr>
                <w:rFonts w:ascii="Times New Roman" w:eastAsia="Cambria" w:hAnsi="Times New Roman" w:cs="Times New Roman"/>
                <w:color w:val="000000" w:themeColor="text1"/>
                <w:sz w:val="20"/>
                <w:szCs w:val="20"/>
              </w:rPr>
            </w:pPr>
            <w:r>
              <w:rPr>
                <w:rFonts w:ascii="Times New Roman" w:eastAsia="Cambria" w:hAnsi="Times New Roman" w:cs="Times New Roman"/>
                <w:color w:val="000000" w:themeColor="text1"/>
                <w:sz w:val="20"/>
                <w:szCs w:val="20"/>
              </w:rPr>
              <w:t>Iznos regulatornog kapitala i obveza prihvatljivih za ispunjavanje zahtjeva iz članka 45. Direktive 2014/59/EU u skladu s člankom 45.e ili 45.f te direktive, ovisno o slučaju.</w:t>
            </w:r>
            <w:r>
              <w:rPr>
                <w:rFonts w:ascii="Times New Roman" w:hAnsi="Times New Roman" w:cs="Times New Roman"/>
              </w:rPr>
              <w:t xml:space="preserve"> </w:t>
            </w:r>
            <w:r>
              <w:rPr>
                <w:rFonts w:ascii="Times New Roman" w:eastAsia="Cambria" w:hAnsi="Times New Roman" w:cs="Times New Roman"/>
                <w:color w:val="000000" w:themeColor="text1"/>
                <w:sz w:val="20"/>
                <w:szCs w:val="20"/>
              </w:rPr>
              <w:t>Iskazuju se samo regulatorni kapital i obveze koji ispunjavaju kriterije iz članka 45.b ili članka 45.f stavka 2. Direktive 2014/59/EU, ovisno o slučaju, uzimajući u obzir, prema potrebi, članak 89. stavak 2. BRRD-a i članak 55. BRRD-a.</w:t>
            </w:r>
          </w:p>
        </w:tc>
      </w:tr>
    </w:tbl>
    <w:p w14:paraId="7FE1B7B7" w14:textId="77777777" w:rsidR="00393915" w:rsidRDefault="00393915">
      <w:pPr>
        <w:jc w:val="both"/>
        <w:rPr>
          <w:rFonts w:ascii="Times New Roman" w:hAnsi="Times New Roman" w:cs="Times New Roman"/>
          <w:color w:val="000000" w:themeColor="text1"/>
          <w:sz w:val="20"/>
          <w:szCs w:val="20"/>
        </w:rPr>
      </w:pPr>
    </w:p>
    <w:p w14:paraId="7FE1B7B8" w14:textId="548121DF" w:rsidR="00393915" w:rsidRDefault="00F24D68">
      <w:pPr>
        <w:pStyle w:val="P68B1DB1-Instructionsberschrift25"/>
        <w:numPr>
          <w:ilvl w:val="1"/>
          <w:numId w:val="49"/>
        </w:numPr>
        <w:ind w:left="357" w:hanging="357"/>
      </w:pPr>
      <w:bookmarkStart w:id="67" w:name="_Toc492542325"/>
      <w:bookmarkStart w:id="68" w:name="_Toc81454183"/>
      <w:bookmarkStart w:id="69" w:name="_Toc208244802"/>
      <w:r>
        <w:lastRenderedPageBreak/>
        <w:t>Glavne druge ugovorne strane (LIAB 5 i 6)</w:t>
      </w:r>
      <w:bookmarkEnd w:id="67"/>
      <w:bookmarkEnd w:id="68"/>
      <w:bookmarkEnd w:id="69"/>
    </w:p>
    <w:p w14:paraId="7FE1B7B9" w14:textId="77777777" w:rsidR="00393915" w:rsidRDefault="00F24D68">
      <w:pPr>
        <w:pStyle w:val="Instructionsberschrift3"/>
      </w:pPr>
      <w:r>
        <w:t>Opće napomene</w:t>
      </w:r>
    </w:p>
    <w:p w14:paraId="7FE1B7BA" w14:textId="77777777" w:rsidR="00393915" w:rsidRDefault="00F24D68">
      <w:pPr>
        <w:pStyle w:val="P68B1DB1-InstructionsText26"/>
        <w:numPr>
          <w:ilvl w:val="0"/>
          <w:numId w:val="232"/>
        </w:numPr>
        <w:spacing w:before="0"/>
      </w:pPr>
      <w:r>
        <w:t>U ovim se predlošcima prikupljaju informacije o obvezama prema glavnim drugim ugovornim stranama (Z 05.01) i izvanbilančnim stavkama primljenima od glavnih drugih ugovornih strana (Z 05.02). Iskazani iznosi zbrajaju se ako pripadaju istoj drugoj ugovornoj strani i istoj vrsti obveza ili izvanbilančnih stavki.</w:t>
      </w:r>
    </w:p>
    <w:p w14:paraId="7FE1B7BB" w14:textId="77777777" w:rsidR="00393915" w:rsidRDefault="00F24D68">
      <w:pPr>
        <w:pStyle w:val="P68B1DB1-InstructionsText26"/>
        <w:numPr>
          <w:ilvl w:val="0"/>
          <w:numId w:val="232"/>
        </w:numPr>
        <w:spacing w:before="0"/>
      </w:pPr>
      <w:r>
        <w:t>U ovim predlošcima ne iskazuju se obveze i izvanbilančne stavke kod kojih nije moguće identificirati drugu ugovornu stranu. U ovim predlošcima ne iskazuju se obveze i izvanbilančne stavke kod kojih je druga ugovorna strana subjekt koji je uključen u konsolidirane financijske izvještaje.</w:t>
      </w:r>
    </w:p>
    <w:p w14:paraId="7FE1B7BC" w14:textId="04BE316A" w:rsidR="00393915" w:rsidRDefault="00393915">
      <w:pPr>
        <w:pStyle w:val="InstructionsText2"/>
        <w:numPr>
          <w:ilvl w:val="0"/>
          <w:numId w:val="0"/>
        </w:numPr>
        <w:spacing w:before="0"/>
        <w:ind w:left="753" w:hanging="720"/>
        <w:rPr>
          <w:rFonts w:ascii="Times New Roman" w:hAnsi="Times New Roman" w:cs="Times New Roman"/>
          <w:sz w:val="20"/>
          <w:szCs w:val="20"/>
        </w:rPr>
      </w:pPr>
    </w:p>
    <w:p w14:paraId="7FE1B7BD" w14:textId="32103B74" w:rsidR="00393915" w:rsidRDefault="00F24D68">
      <w:pPr>
        <w:pStyle w:val="P68B1DB1-Instructionsberschrift25"/>
        <w:numPr>
          <w:ilvl w:val="1"/>
          <w:numId w:val="49"/>
        </w:numPr>
        <w:ind w:left="357" w:hanging="357"/>
      </w:pPr>
      <w:bookmarkStart w:id="70" w:name="_Toc208244803"/>
      <w:bookmarkStart w:id="71" w:name="_Toc81454184"/>
      <w:r>
        <w:t>Z 05.01 – Glavne druge ugovorne strane prema kojima postoje obveze (</w:t>
      </w:r>
      <w:r w:rsidR="006047E7">
        <w:t>LIAB 5</w:t>
      </w:r>
      <w:r>
        <w:t>)</w:t>
      </w:r>
      <w:bookmarkEnd w:id="70"/>
    </w:p>
    <w:p w14:paraId="7FE1B7BE" w14:textId="0F7A6C34" w:rsidR="00393915" w:rsidRDefault="00F24D68">
      <w:pPr>
        <w:pStyle w:val="P68B1DB1-body26"/>
      </w:pPr>
      <w:r>
        <w:t>Upute za specifične pozicije</w:t>
      </w:r>
      <w:bookmarkEnd w:id="71"/>
    </w:p>
    <w:p w14:paraId="7FE1B7BF" w14:textId="77777777" w:rsidR="00393915" w:rsidRDefault="00F24D68">
      <w:pPr>
        <w:pStyle w:val="P68B1DB1-InstructionsText26"/>
        <w:numPr>
          <w:ilvl w:val="0"/>
          <w:numId w:val="232"/>
        </w:numPr>
        <w:spacing w:before="0"/>
      </w:pPr>
      <w:r>
        <w:t>Kombinacija vrijednosti iskazanih u stupcima 0020 i 0060 ovog predloška čini primarni ključ koji mora biti jedinstven za svaki redak predloška.</w:t>
      </w:r>
    </w:p>
    <w:tbl>
      <w:tblPr>
        <w:tblW w:w="0" w:type="auto"/>
        <w:tblCellMar>
          <w:top w:w="57" w:type="dxa"/>
          <w:left w:w="57" w:type="dxa"/>
          <w:bottom w:w="57" w:type="dxa"/>
          <w:right w:w="0" w:type="dxa"/>
        </w:tblCellMar>
        <w:tblLook w:val="01E0" w:firstRow="1" w:lastRow="1" w:firstColumn="1" w:lastColumn="1" w:noHBand="0" w:noVBand="0"/>
      </w:tblPr>
      <w:tblGrid>
        <w:gridCol w:w="907"/>
        <w:gridCol w:w="8119"/>
      </w:tblGrid>
      <w:tr w:rsidR="00393915" w14:paraId="7FE1B7C2" w14:textId="77777777">
        <w:trPr>
          <w:tblHeader/>
        </w:trPr>
        <w:tc>
          <w:tcPr>
            <w:tcW w:w="907" w:type="dxa"/>
            <w:tcBorders>
              <w:top w:val="single" w:sz="4" w:space="0" w:color="1A171C"/>
              <w:left w:val="nil"/>
              <w:bottom w:val="single" w:sz="4" w:space="0" w:color="1A171C"/>
              <w:right w:val="single" w:sz="4" w:space="0" w:color="1A171C"/>
            </w:tcBorders>
            <w:shd w:val="clear" w:color="auto" w:fill="E4E5E5"/>
          </w:tcPr>
          <w:p w14:paraId="7FE1B7C0" w14:textId="77777777" w:rsidR="00393915" w:rsidRDefault="00F24D68">
            <w:pPr>
              <w:pStyle w:val="P68B1DB1-TableParagraph13"/>
              <w:spacing w:before="66"/>
              <w:rPr>
                <w:rFonts w:eastAsia="Cambria"/>
              </w:rPr>
            </w:pPr>
            <w:r>
              <w:t>Stupci</w:t>
            </w:r>
          </w:p>
        </w:tc>
        <w:tc>
          <w:tcPr>
            <w:tcW w:w="8119" w:type="dxa"/>
            <w:tcBorders>
              <w:top w:val="single" w:sz="4" w:space="0" w:color="1A171C"/>
              <w:left w:val="single" w:sz="4" w:space="0" w:color="1A171C"/>
              <w:bottom w:val="single" w:sz="4" w:space="0" w:color="1A171C"/>
              <w:right w:val="nil"/>
            </w:tcBorders>
            <w:shd w:val="clear" w:color="auto" w:fill="E4E5E5"/>
          </w:tcPr>
          <w:p w14:paraId="7FE1B7C1" w14:textId="77777777" w:rsidR="00393915" w:rsidRDefault="00F24D68">
            <w:pPr>
              <w:pStyle w:val="P68B1DB1-TableParagraph13"/>
              <w:spacing w:before="66"/>
              <w:ind w:right="1"/>
              <w:jc w:val="center"/>
              <w:rPr>
                <w:rFonts w:eastAsia="Cambria"/>
              </w:rPr>
            </w:pPr>
            <w:r>
              <w:t>Upute</w:t>
            </w:r>
          </w:p>
        </w:tc>
      </w:tr>
      <w:tr w:rsidR="00393915" w14:paraId="7FE1B7CC" w14:textId="77777777">
        <w:tc>
          <w:tcPr>
            <w:tcW w:w="907" w:type="dxa"/>
            <w:tcBorders>
              <w:top w:val="single" w:sz="4" w:space="0" w:color="1A171C"/>
              <w:left w:val="nil"/>
              <w:bottom w:val="single" w:sz="4" w:space="0" w:color="1A171C"/>
              <w:right w:val="single" w:sz="4" w:space="0" w:color="1A171C"/>
            </w:tcBorders>
            <w:vAlign w:val="center"/>
          </w:tcPr>
          <w:p w14:paraId="7FE1B7C3" w14:textId="77777777" w:rsidR="00393915" w:rsidRDefault="00F24D68">
            <w:pPr>
              <w:pStyle w:val="P68B1DB1-TableParagraph17"/>
              <w:spacing w:before="108"/>
              <w:ind w:left="85"/>
              <w:jc w:val="both"/>
            </w:pPr>
            <w:r>
              <w:t>0010 – 0050</w:t>
            </w:r>
          </w:p>
        </w:tc>
        <w:tc>
          <w:tcPr>
            <w:tcW w:w="8119" w:type="dxa"/>
            <w:tcBorders>
              <w:top w:val="single" w:sz="4" w:space="0" w:color="1A171C"/>
              <w:left w:val="single" w:sz="4" w:space="0" w:color="1A171C"/>
              <w:bottom w:val="single" w:sz="4" w:space="0" w:color="1A171C"/>
              <w:right w:val="nil"/>
            </w:tcBorders>
            <w:vAlign w:val="center"/>
          </w:tcPr>
          <w:p w14:paraId="7FE1B7C4" w14:textId="77777777" w:rsidR="00393915" w:rsidRDefault="00F24D68">
            <w:pPr>
              <w:pStyle w:val="P68B1DB1-TableParagraph14"/>
              <w:spacing w:before="108"/>
              <w:ind w:left="85"/>
              <w:jc w:val="both"/>
              <w:rPr>
                <w:bCs/>
              </w:rPr>
            </w:pPr>
            <w:r>
              <w:t>Druga ugovorna strana</w:t>
            </w:r>
          </w:p>
          <w:p w14:paraId="7FE1B7C5" w14:textId="77777777" w:rsidR="00393915" w:rsidRDefault="00F24D68">
            <w:pPr>
              <w:pStyle w:val="P68B1DB1-TableParagraph17"/>
              <w:spacing w:before="108"/>
              <w:ind w:left="85"/>
              <w:jc w:val="both"/>
            </w:pPr>
            <w:r>
              <w:t xml:space="preserve">Informacije o glavnoj drugoj ugovornoj strani s obzirom na koju proizlazi obveza </w:t>
            </w:r>
          </w:p>
          <w:p w14:paraId="7FE1B7C6" w14:textId="77777777" w:rsidR="00393915" w:rsidRDefault="00F24D68">
            <w:pPr>
              <w:pStyle w:val="P68B1DB1-TableParagraph17"/>
              <w:spacing w:before="108"/>
              <w:ind w:left="85"/>
              <w:jc w:val="both"/>
            </w:pPr>
            <w:r>
              <w:t>Glavne druge ugovorne strane utvrđuju se zbrajanjem nepodmirenih iznosa svih obveza subjekta ili grupe o kojima se izvješćuje u predlošku prema svakoj pojedinoj drugoj ugovornoj stani ili grupi povezanih osoba, isključujući obveze prema subjektima koji su uključeni u konsolidirane financijske izvještaje.</w:t>
            </w:r>
          </w:p>
          <w:p w14:paraId="7FE1B7C7" w14:textId="77777777" w:rsidR="00393915" w:rsidRDefault="00F24D68">
            <w:pPr>
              <w:pStyle w:val="P68B1DB1-TableParagraph17"/>
              <w:spacing w:before="108"/>
              <w:ind w:left="85"/>
              <w:jc w:val="both"/>
            </w:pPr>
            <w:r>
              <w:t>Druge ugovorne strane i grupe povezanih drugih ugovornih strana tada se rangiraju po ukupnom nepodmirenom iznosu kako bi se utvrdilo prvih deset glavnih ugovornih strana, o kojima se pružaju informacije u ovom predlošku.</w:t>
            </w:r>
          </w:p>
          <w:p w14:paraId="7FE1B7CB" w14:textId="1879B990" w:rsidR="00393915" w:rsidRDefault="00F24D68">
            <w:pPr>
              <w:pStyle w:val="P68B1DB1-TableParagraph17"/>
              <w:spacing w:before="108"/>
              <w:ind w:left="85"/>
              <w:jc w:val="both"/>
              <w:rPr>
                <w:b/>
                <w:bCs/>
              </w:rPr>
            </w:pPr>
            <w:r>
              <w:t xml:space="preserve">Definicija pojma „grupa povezanih drugih ugovornih strana” odgovara definiciji pojma „grupa povezanih osoba” utvrđenoj u članku 4. stavku 1. točki 39. Uredbe (EU) br. 575/2013. </w:t>
            </w:r>
          </w:p>
        </w:tc>
      </w:tr>
      <w:tr w:rsidR="00393915" w14:paraId="7FE1B7D1" w14:textId="77777777">
        <w:tc>
          <w:tcPr>
            <w:tcW w:w="907" w:type="dxa"/>
            <w:tcBorders>
              <w:top w:val="single" w:sz="4" w:space="0" w:color="1A171C"/>
              <w:left w:val="nil"/>
              <w:bottom w:val="single" w:sz="4" w:space="0" w:color="1A171C"/>
              <w:right w:val="single" w:sz="4" w:space="0" w:color="1A171C"/>
            </w:tcBorders>
            <w:vAlign w:val="center"/>
          </w:tcPr>
          <w:p w14:paraId="7FE1B7CD" w14:textId="77777777" w:rsidR="00393915" w:rsidRDefault="00F24D68">
            <w:pPr>
              <w:pStyle w:val="P68B1DB1-TableParagraph17"/>
              <w:spacing w:before="108"/>
              <w:ind w:left="85"/>
              <w:jc w:val="both"/>
            </w:pPr>
            <w:r>
              <w:t>0010</w:t>
            </w:r>
          </w:p>
        </w:tc>
        <w:tc>
          <w:tcPr>
            <w:tcW w:w="8119" w:type="dxa"/>
            <w:tcBorders>
              <w:top w:val="single" w:sz="4" w:space="0" w:color="1A171C"/>
              <w:left w:val="single" w:sz="4" w:space="0" w:color="1A171C"/>
              <w:bottom w:val="single" w:sz="4" w:space="0" w:color="1A171C"/>
              <w:right w:val="nil"/>
            </w:tcBorders>
            <w:vAlign w:val="center"/>
          </w:tcPr>
          <w:p w14:paraId="7FE1B7CE" w14:textId="77777777" w:rsidR="00393915" w:rsidRDefault="00F24D68">
            <w:pPr>
              <w:pStyle w:val="P68B1DB1-TableParagraph14"/>
              <w:spacing w:before="108"/>
              <w:ind w:left="85"/>
              <w:jc w:val="both"/>
              <w:rPr>
                <w:bCs/>
              </w:rPr>
            </w:pPr>
            <w:r>
              <w:t>Naziv subjekta</w:t>
            </w:r>
          </w:p>
          <w:p w14:paraId="7FE1B7CF" w14:textId="77777777" w:rsidR="00393915" w:rsidRDefault="00F24D68">
            <w:pPr>
              <w:pStyle w:val="P68B1DB1-Normal18"/>
              <w:spacing w:before="108"/>
              <w:ind w:left="85"/>
              <w:jc w:val="both"/>
            </w:pPr>
            <w:r>
              <w:t>Naziv glavne druge ugovorne strane ili, ako je primjenjivo, naziv grupe povezanih osoba.</w:t>
            </w:r>
          </w:p>
          <w:p w14:paraId="7FE1B7D0" w14:textId="77777777" w:rsidR="00393915" w:rsidRDefault="00F24D68">
            <w:pPr>
              <w:pStyle w:val="P68B1DB1-TableParagraph17"/>
              <w:spacing w:before="108"/>
              <w:ind w:left="85"/>
              <w:jc w:val="both"/>
            </w:pPr>
            <w:r>
              <w:t>Naziv grupe povezanih osoba naziv je matičnog društva ili, ako grupa povezanih osoba nema matično društvo, trgovački naziv grupe.</w:t>
            </w:r>
          </w:p>
        </w:tc>
      </w:tr>
      <w:tr w:rsidR="00393915" w14:paraId="7FE1B7D6" w14:textId="77777777">
        <w:tc>
          <w:tcPr>
            <w:tcW w:w="907" w:type="dxa"/>
            <w:tcBorders>
              <w:top w:val="single" w:sz="4" w:space="0" w:color="1A171C"/>
              <w:left w:val="nil"/>
              <w:bottom w:val="single" w:sz="4" w:space="0" w:color="1A171C"/>
              <w:right w:val="single" w:sz="4" w:space="0" w:color="1A171C"/>
            </w:tcBorders>
            <w:vAlign w:val="center"/>
          </w:tcPr>
          <w:p w14:paraId="7FE1B7D2" w14:textId="77777777" w:rsidR="00393915" w:rsidRDefault="00F24D68">
            <w:pPr>
              <w:pStyle w:val="P68B1DB1-TableParagraph17"/>
              <w:spacing w:before="108"/>
              <w:ind w:left="85"/>
              <w:jc w:val="both"/>
            </w:pPr>
            <w:r>
              <w:t>0020</w:t>
            </w:r>
          </w:p>
        </w:tc>
        <w:tc>
          <w:tcPr>
            <w:tcW w:w="8119" w:type="dxa"/>
            <w:tcBorders>
              <w:top w:val="single" w:sz="4" w:space="0" w:color="1A171C"/>
              <w:left w:val="single" w:sz="4" w:space="0" w:color="1A171C"/>
              <w:bottom w:val="single" w:sz="4" w:space="0" w:color="1A171C"/>
              <w:right w:val="nil"/>
            </w:tcBorders>
            <w:vAlign w:val="center"/>
          </w:tcPr>
          <w:p w14:paraId="7FE1B7D3" w14:textId="77777777" w:rsidR="00393915" w:rsidRDefault="00F24D68">
            <w:pPr>
              <w:pStyle w:val="P68B1DB1-TableParagraph14"/>
              <w:spacing w:before="108"/>
              <w:ind w:left="85"/>
              <w:jc w:val="both"/>
              <w:rPr>
                <w:bCs/>
              </w:rPr>
            </w:pPr>
            <w:r>
              <w:t>Oznaka</w:t>
            </w:r>
          </w:p>
          <w:p w14:paraId="188AB748" w14:textId="77777777" w:rsidR="00393915" w:rsidRDefault="00F24D68">
            <w:pPr>
              <w:pStyle w:val="P68B1DB1-TableParagraph17"/>
              <w:spacing w:before="108"/>
            </w:pPr>
            <w:r>
              <w:t xml:space="preserve">Oznaka glavne druge ugovorne strane ili grupe povezanih osoba. </w:t>
            </w:r>
          </w:p>
          <w:p w14:paraId="0DD02B7A" w14:textId="4FE17D24" w:rsidR="00393915" w:rsidRDefault="00F24D68">
            <w:pPr>
              <w:pStyle w:val="P68B1DB1-TableParagraph13"/>
              <w:spacing w:before="108"/>
              <w:rPr>
                <w:bCs/>
              </w:rPr>
            </w:pPr>
            <w:r>
              <w:t>Za institucije s identifikacijskom oznakom pravne osobe (LEI), dvadeseteroznamenkasta alfanumerička oznaka LEI;</w:t>
            </w:r>
          </w:p>
          <w:p w14:paraId="7FE1B7D4" w14:textId="10D08A5A" w:rsidR="00393915" w:rsidRDefault="00F24D68">
            <w:pPr>
              <w:pStyle w:val="P68B1DB1-TableParagraph13"/>
              <w:spacing w:before="108"/>
              <w:jc w:val="both"/>
              <w:rPr>
                <w:rFonts w:eastAsia="Cambria"/>
              </w:rPr>
            </w:pPr>
            <w:r>
              <w:t>Ako nije dostupna, koristiti oznaku MFI-ja ili oznaku u okviru jedinstvene kodifikacije koja se primjenjuje u Uniji.</w:t>
            </w:r>
          </w:p>
          <w:p w14:paraId="7FE1B7D5" w14:textId="77777777" w:rsidR="00393915" w:rsidRDefault="00F24D68">
            <w:pPr>
              <w:pStyle w:val="P68B1DB1-TableParagraph17"/>
              <w:spacing w:before="108"/>
              <w:ind w:left="85"/>
              <w:jc w:val="both"/>
            </w:pPr>
            <w:r>
              <w:t>Ta je oznaka jedinstvena i primjenjuje se dosljedno u svim predlošcima.</w:t>
            </w:r>
          </w:p>
        </w:tc>
      </w:tr>
      <w:tr w:rsidR="00393915" w14:paraId="7FE1B7DB" w14:textId="77777777">
        <w:tc>
          <w:tcPr>
            <w:tcW w:w="907" w:type="dxa"/>
            <w:tcBorders>
              <w:top w:val="single" w:sz="4" w:space="0" w:color="1A171C"/>
              <w:left w:val="nil"/>
              <w:bottom w:val="single" w:sz="4" w:space="0" w:color="1A171C"/>
              <w:right w:val="single" w:sz="4" w:space="0" w:color="1A171C"/>
            </w:tcBorders>
            <w:vAlign w:val="center"/>
          </w:tcPr>
          <w:p w14:paraId="7FE1B7D7" w14:textId="77777777" w:rsidR="00393915" w:rsidRDefault="00F24D68">
            <w:pPr>
              <w:pStyle w:val="P68B1DB1-TableParagraph17"/>
              <w:spacing w:before="108"/>
              <w:ind w:left="85"/>
              <w:jc w:val="both"/>
            </w:pPr>
            <w:r>
              <w:t>0025</w:t>
            </w:r>
          </w:p>
        </w:tc>
        <w:tc>
          <w:tcPr>
            <w:tcW w:w="8119" w:type="dxa"/>
            <w:tcBorders>
              <w:top w:val="single" w:sz="4" w:space="0" w:color="1A171C"/>
              <w:left w:val="single" w:sz="4" w:space="0" w:color="1A171C"/>
              <w:bottom w:val="single" w:sz="4" w:space="0" w:color="1A171C"/>
              <w:right w:val="nil"/>
            </w:tcBorders>
            <w:vAlign w:val="center"/>
          </w:tcPr>
          <w:p w14:paraId="7FE1B7D8" w14:textId="77777777" w:rsidR="00393915" w:rsidRDefault="00F24D68">
            <w:pPr>
              <w:pStyle w:val="P68B1DB1-TableParagraph14"/>
              <w:spacing w:before="108"/>
              <w:ind w:left="85"/>
              <w:jc w:val="both"/>
              <w:rPr>
                <w:bCs/>
              </w:rPr>
            </w:pPr>
            <w:r>
              <w:t>Vrsta oznake</w:t>
            </w:r>
          </w:p>
          <w:p w14:paraId="2BEBBD8E" w14:textId="55A001F3" w:rsidR="00393915" w:rsidRDefault="00F24D68">
            <w:pPr>
              <w:pStyle w:val="P68B1DB1-TableParagraph13"/>
              <w:spacing w:before="108"/>
              <w:rPr>
                <w:bCs/>
              </w:rPr>
            </w:pPr>
            <w:r>
              <w:t>Odabrati među sljedećim opcijama: „Oznaka LEI”, „oznaka MFI” ili „Vrsta identifikacijske oznake, osim LEI-ja ili MFI-ja”.</w:t>
            </w:r>
          </w:p>
          <w:p w14:paraId="5CA49443" w14:textId="30D8A3AF" w:rsidR="00393915" w:rsidRDefault="00F24D68">
            <w:pPr>
              <w:pStyle w:val="P68B1DB1-TableParagraph13"/>
              <w:spacing w:before="108" w:line="276" w:lineRule="auto"/>
              <w:ind w:left="85"/>
              <w:jc w:val="both"/>
              <w:rPr>
                <w:color w:val="000000"/>
              </w:rPr>
            </w:pPr>
            <w:r>
              <w:lastRenderedPageBreak/>
              <w:t>Subjekti se utvrđuju dosljedno u svim predlošcima.</w:t>
            </w:r>
          </w:p>
          <w:p w14:paraId="7FE1B7DA" w14:textId="4204707F" w:rsidR="00393915" w:rsidRDefault="00393915">
            <w:pPr>
              <w:pStyle w:val="TableParagraph"/>
              <w:spacing w:before="108"/>
              <w:rPr>
                <w:rFonts w:ascii="Times New Roman" w:hAnsi="Times New Roman" w:cs="Times New Roman"/>
                <w:color w:val="000000" w:themeColor="text1"/>
                <w:sz w:val="20"/>
                <w:szCs w:val="20"/>
              </w:rPr>
            </w:pPr>
          </w:p>
        </w:tc>
      </w:tr>
      <w:tr w:rsidR="00393915" w14:paraId="7FE1B7DF" w14:textId="77777777">
        <w:tc>
          <w:tcPr>
            <w:tcW w:w="907" w:type="dxa"/>
            <w:tcBorders>
              <w:top w:val="single" w:sz="4" w:space="0" w:color="1A171C"/>
              <w:left w:val="nil"/>
              <w:bottom w:val="single" w:sz="4" w:space="0" w:color="1A171C"/>
              <w:right w:val="single" w:sz="4" w:space="0" w:color="1A171C"/>
            </w:tcBorders>
            <w:vAlign w:val="center"/>
          </w:tcPr>
          <w:p w14:paraId="7FE1B7DC" w14:textId="77777777" w:rsidR="00393915" w:rsidRDefault="00F24D68">
            <w:pPr>
              <w:pStyle w:val="P68B1DB1-TableParagraph17"/>
              <w:spacing w:before="108"/>
              <w:ind w:left="85"/>
              <w:jc w:val="both"/>
            </w:pPr>
            <w:r>
              <w:lastRenderedPageBreak/>
              <w:t>0030</w:t>
            </w:r>
          </w:p>
        </w:tc>
        <w:tc>
          <w:tcPr>
            <w:tcW w:w="8119" w:type="dxa"/>
            <w:tcBorders>
              <w:top w:val="single" w:sz="4" w:space="0" w:color="1A171C"/>
              <w:left w:val="single" w:sz="4" w:space="0" w:color="1A171C"/>
              <w:bottom w:val="single" w:sz="4" w:space="0" w:color="1A171C"/>
              <w:right w:val="nil"/>
            </w:tcBorders>
            <w:vAlign w:val="center"/>
          </w:tcPr>
          <w:p w14:paraId="7FE1B7DD" w14:textId="77777777" w:rsidR="00393915" w:rsidRDefault="00F24D68">
            <w:pPr>
              <w:pStyle w:val="P68B1DB1-TableParagraph14"/>
              <w:spacing w:before="108"/>
              <w:ind w:left="85"/>
              <w:jc w:val="both"/>
              <w:rPr>
                <w:bCs/>
              </w:rPr>
            </w:pPr>
            <w:r>
              <w:t>Grupa ili pojedinac</w:t>
            </w:r>
          </w:p>
          <w:p w14:paraId="4E4D0057" w14:textId="77777777" w:rsidR="00393915" w:rsidRDefault="00F24D68">
            <w:pPr>
              <w:pStyle w:val="P68B1DB1-Normal18"/>
              <w:ind w:left="85"/>
            </w:pPr>
            <w:r>
              <w:t>Institucija izvješćuje o:</w:t>
            </w:r>
          </w:p>
          <w:p w14:paraId="0242F822" w14:textId="08305A02" w:rsidR="00393915" w:rsidRDefault="00F24D68">
            <w:pPr>
              <w:pStyle w:val="P68B1DB1-ListParagraph25"/>
              <w:numPr>
                <w:ilvl w:val="0"/>
                <w:numId w:val="297"/>
              </w:numPr>
            </w:pPr>
            <w:r>
              <w:t>Pojedinačn</w:t>
            </w:r>
            <w:r w:rsidR="00CE51E7">
              <w:t>im</w:t>
            </w:r>
            <w:r>
              <w:t xml:space="preserve"> drug</w:t>
            </w:r>
            <w:r w:rsidR="00CE51E7">
              <w:t>im</w:t>
            </w:r>
            <w:r>
              <w:t xml:space="preserve"> ugovorn</w:t>
            </w:r>
            <w:r w:rsidR="00CE51E7">
              <w:t>im</w:t>
            </w:r>
            <w:r>
              <w:t xml:space="preserve"> stran</w:t>
            </w:r>
            <w:r w:rsidR="00CE51E7">
              <w:t>ama</w:t>
            </w:r>
          </w:p>
          <w:p w14:paraId="7FE1B7DE" w14:textId="41F9AE4E" w:rsidR="00393915" w:rsidRDefault="00F24D68">
            <w:pPr>
              <w:pStyle w:val="P68B1DB1-ListParagraph25"/>
              <w:numPr>
                <w:ilvl w:val="0"/>
                <w:numId w:val="297"/>
              </w:numPr>
            </w:pPr>
            <w:r>
              <w:t>Grup</w:t>
            </w:r>
            <w:r w:rsidR="00CE51E7">
              <w:t>i</w:t>
            </w:r>
            <w:r>
              <w:t xml:space="preserve"> povezanih osoba.</w:t>
            </w:r>
          </w:p>
        </w:tc>
      </w:tr>
      <w:tr w:rsidR="00393915" w14:paraId="7FE1B7E4" w14:textId="77777777">
        <w:tc>
          <w:tcPr>
            <w:tcW w:w="907" w:type="dxa"/>
            <w:tcBorders>
              <w:top w:val="single" w:sz="4" w:space="0" w:color="1A171C"/>
              <w:left w:val="nil"/>
              <w:bottom w:val="single" w:sz="4" w:space="0" w:color="1A171C"/>
              <w:right w:val="single" w:sz="4" w:space="0" w:color="1A171C"/>
            </w:tcBorders>
            <w:vAlign w:val="center"/>
          </w:tcPr>
          <w:p w14:paraId="7FE1B7E0" w14:textId="77777777" w:rsidR="00393915" w:rsidRDefault="00F24D68">
            <w:pPr>
              <w:pStyle w:val="P68B1DB1-TableParagraph17"/>
              <w:spacing w:before="108"/>
              <w:ind w:left="85"/>
              <w:jc w:val="both"/>
            </w:pPr>
            <w:r>
              <w:t>0040</w:t>
            </w:r>
          </w:p>
        </w:tc>
        <w:tc>
          <w:tcPr>
            <w:tcW w:w="8119" w:type="dxa"/>
            <w:tcBorders>
              <w:top w:val="single" w:sz="4" w:space="0" w:color="1A171C"/>
              <w:left w:val="single" w:sz="4" w:space="0" w:color="1A171C"/>
              <w:bottom w:val="single" w:sz="4" w:space="0" w:color="1A171C"/>
              <w:right w:val="nil"/>
            </w:tcBorders>
            <w:vAlign w:val="center"/>
          </w:tcPr>
          <w:p w14:paraId="7FE1B7E1" w14:textId="77777777" w:rsidR="00393915" w:rsidRDefault="00F24D68">
            <w:pPr>
              <w:pStyle w:val="P68B1DB1-TableParagraph14"/>
              <w:spacing w:before="108"/>
              <w:ind w:left="85"/>
              <w:jc w:val="both"/>
              <w:rPr>
                <w:bCs/>
              </w:rPr>
            </w:pPr>
            <w:r>
              <w:t>Država</w:t>
            </w:r>
          </w:p>
          <w:p w14:paraId="7FE1B7E2" w14:textId="77777777" w:rsidR="00393915" w:rsidRDefault="00F24D68">
            <w:pPr>
              <w:pStyle w:val="P68B1DB1-Normal18"/>
              <w:spacing w:before="108"/>
              <w:ind w:left="85"/>
              <w:contextualSpacing/>
              <w:jc w:val="both"/>
            </w:pPr>
            <w:r>
              <w:t xml:space="preserve">Oznaka ISO 3166 – 1-alfa-2 države u kojoj je druga ugovorna strana osnovana. To uključuje pseudo-oznake ISO za međunarodne organizacije iz posljednjeg izdanja dokumenta Eurostata pod nazivom „Balance of Payments Vademecum”. </w:t>
            </w:r>
          </w:p>
          <w:p w14:paraId="7FE1B7E3" w14:textId="77777777" w:rsidR="00393915" w:rsidRDefault="00F24D68">
            <w:pPr>
              <w:pStyle w:val="P68B1DB1-TableParagraph17"/>
              <w:spacing w:before="108"/>
              <w:ind w:left="85"/>
              <w:jc w:val="both"/>
            </w:pPr>
            <w:r>
              <w:t xml:space="preserve">Zemlja se određuje navođenjem registriranog sjedišta druge ugovorne strane. Za grupe povezanih osoba navodi se zemlja u kojoj je osnovano matično društvo. </w:t>
            </w:r>
          </w:p>
        </w:tc>
      </w:tr>
      <w:tr w:rsidR="00393915" w14:paraId="7FE1B7EF" w14:textId="77777777">
        <w:tc>
          <w:tcPr>
            <w:tcW w:w="907" w:type="dxa"/>
            <w:tcBorders>
              <w:top w:val="single" w:sz="4" w:space="0" w:color="1A171C"/>
              <w:left w:val="nil"/>
              <w:bottom w:val="single" w:sz="4" w:space="0" w:color="1A171C"/>
              <w:right w:val="single" w:sz="4" w:space="0" w:color="1A171C"/>
            </w:tcBorders>
            <w:vAlign w:val="center"/>
          </w:tcPr>
          <w:p w14:paraId="7FE1B7E5" w14:textId="77777777" w:rsidR="00393915" w:rsidRDefault="00F24D68">
            <w:pPr>
              <w:pStyle w:val="P68B1DB1-TableParagraph17"/>
              <w:spacing w:before="108"/>
              <w:ind w:left="85"/>
              <w:jc w:val="both"/>
            </w:pPr>
            <w:r>
              <w:t>0050</w:t>
            </w:r>
          </w:p>
        </w:tc>
        <w:tc>
          <w:tcPr>
            <w:tcW w:w="8119" w:type="dxa"/>
            <w:tcBorders>
              <w:top w:val="single" w:sz="4" w:space="0" w:color="1A171C"/>
              <w:left w:val="single" w:sz="4" w:space="0" w:color="1A171C"/>
              <w:bottom w:val="single" w:sz="4" w:space="0" w:color="1A171C"/>
              <w:right w:val="nil"/>
            </w:tcBorders>
            <w:vAlign w:val="center"/>
          </w:tcPr>
          <w:p w14:paraId="7FE1B7E6" w14:textId="77777777" w:rsidR="00393915" w:rsidRDefault="00F24D68">
            <w:pPr>
              <w:pStyle w:val="P68B1DB1-TableParagraph14"/>
              <w:spacing w:before="108"/>
              <w:ind w:left="85"/>
              <w:jc w:val="both"/>
              <w:rPr>
                <w:bCs/>
              </w:rPr>
            </w:pPr>
            <w:r>
              <w:t>Sektor</w:t>
            </w:r>
          </w:p>
          <w:p w14:paraId="7FE1B7E7" w14:textId="77777777" w:rsidR="00393915" w:rsidRDefault="00F24D68">
            <w:pPr>
              <w:pStyle w:val="P68B1DB1-TableParagraph17"/>
              <w:spacing w:before="108"/>
              <w:ind w:left="85"/>
              <w:jc w:val="both"/>
            </w:pPr>
            <w:r>
              <w:t>Svakoj drugoj ugovornoj strani dodjeljuje se jedan sektor na temelju kategorija gospodarskih sektora u skladu s FINREP-om (FINREP, Prilog V. dio 1. poglavlje 6.):</w:t>
            </w:r>
          </w:p>
          <w:p w14:paraId="7FE1B7E8" w14:textId="77777777" w:rsidR="00393915" w:rsidRDefault="00F24D68">
            <w:pPr>
              <w:pStyle w:val="P68B1DB1-List127"/>
              <w:numPr>
                <w:ilvl w:val="0"/>
                <w:numId w:val="64"/>
              </w:numPr>
            </w:pPr>
            <w:r>
              <w:t>Središnje banke,</w:t>
            </w:r>
          </w:p>
          <w:p w14:paraId="7FE1B7E9" w14:textId="77777777" w:rsidR="00393915" w:rsidRDefault="00F24D68">
            <w:pPr>
              <w:pStyle w:val="P68B1DB1-List127"/>
              <w:numPr>
                <w:ilvl w:val="0"/>
                <w:numId w:val="64"/>
              </w:numPr>
            </w:pPr>
            <w:r>
              <w:t>Opće države</w:t>
            </w:r>
          </w:p>
          <w:p w14:paraId="7FE1B7EA" w14:textId="77777777" w:rsidR="00393915" w:rsidRDefault="00F24D68">
            <w:pPr>
              <w:pStyle w:val="P68B1DB1-List127"/>
              <w:numPr>
                <w:ilvl w:val="0"/>
                <w:numId w:val="64"/>
              </w:numPr>
            </w:pPr>
            <w:r>
              <w:t xml:space="preserve">Kreditne institucije: </w:t>
            </w:r>
          </w:p>
          <w:p w14:paraId="7FE1B7EB" w14:textId="77777777" w:rsidR="00393915" w:rsidRDefault="00F24D68">
            <w:pPr>
              <w:pStyle w:val="P68B1DB1-List127"/>
              <w:numPr>
                <w:ilvl w:val="0"/>
                <w:numId w:val="64"/>
              </w:numPr>
            </w:pPr>
            <w:r>
              <w:t>Ostala financijska društva</w:t>
            </w:r>
          </w:p>
          <w:p w14:paraId="7FE1B7EC" w14:textId="77777777" w:rsidR="00393915" w:rsidRDefault="00F24D68">
            <w:pPr>
              <w:pStyle w:val="P68B1DB1-List127"/>
              <w:numPr>
                <w:ilvl w:val="0"/>
                <w:numId w:val="64"/>
              </w:numPr>
            </w:pPr>
            <w:r>
              <w:t>Nefinancijska društva</w:t>
            </w:r>
          </w:p>
          <w:p w14:paraId="7FE1B7ED" w14:textId="77777777" w:rsidR="00393915" w:rsidRDefault="00F24D68">
            <w:pPr>
              <w:pStyle w:val="P68B1DB1-List127"/>
              <w:numPr>
                <w:ilvl w:val="0"/>
                <w:numId w:val="64"/>
              </w:numPr>
            </w:pPr>
            <w:r>
              <w:t>Kućanstva</w:t>
            </w:r>
          </w:p>
          <w:p w14:paraId="7FE1B7EE" w14:textId="77777777" w:rsidR="00393915" w:rsidRDefault="00F24D68">
            <w:pPr>
              <w:pStyle w:val="P68B1DB1-TableParagraph17"/>
              <w:spacing w:before="108"/>
              <w:ind w:left="85"/>
              <w:jc w:val="both"/>
            </w:pPr>
            <w:r>
              <w:t>Za grupe povezanih osoba sektor se ne iskazuje.</w:t>
            </w:r>
          </w:p>
        </w:tc>
      </w:tr>
      <w:tr w:rsidR="00393915" w14:paraId="7FE1B800" w14:textId="77777777">
        <w:tc>
          <w:tcPr>
            <w:tcW w:w="907" w:type="dxa"/>
            <w:tcBorders>
              <w:top w:val="single" w:sz="4" w:space="0" w:color="1A171C"/>
              <w:left w:val="nil"/>
              <w:bottom w:val="single" w:sz="4" w:space="0" w:color="1A171C"/>
              <w:right w:val="single" w:sz="4" w:space="0" w:color="1A171C"/>
            </w:tcBorders>
            <w:vAlign w:val="center"/>
          </w:tcPr>
          <w:p w14:paraId="7FE1B7F0" w14:textId="77777777" w:rsidR="00393915" w:rsidRDefault="00F24D68">
            <w:pPr>
              <w:pStyle w:val="P68B1DB1-TableParagraph17"/>
              <w:spacing w:before="108"/>
              <w:ind w:left="85"/>
              <w:jc w:val="both"/>
            </w:pPr>
            <w:r>
              <w:t>0060</w:t>
            </w:r>
          </w:p>
        </w:tc>
        <w:tc>
          <w:tcPr>
            <w:tcW w:w="8119" w:type="dxa"/>
            <w:tcBorders>
              <w:top w:val="single" w:sz="4" w:space="0" w:color="1A171C"/>
              <w:left w:val="single" w:sz="4" w:space="0" w:color="1A171C"/>
              <w:bottom w:val="single" w:sz="4" w:space="0" w:color="1A171C"/>
              <w:right w:val="nil"/>
            </w:tcBorders>
            <w:vAlign w:val="center"/>
          </w:tcPr>
          <w:p w14:paraId="7FE1B7F1" w14:textId="77777777" w:rsidR="00393915" w:rsidRDefault="00F24D68">
            <w:pPr>
              <w:pStyle w:val="P68B1DB1-TableParagraph14"/>
              <w:spacing w:before="108"/>
              <w:ind w:left="85"/>
              <w:jc w:val="both"/>
              <w:rPr>
                <w:bCs/>
              </w:rPr>
            </w:pPr>
            <w:r>
              <w:t>Vrsta</w:t>
            </w:r>
          </w:p>
          <w:p w14:paraId="7FE1B7F2" w14:textId="43CE2DD3" w:rsidR="00393915" w:rsidRDefault="00F24D68">
            <w:pPr>
              <w:pStyle w:val="P68B1DB1-Normal18"/>
              <w:spacing w:before="108"/>
              <w:ind w:left="85"/>
              <w:jc w:val="both"/>
            </w:pPr>
            <w:r>
              <w:t>Vrsta obveze jedna je od vrsta obveza navedenih u predlošku Z 02.00 – Struktura obveza (LIAB 1), a to su:</w:t>
            </w:r>
          </w:p>
          <w:p w14:paraId="7FE1B7F3" w14:textId="22A0CD4A" w:rsidR="00393915" w:rsidRDefault="00F24D68">
            <w:pPr>
              <w:pStyle w:val="P68B1DB1-ListParagraph25"/>
              <w:numPr>
                <w:ilvl w:val="0"/>
                <w:numId w:val="298"/>
              </w:numPr>
              <w:spacing w:before="108"/>
              <w:jc w:val="both"/>
            </w:pPr>
            <w:r>
              <w:t xml:space="preserve">Obveze koje su isključene iz </w:t>
            </w:r>
            <w:r w:rsidR="001A6FBA">
              <w:t>unutarnje sanacije</w:t>
            </w:r>
          </w:p>
          <w:p w14:paraId="7FE1B7F4" w14:textId="4257143A" w:rsidR="00393915" w:rsidRDefault="00F24D68">
            <w:pPr>
              <w:pStyle w:val="P68B1DB1-ListParagraph25"/>
              <w:numPr>
                <w:ilvl w:val="0"/>
                <w:numId w:val="298"/>
              </w:numPr>
              <w:spacing w:before="108"/>
              <w:jc w:val="both"/>
            </w:pPr>
            <w:r>
              <w:t>Depoziti koji nisu osigurani, ali su povlašteni</w:t>
            </w:r>
          </w:p>
          <w:p w14:paraId="7FE1B7F5" w14:textId="21AFD595" w:rsidR="00393915" w:rsidRDefault="00F24D68">
            <w:pPr>
              <w:pStyle w:val="P68B1DB1-ListParagraph25"/>
              <w:numPr>
                <w:ilvl w:val="0"/>
                <w:numId w:val="298"/>
              </w:numPr>
              <w:spacing w:before="108"/>
              <w:jc w:val="both"/>
            </w:pPr>
            <w:r>
              <w:t>Depoziti koji nisu ni osigurani ni povlašteni</w:t>
            </w:r>
          </w:p>
          <w:p w14:paraId="7FE1B7F6" w14:textId="71A166CE" w:rsidR="00393915" w:rsidRDefault="00F24D68">
            <w:pPr>
              <w:pStyle w:val="P68B1DB1-ListParagraph25"/>
              <w:numPr>
                <w:ilvl w:val="0"/>
                <w:numId w:val="298"/>
              </w:numPr>
              <w:spacing w:before="108"/>
              <w:jc w:val="both"/>
            </w:pPr>
            <w:r>
              <w:t>Obveze koje proizlaze iz izvedenica</w:t>
            </w:r>
          </w:p>
          <w:p w14:paraId="7FE1B7F7" w14:textId="57F1D715" w:rsidR="00393915" w:rsidRDefault="00F24D68">
            <w:pPr>
              <w:pStyle w:val="P68B1DB1-ListParagraph25"/>
              <w:numPr>
                <w:ilvl w:val="0"/>
                <w:numId w:val="298"/>
              </w:numPr>
              <w:spacing w:before="108"/>
              <w:jc w:val="both"/>
            </w:pPr>
            <w:r>
              <w:t>Nekolateralizirane osigurane obveze</w:t>
            </w:r>
          </w:p>
          <w:p w14:paraId="7FE1B7F8" w14:textId="73D53058" w:rsidR="00393915" w:rsidRDefault="00F24D68">
            <w:pPr>
              <w:pStyle w:val="P68B1DB1-ListParagraph25"/>
              <w:numPr>
                <w:ilvl w:val="0"/>
                <w:numId w:val="298"/>
              </w:numPr>
              <w:spacing w:before="108"/>
              <w:jc w:val="both"/>
            </w:pPr>
            <w:r>
              <w:t>Strukturirani dužnički instrumenti</w:t>
            </w:r>
          </w:p>
          <w:p w14:paraId="7FE1B7F9" w14:textId="54AC9980" w:rsidR="00393915" w:rsidRDefault="00F24D68">
            <w:pPr>
              <w:pStyle w:val="P68B1DB1-ListParagraph25"/>
              <w:numPr>
                <w:ilvl w:val="0"/>
                <w:numId w:val="298"/>
              </w:numPr>
              <w:spacing w:before="108"/>
              <w:jc w:val="both"/>
            </w:pPr>
            <w:r>
              <w:t>Nadređene neosigurane obveze</w:t>
            </w:r>
          </w:p>
          <w:p w14:paraId="7FE1B7FA" w14:textId="7C89B550" w:rsidR="00393915" w:rsidRDefault="00F24D68">
            <w:pPr>
              <w:pStyle w:val="P68B1DB1-ListParagraph25"/>
              <w:numPr>
                <w:ilvl w:val="0"/>
                <w:numId w:val="298"/>
              </w:numPr>
              <w:spacing w:before="108"/>
              <w:jc w:val="both"/>
            </w:pPr>
            <w:r>
              <w:t>Nepovlaštene nadređene obveze</w:t>
            </w:r>
          </w:p>
          <w:p w14:paraId="7FE1B7FB" w14:textId="49FDBAE5" w:rsidR="00393915" w:rsidRDefault="00F24D68">
            <w:pPr>
              <w:pStyle w:val="P68B1DB1-ListParagraph25"/>
              <w:numPr>
                <w:ilvl w:val="0"/>
                <w:numId w:val="298"/>
              </w:numPr>
              <w:spacing w:before="108"/>
              <w:jc w:val="both"/>
            </w:pPr>
            <w:r>
              <w:t>Podređene obveze (koje nisu priznate kao regulatorni kapital)</w:t>
            </w:r>
          </w:p>
          <w:p w14:paraId="7FE1B7FC" w14:textId="25F7AE59" w:rsidR="00393915" w:rsidRDefault="00F24D68">
            <w:pPr>
              <w:pStyle w:val="P68B1DB1-ListParagraph25"/>
              <w:numPr>
                <w:ilvl w:val="0"/>
                <w:numId w:val="298"/>
              </w:numPr>
              <w:spacing w:before="108"/>
              <w:jc w:val="both"/>
            </w:pPr>
            <w:r>
              <w:t>Ostale obveze koje su prihvatljive u pogledu minimalnih zahtjeva za regulatorni kapital i prihvatljive obveze (MREL)</w:t>
            </w:r>
          </w:p>
          <w:p w14:paraId="7FE1B7FD" w14:textId="29E846ED" w:rsidR="00393915" w:rsidRDefault="00F24D68">
            <w:pPr>
              <w:pStyle w:val="P68B1DB1-ListParagraph25"/>
              <w:numPr>
                <w:ilvl w:val="0"/>
                <w:numId w:val="298"/>
              </w:numPr>
              <w:spacing w:before="108"/>
              <w:jc w:val="both"/>
            </w:pPr>
            <w:r>
              <w:t>Nefinancijske obveze</w:t>
            </w:r>
          </w:p>
          <w:p w14:paraId="7FE1B7FE" w14:textId="4EF5CD96" w:rsidR="00393915" w:rsidRDefault="00F24D68">
            <w:pPr>
              <w:pStyle w:val="P68B1DB1-ListParagraph25"/>
              <w:numPr>
                <w:ilvl w:val="0"/>
                <w:numId w:val="298"/>
              </w:numPr>
              <w:spacing w:before="108"/>
              <w:jc w:val="both"/>
            </w:pPr>
            <w:r>
              <w:t>Preostale obveze</w:t>
            </w:r>
          </w:p>
          <w:p w14:paraId="7FE1B7FF" w14:textId="77777777" w:rsidR="00393915" w:rsidRDefault="00F24D68">
            <w:pPr>
              <w:pStyle w:val="P68B1DB1-TableParagraph17"/>
              <w:spacing w:before="108"/>
              <w:ind w:left="85"/>
              <w:jc w:val="both"/>
            </w:pPr>
            <w:r>
              <w:t>Ako se obveze prema glavnoj drugoj ugovornoj strani sastoje od više prethodno navedenih vrsta, svaka vrsta obveze iskazuje se u zasebnom retku.</w:t>
            </w:r>
          </w:p>
        </w:tc>
      </w:tr>
      <w:tr w:rsidR="00393915" w14:paraId="7FE1B804" w14:textId="77777777">
        <w:tc>
          <w:tcPr>
            <w:tcW w:w="907" w:type="dxa"/>
            <w:tcBorders>
              <w:top w:val="single" w:sz="4" w:space="0" w:color="1A171C"/>
              <w:left w:val="nil"/>
              <w:bottom w:val="single" w:sz="4" w:space="0" w:color="1A171C"/>
              <w:right w:val="single" w:sz="4" w:space="0" w:color="1A171C"/>
            </w:tcBorders>
            <w:vAlign w:val="center"/>
          </w:tcPr>
          <w:p w14:paraId="7FE1B801" w14:textId="77777777" w:rsidR="00393915" w:rsidRDefault="00F24D68">
            <w:pPr>
              <w:pStyle w:val="P68B1DB1-TableParagraph17"/>
              <w:spacing w:before="108"/>
              <w:ind w:left="85"/>
              <w:jc w:val="both"/>
            </w:pPr>
            <w:r>
              <w:t>0070</w:t>
            </w:r>
          </w:p>
        </w:tc>
        <w:tc>
          <w:tcPr>
            <w:tcW w:w="8119" w:type="dxa"/>
            <w:tcBorders>
              <w:top w:val="single" w:sz="4" w:space="0" w:color="1A171C"/>
              <w:left w:val="single" w:sz="4" w:space="0" w:color="1A171C"/>
              <w:bottom w:val="single" w:sz="4" w:space="0" w:color="1A171C"/>
              <w:right w:val="nil"/>
            </w:tcBorders>
            <w:vAlign w:val="center"/>
          </w:tcPr>
          <w:p w14:paraId="7FE1B802" w14:textId="77777777" w:rsidR="00393915" w:rsidRDefault="00F24D68">
            <w:pPr>
              <w:pStyle w:val="P68B1DB1-TableParagraph14"/>
              <w:spacing w:before="108"/>
              <w:ind w:left="85"/>
              <w:jc w:val="both"/>
              <w:rPr>
                <w:bCs/>
              </w:rPr>
            </w:pPr>
            <w:r>
              <w:t>Iznos</w:t>
            </w:r>
          </w:p>
          <w:p w14:paraId="7FE1B803" w14:textId="46DCC504" w:rsidR="00393915" w:rsidRDefault="00F24D68">
            <w:pPr>
              <w:pStyle w:val="P68B1DB1-TableParagraph17"/>
              <w:spacing w:before="108"/>
              <w:ind w:left="85"/>
              <w:jc w:val="both"/>
            </w:pPr>
            <w:r>
              <w:lastRenderedPageBreak/>
              <w:t>Iznos odgovara definiciji pojma „nepodmireni iznos” kako je propisano u predlošku Z 02.00 – Struktura obveza. U slučaju obveza koje proizlaze iz izvedenica, iskazuju se iznosi za zatvaranje kako su definirani za potrebe retka 0333 predloška Z 02.00 (LIAB 1).</w:t>
            </w:r>
          </w:p>
        </w:tc>
      </w:tr>
    </w:tbl>
    <w:p w14:paraId="7FE1B805" w14:textId="77777777" w:rsidR="00393915" w:rsidRDefault="00393915">
      <w:pPr>
        <w:pStyle w:val="body"/>
        <w:rPr>
          <w:rFonts w:ascii="Times New Roman" w:hAnsi="Times New Roman" w:cs="Times New Roman"/>
          <w:color w:val="000000" w:themeColor="text1"/>
          <w:sz w:val="20"/>
          <w:szCs w:val="20"/>
        </w:rPr>
      </w:pPr>
    </w:p>
    <w:p w14:paraId="7FE1B806" w14:textId="1E7EF5E9" w:rsidR="00393915" w:rsidRDefault="00F24D68">
      <w:pPr>
        <w:pStyle w:val="P68B1DB1-Instructionsberschrift25"/>
        <w:numPr>
          <w:ilvl w:val="1"/>
          <w:numId w:val="49"/>
        </w:numPr>
        <w:ind w:left="357" w:hanging="357"/>
      </w:pPr>
      <w:bookmarkStart w:id="72" w:name="_Toc208244804"/>
      <w:bookmarkStart w:id="73" w:name="_Toc81454185"/>
      <w:r>
        <w:t>Z 05.02 – Glavne druge ugovorne strane izvan bilance (LIAB 6)</w:t>
      </w:r>
      <w:bookmarkEnd w:id="72"/>
    </w:p>
    <w:p w14:paraId="7FE1B807" w14:textId="77777777" w:rsidR="00393915" w:rsidRDefault="00F24D68">
      <w:pPr>
        <w:pStyle w:val="P68B1DB1-body26"/>
      </w:pPr>
      <w:r>
        <w:t>Upute za specifične pozicije</w:t>
      </w:r>
      <w:bookmarkEnd w:id="73"/>
    </w:p>
    <w:p w14:paraId="7FE1B808" w14:textId="77777777" w:rsidR="00393915" w:rsidRDefault="00F24D68">
      <w:pPr>
        <w:pStyle w:val="P68B1DB1-InstructionsText26"/>
        <w:numPr>
          <w:ilvl w:val="0"/>
          <w:numId w:val="232"/>
        </w:numPr>
        <w:spacing w:before="0"/>
      </w:pPr>
      <w:r>
        <w:t>Kombinacija vrijednosti iskazanih u stupcima 0020 i 0060 ovog predloška čini primarni ključ koji mora biti jedinstven za svaki redak predloška.</w:t>
      </w:r>
    </w:p>
    <w:tbl>
      <w:tblPr>
        <w:tblW w:w="0" w:type="auto"/>
        <w:tblCellMar>
          <w:top w:w="57" w:type="dxa"/>
          <w:left w:w="57" w:type="dxa"/>
          <w:bottom w:w="57" w:type="dxa"/>
          <w:right w:w="0" w:type="dxa"/>
        </w:tblCellMar>
        <w:tblLook w:val="01E0" w:firstRow="1" w:lastRow="1" w:firstColumn="1" w:lastColumn="1" w:noHBand="0" w:noVBand="0"/>
      </w:tblPr>
      <w:tblGrid>
        <w:gridCol w:w="907"/>
        <w:gridCol w:w="8119"/>
      </w:tblGrid>
      <w:tr w:rsidR="00393915" w14:paraId="7FE1B80B" w14:textId="77777777">
        <w:trPr>
          <w:tblHeader/>
        </w:trPr>
        <w:tc>
          <w:tcPr>
            <w:tcW w:w="909" w:type="dxa"/>
            <w:tcBorders>
              <w:top w:val="single" w:sz="4" w:space="0" w:color="1A171C"/>
              <w:left w:val="nil"/>
              <w:bottom w:val="single" w:sz="4" w:space="0" w:color="1A171C"/>
              <w:right w:val="single" w:sz="4" w:space="0" w:color="1A171C"/>
            </w:tcBorders>
            <w:shd w:val="clear" w:color="auto" w:fill="E4E5E5"/>
          </w:tcPr>
          <w:p w14:paraId="7FE1B809" w14:textId="77777777" w:rsidR="00393915" w:rsidRDefault="00F24D68">
            <w:pPr>
              <w:pStyle w:val="P68B1DB1-TableParagraph17"/>
              <w:spacing w:before="108"/>
              <w:ind w:left="85"/>
              <w:jc w:val="both"/>
            </w:pPr>
            <w:r>
              <w:t>Stupci</w:t>
            </w:r>
          </w:p>
        </w:tc>
        <w:tc>
          <w:tcPr>
            <w:tcW w:w="8174" w:type="dxa"/>
            <w:tcBorders>
              <w:top w:val="single" w:sz="4" w:space="0" w:color="1A171C"/>
              <w:left w:val="single" w:sz="4" w:space="0" w:color="1A171C"/>
              <w:bottom w:val="single" w:sz="4" w:space="0" w:color="1A171C"/>
              <w:right w:val="nil"/>
            </w:tcBorders>
            <w:shd w:val="clear" w:color="auto" w:fill="E4E5E5"/>
          </w:tcPr>
          <w:p w14:paraId="7FE1B80A" w14:textId="77777777" w:rsidR="00393915" w:rsidRDefault="00F24D68">
            <w:pPr>
              <w:pStyle w:val="P68B1DB1-TableParagraph17"/>
              <w:spacing w:before="108"/>
              <w:ind w:left="85" w:right="1"/>
              <w:jc w:val="both"/>
            </w:pPr>
            <w:r>
              <w:t>Upute</w:t>
            </w:r>
          </w:p>
        </w:tc>
      </w:tr>
      <w:tr w:rsidR="00393915" w14:paraId="7FE1B813" w14:textId="77777777">
        <w:tc>
          <w:tcPr>
            <w:tcW w:w="909" w:type="dxa"/>
            <w:tcBorders>
              <w:top w:val="single" w:sz="4" w:space="0" w:color="1A171C"/>
              <w:left w:val="nil"/>
              <w:bottom w:val="single" w:sz="4" w:space="0" w:color="1A171C"/>
              <w:right w:val="single" w:sz="4" w:space="0" w:color="1A171C"/>
            </w:tcBorders>
            <w:vAlign w:val="center"/>
          </w:tcPr>
          <w:p w14:paraId="7FE1B80C" w14:textId="77777777" w:rsidR="00393915" w:rsidRDefault="00F24D68">
            <w:pPr>
              <w:pStyle w:val="P68B1DB1-TableParagraph17"/>
              <w:spacing w:before="108"/>
              <w:ind w:left="85"/>
              <w:jc w:val="both"/>
            </w:pPr>
            <w:r>
              <w:t>0010 – 0050</w:t>
            </w:r>
          </w:p>
        </w:tc>
        <w:tc>
          <w:tcPr>
            <w:tcW w:w="8174" w:type="dxa"/>
            <w:tcBorders>
              <w:top w:val="single" w:sz="4" w:space="0" w:color="1A171C"/>
              <w:left w:val="single" w:sz="4" w:space="0" w:color="1A171C"/>
              <w:bottom w:val="single" w:sz="4" w:space="0" w:color="1A171C"/>
              <w:right w:val="nil"/>
            </w:tcBorders>
            <w:vAlign w:val="center"/>
          </w:tcPr>
          <w:p w14:paraId="7FE1B80D" w14:textId="58163846" w:rsidR="00393915" w:rsidRDefault="00F24D68">
            <w:pPr>
              <w:pStyle w:val="P68B1DB1-TableParagraph14"/>
              <w:spacing w:before="108"/>
              <w:ind w:left="85"/>
              <w:jc w:val="both"/>
              <w:rPr>
                <w:bCs/>
              </w:rPr>
            </w:pPr>
            <w:r>
              <w:t>Druga ugovorna strana</w:t>
            </w:r>
          </w:p>
          <w:p w14:paraId="7FE1B80E" w14:textId="77777777" w:rsidR="00393915" w:rsidRDefault="00F24D68">
            <w:pPr>
              <w:pStyle w:val="P68B1DB1-TableParagraph17"/>
              <w:spacing w:before="108"/>
              <w:ind w:left="85"/>
              <w:jc w:val="both"/>
            </w:pPr>
            <w:r>
              <w:t>Informacije o glavnim drugim ugovornim stranama izvan bilance.</w:t>
            </w:r>
          </w:p>
          <w:p w14:paraId="7FE1B80F" w14:textId="77777777" w:rsidR="00393915" w:rsidRDefault="00F24D68">
            <w:pPr>
              <w:pStyle w:val="P68B1DB1-TableParagraph17"/>
              <w:spacing w:before="108"/>
              <w:ind w:left="85"/>
              <w:jc w:val="both"/>
            </w:pPr>
            <w:r>
              <w:t>Glavne druge ugovorne strane izvan bilance utvrđuju se zbrajanjem ukupnog nominalnog iznosa obveza i financijskih jamstava koje su subjekt ili subjekti grupe o kojima se izvješćuje u predlošku primili (kako je definirano za potrebe FINREP-a u obrascu F 09) od drugih ugovornih strana ili grupe povezanih osoba. Iz glavnih drugih ugovornih strana izvan bilance isključuju se subjekti koji su uključeni u konsolidirane financijske izvještaje grupe. Druge ugovorne strane i grupe povezanih osoba tada se rangiraju po ukupnom iznosu kako bi se utvrdilo prvih deset glavnih ugovornih strana izvan bilance, o kojima se pružaju informacije u ovom predlošku.</w:t>
            </w:r>
          </w:p>
          <w:p w14:paraId="7FE1B810" w14:textId="0F5F36E1" w:rsidR="00393915" w:rsidRDefault="00F24D68">
            <w:pPr>
              <w:pStyle w:val="P68B1DB1-Normal18"/>
              <w:spacing w:line="257" w:lineRule="auto"/>
              <w:ind w:left="25"/>
              <w:jc w:val="both"/>
            </w:pPr>
            <w:r>
              <w:t>Izvedenice se ne uključuju u prvih deset prethodno opisanih ranga: ovdje navesti zaseban popis pet najvećih drugih ugovornih strana u izvanbilančnim izvedenicama kako bi se izbjeglo da izvješće Z 05.02 sadržava samo stanja izvedenica.</w:t>
            </w:r>
          </w:p>
          <w:p w14:paraId="7FE1B812" w14:textId="5E923404" w:rsidR="00393915" w:rsidRDefault="00393915">
            <w:pPr>
              <w:pStyle w:val="TableParagraph"/>
              <w:spacing w:before="108"/>
              <w:jc w:val="both"/>
              <w:rPr>
                <w:rFonts w:ascii="Times New Roman" w:eastAsia="Cambria" w:hAnsi="Times New Roman" w:cs="Times New Roman"/>
                <w:color w:val="000000" w:themeColor="text1"/>
                <w:sz w:val="20"/>
                <w:szCs w:val="20"/>
              </w:rPr>
            </w:pPr>
          </w:p>
        </w:tc>
      </w:tr>
      <w:tr w:rsidR="00393915" w14:paraId="7FE1B818" w14:textId="77777777">
        <w:tc>
          <w:tcPr>
            <w:tcW w:w="909" w:type="dxa"/>
            <w:tcBorders>
              <w:top w:val="single" w:sz="4" w:space="0" w:color="1A171C"/>
              <w:left w:val="nil"/>
              <w:bottom w:val="single" w:sz="4" w:space="0" w:color="1A171C"/>
              <w:right w:val="single" w:sz="4" w:space="0" w:color="1A171C"/>
            </w:tcBorders>
            <w:vAlign w:val="center"/>
          </w:tcPr>
          <w:p w14:paraId="7FE1B814" w14:textId="77777777" w:rsidR="00393915" w:rsidRDefault="00F24D68">
            <w:pPr>
              <w:pStyle w:val="P68B1DB1-TableParagraph17"/>
              <w:spacing w:before="108"/>
              <w:ind w:left="85"/>
              <w:jc w:val="both"/>
            </w:pPr>
            <w:r>
              <w:t>0010</w:t>
            </w:r>
          </w:p>
        </w:tc>
        <w:tc>
          <w:tcPr>
            <w:tcW w:w="8174" w:type="dxa"/>
            <w:tcBorders>
              <w:top w:val="single" w:sz="4" w:space="0" w:color="1A171C"/>
              <w:left w:val="single" w:sz="4" w:space="0" w:color="1A171C"/>
              <w:bottom w:val="single" w:sz="4" w:space="0" w:color="1A171C"/>
              <w:right w:val="nil"/>
            </w:tcBorders>
            <w:vAlign w:val="center"/>
          </w:tcPr>
          <w:p w14:paraId="7FE1B815" w14:textId="77777777" w:rsidR="00393915" w:rsidRDefault="00F24D68">
            <w:pPr>
              <w:pStyle w:val="P68B1DB1-TableParagraph14"/>
              <w:spacing w:before="108"/>
              <w:ind w:left="85"/>
              <w:jc w:val="both"/>
              <w:rPr>
                <w:bCs/>
              </w:rPr>
            </w:pPr>
            <w:r>
              <w:t>Naziv subjekta</w:t>
            </w:r>
          </w:p>
          <w:p w14:paraId="7FE1B816" w14:textId="77777777" w:rsidR="00393915" w:rsidRDefault="00F24D68">
            <w:pPr>
              <w:pStyle w:val="P68B1DB1-Normal18"/>
              <w:spacing w:before="108"/>
              <w:ind w:left="85"/>
              <w:jc w:val="both"/>
            </w:pPr>
            <w:r>
              <w:t>Naziv glavne druge ugovorne strane ili, ako je primjenjivo, naziv grupe povezanih osoba.</w:t>
            </w:r>
          </w:p>
          <w:p w14:paraId="7FE1B817" w14:textId="0DF05964" w:rsidR="00393915" w:rsidRDefault="00F24D68">
            <w:pPr>
              <w:pStyle w:val="P68B1DB1-TableParagraph17"/>
              <w:spacing w:before="108"/>
              <w:ind w:left="85"/>
              <w:jc w:val="both"/>
            </w:pPr>
            <w:r>
              <w:t xml:space="preserve">Naziv grupe povezanih osoba naziv je matičnog društva ili, ako grupa povezanih osoba nema matično društvo, </w:t>
            </w:r>
            <w:r w:rsidR="005832E9">
              <w:t>komercijalni</w:t>
            </w:r>
            <w:r w:rsidR="005832E9">
              <w:t xml:space="preserve"> </w:t>
            </w:r>
            <w:r>
              <w:t>naziv grupe.</w:t>
            </w:r>
          </w:p>
        </w:tc>
      </w:tr>
      <w:tr w:rsidR="00393915" w14:paraId="7FE1B81D" w14:textId="77777777">
        <w:tc>
          <w:tcPr>
            <w:tcW w:w="909" w:type="dxa"/>
            <w:tcBorders>
              <w:top w:val="single" w:sz="4" w:space="0" w:color="1A171C"/>
              <w:left w:val="nil"/>
              <w:bottom w:val="single" w:sz="4" w:space="0" w:color="1A171C"/>
              <w:right w:val="single" w:sz="4" w:space="0" w:color="1A171C"/>
            </w:tcBorders>
            <w:vAlign w:val="center"/>
          </w:tcPr>
          <w:p w14:paraId="7FE1B819" w14:textId="77777777" w:rsidR="00393915" w:rsidRDefault="00F24D68">
            <w:pPr>
              <w:pStyle w:val="P68B1DB1-TableParagraph17"/>
              <w:spacing w:before="108"/>
              <w:ind w:left="85"/>
              <w:jc w:val="both"/>
            </w:pPr>
            <w:r>
              <w:t>0020</w:t>
            </w:r>
          </w:p>
        </w:tc>
        <w:tc>
          <w:tcPr>
            <w:tcW w:w="8174" w:type="dxa"/>
            <w:tcBorders>
              <w:top w:val="single" w:sz="4" w:space="0" w:color="1A171C"/>
              <w:left w:val="single" w:sz="4" w:space="0" w:color="1A171C"/>
              <w:bottom w:val="single" w:sz="4" w:space="0" w:color="1A171C"/>
              <w:right w:val="nil"/>
            </w:tcBorders>
            <w:vAlign w:val="center"/>
          </w:tcPr>
          <w:p w14:paraId="7FE1B81A" w14:textId="77777777" w:rsidR="00393915" w:rsidRDefault="00F24D68">
            <w:pPr>
              <w:pStyle w:val="P68B1DB1-TableParagraph14"/>
              <w:spacing w:before="108"/>
              <w:ind w:left="85"/>
              <w:jc w:val="both"/>
              <w:rPr>
                <w:bCs/>
              </w:rPr>
            </w:pPr>
            <w:r>
              <w:t>Oznaka</w:t>
            </w:r>
          </w:p>
          <w:p w14:paraId="7FE1B81B" w14:textId="77777777" w:rsidR="00393915" w:rsidRDefault="00F24D68">
            <w:pPr>
              <w:pStyle w:val="P68B1DB1-TableParagraph17"/>
              <w:spacing w:before="108"/>
              <w:ind w:left="85"/>
              <w:jc w:val="both"/>
            </w:pPr>
            <w:r>
              <w:t>Oznaka glavne druge ugovorne strane ili grupe povezanih osoba. Za institucije to je alfanumerička oznaka LEI s 20 znamenaka. Za ostale je subjekte ta oznaka alfanumerička oznaka LEI s 20 znamenaka ili, ako ona ne postoji, oznaka u okviru jedinstvenog sustava kodifikacije koji je primjenjiv u Uniji ili, ako ona ne postoji, nacionalna oznaka.</w:t>
            </w:r>
          </w:p>
          <w:p w14:paraId="7FE1B81C" w14:textId="6CC57833" w:rsidR="00393915" w:rsidRDefault="00F24D68">
            <w:pPr>
              <w:pStyle w:val="P68B1DB1-TableParagraph17"/>
              <w:spacing w:before="108"/>
              <w:ind w:left="85"/>
              <w:jc w:val="both"/>
            </w:pPr>
            <w:r>
              <w:t>Ta je oznaka jedinstvena i primjenjuje se dosljedno u svim predlošcima.</w:t>
            </w:r>
          </w:p>
        </w:tc>
      </w:tr>
      <w:tr w:rsidR="00393915" w14:paraId="7FE1B823" w14:textId="77777777">
        <w:tc>
          <w:tcPr>
            <w:tcW w:w="909" w:type="dxa"/>
            <w:tcBorders>
              <w:top w:val="single" w:sz="4" w:space="0" w:color="1A171C"/>
              <w:left w:val="nil"/>
              <w:bottom w:val="single" w:sz="4" w:space="0" w:color="1A171C"/>
              <w:right w:val="single" w:sz="4" w:space="0" w:color="1A171C"/>
            </w:tcBorders>
            <w:vAlign w:val="center"/>
          </w:tcPr>
          <w:p w14:paraId="7FE1B81E" w14:textId="77777777" w:rsidR="00393915" w:rsidRDefault="00F24D68">
            <w:pPr>
              <w:pStyle w:val="P68B1DB1-TableParagraph17"/>
              <w:spacing w:before="108"/>
              <w:ind w:left="85"/>
              <w:jc w:val="both"/>
            </w:pPr>
            <w:r>
              <w:t>0025</w:t>
            </w:r>
          </w:p>
        </w:tc>
        <w:tc>
          <w:tcPr>
            <w:tcW w:w="8174" w:type="dxa"/>
            <w:tcBorders>
              <w:top w:val="single" w:sz="4" w:space="0" w:color="1A171C"/>
              <w:left w:val="single" w:sz="4" w:space="0" w:color="1A171C"/>
              <w:bottom w:val="single" w:sz="4" w:space="0" w:color="1A171C"/>
              <w:right w:val="nil"/>
            </w:tcBorders>
            <w:vAlign w:val="center"/>
          </w:tcPr>
          <w:p w14:paraId="7FE1B81F" w14:textId="77777777" w:rsidR="00393915" w:rsidRDefault="00F24D68">
            <w:pPr>
              <w:pStyle w:val="P68B1DB1-TableParagraph14"/>
              <w:spacing w:before="108"/>
              <w:ind w:left="85"/>
              <w:jc w:val="both"/>
              <w:rPr>
                <w:bCs/>
              </w:rPr>
            </w:pPr>
            <w:r>
              <w:t>Vrsta oznake</w:t>
            </w:r>
          </w:p>
          <w:p w14:paraId="7FE1B821" w14:textId="6020ACA4" w:rsidR="00393915" w:rsidRDefault="00F24D68">
            <w:pPr>
              <w:pStyle w:val="P68B1DB1-TableParagraph13"/>
              <w:spacing w:before="108"/>
            </w:pPr>
            <w:r>
              <w:t>Odabrati među sljedećim opcijama: „Oznaka LEI”, „oznaka MFI” ili „Vrsta identifikacijske oznake, osim LEI-ja ili MFI-ja”.</w:t>
            </w:r>
          </w:p>
          <w:p w14:paraId="7FE1B822" w14:textId="77777777" w:rsidR="00393915" w:rsidRDefault="00F24D68">
            <w:pPr>
              <w:pStyle w:val="P68B1DB1-TableParagraph13"/>
              <w:spacing w:before="108"/>
              <w:ind w:left="85"/>
              <w:jc w:val="both"/>
              <w:rPr>
                <w:b/>
                <w:bCs/>
              </w:rPr>
            </w:pPr>
            <w:r>
              <w:t>Subjekti se utvrđuju dosljedno u svim predlošcima.</w:t>
            </w:r>
          </w:p>
        </w:tc>
      </w:tr>
      <w:tr w:rsidR="00393915" w14:paraId="7FE1B827" w14:textId="77777777">
        <w:tc>
          <w:tcPr>
            <w:tcW w:w="909" w:type="dxa"/>
            <w:tcBorders>
              <w:top w:val="single" w:sz="4" w:space="0" w:color="1A171C"/>
              <w:left w:val="nil"/>
              <w:bottom w:val="single" w:sz="4" w:space="0" w:color="1A171C"/>
              <w:right w:val="single" w:sz="4" w:space="0" w:color="1A171C"/>
            </w:tcBorders>
            <w:vAlign w:val="center"/>
          </w:tcPr>
          <w:p w14:paraId="7FE1B824" w14:textId="77777777" w:rsidR="00393915" w:rsidRDefault="00F24D68">
            <w:pPr>
              <w:pStyle w:val="P68B1DB1-TableParagraph17"/>
              <w:spacing w:before="108"/>
              <w:ind w:left="85"/>
              <w:jc w:val="both"/>
            </w:pPr>
            <w:r>
              <w:t>0030</w:t>
            </w:r>
          </w:p>
        </w:tc>
        <w:tc>
          <w:tcPr>
            <w:tcW w:w="8174" w:type="dxa"/>
            <w:tcBorders>
              <w:top w:val="single" w:sz="4" w:space="0" w:color="1A171C"/>
              <w:left w:val="single" w:sz="4" w:space="0" w:color="1A171C"/>
              <w:bottom w:val="single" w:sz="4" w:space="0" w:color="1A171C"/>
              <w:right w:val="nil"/>
            </w:tcBorders>
            <w:vAlign w:val="center"/>
          </w:tcPr>
          <w:p w14:paraId="7FE1B825" w14:textId="77777777" w:rsidR="00393915" w:rsidRDefault="00F24D68">
            <w:pPr>
              <w:pStyle w:val="P68B1DB1-TableParagraph14"/>
              <w:spacing w:before="108"/>
              <w:ind w:left="85"/>
              <w:jc w:val="both"/>
              <w:rPr>
                <w:bCs/>
              </w:rPr>
            </w:pPr>
            <w:r>
              <w:t>Grupa ili pojedinac</w:t>
            </w:r>
          </w:p>
          <w:p w14:paraId="2E0A09DE" w14:textId="77777777" w:rsidR="00393915" w:rsidRDefault="00F24D68">
            <w:pPr>
              <w:pStyle w:val="P68B1DB1-Normal18"/>
              <w:ind w:left="85"/>
            </w:pPr>
            <w:r>
              <w:t>Institucija izvješćuje o:</w:t>
            </w:r>
          </w:p>
          <w:p w14:paraId="52295733" w14:textId="77777777" w:rsidR="00393915" w:rsidRDefault="00F24D68">
            <w:pPr>
              <w:pStyle w:val="P68B1DB1-ListParagraph25"/>
              <w:numPr>
                <w:ilvl w:val="0"/>
                <w:numId w:val="297"/>
              </w:numPr>
            </w:pPr>
            <w:r>
              <w:t>Pojedinačne druge ugovorne strane</w:t>
            </w:r>
          </w:p>
          <w:p w14:paraId="7FE1B826" w14:textId="76B98F2C" w:rsidR="00393915" w:rsidRDefault="00F24D68">
            <w:pPr>
              <w:pStyle w:val="P68B1DB1-TableParagraph17"/>
              <w:numPr>
                <w:ilvl w:val="0"/>
                <w:numId w:val="297"/>
              </w:numPr>
              <w:spacing w:before="108"/>
              <w:jc w:val="both"/>
            </w:pPr>
            <w:r>
              <w:t>Grupe povezanih osoba.</w:t>
            </w:r>
          </w:p>
        </w:tc>
      </w:tr>
      <w:tr w:rsidR="00393915" w14:paraId="7FE1B82C" w14:textId="77777777">
        <w:tc>
          <w:tcPr>
            <w:tcW w:w="909" w:type="dxa"/>
            <w:tcBorders>
              <w:top w:val="single" w:sz="4" w:space="0" w:color="1A171C"/>
              <w:left w:val="nil"/>
              <w:bottom w:val="single" w:sz="4" w:space="0" w:color="1A171C"/>
              <w:right w:val="single" w:sz="4" w:space="0" w:color="1A171C"/>
            </w:tcBorders>
            <w:vAlign w:val="center"/>
          </w:tcPr>
          <w:p w14:paraId="7FE1B828" w14:textId="77777777" w:rsidR="00393915" w:rsidRDefault="00F24D68">
            <w:pPr>
              <w:pStyle w:val="P68B1DB1-TableParagraph17"/>
              <w:spacing w:before="108"/>
              <w:ind w:left="85"/>
              <w:jc w:val="both"/>
            </w:pPr>
            <w:r>
              <w:lastRenderedPageBreak/>
              <w:t>0040</w:t>
            </w:r>
          </w:p>
        </w:tc>
        <w:tc>
          <w:tcPr>
            <w:tcW w:w="8174" w:type="dxa"/>
            <w:tcBorders>
              <w:top w:val="single" w:sz="4" w:space="0" w:color="1A171C"/>
              <w:left w:val="single" w:sz="4" w:space="0" w:color="1A171C"/>
              <w:bottom w:val="single" w:sz="4" w:space="0" w:color="1A171C"/>
              <w:right w:val="nil"/>
            </w:tcBorders>
            <w:vAlign w:val="center"/>
          </w:tcPr>
          <w:p w14:paraId="7FE1B829" w14:textId="77777777" w:rsidR="00393915" w:rsidRDefault="00F24D68">
            <w:pPr>
              <w:pStyle w:val="P68B1DB1-TableParagraph14"/>
              <w:spacing w:before="108"/>
              <w:ind w:left="85"/>
              <w:jc w:val="both"/>
              <w:rPr>
                <w:bCs/>
              </w:rPr>
            </w:pPr>
            <w:r>
              <w:t>Država</w:t>
            </w:r>
          </w:p>
          <w:p w14:paraId="7FE1B82A" w14:textId="77777777" w:rsidR="00393915" w:rsidRDefault="00F24D68">
            <w:pPr>
              <w:pStyle w:val="P68B1DB1-Normal18"/>
              <w:spacing w:before="108"/>
              <w:ind w:left="85"/>
              <w:contextualSpacing/>
              <w:jc w:val="both"/>
            </w:pPr>
            <w:r>
              <w:t xml:space="preserve">Oznaka ISO 3166 – 1-alfa-2 države u kojoj je druga ugovorna strana osnovana. To uključuje pseudo-oznake ISO za međunarodne organizacije iz posljednjeg izdanja dokumenta Eurostata pod nazivom „Balance of Payments Vademecum”. </w:t>
            </w:r>
          </w:p>
          <w:p w14:paraId="7FE1B82B" w14:textId="5BB5F7F6" w:rsidR="00393915" w:rsidRDefault="00117926">
            <w:pPr>
              <w:pStyle w:val="P68B1DB1-TableParagraph17"/>
              <w:spacing w:before="108"/>
              <w:ind w:left="85"/>
              <w:jc w:val="both"/>
            </w:pPr>
            <w:r>
              <w:t>Država</w:t>
            </w:r>
            <w:r>
              <w:t xml:space="preserve"> </w:t>
            </w:r>
            <w:r w:rsidR="00F24D68">
              <w:t xml:space="preserve">se određuje navođenjem registriranog sjedišta druge ugovorne strane. Za grupe povezanih osoba navodi se </w:t>
            </w:r>
            <w:r>
              <w:t>država</w:t>
            </w:r>
            <w:r>
              <w:t xml:space="preserve"> </w:t>
            </w:r>
            <w:r w:rsidR="00F24D68">
              <w:t>u kojoj je osnovano matično društvo.</w:t>
            </w:r>
          </w:p>
        </w:tc>
      </w:tr>
      <w:tr w:rsidR="00393915" w14:paraId="7FE1B837" w14:textId="77777777">
        <w:tc>
          <w:tcPr>
            <w:tcW w:w="909" w:type="dxa"/>
            <w:tcBorders>
              <w:top w:val="single" w:sz="4" w:space="0" w:color="1A171C"/>
              <w:left w:val="nil"/>
              <w:bottom w:val="single" w:sz="4" w:space="0" w:color="1A171C"/>
              <w:right w:val="single" w:sz="4" w:space="0" w:color="1A171C"/>
            </w:tcBorders>
            <w:vAlign w:val="center"/>
          </w:tcPr>
          <w:p w14:paraId="7FE1B82D" w14:textId="77777777" w:rsidR="00393915" w:rsidRDefault="00F24D68">
            <w:pPr>
              <w:pStyle w:val="P68B1DB1-TableParagraph17"/>
              <w:spacing w:before="108"/>
              <w:ind w:left="85"/>
              <w:jc w:val="both"/>
            </w:pPr>
            <w:r>
              <w:t>0050</w:t>
            </w:r>
          </w:p>
        </w:tc>
        <w:tc>
          <w:tcPr>
            <w:tcW w:w="8174" w:type="dxa"/>
            <w:tcBorders>
              <w:top w:val="single" w:sz="4" w:space="0" w:color="1A171C"/>
              <w:left w:val="single" w:sz="4" w:space="0" w:color="1A171C"/>
              <w:bottom w:val="single" w:sz="4" w:space="0" w:color="1A171C"/>
              <w:right w:val="nil"/>
            </w:tcBorders>
            <w:vAlign w:val="center"/>
          </w:tcPr>
          <w:p w14:paraId="7FE1B82E" w14:textId="77777777" w:rsidR="00393915" w:rsidRDefault="00F24D68">
            <w:pPr>
              <w:pStyle w:val="P68B1DB1-TableParagraph14"/>
              <w:spacing w:before="108"/>
              <w:ind w:left="85"/>
              <w:jc w:val="both"/>
              <w:rPr>
                <w:bCs/>
              </w:rPr>
            </w:pPr>
            <w:r>
              <w:t>Sektor</w:t>
            </w:r>
          </w:p>
          <w:p w14:paraId="7FE1B82F" w14:textId="77777777" w:rsidR="00393915" w:rsidRDefault="00F24D68">
            <w:pPr>
              <w:pStyle w:val="P68B1DB1-TableParagraph17"/>
              <w:spacing w:before="108"/>
              <w:ind w:left="85"/>
              <w:jc w:val="both"/>
            </w:pPr>
            <w:r>
              <w:t>Svakoj drugoj ugovornoj strani dodjeljuje se jedan sektor na temelju kategorija gospodarskih sektora u skladu s FINREP-om (FINREP, Prilog V. dio 1. poglavlje 6.):</w:t>
            </w:r>
          </w:p>
          <w:p w14:paraId="7FE1B830" w14:textId="77777777" w:rsidR="00393915" w:rsidRDefault="00F24D68">
            <w:pPr>
              <w:pStyle w:val="P68B1DB1-List127"/>
              <w:numPr>
                <w:ilvl w:val="0"/>
                <w:numId w:val="64"/>
              </w:numPr>
            </w:pPr>
            <w:r>
              <w:t>Središnje banke,</w:t>
            </w:r>
          </w:p>
          <w:p w14:paraId="7FE1B831" w14:textId="77777777" w:rsidR="00393915" w:rsidRDefault="00F24D68">
            <w:pPr>
              <w:pStyle w:val="P68B1DB1-List127"/>
              <w:numPr>
                <w:ilvl w:val="0"/>
                <w:numId w:val="64"/>
              </w:numPr>
            </w:pPr>
            <w:r>
              <w:t>Opće države</w:t>
            </w:r>
          </w:p>
          <w:p w14:paraId="7FE1B832" w14:textId="77777777" w:rsidR="00393915" w:rsidRDefault="00F24D68">
            <w:pPr>
              <w:pStyle w:val="P68B1DB1-List127"/>
              <w:numPr>
                <w:ilvl w:val="0"/>
                <w:numId w:val="64"/>
              </w:numPr>
            </w:pPr>
            <w:r>
              <w:t xml:space="preserve">Kreditne institucije: </w:t>
            </w:r>
          </w:p>
          <w:p w14:paraId="7FE1B833" w14:textId="77777777" w:rsidR="00393915" w:rsidRDefault="00F24D68">
            <w:pPr>
              <w:pStyle w:val="P68B1DB1-List127"/>
              <w:numPr>
                <w:ilvl w:val="0"/>
                <w:numId w:val="64"/>
              </w:numPr>
            </w:pPr>
            <w:r>
              <w:t>Ostala financijska društva</w:t>
            </w:r>
          </w:p>
          <w:p w14:paraId="7FE1B834" w14:textId="77777777" w:rsidR="00393915" w:rsidRDefault="00F24D68">
            <w:pPr>
              <w:pStyle w:val="P68B1DB1-List127"/>
              <w:numPr>
                <w:ilvl w:val="0"/>
                <w:numId w:val="64"/>
              </w:numPr>
            </w:pPr>
            <w:r>
              <w:t>Nefinancijska društva</w:t>
            </w:r>
          </w:p>
          <w:p w14:paraId="7FE1B835" w14:textId="77777777" w:rsidR="00393915" w:rsidRDefault="00F24D68">
            <w:pPr>
              <w:pStyle w:val="P68B1DB1-List127"/>
              <w:numPr>
                <w:ilvl w:val="0"/>
                <w:numId w:val="64"/>
              </w:numPr>
            </w:pPr>
            <w:r>
              <w:t>Kućanstva</w:t>
            </w:r>
          </w:p>
          <w:p w14:paraId="7FE1B836" w14:textId="3FF28E9A" w:rsidR="00393915" w:rsidRDefault="00F24D68">
            <w:pPr>
              <w:pStyle w:val="P68B1DB1-TableParagraph17"/>
              <w:spacing w:before="108"/>
              <w:ind w:left="85"/>
              <w:jc w:val="both"/>
            </w:pPr>
            <w:r>
              <w:t>Za grupe povezanih osoba sektor se ne iskazuje.</w:t>
            </w:r>
          </w:p>
        </w:tc>
      </w:tr>
      <w:tr w:rsidR="00393915" w14:paraId="7FE1B840" w14:textId="77777777">
        <w:tc>
          <w:tcPr>
            <w:tcW w:w="909" w:type="dxa"/>
            <w:tcBorders>
              <w:top w:val="single" w:sz="4" w:space="0" w:color="1A171C"/>
              <w:left w:val="nil"/>
              <w:bottom w:val="single" w:sz="4" w:space="0" w:color="1A171C"/>
              <w:right w:val="single" w:sz="4" w:space="0" w:color="1A171C"/>
            </w:tcBorders>
            <w:vAlign w:val="center"/>
          </w:tcPr>
          <w:p w14:paraId="7FE1B838" w14:textId="77777777" w:rsidR="00393915" w:rsidRDefault="00F24D68">
            <w:pPr>
              <w:pStyle w:val="P68B1DB1-TableParagraph17"/>
              <w:spacing w:before="108"/>
              <w:ind w:left="85"/>
              <w:jc w:val="both"/>
            </w:pPr>
            <w:r>
              <w:t>0060</w:t>
            </w:r>
          </w:p>
        </w:tc>
        <w:tc>
          <w:tcPr>
            <w:tcW w:w="8174" w:type="dxa"/>
            <w:tcBorders>
              <w:top w:val="single" w:sz="4" w:space="0" w:color="1A171C"/>
              <w:left w:val="single" w:sz="4" w:space="0" w:color="1A171C"/>
              <w:bottom w:val="single" w:sz="4" w:space="0" w:color="1A171C"/>
              <w:right w:val="nil"/>
            </w:tcBorders>
            <w:vAlign w:val="center"/>
          </w:tcPr>
          <w:p w14:paraId="7FE1B839" w14:textId="77777777" w:rsidR="00393915" w:rsidRDefault="00F24D68">
            <w:pPr>
              <w:pStyle w:val="P68B1DB1-TableParagraph14"/>
              <w:spacing w:before="108"/>
              <w:ind w:left="85"/>
              <w:jc w:val="both"/>
              <w:rPr>
                <w:bCs/>
              </w:rPr>
            </w:pPr>
            <w:r>
              <w:t>Vrsta</w:t>
            </w:r>
          </w:p>
          <w:p w14:paraId="7FE1B83A" w14:textId="77777777" w:rsidR="00393915" w:rsidRDefault="00F24D68">
            <w:pPr>
              <w:pStyle w:val="P68B1DB1-TableParagraph17"/>
              <w:spacing w:before="108"/>
              <w:ind w:left="85"/>
              <w:jc w:val="both"/>
            </w:pPr>
            <w:r>
              <w:t>Vrsta izvanbilančne izloženosti jedna je od sljedećih kako je definirano u FINREP-u u predlošku F 09.02:</w:t>
            </w:r>
          </w:p>
          <w:p w14:paraId="7FE1B83B" w14:textId="57556FED" w:rsidR="00393915" w:rsidRDefault="00F24D68">
            <w:pPr>
              <w:pStyle w:val="P68B1DB1-TableParagraph17"/>
              <w:numPr>
                <w:ilvl w:val="0"/>
                <w:numId w:val="299"/>
              </w:numPr>
              <w:spacing w:before="108"/>
              <w:jc w:val="both"/>
            </w:pPr>
            <w:r>
              <w:t>Primljene obveze po kreditima</w:t>
            </w:r>
          </w:p>
          <w:p w14:paraId="7FE1B83C" w14:textId="03B3C9F7" w:rsidR="00393915" w:rsidRDefault="00F24D68">
            <w:pPr>
              <w:pStyle w:val="P68B1DB1-TableParagraph17"/>
              <w:numPr>
                <w:ilvl w:val="0"/>
                <w:numId w:val="299"/>
              </w:numPr>
              <w:spacing w:before="108"/>
              <w:jc w:val="both"/>
            </w:pPr>
            <w:r>
              <w:t>Primljena financijska jamstva</w:t>
            </w:r>
          </w:p>
          <w:p w14:paraId="7FE1B83D" w14:textId="2357CDAB" w:rsidR="00393915" w:rsidRDefault="00F24D68">
            <w:pPr>
              <w:pStyle w:val="P68B1DB1-TableParagraph17"/>
              <w:numPr>
                <w:ilvl w:val="0"/>
                <w:numId w:val="299"/>
              </w:numPr>
              <w:spacing w:before="108"/>
              <w:jc w:val="both"/>
            </w:pPr>
            <w:r>
              <w:t>Ostale primljene obveze</w:t>
            </w:r>
          </w:p>
          <w:p w14:paraId="7FE1B83E" w14:textId="7A79D0CA" w:rsidR="00393915" w:rsidRDefault="00F24D68">
            <w:pPr>
              <w:pStyle w:val="P68B1DB1-TableParagraph17"/>
              <w:numPr>
                <w:ilvl w:val="0"/>
                <w:numId w:val="299"/>
              </w:numPr>
              <w:spacing w:before="108"/>
              <w:jc w:val="both"/>
            </w:pPr>
            <w:r>
              <w:t>Izvedenice</w:t>
            </w:r>
          </w:p>
          <w:p w14:paraId="7FE1B83F" w14:textId="77777777" w:rsidR="00393915" w:rsidRDefault="00F24D68">
            <w:pPr>
              <w:pStyle w:val="P68B1DB1-TableParagraph17"/>
              <w:spacing w:before="108"/>
              <w:ind w:left="85"/>
              <w:jc w:val="both"/>
            </w:pPr>
            <w:r>
              <w:t>Ako se izvanbilančne stavke primljene od glavne druge ugovorne strane sastoje od više prethodno navedenih vrsta, svaka vrsta izvanbilančne stavke iskazuje se u zasebnom retku.</w:t>
            </w:r>
          </w:p>
        </w:tc>
      </w:tr>
      <w:tr w:rsidR="00393915" w14:paraId="7FE1B844" w14:textId="77777777">
        <w:tc>
          <w:tcPr>
            <w:tcW w:w="909" w:type="dxa"/>
            <w:tcBorders>
              <w:top w:val="single" w:sz="4" w:space="0" w:color="1A171C"/>
              <w:left w:val="nil"/>
              <w:bottom w:val="single" w:sz="4" w:space="0" w:color="1A171C"/>
              <w:right w:val="single" w:sz="4" w:space="0" w:color="1A171C"/>
            </w:tcBorders>
            <w:vAlign w:val="center"/>
          </w:tcPr>
          <w:p w14:paraId="7FE1B841" w14:textId="77777777" w:rsidR="00393915" w:rsidRDefault="00F24D68">
            <w:pPr>
              <w:pStyle w:val="P68B1DB1-TableParagraph17"/>
              <w:spacing w:before="108"/>
              <w:ind w:left="85"/>
              <w:jc w:val="both"/>
            </w:pPr>
            <w:r>
              <w:t>0070</w:t>
            </w:r>
          </w:p>
        </w:tc>
        <w:tc>
          <w:tcPr>
            <w:tcW w:w="8174" w:type="dxa"/>
            <w:tcBorders>
              <w:top w:val="single" w:sz="4" w:space="0" w:color="1A171C"/>
              <w:left w:val="single" w:sz="4" w:space="0" w:color="1A171C"/>
              <w:bottom w:val="single" w:sz="4" w:space="0" w:color="1A171C"/>
              <w:right w:val="nil"/>
            </w:tcBorders>
            <w:vAlign w:val="center"/>
          </w:tcPr>
          <w:p w14:paraId="7FE1B842" w14:textId="77777777" w:rsidR="00393915" w:rsidRDefault="00F24D68">
            <w:pPr>
              <w:pStyle w:val="P68B1DB1-TableParagraph14"/>
              <w:spacing w:before="108"/>
              <w:ind w:left="85"/>
              <w:jc w:val="both"/>
              <w:rPr>
                <w:bCs/>
              </w:rPr>
            </w:pPr>
            <w:r>
              <w:t xml:space="preserve">Iznos </w:t>
            </w:r>
          </w:p>
          <w:p w14:paraId="7FE1B843" w14:textId="7853FDD0" w:rsidR="00393915" w:rsidRDefault="00F24D68">
            <w:pPr>
              <w:pStyle w:val="P68B1DB1-TableParagraph17"/>
              <w:spacing w:before="108"/>
              <w:ind w:left="85"/>
              <w:jc w:val="both"/>
              <w:rPr>
                <w:bCs/>
              </w:rPr>
            </w:pPr>
            <w:r>
              <w:t>Iznos odgovara definiciji pojma „nepodmireni iznos” kako je propisano u FINREP F 09.02. U slučaju obveza koje proizlaze iz izvedenica, iskazuju se iznosi za zatvaranje kako su definirani za potrebe retka 0333 predloška Z 02.00.</w:t>
            </w:r>
          </w:p>
        </w:tc>
      </w:tr>
    </w:tbl>
    <w:p w14:paraId="7FE1B845" w14:textId="77777777" w:rsidR="00393915" w:rsidRDefault="00393915">
      <w:pPr>
        <w:rPr>
          <w:rFonts w:ascii="Times New Roman" w:hAnsi="Times New Roman" w:cs="Times New Roman"/>
          <w:color w:val="000000" w:themeColor="text1"/>
          <w:sz w:val="20"/>
          <w:szCs w:val="20"/>
        </w:rPr>
      </w:pPr>
    </w:p>
    <w:p w14:paraId="7FE1B846" w14:textId="77777777" w:rsidR="00393915" w:rsidRDefault="00393915">
      <w:pPr>
        <w:rPr>
          <w:rFonts w:ascii="Times New Roman" w:eastAsia="MS Mincho" w:hAnsi="Times New Roman" w:cs="Times New Roman"/>
          <w:color w:val="000000" w:themeColor="text1"/>
          <w:sz w:val="20"/>
          <w:szCs w:val="20"/>
        </w:rPr>
      </w:pPr>
    </w:p>
    <w:p w14:paraId="7FE1B849" w14:textId="5330C525" w:rsidR="00393915" w:rsidRDefault="00F24D68">
      <w:pPr>
        <w:pStyle w:val="P68B1DB1-Instructionsberschrift25"/>
        <w:numPr>
          <w:ilvl w:val="1"/>
          <w:numId w:val="49"/>
        </w:numPr>
        <w:ind w:left="357" w:hanging="357"/>
      </w:pPr>
      <w:bookmarkStart w:id="74" w:name="_Toc164271339"/>
      <w:bookmarkStart w:id="75" w:name="_Toc164271391"/>
      <w:bookmarkStart w:id="76" w:name="_Toc167799457"/>
      <w:bookmarkStart w:id="77" w:name="_Toc172723013"/>
      <w:bookmarkStart w:id="78" w:name="_Toc172723111"/>
      <w:bookmarkStart w:id="79" w:name="_Toc172723205"/>
      <w:bookmarkStart w:id="80" w:name="_Toc172723349"/>
      <w:bookmarkStart w:id="81" w:name="_Toc172723401"/>
      <w:bookmarkStart w:id="82" w:name="_Toc172723459"/>
      <w:bookmarkStart w:id="83" w:name="_Toc172723526"/>
      <w:bookmarkStart w:id="84" w:name="_Toc184218419"/>
      <w:bookmarkStart w:id="85" w:name="_Toc164271340"/>
      <w:bookmarkStart w:id="86" w:name="_Toc164271392"/>
      <w:bookmarkStart w:id="87" w:name="_Toc167799458"/>
      <w:bookmarkStart w:id="88" w:name="_Toc172723014"/>
      <w:bookmarkStart w:id="89" w:name="_Toc172723112"/>
      <w:bookmarkStart w:id="90" w:name="_Toc172723206"/>
      <w:bookmarkStart w:id="91" w:name="_Toc172723350"/>
      <w:bookmarkStart w:id="92" w:name="_Toc172723402"/>
      <w:bookmarkStart w:id="93" w:name="_Toc172723460"/>
      <w:bookmarkStart w:id="94" w:name="_Toc172723527"/>
      <w:bookmarkStart w:id="95" w:name="_Toc184218420"/>
      <w:bookmarkStart w:id="96" w:name="_Toc492542326"/>
      <w:bookmarkStart w:id="97" w:name="_Toc160027685"/>
      <w:bookmarkStart w:id="98" w:name="_Toc160027756"/>
      <w:bookmarkStart w:id="99" w:name="_Toc160027839"/>
      <w:bookmarkStart w:id="100" w:name="_Toc208244805"/>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r>
        <w:t>Z 06.00 – Osiguranje depozita (LIAB 7)</w:t>
      </w:r>
      <w:bookmarkEnd w:id="96"/>
      <w:bookmarkEnd w:id="97"/>
      <w:bookmarkEnd w:id="98"/>
      <w:bookmarkEnd w:id="99"/>
      <w:bookmarkEnd w:id="100"/>
    </w:p>
    <w:p w14:paraId="7FE1B84A" w14:textId="77777777" w:rsidR="00393915" w:rsidRDefault="00F24D68">
      <w:pPr>
        <w:pStyle w:val="Instructionsberschrift3"/>
      </w:pPr>
      <w:r>
        <w:t>Opće napomene</w:t>
      </w:r>
    </w:p>
    <w:p w14:paraId="7FE1B84B" w14:textId="6EF68802" w:rsidR="00393915" w:rsidRDefault="00F24D68">
      <w:pPr>
        <w:pStyle w:val="P68B1DB1-InstructionsText26"/>
        <w:numPr>
          <w:ilvl w:val="0"/>
          <w:numId w:val="71"/>
        </w:numPr>
        <w:spacing w:before="0"/>
        <w:ind w:left="714" w:hanging="357"/>
      </w:pPr>
      <w:r>
        <w:t xml:space="preserve">U ovom predlošku daje se pregled osiguranja depozita unutar grupe i </w:t>
      </w:r>
      <w:r w:rsidR="00FC5082">
        <w:t>sustava</w:t>
      </w:r>
      <w:r w:rsidR="00FC5082">
        <w:t xml:space="preserve"> </w:t>
      </w:r>
      <w:r>
        <w:t>osiguranja depozita kojih su kreditne institucije</w:t>
      </w:r>
      <w:r w:rsidR="00FC5082">
        <w:t>,</w:t>
      </w:r>
      <w:r>
        <w:t xml:space="preserve"> koje su relevantne pravne osobe</w:t>
      </w:r>
      <w:r w:rsidR="00FC5082">
        <w:t>,</w:t>
      </w:r>
      <w:r>
        <w:t xml:space="preserve"> članice.</w:t>
      </w:r>
    </w:p>
    <w:p w14:paraId="7FE1B84C" w14:textId="77777777" w:rsidR="00393915" w:rsidRDefault="00F24D68">
      <w:pPr>
        <w:pStyle w:val="P68B1DB1-InstructionsText26"/>
        <w:numPr>
          <w:ilvl w:val="0"/>
          <w:numId w:val="71"/>
        </w:numPr>
        <w:spacing w:before="0"/>
        <w:ind w:left="714" w:hanging="357"/>
      </w:pPr>
      <w:r>
        <w:t>O svakoj kreditnoj instituciji koja pripada grupi izvješćuje se u zasebnom retku.</w:t>
      </w:r>
    </w:p>
    <w:p w14:paraId="7FE1B84D" w14:textId="77777777" w:rsidR="00393915" w:rsidRDefault="00F24D68">
      <w:pPr>
        <w:pStyle w:val="Instructionsberschrift3"/>
        <w:numPr>
          <w:ilvl w:val="0"/>
          <w:numId w:val="0"/>
        </w:numPr>
        <w:ind w:left="720"/>
      </w:pPr>
      <w:r>
        <w:t>Upute za specifične pozicije</w:t>
      </w:r>
    </w:p>
    <w:tbl>
      <w:tblPr>
        <w:tblW w:w="9083" w:type="dxa"/>
        <w:tblLayout w:type="fixed"/>
        <w:tblCellMar>
          <w:top w:w="57" w:type="dxa"/>
          <w:left w:w="57" w:type="dxa"/>
          <w:bottom w:w="57" w:type="dxa"/>
          <w:right w:w="0" w:type="dxa"/>
        </w:tblCellMar>
        <w:tblLook w:val="01E0" w:firstRow="1" w:lastRow="1" w:firstColumn="1" w:lastColumn="1" w:noHBand="0" w:noVBand="0"/>
      </w:tblPr>
      <w:tblGrid>
        <w:gridCol w:w="1191"/>
        <w:gridCol w:w="7892"/>
      </w:tblGrid>
      <w:tr w:rsidR="00393915" w14:paraId="7FE1B850" w14:textId="77777777">
        <w:tc>
          <w:tcPr>
            <w:tcW w:w="1191" w:type="dxa"/>
            <w:tcBorders>
              <w:top w:val="single" w:sz="4" w:space="0" w:color="1A171C"/>
              <w:left w:val="nil"/>
              <w:bottom w:val="single" w:sz="4" w:space="0" w:color="1A171C"/>
              <w:right w:val="single" w:sz="4" w:space="0" w:color="1A171C"/>
            </w:tcBorders>
            <w:shd w:val="clear" w:color="auto" w:fill="E4E5E5"/>
          </w:tcPr>
          <w:p w14:paraId="7FE1B84E" w14:textId="77777777" w:rsidR="00393915" w:rsidRDefault="00F24D68">
            <w:pPr>
              <w:pStyle w:val="P68B1DB1-TableParagraph17"/>
              <w:spacing w:before="108"/>
              <w:ind w:left="85"/>
              <w:jc w:val="both"/>
            </w:pPr>
            <w:r>
              <w:t>Stupci</w:t>
            </w:r>
          </w:p>
        </w:tc>
        <w:tc>
          <w:tcPr>
            <w:tcW w:w="7892" w:type="dxa"/>
            <w:tcBorders>
              <w:top w:val="single" w:sz="4" w:space="0" w:color="1A171C"/>
              <w:left w:val="single" w:sz="4" w:space="0" w:color="1A171C"/>
              <w:bottom w:val="single" w:sz="4" w:space="0" w:color="1A171C"/>
              <w:right w:val="nil"/>
            </w:tcBorders>
            <w:shd w:val="clear" w:color="auto" w:fill="E4E5E5"/>
          </w:tcPr>
          <w:p w14:paraId="7FE1B84F" w14:textId="77777777" w:rsidR="00393915" w:rsidRDefault="00F24D68">
            <w:pPr>
              <w:pStyle w:val="P68B1DB1-TableParagraph17"/>
              <w:spacing w:before="108"/>
              <w:ind w:left="85" w:right="1"/>
              <w:jc w:val="both"/>
            </w:pPr>
            <w:r>
              <w:t>Upute</w:t>
            </w:r>
          </w:p>
        </w:tc>
      </w:tr>
      <w:tr w:rsidR="00393915" w14:paraId="7FE1B853" w14:textId="77777777">
        <w:tc>
          <w:tcPr>
            <w:tcW w:w="1191" w:type="dxa"/>
            <w:tcBorders>
              <w:top w:val="single" w:sz="4" w:space="0" w:color="1A171C"/>
              <w:left w:val="nil"/>
              <w:bottom w:val="single" w:sz="4" w:space="0" w:color="1A171C"/>
              <w:right w:val="single" w:sz="4" w:space="0" w:color="1A171C"/>
            </w:tcBorders>
          </w:tcPr>
          <w:p w14:paraId="7FE1B851" w14:textId="77777777" w:rsidR="00393915" w:rsidRDefault="00F24D68">
            <w:pPr>
              <w:pStyle w:val="P68B1DB1-TableParagraph17"/>
              <w:spacing w:before="108"/>
              <w:ind w:left="85"/>
              <w:jc w:val="both"/>
            </w:pPr>
            <w:r>
              <w:t>0010 – 0020</w:t>
            </w:r>
          </w:p>
        </w:tc>
        <w:tc>
          <w:tcPr>
            <w:tcW w:w="7892" w:type="dxa"/>
            <w:tcBorders>
              <w:top w:val="single" w:sz="4" w:space="0" w:color="1A171C"/>
              <w:left w:val="single" w:sz="4" w:space="0" w:color="1A171C"/>
              <w:bottom w:val="single" w:sz="4" w:space="0" w:color="1A171C"/>
              <w:right w:val="nil"/>
            </w:tcBorders>
          </w:tcPr>
          <w:p w14:paraId="7FE1B852" w14:textId="5BBDBB82" w:rsidR="00393915" w:rsidRDefault="00F24D68">
            <w:pPr>
              <w:pStyle w:val="P68B1DB1-TableParagraph14"/>
              <w:spacing w:before="108"/>
              <w:ind w:left="85"/>
              <w:jc w:val="both"/>
              <w:rPr>
                <w:rFonts w:eastAsia="Cambria"/>
              </w:rPr>
            </w:pPr>
            <w:r>
              <w:t>Pravni status</w:t>
            </w:r>
          </w:p>
        </w:tc>
      </w:tr>
      <w:tr w:rsidR="00393915" w14:paraId="7FE1B857" w14:textId="77777777">
        <w:tc>
          <w:tcPr>
            <w:tcW w:w="1191" w:type="dxa"/>
            <w:tcBorders>
              <w:top w:val="single" w:sz="4" w:space="0" w:color="1A171C"/>
              <w:left w:val="nil"/>
              <w:bottom w:val="single" w:sz="4" w:space="0" w:color="1A171C"/>
              <w:right w:val="single" w:sz="4" w:space="0" w:color="1A171C"/>
            </w:tcBorders>
          </w:tcPr>
          <w:p w14:paraId="7FE1B854" w14:textId="77777777" w:rsidR="00393915" w:rsidRDefault="00F24D68">
            <w:pPr>
              <w:pStyle w:val="P68B1DB1-TableParagraph17"/>
              <w:spacing w:before="108"/>
              <w:ind w:left="85"/>
              <w:jc w:val="both"/>
            </w:pPr>
            <w:r>
              <w:lastRenderedPageBreak/>
              <w:t>0010</w:t>
            </w:r>
          </w:p>
        </w:tc>
        <w:tc>
          <w:tcPr>
            <w:tcW w:w="7892" w:type="dxa"/>
            <w:tcBorders>
              <w:top w:val="single" w:sz="4" w:space="0" w:color="1A171C"/>
              <w:left w:val="single" w:sz="4" w:space="0" w:color="1A171C"/>
              <w:bottom w:val="single" w:sz="4" w:space="0" w:color="1A171C"/>
              <w:right w:val="nil"/>
            </w:tcBorders>
          </w:tcPr>
          <w:p w14:paraId="7FE1B855" w14:textId="77777777" w:rsidR="00393915" w:rsidRDefault="00F24D68">
            <w:pPr>
              <w:pStyle w:val="P68B1DB1-TableParagraph14"/>
              <w:spacing w:before="108"/>
              <w:ind w:left="85"/>
              <w:jc w:val="both"/>
              <w:rPr>
                <w:bCs/>
              </w:rPr>
            </w:pPr>
            <w:r>
              <w:t>Naziv subjekta</w:t>
            </w:r>
          </w:p>
          <w:p w14:paraId="7FE1B856" w14:textId="16A1B5FB" w:rsidR="00393915" w:rsidRDefault="00F24D68">
            <w:pPr>
              <w:pStyle w:val="P68B1DB1-TableParagraph17"/>
              <w:spacing w:before="108"/>
              <w:ind w:left="85"/>
              <w:jc w:val="both"/>
            </w:pPr>
            <w:r>
              <w:t xml:space="preserve">Naziv subjekta kako je naveden u predlošku Z 01.01 – Pravne osobe (ORG 1). </w:t>
            </w:r>
          </w:p>
        </w:tc>
      </w:tr>
      <w:tr w:rsidR="00393915" w14:paraId="7FE1B85C" w14:textId="77777777">
        <w:tc>
          <w:tcPr>
            <w:tcW w:w="1191" w:type="dxa"/>
            <w:tcBorders>
              <w:top w:val="single" w:sz="4" w:space="0" w:color="1A171C"/>
              <w:left w:val="nil"/>
              <w:bottom w:val="single" w:sz="4" w:space="0" w:color="1A171C"/>
              <w:right w:val="single" w:sz="4" w:space="0" w:color="1A171C"/>
            </w:tcBorders>
          </w:tcPr>
          <w:p w14:paraId="7FE1B858" w14:textId="77777777" w:rsidR="00393915" w:rsidRDefault="00F24D68">
            <w:pPr>
              <w:pStyle w:val="P68B1DB1-TableParagraph17"/>
              <w:spacing w:before="108"/>
              <w:ind w:left="85"/>
              <w:jc w:val="both"/>
            </w:pPr>
            <w:r>
              <w:t>0020</w:t>
            </w:r>
          </w:p>
        </w:tc>
        <w:tc>
          <w:tcPr>
            <w:tcW w:w="7892" w:type="dxa"/>
            <w:tcBorders>
              <w:top w:val="single" w:sz="4" w:space="0" w:color="1A171C"/>
              <w:left w:val="single" w:sz="4" w:space="0" w:color="1A171C"/>
              <w:bottom w:val="single" w:sz="4" w:space="0" w:color="1A171C"/>
              <w:right w:val="nil"/>
            </w:tcBorders>
          </w:tcPr>
          <w:p w14:paraId="7FE1B859" w14:textId="77777777" w:rsidR="00393915" w:rsidRDefault="00F24D68">
            <w:pPr>
              <w:pStyle w:val="P68B1DB1-TableParagraph14"/>
              <w:spacing w:before="108"/>
              <w:ind w:left="85"/>
              <w:jc w:val="both"/>
              <w:rPr>
                <w:bCs/>
              </w:rPr>
            </w:pPr>
            <w:r>
              <w:t xml:space="preserve">Oznaka </w:t>
            </w:r>
          </w:p>
          <w:p w14:paraId="7FE1B85A" w14:textId="532EB445" w:rsidR="00393915" w:rsidRDefault="00F24D68">
            <w:pPr>
              <w:pStyle w:val="P68B1DB1-TableParagraph17"/>
              <w:spacing w:before="108"/>
              <w:ind w:left="85"/>
              <w:jc w:val="both"/>
            </w:pPr>
            <w:r>
              <w:t>Oznaka subjekta kako je navedena u predlošku Z 01.01 – Pravne osobe (ORG 1).</w:t>
            </w:r>
          </w:p>
          <w:p w14:paraId="7FE1B85B" w14:textId="77777777" w:rsidR="00393915" w:rsidRDefault="00F24D68">
            <w:pPr>
              <w:pStyle w:val="P68B1DB1-TableParagraph17"/>
              <w:spacing w:before="108"/>
              <w:ind w:left="85"/>
              <w:jc w:val="both"/>
            </w:pPr>
            <w:r>
              <w:t>Ovo je identifikator retka i mora biti jedinstven za svaki redak u predlošku.</w:t>
            </w:r>
          </w:p>
        </w:tc>
      </w:tr>
      <w:tr w:rsidR="00393915" w14:paraId="7FE1B85F" w14:textId="77777777">
        <w:tc>
          <w:tcPr>
            <w:tcW w:w="1191" w:type="dxa"/>
            <w:tcBorders>
              <w:top w:val="single" w:sz="4" w:space="0" w:color="1A171C"/>
              <w:left w:val="nil"/>
              <w:bottom w:val="single" w:sz="4" w:space="0" w:color="1A171C"/>
              <w:right w:val="single" w:sz="4" w:space="0" w:color="1A171C"/>
            </w:tcBorders>
          </w:tcPr>
          <w:p w14:paraId="7FE1B85D" w14:textId="77777777" w:rsidR="00393915" w:rsidRDefault="00F24D68">
            <w:pPr>
              <w:pStyle w:val="P68B1DB1-TableParagraph17"/>
              <w:spacing w:before="108"/>
              <w:ind w:left="85"/>
              <w:jc w:val="both"/>
            </w:pPr>
            <w:r>
              <w:t>0030 – 0040</w:t>
            </w:r>
          </w:p>
        </w:tc>
        <w:tc>
          <w:tcPr>
            <w:tcW w:w="7892" w:type="dxa"/>
            <w:tcBorders>
              <w:top w:val="single" w:sz="4" w:space="0" w:color="1A171C"/>
              <w:left w:val="single" w:sz="4" w:space="0" w:color="1A171C"/>
              <w:bottom w:val="single" w:sz="4" w:space="0" w:color="1A171C"/>
              <w:right w:val="nil"/>
            </w:tcBorders>
          </w:tcPr>
          <w:p w14:paraId="7FE1B85E" w14:textId="77777777" w:rsidR="00393915" w:rsidRDefault="00F24D68">
            <w:pPr>
              <w:pStyle w:val="P68B1DB1-TableParagraph14"/>
              <w:spacing w:before="108"/>
              <w:ind w:left="85"/>
              <w:jc w:val="both"/>
              <w:rPr>
                <w:bCs/>
              </w:rPr>
            </w:pPr>
            <w:r>
              <w:t>Članstvo u sustavima osiguranja depozita</w:t>
            </w:r>
          </w:p>
        </w:tc>
      </w:tr>
      <w:tr w:rsidR="00393915" w14:paraId="7FE1B8AE" w14:textId="77777777">
        <w:tc>
          <w:tcPr>
            <w:tcW w:w="1191" w:type="dxa"/>
            <w:tcBorders>
              <w:top w:val="single" w:sz="4" w:space="0" w:color="1A171C"/>
              <w:left w:val="nil"/>
              <w:bottom w:val="single" w:sz="4" w:space="0" w:color="1A171C"/>
              <w:right w:val="single" w:sz="4" w:space="0" w:color="1A171C"/>
            </w:tcBorders>
          </w:tcPr>
          <w:p w14:paraId="7FE1B860" w14:textId="77777777" w:rsidR="00393915" w:rsidRDefault="00F24D68">
            <w:pPr>
              <w:pStyle w:val="P68B1DB1-TableParagraph17"/>
              <w:spacing w:before="108"/>
              <w:ind w:left="85"/>
              <w:jc w:val="both"/>
            </w:pPr>
            <w:r>
              <w:t>0030</w:t>
            </w:r>
          </w:p>
        </w:tc>
        <w:tc>
          <w:tcPr>
            <w:tcW w:w="7892" w:type="dxa"/>
            <w:tcBorders>
              <w:top w:val="single" w:sz="4" w:space="0" w:color="1A171C"/>
              <w:left w:val="single" w:sz="4" w:space="0" w:color="1A171C"/>
              <w:bottom w:val="single" w:sz="4" w:space="0" w:color="1A171C"/>
              <w:right w:val="nil"/>
            </w:tcBorders>
          </w:tcPr>
          <w:p w14:paraId="7FE1B861" w14:textId="77777777" w:rsidR="00393915" w:rsidRDefault="00F24D68">
            <w:pPr>
              <w:pStyle w:val="P68B1DB1-TableParagraph14"/>
              <w:spacing w:before="108"/>
              <w:ind w:left="85"/>
              <w:jc w:val="both"/>
              <w:rPr>
                <w:bCs/>
              </w:rPr>
            </w:pPr>
            <w:r>
              <w:t>LEZ</w:t>
            </w:r>
          </w:p>
          <w:p w14:paraId="7FE1B862" w14:textId="41C69940" w:rsidR="00393915" w:rsidRDefault="00F24D68">
            <w:pPr>
              <w:pStyle w:val="P68B1DB1-TableParagraph17"/>
              <w:spacing w:before="108"/>
              <w:ind w:left="85"/>
              <w:jc w:val="both"/>
            </w:pPr>
            <w:r>
              <w:t>Članak 4. stavak 3. Direktive 2014/49/EU</w:t>
            </w:r>
          </w:p>
          <w:p w14:paraId="7FE1B863" w14:textId="77777777" w:rsidR="00393915" w:rsidRDefault="00F24D68">
            <w:pPr>
              <w:pStyle w:val="P68B1DB1-TableParagraph17"/>
              <w:spacing w:before="108"/>
              <w:ind w:left="85"/>
              <w:jc w:val="both"/>
            </w:pPr>
            <w:r>
              <w:t>Naziv službeno priznatog sustava osiguranja depozita kojeg je subjekt član primjenom Direktive 2014/49/EU. To je sustav osiguranja depozita u državi članici u kojoj je subjekt osnovan, isključujući ostale sustave osiguranja depozita koji u drugim državama članicama mogu pružati dodatnu zaštitu („dopuna”) klijentima subjekta u njegovoj podružnici u toj državi članici. Ako je institucija članica institucionalnog sustava zaštite koji je ujedno službeno priznat kao sustav osiguranja depozita u skladu s člankom 4. stavkom 2. Direktive 2014/49/EU, naziv sustava osiguranja depozita jednak je nazivu institucionalnog sustava zaštite u retku 050.</w:t>
            </w:r>
          </w:p>
          <w:p w14:paraId="7FE1B864" w14:textId="77777777" w:rsidR="00393915" w:rsidRDefault="00F24D68">
            <w:pPr>
              <w:pStyle w:val="P68B1DB1-TableParagraph17"/>
              <w:spacing w:before="108"/>
              <w:ind w:left="85"/>
              <w:jc w:val="both"/>
            </w:pPr>
            <w:r>
              <w:t>Sustav osiguranja depozita, za svaku državu u kojoj je subjekt osnovan, odabire se među sljedećim sustavima:</w:t>
            </w:r>
          </w:p>
          <w:p w14:paraId="7FE1B865" w14:textId="77777777" w:rsidR="00393915" w:rsidRDefault="00F24D68">
            <w:pPr>
              <w:pStyle w:val="P68B1DB1-TableParagraph28"/>
              <w:spacing w:before="108"/>
              <w:ind w:left="85"/>
              <w:jc w:val="both"/>
            </w:pPr>
            <w:r>
              <w:t>Austrija</w:t>
            </w:r>
          </w:p>
          <w:p w14:paraId="7FE1B866" w14:textId="7AF21273" w:rsidR="00393915" w:rsidRDefault="00F24D68">
            <w:pPr>
              <w:pStyle w:val="P68B1DB1-TableParagraph17"/>
              <w:numPr>
                <w:ilvl w:val="0"/>
                <w:numId w:val="70"/>
              </w:numPr>
              <w:spacing w:before="108"/>
              <w:jc w:val="both"/>
            </w:pPr>
            <w:r>
              <w:t xml:space="preserve">„Einlagensicherung AUSTRIA Ges.m.b.H.” </w:t>
            </w:r>
          </w:p>
          <w:p w14:paraId="7FE1B867" w14:textId="77777777" w:rsidR="00393915" w:rsidRDefault="00F24D68">
            <w:pPr>
              <w:pStyle w:val="P68B1DB1-TableParagraph17"/>
              <w:numPr>
                <w:ilvl w:val="0"/>
                <w:numId w:val="70"/>
              </w:numPr>
              <w:spacing w:before="108"/>
              <w:jc w:val="both"/>
            </w:pPr>
            <w:r>
              <w:t>„Sparkassen-Haftungs GmbH”</w:t>
            </w:r>
          </w:p>
          <w:p w14:paraId="7FE1B868" w14:textId="77777777" w:rsidR="00393915" w:rsidRDefault="00F24D68">
            <w:pPr>
              <w:pStyle w:val="P68B1DB1-TableParagraph17"/>
              <w:numPr>
                <w:ilvl w:val="0"/>
                <w:numId w:val="70"/>
              </w:numPr>
              <w:spacing w:before="108"/>
              <w:jc w:val="both"/>
            </w:pPr>
            <w:r>
              <w:t>„Österreichische Raiffeisen-Sicherungseinrichtung eGen”</w:t>
            </w:r>
          </w:p>
          <w:p w14:paraId="7FE1B869" w14:textId="77777777" w:rsidR="00393915" w:rsidRDefault="00F24D68">
            <w:pPr>
              <w:pStyle w:val="P68B1DB1-TableParagraph28"/>
              <w:spacing w:before="108"/>
              <w:ind w:left="85"/>
              <w:jc w:val="both"/>
            </w:pPr>
            <w:r>
              <w:t>Belgija</w:t>
            </w:r>
          </w:p>
          <w:p w14:paraId="7FE1B86A" w14:textId="77777777" w:rsidR="00393915" w:rsidRDefault="00F24D68">
            <w:pPr>
              <w:pStyle w:val="P68B1DB1-TableParagraph17"/>
              <w:numPr>
                <w:ilvl w:val="0"/>
                <w:numId w:val="70"/>
              </w:numPr>
              <w:spacing w:before="108"/>
              <w:jc w:val="both"/>
            </w:pPr>
            <w:r>
              <w:t>„Garantiefonds voor financiële diensten/Fonds de garantie pour les services financiers”</w:t>
            </w:r>
          </w:p>
          <w:p w14:paraId="7FE1B86B" w14:textId="77777777" w:rsidR="00393915" w:rsidRDefault="00F24D68">
            <w:pPr>
              <w:pStyle w:val="P68B1DB1-TableParagraph28"/>
              <w:spacing w:before="108"/>
              <w:ind w:left="85"/>
              <w:jc w:val="both"/>
            </w:pPr>
            <w:r>
              <w:t>Bugarska</w:t>
            </w:r>
          </w:p>
          <w:p w14:paraId="7FE1B86C" w14:textId="33BABCB1" w:rsidR="00393915" w:rsidRDefault="00F24D68">
            <w:pPr>
              <w:pStyle w:val="P68B1DB1-TableParagraph17"/>
              <w:numPr>
                <w:ilvl w:val="0"/>
                <w:numId w:val="70"/>
              </w:numPr>
              <w:spacing w:before="108"/>
              <w:jc w:val="both"/>
            </w:pPr>
            <w:r>
              <w:t>„Фонд за гарантиране на влоговете в банките”</w:t>
            </w:r>
          </w:p>
          <w:p w14:paraId="7FE1B86D" w14:textId="77777777" w:rsidR="00393915" w:rsidRDefault="00F24D68">
            <w:pPr>
              <w:pStyle w:val="P68B1DB1-TableParagraph28"/>
              <w:spacing w:before="108"/>
              <w:ind w:left="85"/>
              <w:jc w:val="both"/>
            </w:pPr>
            <w:r>
              <w:t>Hrvatska</w:t>
            </w:r>
          </w:p>
          <w:p w14:paraId="7FE1B86E" w14:textId="77777777" w:rsidR="00393915" w:rsidRDefault="00F24D68">
            <w:pPr>
              <w:pStyle w:val="P68B1DB1-TableParagraph17"/>
              <w:numPr>
                <w:ilvl w:val="0"/>
                <w:numId w:val="70"/>
              </w:numPr>
              <w:spacing w:before="108"/>
              <w:jc w:val="both"/>
            </w:pPr>
            <w:r>
              <w:t>„Hrvatska agencija za osiguranje depozita”</w:t>
            </w:r>
          </w:p>
          <w:p w14:paraId="7FE1B86F" w14:textId="77777777" w:rsidR="00393915" w:rsidRDefault="00F24D68">
            <w:pPr>
              <w:pStyle w:val="P68B1DB1-TableParagraph28"/>
              <w:spacing w:before="108"/>
              <w:ind w:left="85"/>
              <w:jc w:val="both"/>
            </w:pPr>
            <w:r>
              <w:t>Cipar</w:t>
            </w:r>
          </w:p>
          <w:p w14:paraId="7FE1B870" w14:textId="77777777" w:rsidR="00393915" w:rsidRDefault="00F24D68">
            <w:pPr>
              <w:pStyle w:val="P68B1DB1-TableParagraph17"/>
              <w:numPr>
                <w:ilvl w:val="0"/>
                <w:numId w:val="70"/>
              </w:numPr>
              <w:spacing w:before="108"/>
              <w:jc w:val="both"/>
            </w:pPr>
            <w:r>
              <w:t>„Σύστημα Εγγύησης των Καταθέσεων και Εξυγίανσης Πιστωτικών και Άλλων Ιδρυμάτων”</w:t>
            </w:r>
          </w:p>
          <w:p w14:paraId="7FE1B871" w14:textId="77777777" w:rsidR="00393915" w:rsidRDefault="00F24D68">
            <w:pPr>
              <w:pStyle w:val="P68B1DB1-TableParagraph28"/>
              <w:spacing w:before="108"/>
              <w:ind w:left="85"/>
              <w:jc w:val="both"/>
            </w:pPr>
            <w:r>
              <w:t>Češki</w:t>
            </w:r>
          </w:p>
          <w:p w14:paraId="7FE1B872" w14:textId="77777777" w:rsidR="00393915" w:rsidRDefault="00F24D68">
            <w:pPr>
              <w:pStyle w:val="P68B1DB1-TableParagraph17"/>
              <w:numPr>
                <w:ilvl w:val="0"/>
                <w:numId w:val="70"/>
              </w:numPr>
              <w:spacing w:before="108"/>
              <w:jc w:val="both"/>
            </w:pPr>
            <w:r>
              <w:t>„Garanční systém finančního trhu”</w:t>
            </w:r>
          </w:p>
          <w:p w14:paraId="7FE1B873" w14:textId="77777777" w:rsidR="00393915" w:rsidRDefault="00F24D68">
            <w:pPr>
              <w:pStyle w:val="P68B1DB1-TableParagraph28"/>
              <w:spacing w:before="108"/>
              <w:ind w:left="85"/>
              <w:jc w:val="both"/>
            </w:pPr>
            <w:r>
              <w:t>Danska</w:t>
            </w:r>
          </w:p>
          <w:p w14:paraId="7FE1B874" w14:textId="77777777" w:rsidR="00393915" w:rsidRDefault="00F24D68">
            <w:pPr>
              <w:pStyle w:val="P68B1DB1-TableParagraph17"/>
              <w:numPr>
                <w:ilvl w:val="0"/>
                <w:numId w:val="70"/>
              </w:numPr>
              <w:spacing w:before="108"/>
              <w:jc w:val="both"/>
            </w:pPr>
            <w:r>
              <w:t>„Garantiformuen”</w:t>
            </w:r>
          </w:p>
          <w:p w14:paraId="7FE1B875" w14:textId="77777777" w:rsidR="00393915" w:rsidRDefault="00F24D68">
            <w:pPr>
              <w:pStyle w:val="P68B1DB1-TableParagraph28"/>
              <w:spacing w:before="108"/>
              <w:ind w:left="85"/>
              <w:jc w:val="both"/>
            </w:pPr>
            <w:r>
              <w:t xml:space="preserve">Estonija </w:t>
            </w:r>
          </w:p>
          <w:p w14:paraId="7FE1B876" w14:textId="77777777" w:rsidR="00393915" w:rsidRDefault="00F24D68">
            <w:pPr>
              <w:pStyle w:val="P68B1DB1-TableParagraph17"/>
              <w:numPr>
                <w:ilvl w:val="0"/>
                <w:numId w:val="70"/>
              </w:numPr>
              <w:spacing w:before="108"/>
              <w:jc w:val="both"/>
            </w:pPr>
            <w:r>
              <w:t>„Tagastisfond”</w:t>
            </w:r>
          </w:p>
          <w:p w14:paraId="7FE1B877" w14:textId="77777777" w:rsidR="00393915" w:rsidRDefault="00F24D68">
            <w:pPr>
              <w:pStyle w:val="P68B1DB1-TableParagraph28"/>
              <w:spacing w:before="108"/>
              <w:ind w:left="85"/>
              <w:jc w:val="both"/>
            </w:pPr>
            <w:r>
              <w:t xml:space="preserve">Finska </w:t>
            </w:r>
          </w:p>
          <w:p w14:paraId="7FE1B878" w14:textId="77777777" w:rsidR="00393915" w:rsidRDefault="00F24D68">
            <w:pPr>
              <w:pStyle w:val="P68B1DB1-TableParagraph17"/>
              <w:numPr>
                <w:ilvl w:val="0"/>
                <w:numId w:val="70"/>
              </w:numPr>
              <w:spacing w:before="108"/>
              <w:jc w:val="both"/>
            </w:pPr>
            <w:r>
              <w:t>„Talletussuojarahasto”</w:t>
            </w:r>
          </w:p>
          <w:p w14:paraId="7FE1B879" w14:textId="77777777" w:rsidR="00393915" w:rsidRDefault="00F24D68">
            <w:pPr>
              <w:pStyle w:val="P68B1DB1-TableParagraph28"/>
              <w:spacing w:before="108"/>
              <w:ind w:left="85"/>
              <w:jc w:val="both"/>
            </w:pPr>
            <w:r>
              <w:t>Francuska</w:t>
            </w:r>
          </w:p>
          <w:p w14:paraId="7FE1B87A" w14:textId="77777777" w:rsidR="00393915" w:rsidRDefault="00F24D68">
            <w:pPr>
              <w:pStyle w:val="P68B1DB1-TableParagraph17"/>
              <w:numPr>
                <w:ilvl w:val="0"/>
                <w:numId w:val="70"/>
              </w:numPr>
              <w:spacing w:before="108"/>
              <w:jc w:val="both"/>
            </w:pPr>
            <w:r>
              <w:t>„Fonds de Garantie des Dépôts et de Résolution”</w:t>
            </w:r>
          </w:p>
          <w:p w14:paraId="7FE1B87B" w14:textId="77777777" w:rsidR="00393915" w:rsidRDefault="00F24D68">
            <w:pPr>
              <w:pStyle w:val="P68B1DB1-TableParagraph28"/>
              <w:spacing w:before="108"/>
              <w:ind w:left="85"/>
              <w:jc w:val="both"/>
            </w:pPr>
            <w:r>
              <w:t xml:space="preserve">Njemačka </w:t>
            </w:r>
          </w:p>
          <w:p w14:paraId="7FE1B87C" w14:textId="77777777" w:rsidR="00393915" w:rsidRDefault="00F24D68">
            <w:pPr>
              <w:pStyle w:val="P68B1DB1-TableParagraph17"/>
              <w:numPr>
                <w:ilvl w:val="0"/>
                <w:numId w:val="70"/>
              </w:numPr>
              <w:spacing w:before="108"/>
              <w:jc w:val="both"/>
            </w:pPr>
            <w:r>
              <w:t>„Entschädigungseinrichtung deutscher Banken GmbH”</w:t>
            </w:r>
          </w:p>
          <w:p w14:paraId="7FE1B87D" w14:textId="77777777" w:rsidR="00393915" w:rsidRDefault="00F24D68">
            <w:pPr>
              <w:pStyle w:val="P68B1DB1-TableParagraph17"/>
              <w:numPr>
                <w:ilvl w:val="0"/>
                <w:numId w:val="70"/>
              </w:numPr>
              <w:spacing w:before="108"/>
              <w:jc w:val="both"/>
            </w:pPr>
            <w:r>
              <w:lastRenderedPageBreak/>
              <w:t>„Entschädigungseinrichtung des Bundesverbandes Öffentlicher Banken Deutschlands GmbH”</w:t>
            </w:r>
          </w:p>
          <w:p w14:paraId="7FE1B87E" w14:textId="77777777" w:rsidR="00393915" w:rsidRDefault="00F24D68">
            <w:pPr>
              <w:pStyle w:val="P68B1DB1-TableParagraph17"/>
              <w:numPr>
                <w:ilvl w:val="0"/>
                <w:numId w:val="70"/>
              </w:numPr>
              <w:spacing w:before="108"/>
              <w:jc w:val="both"/>
            </w:pPr>
            <w:r>
              <w:t>„Sicherungseinrichtung des Deutschen Sparkassen- und Giroverbandes (DSGV-Haftungsverbund)”</w:t>
            </w:r>
          </w:p>
          <w:p w14:paraId="7FE1B87F" w14:textId="77777777" w:rsidR="00393915" w:rsidRDefault="00F24D68">
            <w:pPr>
              <w:pStyle w:val="P68B1DB1-TableParagraph17"/>
              <w:numPr>
                <w:ilvl w:val="0"/>
                <w:numId w:val="70"/>
              </w:numPr>
              <w:spacing w:before="108"/>
              <w:jc w:val="both"/>
            </w:pPr>
            <w:r>
              <w:t>„BVR Institutssicherung GmbH”</w:t>
            </w:r>
          </w:p>
          <w:p w14:paraId="7FE1B882" w14:textId="77777777" w:rsidR="00393915" w:rsidRDefault="00F24D68">
            <w:pPr>
              <w:pStyle w:val="P68B1DB1-TableParagraph28"/>
              <w:spacing w:before="108"/>
              <w:ind w:left="85"/>
              <w:jc w:val="both"/>
            </w:pPr>
            <w:r>
              <w:t xml:space="preserve">Grčka </w:t>
            </w:r>
          </w:p>
          <w:p w14:paraId="7FE1B883" w14:textId="77777777" w:rsidR="00393915" w:rsidRDefault="00F24D68">
            <w:pPr>
              <w:pStyle w:val="P68B1DB1-TableParagraph17"/>
              <w:numPr>
                <w:ilvl w:val="0"/>
                <w:numId w:val="70"/>
              </w:numPr>
              <w:spacing w:before="108"/>
              <w:jc w:val="both"/>
            </w:pPr>
            <w:r>
              <w:t>„Ταμείο Εγγύησης Καταθέσεων και Επενδύσεων”</w:t>
            </w:r>
          </w:p>
          <w:p w14:paraId="7FE1B884" w14:textId="77777777" w:rsidR="00393915" w:rsidRDefault="00F24D68">
            <w:pPr>
              <w:pStyle w:val="P68B1DB1-TableParagraph28"/>
              <w:spacing w:before="108"/>
              <w:ind w:left="85"/>
              <w:jc w:val="both"/>
            </w:pPr>
            <w:r>
              <w:t xml:space="preserve">Mađarska </w:t>
            </w:r>
          </w:p>
          <w:p w14:paraId="7FE1B885" w14:textId="77777777" w:rsidR="00393915" w:rsidRDefault="00F24D68">
            <w:pPr>
              <w:pStyle w:val="P68B1DB1-TableParagraph17"/>
              <w:numPr>
                <w:ilvl w:val="0"/>
                <w:numId w:val="70"/>
              </w:numPr>
              <w:spacing w:before="108"/>
              <w:jc w:val="both"/>
            </w:pPr>
            <w:r>
              <w:t>„Országos Betétbiztosítási Alap”</w:t>
            </w:r>
          </w:p>
          <w:p w14:paraId="7FE1B886" w14:textId="77777777" w:rsidR="00393915" w:rsidRDefault="00F24D68">
            <w:pPr>
              <w:pStyle w:val="P68B1DB1-TableParagraph28"/>
              <w:spacing w:before="108"/>
              <w:ind w:left="85"/>
              <w:jc w:val="both"/>
            </w:pPr>
            <w:r>
              <w:t>Island</w:t>
            </w:r>
          </w:p>
          <w:p w14:paraId="7FE1B887" w14:textId="44E06D46" w:rsidR="00393915" w:rsidRDefault="00F24D68">
            <w:pPr>
              <w:pStyle w:val="P68B1DB1-TableParagraph17"/>
              <w:numPr>
                <w:ilvl w:val="0"/>
                <w:numId w:val="70"/>
              </w:numPr>
              <w:spacing w:before="108"/>
              <w:jc w:val="both"/>
            </w:pPr>
            <w:r>
              <w:t>„Tryggingarsjóður vegna fjármálafyrirtækja”</w:t>
            </w:r>
          </w:p>
          <w:p w14:paraId="7FE1B888" w14:textId="77777777" w:rsidR="00393915" w:rsidRDefault="00F24D68">
            <w:pPr>
              <w:pStyle w:val="P68B1DB1-TableParagraph28"/>
              <w:spacing w:before="108"/>
              <w:ind w:left="85"/>
              <w:jc w:val="both"/>
            </w:pPr>
            <w:r>
              <w:t>Irska</w:t>
            </w:r>
          </w:p>
          <w:p w14:paraId="7FE1B889" w14:textId="77777777" w:rsidR="00393915" w:rsidRDefault="00F24D68">
            <w:pPr>
              <w:pStyle w:val="P68B1DB1-TableParagraph17"/>
              <w:numPr>
                <w:ilvl w:val="0"/>
                <w:numId w:val="70"/>
              </w:numPr>
              <w:spacing w:before="108"/>
              <w:jc w:val="both"/>
            </w:pPr>
            <w:r>
              <w:t>„Irish Deposit Protection Scheme”</w:t>
            </w:r>
          </w:p>
          <w:p w14:paraId="7FE1B88A" w14:textId="77777777" w:rsidR="00393915" w:rsidRDefault="00F24D68">
            <w:pPr>
              <w:pStyle w:val="P68B1DB1-TableParagraph28"/>
              <w:spacing w:before="108"/>
              <w:ind w:left="85"/>
              <w:jc w:val="both"/>
            </w:pPr>
            <w:r>
              <w:t xml:space="preserve">Italija </w:t>
            </w:r>
          </w:p>
          <w:p w14:paraId="7FE1B88B" w14:textId="77777777" w:rsidR="00393915" w:rsidRDefault="00F24D68">
            <w:pPr>
              <w:pStyle w:val="P68B1DB1-TableParagraph17"/>
              <w:numPr>
                <w:ilvl w:val="0"/>
                <w:numId w:val="70"/>
              </w:numPr>
              <w:spacing w:before="108"/>
              <w:jc w:val="both"/>
            </w:pPr>
            <w:r>
              <w:t>„Fondo Interbancario di Tutela dei Depositi”</w:t>
            </w:r>
          </w:p>
          <w:p w14:paraId="7FE1B88C" w14:textId="77777777" w:rsidR="00393915" w:rsidRDefault="00F24D68">
            <w:pPr>
              <w:pStyle w:val="P68B1DB1-TableParagraph17"/>
              <w:numPr>
                <w:ilvl w:val="0"/>
                <w:numId w:val="70"/>
              </w:numPr>
              <w:spacing w:before="108"/>
              <w:jc w:val="both"/>
            </w:pPr>
            <w:r>
              <w:t>„Fondo di Garanzia dei Depositanti del Credito Cooperativo”</w:t>
            </w:r>
          </w:p>
          <w:p w14:paraId="7FE1B88D" w14:textId="77777777" w:rsidR="00393915" w:rsidRDefault="00F24D68">
            <w:pPr>
              <w:pStyle w:val="P68B1DB1-TableParagraph28"/>
              <w:spacing w:before="108"/>
              <w:ind w:left="85"/>
              <w:jc w:val="both"/>
            </w:pPr>
            <w:r>
              <w:t>Latvija</w:t>
            </w:r>
          </w:p>
          <w:p w14:paraId="7FE1B88E" w14:textId="77777777" w:rsidR="00393915" w:rsidRDefault="00F24D68">
            <w:pPr>
              <w:pStyle w:val="P68B1DB1-TableParagraph17"/>
              <w:numPr>
                <w:ilvl w:val="0"/>
                <w:numId w:val="70"/>
              </w:numPr>
              <w:spacing w:before="108"/>
              <w:jc w:val="both"/>
            </w:pPr>
            <w:r>
              <w:t>„Latvijas Noguldījumu garantiju fonds”</w:t>
            </w:r>
          </w:p>
          <w:p w14:paraId="7FE1B88F" w14:textId="77777777" w:rsidR="00393915" w:rsidRDefault="00F24D68">
            <w:pPr>
              <w:pStyle w:val="P68B1DB1-TableParagraph28"/>
              <w:spacing w:before="108"/>
              <w:ind w:left="85"/>
              <w:jc w:val="both"/>
            </w:pPr>
            <w:r>
              <w:t xml:space="preserve">Lihtenštajn </w:t>
            </w:r>
          </w:p>
          <w:p w14:paraId="7FE1B890" w14:textId="77777777" w:rsidR="00393915" w:rsidRDefault="00F24D68">
            <w:pPr>
              <w:pStyle w:val="P68B1DB1-TableParagraph17"/>
              <w:numPr>
                <w:ilvl w:val="0"/>
                <w:numId w:val="70"/>
              </w:numPr>
              <w:spacing w:before="108"/>
              <w:jc w:val="both"/>
            </w:pPr>
            <w:r>
              <w:t>„Einlagensicherungs- und Anlegerentschädigungs-Stiftung SV”</w:t>
            </w:r>
          </w:p>
          <w:p w14:paraId="7FE1B891" w14:textId="77777777" w:rsidR="00393915" w:rsidRDefault="00F24D68">
            <w:pPr>
              <w:pStyle w:val="P68B1DB1-TableParagraph28"/>
              <w:spacing w:before="108"/>
              <w:ind w:left="85"/>
              <w:jc w:val="both"/>
            </w:pPr>
            <w:r>
              <w:t>Litva</w:t>
            </w:r>
          </w:p>
          <w:p w14:paraId="7FE1B892" w14:textId="77777777" w:rsidR="00393915" w:rsidRDefault="00F24D68">
            <w:pPr>
              <w:pStyle w:val="P68B1DB1-TableParagraph17"/>
              <w:numPr>
                <w:ilvl w:val="0"/>
                <w:numId w:val="70"/>
              </w:numPr>
              <w:spacing w:before="108"/>
              <w:jc w:val="both"/>
            </w:pPr>
            <w:r>
              <w:t>„Indėlių ir investicijų draudimas”</w:t>
            </w:r>
          </w:p>
          <w:p w14:paraId="7FE1B893" w14:textId="77777777" w:rsidR="00393915" w:rsidRDefault="00F24D68">
            <w:pPr>
              <w:pStyle w:val="P68B1DB1-TableParagraph28"/>
              <w:spacing w:before="108"/>
              <w:ind w:left="85"/>
              <w:jc w:val="both"/>
            </w:pPr>
            <w:r>
              <w:t>Luksemburg</w:t>
            </w:r>
          </w:p>
          <w:p w14:paraId="7FE1B894" w14:textId="59F3019A" w:rsidR="00393915" w:rsidRDefault="00F24D68">
            <w:pPr>
              <w:pStyle w:val="P68B1DB1-TableParagraph17"/>
              <w:numPr>
                <w:ilvl w:val="0"/>
                <w:numId w:val="70"/>
              </w:numPr>
              <w:spacing w:before="108"/>
              <w:jc w:val="both"/>
            </w:pPr>
            <w:r>
              <w:t>„Fonds de garantie des Dépôts Luxembourg”</w:t>
            </w:r>
          </w:p>
          <w:p w14:paraId="7FE1B895" w14:textId="77777777" w:rsidR="00393915" w:rsidRDefault="00F24D68">
            <w:pPr>
              <w:pStyle w:val="P68B1DB1-TableParagraph28"/>
              <w:spacing w:before="108"/>
              <w:ind w:left="85"/>
              <w:jc w:val="both"/>
            </w:pPr>
            <w:r>
              <w:t>Malta</w:t>
            </w:r>
          </w:p>
          <w:p w14:paraId="7FE1B896" w14:textId="77777777" w:rsidR="00393915" w:rsidRDefault="00F24D68">
            <w:pPr>
              <w:pStyle w:val="P68B1DB1-TableParagraph17"/>
              <w:numPr>
                <w:ilvl w:val="0"/>
                <w:numId w:val="70"/>
              </w:numPr>
              <w:spacing w:before="108"/>
              <w:jc w:val="both"/>
            </w:pPr>
            <w:r>
              <w:t>„Depositor Compensation Scheme”</w:t>
            </w:r>
          </w:p>
          <w:p w14:paraId="7FE1B897" w14:textId="77777777" w:rsidR="00393915" w:rsidRDefault="00F24D68">
            <w:pPr>
              <w:pStyle w:val="P68B1DB1-TableParagraph28"/>
              <w:spacing w:before="108"/>
              <w:ind w:left="85"/>
              <w:jc w:val="both"/>
            </w:pPr>
            <w:r>
              <w:t xml:space="preserve">Nizozemska </w:t>
            </w:r>
          </w:p>
          <w:p w14:paraId="7FE1B898" w14:textId="77777777" w:rsidR="00393915" w:rsidRDefault="00F24D68">
            <w:pPr>
              <w:pStyle w:val="P68B1DB1-TableParagraph17"/>
              <w:numPr>
                <w:ilvl w:val="0"/>
                <w:numId w:val="70"/>
              </w:numPr>
              <w:spacing w:before="108"/>
              <w:jc w:val="both"/>
            </w:pPr>
            <w:r>
              <w:t>„De Nederlandsche Bank, Depositogarantiestelsel”</w:t>
            </w:r>
          </w:p>
          <w:p w14:paraId="7FE1B899" w14:textId="77777777" w:rsidR="00393915" w:rsidRDefault="00F24D68">
            <w:pPr>
              <w:pStyle w:val="P68B1DB1-TableParagraph28"/>
              <w:spacing w:before="108"/>
              <w:ind w:left="85"/>
              <w:jc w:val="both"/>
            </w:pPr>
            <w:r>
              <w:t>Norveška</w:t>
            </w:r>
          </w:p>
          <w:p w14:paraId="7FE1B89A" w14:textId="77777777" w:rsidR="00393915" w:rsidRDefault="00F24D68">
            <w:pPr>
              <w:pStyle w:val="P68B1DB1-TableParagraph17"/>
              <w:numPr>
                <w:ilvl w:val="0"/>
                <w:numId w:val="70"/>
              </w:numPr>
              <w:spacing w:before="108"/>
              <w:jc w:val="both"/>
            </w:pPr>
            <w:r>
              <w:t>„Bankenes sikringsfond”</w:t>
            </w:r>
          </w:p>
          <w:p w14:paraId="7FE1B89B" w14:textId="77777777" w:rsidR="00393915" w:rsidRDefault="00F24D68">
            <w:pPr>
              <w:pStyle w:val="P68B1DB1-TableParagraph28"/>
              <w:spacing w:before="108"/>
              <w:ind w:left="85"/>
              <w:jc w:val="both"/>
            </w:pPr>
            <w:r>
              <w:t>Poljska</w:t>
            </w:r>
          </w:p>
          <w:p w14:paraId="7FE1B89C" w14:textId="77777777" w:rsidR="00393915" w:rsidRDefault="00F24D68">
            <w:pPr>
              <w:pStyle w:val="P68B1DB1-TableParagraph17"/>
              <w:numPr>
                <w:ilvl w:val="0"/>
                <w:numId w:val="70"/>
              </w:numPr>
              <w:spacing w:before="108"/>
              <w:jc w:val="both"/>
            </w:pPr>
            <w:r>
              <w:t>„Bankowy Fundusz Gwarancyjny”</w:t>
            </w:r>
          </w:p>
          <w:p w14:paraId="7FE1B89D" w14:textId="77777777" w:rsidR="00393915" w:rsidRDefault="00F24D68">
            <w:pPr>
              <w:pStyle w:val="P68B1DB1-TableParagraph28"/>
              <w:spacing w:before="108"/>
              <w:ind w:left="85"/>
              <w:jc w:val="both"/>
            </w:pPr>
            <w:r>
              <w:t>Portugal</w:t>
            </w:r>
          </w:p>
          <w:p w14:paraId="7FE1B89E" w14:textId="77777777" w:rsidR="00393915" w:rsidRDefault="00F24D68">
            <w:pPr>
              <w:pStyle w:val="P68B1DB1-TableParagraph17"/>
              <w:numPr>
                <w:ilvl w:val="0"/>
                <w:numId w:val="70"/>
              </w:numPr>
              <w:spacing w:before="108"/>
              <w:jc w:val="both"/>
            </w:pPr>
            <w:r>
              <w:t>„Fundo de Garantia de Depósitos”</w:t>
            </w:r>
          </w:p>
          <w:p w14:paraId="7FE1B89F" w14:textId="77777777" w:rsidR="00393915" w:rsidRDefault="00F24D68">
            <w:pPr>
              <w:pStyle w:val="P68B1DB1-TableParagraph17"/>
              <w:numPr>
                <w:ilvl w:val="0"/>
                <w:numId w:val="70"/>
              </w:numPr>
              <w:spacing w:before="108"/>
              <w:jc w:val="both"/>
            </w:pPr>
            <w:r>
              <w:t>„Fundo de Garantia do Crédito Agrícola Mútuo”</w:t>
            </w:r>
          </w:p>
          <w:p w14:paraId="7FE1B8A0" w14:textId="77777777" w:rsidR="00393915" w:rsidRDefault="00F24D68">
            <w:pPr>
              <w:pStyle w:val="P68B1DB1-TableParagraph28"/>
              <w:spacing w:before="108"/>
              <w:ind w:left="85"/>
              <w:jc w:val="both"/>
            </w:pPr>
            <w:r>
              <w:t>Rumunjska</w:t>
            </w:r>
          </w:p>
          <w:p w14:paraId="7FE1B8A1" w14:textId="77777777" w:rsidR="00393915" w:rsidRDefault="00F24D68">
            <w:pPr>
              <w:pStyle w:val="P68B1DB1-TableParagraph17"/>
              <w:numPr>
                <w:ilvl w:val="0"/>
                <w:numId w:val="70"/>
              </w:numPr>
              <w:spacing w:before="108"/>
              <w:jc w:val="both"/>
            </w:pPr>
            <w:r>
              <w:t>„Fondul de Garantare a Depozitelor in Sistemul Bancar”</w:t>
            </w:r>
          </w:p>
          <w:p w14:paraId="7FE1B8A2" w14:textId="77777777" w:rsidR="00393915" w:rsidRDefault="00F24D68">
            <w:pPr>
              <w:pStyle w:val="P68B1DB1-TableParagraph28"/>
              <w:spacing w:before="108"/>
              <w:ind w:left="85"/>
              <w:jc w:val="both"/>
            </w:pPr>
            <w:r>
              <w:t>Slovačka</w:t>
            </w:r>
          </w:p>
          <w:p w14:paraId="7FE1B8A3" w14:textId="77777777" w:rsidR="00393915" w:rsidRDefault="00F24D68">
            <w:pPr>
              <w:pStyle w:val="P68B1DB1-TableParagraph17"/>
              <w:numPr>
                <w:ilvl w:val="0"/>
                <w:numId w:val="70"/>
              </w:numPr>
              <w:spacing w:before="108"/>
              <w:jc w:val="both"/>
            </w:pPr>
            <w:r>
              <w:t>„Fond ochrany vkladov”</w:t>
            </w:r>
          </w:p>
          <w:p w14:paraId="7FE1B8A4" w14:textId="77777777" w:rsidR="00393915" w:rsidRDefault="00F24D68">
            <w:pPr>
              <w:pStyle w:val="P68B1DB1-TableParagraph28"/>
              <w:spacing w:before="108"/>
              <w:ind w:left="85"/>
              <w:jc w:val="both"/>
            </w:pPr>
            <w:r>
              <w:t xml:space="preserve">Slovenija </w:t>
            </w:r>
          </w:p>
          <w:p w14:paraId="7FE1B8A5" w14:textId="77777777" w:rsidR="00393915" w:rsidRDefault="00F24D68">
            <w:pPr>
              <w:pStyle w:val="P68B1DB1-TableParagraph17"/>
              <w:numPr>
                <w:ilvl w:val="0"/>
                <w:numId w:val="70"/>
              </w:numPr>
              <w:spacing w:before="108"/>
              <w:jc w:val="both"/>
            </w:pPr>
            <w:r>
              <w:lastRenderedPageBreak/>
              <w:t>„Banka Slovenije”</w:t>
            </w:r>
          </w:p>
          <w:p w14:paraId="7FE1B8A6" w14:textId="77777777" w:rsidR="00393915" w:rsidRDefault="00F24D68">
            <w:pPr>
              <w:pStyle w:val="P68B1DB1-TableParagraph28"/>
              <w:spacing w:before="108"/>
              <w:ind w:left="85"/>
              <w:jc w:val="both"/>
            </w:pPr>
            <w:r>
              <w:t>Španjolska</w:t>
            </w:r>
          </w:p>
          <w:p w14:paraId="7FE1B8A7" w14:textId="77777777" w:rsidR="00393915" w:rsidRDefault="00F24D68">
            <w:pPr>
              <w:pStyle w:val="P68B1DB1-TableParagraph17"/>
              <w:numPr>
                <w:ilvl w:val="0"/>
                <w:numId w:val="70"/>
              </w:numPr>
              <w:spacing w:before="108"/>
              <w:jc w:val="both"/>
            </w:pPr>
            <w:r>
              <w:t>„Fondo de Garantía de Depósitos de Entidades de Crédito”</w:t>
            </w:r>
          </w:p>
          <w:p w14:paraId="7FE1B8A8" w14:textId="77777777" w:rsidR="00393915" w:rsidRDefault="00F24D68">
            <w:pPr>
              <w:pStyle w:val="P68B1DB1-TableParagraph28"/>
              <w:spacing w:before="108"/>
              <w:ind w:left="85"/>
              <w:jc w:val="both"/>
            </w:pPr>
            <w:r>
              <w:t>Švedska</w:t>
            </w:r>
          </w:p>
          <w:p w14:paraId="7FE1B8A9" w14:textId="77777777" w:rsidR="00393915" w:rsidRDefault="00F24D68">
            <w:pPr>
              <w:pStyle w:val="P68B1DB1-TableParagraph17"/>
              <w:numPr>
                <w:ilvl w:val="0"/>
                <w:numId w:val="70"/>
              </w:numPr>
              <w:spacing w:before="108"/>
              <w:jc w:val="both"/>
            </w:pPr>
            <w:r>
              <w:t>„Riksgälden”</w:t>
            </w:r>
          </w:p>
          <w:p w14:paraId="7FE1B8AC" w14:textId="77777777" w:rsidR="00393915" w:rsidRDefault="00393915">
            <w:pPr>
              <w:pStyle w:val="TableParagraph"/>
              <w:spacing w:before="108"/>
              <w:ind w:left="85"/>
              <w:jc w:val="both"/>
              <w:rPr>
                <w:rFonts w:ascii="Times New Roman" w:eastAsia="Cambria" w:hAnsi="Times New Roman" w:cs="Times New Roman"/>
                <w:color w:val="000000" w:themeColor="text1"/>
                <w:sz w:val="20"/>
                <w:szCs w:val="20"/>
              </w:rPr>
            </w:pPr>
          </w:p>
          <w:p w14:paraId="7FE1B8AD" w14:textId="02CCA74C" w:rsidR="00393915" w:rsidRDefault="00F24D68">
            <w:pPr>
              <w:pStyle w:val="P68B1DB1-TableParagraph17"/>
              <w:spacing w:before="108"/>
              <w:ind w:left="85"/>
              <w:jc w:val="both"/>
            </w:pPr>
            <w:r>
              <w:t>Ako službeno priznati sustav osiguranja depozita kojeg je subjekt član nije naveden u prethodnom popisu, iskazuje se „</w:t>
            </w:r>
            <w:r w:rsidR="00CA0F9D">
              <w:t>ostali</w:t>
            </w:r>
            <w:r>
              <w:t>”.</w:t>
            </w:r>
          </w:p>
        </w:tc>
      </w:tr>
      <w:tr w:rsidR="00393915" w14:paraId="7FE1B8B3" w14:textId="77777777">
        <w:tc>
          <w:tcPr>
            <w:tcW w:w="1191" w:type="dxa"/>
            <w:tcBorders>
              <w:top w:val="single" w:sz="4" w:space="0" w:color="1A171C"/>
              <w:left w:val="nil"/>
              <w:bottom w:val="single" w:sz="4" w:space="0" w:color="1A171C"/>
              <w:right w:val="single" w:sz="4" w:space="0" w:color="1A171C"/>
            </w:tcBorders>
          </w:tcPr>
          <w:p w14:paraId="7FE1B8AF" w14:textId="77777777" w:rsidR="00393915" w:rsidRDefault="00F24D68">
            <w:pPr>
              <w:pStyle w:val="P68B1DB1-TableParagraph17"/>
              <w:spacing w:before="108"/>
              <w:ind w:left="85"/>
              <w:jc w:val="both"/>
            </w:pPr>
            <w:r>
              <w:lastRenderedPageBreak/>
              <w:t>0040</w:t>
            </w:r>
          </w:p>
        </w:tc>
        <w:tc>
          <w:tcPr>
            <w:tcW w:w="7892" w:type="dxa"/>
            <w:tcBorders>
              <w:top w:val="single" w:sz="4" w:space="0" w:color="1A171C"/>
              <w:left w:val="single" w:sz="4" w:space="0" w:color="1A171C"/>
              <w:bottom w:val="single" w:sz="4" w:space="0" w:color="1A171C"/>
              <w:right w:val="nil"/>
            </w:tcBorders>
          </w:tcPr>
          <w:p w14:paraId="7FE1B8B0" w14:textId="77777777" w:rsidR="00393915" w:rsidRDefault="00F24D68">
            <w:pPr>
              <w:pStyle w:val="P68B1DB1-TableParagraph14"/>
              <w:spacing w:before="108"/>
              <w:ind w:left="85"/>
              <w:jc w:val="both"/>
              <w:rPr>
                <w:bCs/>
              </w:rPr>
            </w:pPr>
            <w:r>
              <w:t>Iznos osiguranih depozita</w:t>
            </w:r>
          </w:p>
          <w:p w14:paraId="7FE1B8B1" w14:textId="77777777" w:rsidR="00393915" w:rsidRDefault="00F24D68">
            <w:pPr>
              <w:pStyle w:val="P68B1DB1-TableParagraph17"/>
              <w:spacing w:before="108"/>
              <w:ind w:left="85"/>
            </w:pPr>
            <w:r>
              <w:t>Članak 2. stavak 1. točka 5. i članak 6. stavak 2. Direktive 2014/49/EU</w:t>
            </w:r>
          </w:p>
          <w:p w14:paraId="7FE1B8B2" w14:textId="77777777" w:rsidR="00393915" w:rsidRDefault="00F24D68">
            <w:pPr>
              <w:pStyle w:val="P68B1DB1-TableParagraph17"/>
              <w:spacing w:before="108"/>
              <w:ind w:left="85"/>
              <w:jc w:val="both"/>
            </w:pPr>
            <w:r>
              <w:t>Iznos osiguranih depozita, kako je definirano u članku 2. stavku 1. točki 5. u vezi s člankom 6. Direktive 2014/49/EU, koje osigurava sustav osiguranja depozita iz retka 00030, isključujući privremena visoka salda kako je utvrđeno u članku 6. stavku 2. Direktive 2014/49/EU.</w:t>
            </w:r>
          </w:p>
        </w:tc>
      </w:tr>
      <w:tr w:rsidR="00393915" w14:paraId="7FE1B8B9" w14:textId="77777777">
        <w:tc>
          <w:tcPr>
            <w:tcW w:w="1191" w:type="dxa"/>
            <w:tcBorders>
              <w:top w:val="single" w:sz="4" w:space="0" w:color="1A171C"/>
              <w:left w:val="nil"/>
              <w:bottom w:val="single" w:sz="4" w:space="0" w:color="1A171C"/>
              <w:right w:val="single" w:sz="4" w:space="0" w:color="1A171C"/>
            </w:tcBorders>
          </w:tcPr>
          <w:p w14:paraId="7FE1B8B4" w14:textId="77777777" w:rsidR="00393915" w:rsidRDefault="00F24D68">
            <w:pPr>
              <w:pStyle w:val="P68B1DB1-TableParagraph17"/>
              <w:spacing w:before="108"/>
              <w:ind w:left="85"/>
              <w:jc w:val="both"/>
            </w:pPr>
            <w:r>
              <w:t>0050</w:t>
            </w:r>
          </w:p>
        </w:tc>
        <w:tc>
          <w:tcPr>
            <w:tcW w:w="7892" w:type="dxa"/>
            <w:tcBorders>
              <w:top w:val="single" w:sz="4" w:space="0" w:color="1A171C"/>
              <w:left w:val="single" w:sz="4" w:space="0" w:color="1A171C"/>
              <w:bottom w:val="single" w:sz="4" w:space="0" w:color="1A171C"/>
              <w:right w:val="nil"/>
            </w:tcBorders>
          </w:tcPr>
          <w:p w14:paraId="7FE1B8B5" w14:textId="77777777" w:rsidR="00393915" w:rsidRDefault="00F24D68">
            <w:pPr>
              <w:pStyle w:val="P68B1DB1-TableParagraph14"/>
              <w:spacing w:before="108"/>
              <w:ind w:left="85"/>
              <w:jc w:val="both"/>
              <w:rPr>
                <w:bCs/>
              </w:rPr>
            </w:pPr>
            <w:r>
              <w:t>Institucionalni sustav zaštite</w:t>
            </w:r>
          </w:p>
          <w:p w14:paraId="7FE1B8B6" w14:textId="77777777" w:rsidR="00393915" w:rsidRDefault="00F24D68">
            <w:pPr>
              <w:pStyle w:val="P68B1DB1-TableParagraph17"/>
              <w:spacing w:before="108"/>
              <w:ind w:left="85"/>
            </w:pPr>
            <w:r>
              <w:t>Članak 113. stavak 7. Uredbe (EU) br. 575/2013</w:t>
            </w:r>
          </w:p>
          <w:p w14:paraId="7FE1B8B7" w14:textId="77777777" w:rsidR="00393915" w:rsidRDefault="00F24D68">
            <w:pPr>
              <w:pStyle w:val="P68B1DB1-TableParagraph17"/>
              <w:spacing w:before="108"/>
              <w:ind w:left="85"/>
              <w:jc w:val="both"/>
            </w:pPr>
            <w:r>
              <w:t>Naziv institucionalnog sustava zaštite iz članka 113. stavka 7. Uredbe (EU) br. 575/2013 kojeg je subjekt član. Ne navoditi ništa ako subjekt nije član institucionalnog sustava zaštite. Ako je subjekt član institucionalnog sustava zaštite koji je ujedno službeno priznat kao sustav osiguranja depozita u skladu s člankom 4. stavkom 2. Direktive 2014/49/EU, naziv institucionalnog sustava zaštite jednak je nazivu sustava osiguranja depozita u retku 030.</w:t>
            </w:r>
          </w:p>
          <w:p w14:paraId="7FE1B8B8" w14:textId="77777777" w:rsidR="00393915" w:rsidRDefault="00393915">
            <w:pPr>
              <w:pStyle w:val="TableParagraph"/>
              <w:spacing w:before="108"/>
              <w:ind w:left="85"/>
              <w:jc w:val="both"/>
              <w:rPr>
                <w:rFonts w:ascii="Times New Roman" w:eastAsia="Cambria" w:hAnsi="Times New Roman" w:cs="Times New Roman"/>
                <w:color w:val="000000" w:themeColor="text1"/>
                <w:sz w:val="20"/>
                <w:szCs w:val="20"/>
              </w:rPr>
            </w:pPr>
          </w:p>
        </w:tc>
      </w:tr>
      <w:tr w:rsidR="00393915" w14:paraId="7FE1B8BE" w14:textId="77777777">
        <w:tc>
          <w:tcPr>
            <w:tcW w:w="1191" w:type="dxa"/>
            <w:tcBorders>
              <w:top w:val="single" w:sz="4" w:space="0" w:color="1A171C"/>
              <w:left w:val="nil"/>
              <w:bottom w:val="single" w:sz="4" w:space="0" w:color="1A171C"/>
              <w:right w:val="single" w:sz="4" w:space="0" w:color="1A171C"/>
            </w:tcBorders>
          </w:tcPr>
          <w:p w14:paraId="7FE1B8BA" w14:textId="77777777" w:rsidR="00393915" w:rsidRDefault="00F24D68">
            <w:pPr>
              <w:pStyle w:val="P68B1DB1-TableParagraph17"/>
              <w:spacing w:before="108"/>
              <w:ind w:left="85"/>
              <w:jc w:val="both"/>
            </w:pPr>
            <w:r>
              <w:t>0060</w:t>
            </w:r>
          </w:p>
        </w:tc>
        <w:tc>
          <w:tcPr>
            <w:tcW w:w="7892" w:type="dxa"/>
            <w:tcBorders>
              <w:top w:val="single" w:sz="4" w:space="0" w:color="1A171C"/>
              <w:left w:val="single" w:sz="4" w:space="0" w:color="1A171C"/>
              <w:bottom w:val="single" w:sz="4" w:space="0" w:color="1A171C"/>
              <w:right w:val="nil"/>
            </w:tcBorders>
          </w:tcPr>
          <w:p w14:paraId="7FE1B8BB" w14:textId="77777777" w:rsidR="00393915" w:rsidRDefault="00F24D68">
            <w:pPr>
              <w:pStyle w:val="P68B1DB1-TableParagraph14"/>
              <w:spacing w:before="108"/>
              <w:ind w:left="85"/>
              <w:jc w:val="both"/>
              <w:rPr>
                <w:bCs/>
              </w:rPr>
            </w:pPr>
            <w:r>
              <w:t>Dodatna zaštita u okviru ugovornih sustava</w:t>
            </w:r>
          </w:p>
          <w:p w14:paraId="7FE1B8BC" w14:textId="77777777" w:rsidR="00393915" w:rsidRDefault="00F24D68">
            <w:pPr>
              <w:pStyle w:val="P68B1DB1-TableParagraph17"/>
              <w:spacing w:before="108"/>
              <w:ind w:left="85"/>
            </w:pPr>
            <w:r>
              <w:t>Članak 1. stavak 3. točka (a) Direktive 2014/49/EU</w:t>
            </w:r>
          </w:p>
          <w:p w14:paraId="7FE1B8BD" w14:textId="77777777" w:rsidR="00393915" w:rsidRDefault="00F24D68">
            <w:pPr>
              <w:pStyle w:val="P68B1DB1-TableParagraph17"/>
              <w:spacing w:before="108"/>
              <w:ind w:left="85"/>
              <w:jc w:val="both"/>
            </w:pPr>
            <w:r>
              <w:t>Iznos depozita koji su osigurani ugovornim sustavom u subjektu.</w:t>
            </w:r>
          </w:p>
        </w:tc>
      </w:tr>
    </w:tbl>
    <w:p w14:paraId="7FE1B8BF" w14:textId="77777777" w:rsidR="00393915" w:rsidRDefault="00393915">
      <w:pPr>
        <w:rPr>
          <w:rFonts w:ascii="Times New Roman" w:hAnsi="Times New Roman" w:cs="Times New Roman"/>
          <w:b/>
          <w:color w:val="000000" w:themeColor="text1"/>
          <w:sz w:val="20"/>
          <w:szCs w:val="20"/>
          <w:u w:val="single"/>
        </w:rPr>
      </w:pPr>
    </w:p>
    <w:p w14:paraId="7FE1B8C0" w14:textId="77777777" w:rsidR="00393915" w:rsidRDefault="00F24D68">
      <w:pPr>
        <w:pStyle w:val="P68B1DB1-Instructionsberschrift25"/>
        <w:numPr>
          <w:ilvl w:val="1"/>
          <w:numId w:val="49"/>
        </w:numPr>
        <w:ind w:left="357" w:hanging="357"/>
      </w:pPr>
      <w:bookmarkStart w:id="101" w:name="_Toc492542327"/>
      <w:bookmarkStart w:id="102" w:name="_Toc81454186"/>
      <w:bookmarkStart w:id="103" w:name="_Toc208244806"/>
      <w:r>
        <w:t>Ključne funkcije i temeljne linije poslovanja</w:t>
      </w:r>
      <w:bookmarkEnd w:id="101"/>
      <w:bookmarkEnd w:id="102"/>
      <w:bookmarkEnd w:id="103"/>
    </w:p>
    <w:p w14:paraId="7FE1B8C2" w14:textId="77777777" w:rsidR="00393915" w:rsidRDefault="00F24D68">
      <w:pPr>
        <w:pStyle w:val="Instructionsberschrift3"/>
      </w:pPr>
      <w:bookmarkStart w:id="104" w:name="_Toc189492773"/>
      <w:bookmarkStart w:id="105" w:name="_Toc192249050"/>
      <w:bookmarkEnd w:id="104"/>
      <w:bookmarkEnd w:id="105"/>
      <w:r>
        <w:t>Opće napomene</w:t>
      </w:r>
    </w:p>
    <w:p w14:paraId="7FE1B8C3" w14:textId="7B653BB8" w:rsidR="00393915" w:rsidRDefault="00F24D68">
      <w:pPr>
        <w:pStyle w:val="P68B1DB1-InstructionsText26"/>
        <w:numPr>
          <w:ilvl w:val="0"/>
          <w:numId w:val="232"/>
        </w:numPr>
        <w:spacing w:before="0"/>
      </w:pPr>
      <w:r>
        <w:t xml:space="preserve">U </w:t>
      </w:r>
      <w:r>
        <w:t>četiri predloš</w:t>
      </w:r>
      <w:r w:rsidR="00C95519">
        <w:t>k</w:t>
      </w:r>
      <w:r>
        <w:t>a</w:t>
      </w:r>
      <w:r>
        <w:t xml:space="preserve"> ovog odjeljka pružaju se </w:t>
      </w:r>
      <w:r w:rsidR="00C95519">
        <w:t>najvažniji</w:t>
      </w:r>
      <w:r w:rsidR="00C95519">
        <w:t xml:space="preserve"> </w:t>
      </w:r>
      <w:r>
        <w:t xml:space="preserve">podaci i kvalitativne procjene o učinku, zamjenjivosti i ključnom statusu gospodarskih funkcija koje grupa pruža, koji su dopunjeni </w:t>
      </w:r>
      <w:r w:rsidR="00382965">
        <w:t>mapiranjem</w:t>
      </w:r>
      <w:r w:rsidR="00382965">
        <w:t xml:space="preserve"> </w:t>
      </w:r>
      <w:r>
        <w:t xml:space="preserve">tih ključnih funkcija po temeljnim </w:t>
      </w:r>
      <w:r w:rsidR="00382965">
        <w:t xml:space="preserve">poslovnim </w:t>
      </w:r>
      <w:r>
        <w:t>linijama i pravnim osobama.</w:t>
      </w:r>
    </w:p>
    <w:p w14:paraId="7FE1B8C4" w14:textId="77777777" w:rsidR="00393915" w:rsidRDefault="00F24D68">
      <w:pPr>
        <w:pStyle w:val="P68B1DB1-InstructionsText26"/>
        <w:numPr>
          <w:ilvl w:val="0"/>
          <w:numId w:val="232"/>
        </w:numPr>
        <w:spacing w:before="0"/>
      </w:pPr>
      <w:r>
        <w:t>Konkretnije, predlošci su posvećeni sljedećim temama:</w:t>
      </w:r>
    </w:p>
    <w:p w14:paraId="7FE1B8C5" w14:textId="75B0FE72" w:rsidR="00393915" w:rsidRDefault="00F24D68">
      <w:pPr>
        <w:pStyle w:val="P68B1DB1-InstructionsText26"/>
        <w:numPr>
          <w:ilvl w:val="0"/>
          <w:numId w:val="153"/>
        </w:numPr>
        <w:spacing w:before="0"/>
      </w:pPr>
      <w:r>
        <w:t xml:space="preserve">U predlošku Z 07.01 – Procjena kritičnosti ekonomskih funkcija (FUNC 1) navode se rezultati procjene </w:t>
      </w:r>
      <w:r w:rsidR="00382965">
        <w:t>ključnosti</w:t>
      </w:r>
      <w:r w:rsidR="00382965">
        <w:t xml:space="preserve"> </w:t>
      </w:r>
      <w:r>
        <w:t>ekonomskih funkcija koje grupa obavlja na temelju kvantitativnih i kvalitativnih pokazatelja, neključnih i ključnih funkcija koje se obavljaju. Od grupe se očekuje zaseban predložak za svaku državu članicu u kojoj grupa djeluje. Za izvješćivanje su utvrđene sljedeće kategorije gospodarskih funkcija:</w:t>
      </w:r>
    </w:p>
    <w:p w14:paraId="7FE1B8C6" w14:textId="221E5E51" w:rsidR="00393915" w:rsidRDefault="00F24D68">
      <w:pPr>
        <w:pStyle w:val="P68B1DB1-InstructionsText26"/>
        <w:numPr>
          <w:ilvl w:val="1"/>
          <w:numId w:val="153"/>
        </w:numPr>
        <w:spacing w:before="0"/>
      </w:pPr>
      <w:r>
        <w:t xml:space="preserve">Z 07.01.1 </w:t>
      </w:r>
      <w:r w:rsidR="00382965">
        <w:t>Depoziti</w:t>
      </w:r>
      <w:r>
        <w:t>.</w:t>
      </w:r>
    </w:p>
    <w:p w14:paraId="7FE1B8C7" w14:textId="0215097E" w:rsidR="00393915" w:rsidRDefault="00F24D68">
      <w:pPr>
        <w:pStyle w:val="P68B1DB1-InstructionsText26"/>
        <w:numPr>
          <w:ilvl w:val="1"/>
          <w:numId w:val="153"/>
        </w:numPr>
        <w:spacing w:before="0"/>
      </w:pPr>
      <w:r>
        <w:t xml:space="preserve">Z 07.01.2 </w:t>
      </w:r>
      <w:r w:rsidR="00382965">
        <w:t>Kreditiranje</w:t>
      </w:r>
      <w:r>
        <w:t>.</w:t>
      </w:r>
    </w:p>
    <w:p w14:paraId="7FE1B8C8" w14:textId="284FDD0B" w:rsidR="00393915" w:rsidRDefault="00F24D68">
      <w:pPr>
        <w:pStyle w:val="P68B1DB1-InstructionsText26"/>
        <w:numPr>
          <w:ilvl w:val="1"/>
          <w:numId w:val="153"/>
        </w:numPr>
        <w:spacing w:before="0"/>
      </w:pPr>
      <w:r>
        <w:t>Z 07.01.3 Plaćanja, gotovina, namira, poravnanje, usluge skrbništva</w:t>
      </w:r>
    </w:p>
    <w:p w14:paraId="7FE1B8C9" w14:textId="12E4110D" w:rsidR="00393915" w:rsidRDefault="00F24D68">
      <w:pPr>
        <w:pStyle w:val="P68B1DB1-InstructionsText26"/>
        <w:numPr>
          <w:ilvl w:val="1"/>
          <w:numId w:val="153"/>
        </w:numPr>
        <w:spacing w:before="0"/>
      </w:pPr>
      <w:r>
        <w:lastRenderedPageBreak/>
        <w:t>Z 07.01.4 Tržišta kapitala</w:t>
      </w:r>
    </w:p>
    <w:p w14:paraId="7FE1B8CA" w14:textId="7C19E5DC" w:rsidR="00393915" w:rsidRDefault="00F24D68">
      <w:pPr>
        <w:pStyle w:val="P68B1DB1-InstructionsText26"/>
        <w:numPr>
          <w:ilvl w:val="1"/>
          <w:numId w:val="153"/>
        </w:numPr>
        <w:spacing w:before="0"/>
      </w:pPr>
      <w:r>
        <w:t xml:space="preserve">Z 07.01.5 </w:t>
      </w:r>
      <w:r w:rsidR="009146D2">
        <w:t>Financiranje na veleprodajnim tržištima</w:t>
      </w:r>
    </w:p>
    <w:p w14:paraId="7FE1B8CB" w14:textId="089426E2" w:rsidR="00393915" w:rsidRDefault="00F24D68">
      <w:pPr>
        <w:pStyle w:val="P68B1DB1-InstructionsText26"/>
        <w:numPr>
          <w:ilvl w:val="0"/>
          <w:numId w:val="153"/>
        </w:numPr>
        <w:spacing w:before="0"/>
      </w:pPr>
      <w:r>
        <w:t xml:space="preserve">U predlošku Z 07.02 – </w:t>
      </w:r>
      <w:r w:rsidR="005B26BA">
        <w:t>Mapiranje ekonomskih</w:t>
      </w:r>
      <w:r>
        <w:t xml:space="preserve"> funkcija po pravnim subjektima (FUNC 2) raščlanjuju se gospodarske funkcije, procijenjene u predlošku Z 07.01, s pravnim subjektima ili međunarodnim podružnicama, kako je utvrđeno u predlošku Z 01.01.</w:t>
      </w:r>
    </w:p>
    <w:p w14:paraId="7FE1B8CC" w14:textId="1F80B301" w:rsidR="00393915" w:rsidRDefault="00F24D68">
      <w:pPr>
        <w:pStyle w:val="P68B1DB1-InstructionsText26"/>
        <w:numPr>
          <w:ilvl w:val="0"/>
          <w:numId w:val="153"/>
        </w:numPr>
        <w:spacing w:before="0"/>
      </w:pPr>
      <w:r>
        <w:t xml:space="preserve">U predlošku Z 07.03 – </w:t>
      </w:r>
      <w:r w:rsidR="00F84836">
        <w:t>Mapiranje</w:t>
      </w:r>
      <w:r w:rsidR="00F84836">
        <w:t xml:space="preserve"> </w:t>
      </w:r>
      <w:r>
        <w:t xml:space="preserve">temeljnih </w:t>
      </w:r>
      <w:r w:rsidR="00F84836">
        <w:t xml:space="preserve">poslovnih </w:t>
      </w:r>
      <w:r>
        <w:t>linija</w:t>
      </w:r>
      <w:r w:rsidR="00F84836">
        <w:t xml:space="preserve"> </w:t>
      </w:r>
      <w:r>
        <w:t xml:space="preserve">po pravnim osobama (FUNC 3) navodi se cjelovit popis temeljnih </w:t>
      </w:r>
      <w:r w:rsidR="00F84836">
        <w:t>poslovnih</w:t>
      </w:r>
      <w:r>
        <w:t xml:space="preserve"> </w:t>
      </w:r>
      <w:r>
        <w:t xml:space="preserve">linija i </w:t>
      </w:r>
      <w:r w:rsidR="00F84836">
        <w:t>njihovo mapiranja</w:t>
      </w:r>
      <w:r>
        <w:t xml:space="preserve"> po pravnim osobama.</w:t>
      </w:r>
    </w:p>
    <w:p w14:paraId="7FE1B8CD" w14:textId="69660F70" w:rsidR="00393915" w:rsidRDefault="00F24D68">
      <w:pPr>
        <w:pStyle w:val="P68B1DB1-InstructionsText26"/>
        <w:numPr>
          <w:ilvl w:val="0"/>
          <w:numId w:val="153"/>
        </w:numPr>
        <w:spacing w:before="0"/>
      </w:pPr>
      <w:r>
        <w:t xml:space="preserve">U predlošku Z 07.04 – </w:t>
      </w:r>
      <w:r w:rsidR="00F84836">
        <w:t>Mapiranje</w:t>
      </w:r>
      <w:r w:rsidR="00F84836">
        <w:t xml:space="preserve"> </w:t>
      </w:r>
      <w:r>
        <w:t xml:space="preserve">ključnih funkcija po temeljnim </w:t>
      </w:r>
      <w:r w:rsidR="00F84836">
        <w:t>poslovnim</w:t>
      </w:r>
      <w:r>
        <w:t xml:space="preserve"> </w:t>
      </w:r>
      <w:r>
        <w:t xml:space="preserve">linijama  (FUNC 4) utvrđene ključne funkcije </w:t>
      </w:r>
      <w:r w:rsidR="00F84836">
        <w:t>mapiranju</w:t>
      </w:r>
      <w:r w:rsidR="00F84836">
        <w:t xml:space="preserve"> </w:t>
      </w:r>
      <w:r>
        <w:t xml:space="preserve">se po </w:t>
      </w:r>
      <w:r w:rsidR="00F84836">
        <w:t xml:space="preserve">temeljnim poslovnim </w:t>
      </w:r>
      <w:r>
        <w:t xml:space="preserve">linijama. </w:t>
      </w:r>
    </w:p>
    <w:p w14:paraId="7FE1B8CE" w14:textId="0BA07F41" w:rsidR="00393915" w:rsidRDefault="00F24D68">
      <w:pPr>
        <w:pStyle w:val="P68B1DB1-InstructionsText26"/>
        <w:numPr>
          <w:ilvl w:val="0"/>
          <w:numId w:val="232"/>
        </w:numPr>
        <w:spacing w:before="0"/>
      </w:pPr>
      <w:r>
        <w:t xml:space="preserve">U skladu s člankom 2. stavkom 1. točkom 35. Direktive 2014/59/EU, „ključne funkcije” znači aktivnosti, usluge ili djelatnosti čije bi obustavljanje u jednoj ili više država članica vjerojatno dovelo do prekida usluga bitnih za realno gospodarstvo ili do poremećaja financijske stabilnosti zbog veličine, tržišnog udjela, vanjske i unutarnje međusobne povezanosti, složenosti ili prekograničnih aktivnosti institucije ili grupe, posebno s obzirom na zamjenjivost tih aktivnosti, usluga ili djelatnosti. </w:t>
      </w:r>
    </w:p>
    <w:p w14:paraId="7FE1B8D0" w14:textId="77777777" w:rsidR="00393915" w:rsidRDefault="00F24D68">
      <w:pPr>
        <w:pStyle w:val="P68B1DB1-InstructionsText26"/>
        <w:numPr>
          <w:ilvl w:val="0"/>
          <w:numId w:val="232"/>
        </w:numPr>
        <w:spacing w:before="0"/>
      </w:pPr>
      <w:r>
        <w:t>U skladu s člankom 6. stavkom 1. Uredbe Komisije (EU) 2016/778</w:t>
      </w:r>
      <w:r>
        <w:footnoteReference w:id="18"/>
      </w:r>
      <w:r w:rsidR="00DB7433">
        <w:t xml:space="preserve"> </w:t>
      </w:r>
      <w:r>
        <w:t>funkcija se smatra ključnom ako ispunjava oba sljedeća kriterija:</w:t>
      </w:r>
    </w:p>
    <w:p w14:paraId="7FE1B8D1" w14:textId="77777777" w:rsidR="00393915" w:rsidRDefault="00F24D68">
      <w:pPr>
        <w:pStyle w:val="P68B1DB1-Normal3"/>
        <w:numPr>
          <w:ilvl w:val="0"/>
          <w:numId w:val="56"/>
        </w:numPr>
        <w:spacing w:line="276" w:lineRule="auto"/>
        <w:contextualSpacing/>
        <w:jc w:val="both"/>
      </w:pPr>
      <w:r>
        <w:t>funkciju pruža institucija trećim stranama koje nisu povezane s institucijom ili grupom; kao i</w:t>
      </w:r>
    </w:p>
    <w:p w14:paraId="7FE1B8D2" w14:textId="77777777" w:rsidR="00393915" w:rsidRPr="00F83F66" w:rsidRDefault="00F24D68">
      <w:pPr>
        <w:pStyle w:val="P68B1DB1-Normal3"/>
        <w:numPr>
          <w:ilvl w:val="0"/>
          <w:numId w:val="56"/>
        </w:numPr>
        <w:spacing w:line="276" w:lineRule="auto"/>
        <w:contextualSpacing/>
        <w:jc w:val="both"/>
      </w:pPr>
      <w:r>
        <w:t>nagli prekid vjerojatno bi imao bitan negativni utjecaj na treće strane, doveo do zaraze ili bi ugrozio opće povjerenje tržišnih sudionika zbog sistemske važnosti funkcije za treće strane i sistemske važnosti institucije ili grupe u pružanju funkcije.</w:t>
      </w:r>
    </w:p>
    <w:p w14:paraId="051A34C4" w14:textId="77777777" w:rsidR="00DB7433" w:rsidRDefault="00DB7433" w:rsidP="00F15538">
      <w:pPr>
        <w:pStyle w:val="P68B1DB1-Normal3"/>
        <w:spacing w:line="276" w:lineRule="auto"/>
        <w:contextualSpacing/>
        <w:jc w:val="both"/>
        <w:rPr>
          <w:i/>
        </w:rPr>
      </w:pPr>
    </w:p>
    <w:p w14:paraId="7FE1B8D3" w14:textId="0B6B353A" w:rsidR="00393915" w:rsidRDefault="00F24D68">
      <w:pPr>
        <w:pStyle w:val="P68B1DB1-InstructionsText26"/>
        <w:numPr>
          <w:ilvl w:val="0"/>
          <w:numId w:val="232"/>
        </w:numPr>
        <w:spacing w:before="0"/>
      </w:pPr>
      <w:r>
        <w:t xml:space="preserve">U skladu s člankom 2. stavkom 1. točkom 36. Direktive 2014/59/EU, „temeljne linije poslovanja” </w:t>
      </w:r>
      <w:r>
        <w:t>znač</w:t>
      </w:r>
      <w:r w:rsidR="00DB7433">
        <w:t>e</w:t>
      </w:r>
      <w:r>
        <w:t xml:space="preserve"> linije poslovanja i pripadajuće usluge koje predstavljaju bitne izvore prihoda, dobiti ili vrijednosti franšize institucije ili grupe čiji je institucija sastavni dio.</w:t>
      </w:r>
    </w:p>
    <w:p w14:paraId="7FE1B8D4" w14:textId="2AE59703" w:rsidR="00393915" w:rsidRDefault="00F24D68">
      <w:pPr>
        <w:pStyle w:val="P68B1DB1-InstructionsText26"/>
        <w:numPr>
          <w:ilvl w:val="0"/>
          <w:numId w:val="232"/>
        </w:numPr>
        <w:spacing w:before="0"/>
      </w:pPr>
      <w:r>
        <w:t xml:space="preserve">Za potrebe ovog predloška </w:t>
      </w:r>
      <w:r w:rsidR="00DB7433">
        <w:t>ekonomske</w:t>
      </w:r>
      <w:r w:rsidR="00DB7433">
        <w:t xml:space="preserve"> </w:t>
      </w:r>
      <w:r>
        <w:t>funkcije odnose se na funkcije navedene u tablici u nastavku.</w:t>
      </w:r>
    </w:p>
    <w:p w14:paraId="7FE1B8D5" w14:textId="3D73A502" w:rsidR="00393915" w:rsidRDefault="00F24D68">
      <w:pPr>
        <w:pStyle w:val="P68B1DB1-InstructionsText26"/>
        <w:numPr>
          <w:ilvl w:val="0"/>
          <w:numId w:val="232"/>
        </w:numPr>
        <w:spacing w:before="0"/>
      </w:pPr>
      <w:r>
        <w:t xml:space="preserve">Za svaku kategoriju </w:t>
      </w:r>
      <w:r w:rsidR="00DB7433">
        <w:t>ekonomskih</w:t>
      </w:r>
      <w:r w:rsidR="00DB7433">
        <w:t xml:space="preserve"> </w:t>
      </w:r>
      <w:r>
        <w:t xml:space="preserve">funkcija moguće je odabrati </w:t>
      </w:r>
      <w:r w:rsidR="00DB7433">
        <w:t>ekonomsku</w:t>
      </w:r>
      <w:r w:rsidR="00DB7433">
        <w:t xml:space="preserve"> </w:t>
      </w:r>
      <w:r>
        <w:t>funkciju „ostalo” ako funkcija nije obuhvaćena ostalim unaprijed definiranim funkcijama.</w:t>
      </w:r>
    </w:p>
    <w:p w14:paraId="7FE1B8D6" w14:textId="77777777" w:rsidR="00393915" w:rsidRDefault="00F24D68">
      <w:pPr>
        <w:pStyle w:val="P68B1DB1-InstructionsText26"/>
        <w:numPr>
          <w:ilvl w:val="0"/>
          <w:numId w:val="232"/>
        </w:numPr>
        <w:spacing w:before="0"/>
      </w:pPr>
      <w:r>
        <w:t>Druge ugovorne strane iz redaka od 0010 do 0070 i redaka od 0080 do 0150 definirane su jednako kao i sektori drugih ugovornih strana kako je predviđeno u FINREP-u, Prilog V. dio 1. poglavlje 6. Izraz „MSP-ovi” odnosi se na MSP-ove kako su definirani u FINREP-u, Prilog V. dio 1. točka 5. podtočka (i).</w:t>
      </w:r>
    </w:p>
    <w:p w14:paraId="7FE1B8D7" w14:textId="188E1000" w:rsidR="00393915" w:rsidRDefault="00F24D68">
      <w:pPr>
        <w:pStyle w:val="P68B1DB1-InstructionsText229"/>
        <w:numPr>
          <w:ilvl w:val="0"/>
          <w:numId w:val="0"/>
        </w:numPr>
        <w:rPr>
          <w:sz w:val="20"/>
          <w:szCs w:val="20"/>
        </w:rPr>
      </w:pPr>
      <w:r>
        <w:rPr>
          <w:sz w:val="20"/>
          <w:szCs w:val="20"/>
        </w:rPr>
        <w:t xml:space="preserve">Za svaku kategoriju </w:t>
      </w:r>
      <w:r w:rsidR="00D17BC3">
        <w:rPr>
          <w:sz w:val="20"/>
          <w:szCs w:val="20"/>
        </w:rPr>
        <w:t>ekonomskih</w:t>
      </w:r>
      <w:r w:rsidR="00D17BC3">
        <w:rPr>
          <w:sz w:val="20"/>
          <w:szCs w:val="20"/>
        </w:rPr>
        <w:t xml:space="preserve"> </w:t>
      </w:r>
      <w:r>
        <w:rPr>
          <w:sz w:val="20"/>
          <w:szCs w:val="20"/>
        </w:rPr>
        <w:t>funkcija očekuje se zasebna kartica.</w:t>
      </w:r>
      <w:r>
        <w:t xml:space="preserve"> </w:t>
      </w:r>
    </w:p>
    <w:p w14:paraId="072982A7" w14:textId="0688FD4A" w:rsidR="00393915" w:rsidRDefault="00F24D68">
      <w:pPr>
        <w:spacing w:after="200" w:line="276" w:lineRule="auto"/>
      </w:pPr>
      <w:r>
        <w:br w:type="page"/>
      </w:r>
    </w:p>
    <w:p w14:paraId="7FE1B95D" w14:textId="634EB818" w:rsidR="00393915" w:rsidRDefault="00393915">
      <w:pPr>
        <w:pStyle w:val="InstructionsText2"/>
        <w:numPr>
          <w:ilvl w:val="0"/>
          <w:numId w:val="0"/>
        </w:numPr>
        <w:rPr>
          <w:rFonts w:ascii="Times New Roman" w:hAnsi="Times New Roman" w:cs="Times New Roman"/>
          <w:color w:val="000000" w:themeColor="text1"/>
        </w:rPr>
      </w:pPr>
    </w:p>
    <w:p w14:paraId="7FE1B95E" w14:textId="1D089469" w:rsidR="00393915" w:rsidRDefault="00F24D68">
      <w:pPr>
        <w:pStyle w:val="P68B1DB1-Instructionsberschrift25"/>
        <w:numPr>
          <w:ilvl w:val="1"/>
          <w:numId w:val="49"/>
        </w:numPr>
        <w:ind w:left="357" w:hanging="357"/>
      </w:pPr>
      <w:bookmarkStart w:id="106" w:name="_Toc208244807"/>
      <w:r>
        <w:t xml:space="preserve">Z 07.01 – Procjena </w:t>
      </w:r>
      <w:r>
        <w:t>ključn</w:t>
      </w:r>
      <w:r w:rsidR="00A53F8E">
        <w:t>sti</w:t>
      </w:r>
      <w:r>
        <w:t xml:space="preserve"> </w:t>
      </w:r>
      <w:r w:rsidR="004E0098">
        <w:t>ekonomskih</w:t>
      </w:r>
      <w:r w:rsidR="004E0098">
        <w:t xml:space="preserve"> </w:t>
      </w:r>
      <w:r>
        <w:t>funkcija (FUNC 1)</w:t>
      </w:r>
      <w:bookmarkEnd w:id="106"/>
    </w:p>
    <w:p w14:paraId="7FE1B960" w14:textId="7174EDC4" w:rsidR="00393915" w:rsidRDefault="00F24D68">
      <w:pPr>
        <w:pStyle w:val="P68B1DB1-Instructionsberschrift25"/>
      </w:pPr>
      <w:r>
        <w:t xml:space="preserve"> </w:t>
      </w:r>
      <w:bookmarkStart w:id="107" w:name="_Toc172723210"/>
      <w:bookmarkEnd w:id="107"/>
    </w:p>
    <w:p w14:paraId="7FE1B961" w14:textId="77777777" w:rsidR="00393915" w:rsidRDefault="00F24D68">
      <w:pPr>
        <w:pStyle w:val="P68B1DB1-body30"/>
      </w:pPr>
      <w:bookmarkStart w:id="108" w:name="_Toc164263845"/>
      <w:r>
        <w:t>Upute za specifične pozicije</w:t>
      </w:r>
      <w:bookmarkEnd w:id="108"/>
    </w:p>
    <w:p w14:paraId="7FE1B963" w14:textId="5D8F7897" w:rsidR="00393915" w:rsidRDefault="00A53F8E">
      <w:pPr>
        <w:pStyle w:val="P68B1DB1-InstructionsText26"/>
        <w:numPr>
          <w:ilvl w:val="0"/>
          <w:numId w:val="232"/>
        </w:numPr>
        <w:spacing w:before="0"/>
      </w:pPr>
      <w:r>
        <w:t>U ovom predlošku je treba izvijestiti</w:t>
      </w:r>
      <w:r w:rsidR="00F24D68">
        <w:t xml:space="preserve"> jednom za svaku državu članicu (koju se identificira kao „</w:t>
      </w:r>
      <w:r>
        <w:t>država</w:t>
      </w:r>
      <w:r w:rsidR="00F24D68">
        <w:t>”) u kojoj je grupa aktivna. U svim slučajevima (neovisno o ulaznoj točki) podružnice se agregiraju u izvješću zemlje u kojoj pružaju usluge.</w:t>
      </w:r>
    </w:p>
    <w:p w14:paraId="7FE1B964" w14:textId="64122B45" w:rsidR="00393915" w:rsidRDefault="00F24D68">
      <w:pPr>
        <w:pStyle w:val="P68B1DB1-InstructionsText26"/>
        <w:numPr>
          <w:ilvl w:val="0"/>
          <w:numId w:val="232"/>
        </w:numPr>
        <w:spacing w:before="0"/>
      </w:pPr>
      <w:r>
        <w:t xml:space="preserve">U njemu su obuhvaćene sve </w:t>
      </w:r>
      <w:r w:rsidR="00A53F8E">
        <w:t>ekonomske</w:t>
      </w:r>
      <w:r w:rsidR="00A53F8E">
        <w:t xml:space="preserve"> </w:t>
      </w:r>
      <w:r>
        <w:t>funkcije bilo kojeg subjekta grupe u toj državi članici, neovisno o tome je li ta funkcija ključna funkcija ili nije.</w:t>
      </w:r>
    </w:p>
    <w:p w14:paraId="7FE1B965" w14:textId="2359C381" w:rsidR="00393915" w:rsidRDefault="00F24D68">
      <w:pPr>
        <w:pStyle w:val="P68B1DB1-InstructionsText26"/>
        <w:numPr>
          <w:ilvl w:val="0"/>
          <w:numId w:val="232"/>
        </w:numPr>
      </w:pPr>
      <w:r>
        <w:t>Regionalno izvješćivanje (samo ako je primjenjivo)</w:t>
      </w:r>
    </w:p>
    <w:p w14:paraId="7FE1B966" w14:textId="226CA454" w:rsidR="00393915" w:rsidRDefault="00F24D68">
      <w:pPr>
        <w:pStyle w:val="P68B1DB1-InstructionsText26"/>
        <w:numPr>
          <w:ilvl w:val="0"/>
          <w:numId w:val="0"/>
        </w:numPr>
        <w:ind w:left="1440"/>
      </w:pPr>
      <w:r>
        <w:t>Za informacije na razini regije odredite regiju. Navesti naziv regije u slobodnom tekstu koristeći sljedeću konvenciju:</w:t>
      </w:r>
    </w:p>
    <w:p w14:paraId="7FE1B967" w14:textId="5BD4C7F8" w:rsidR="00393915" w:rsidRDefault="00F24D68">
      <w:pPr>
        <w:pStyle w:val="P68B1DB1-InstructionsText26"/>
        <w:numPr>
          <w:ilvl w:val="0"/>
          <w:numId w:val="0"/>
        </w:numPr>
        <w:ind w:left="1440" w:firstLine="18"/>
      </w:pPr>
      <w:r>
        <w:t>Država članica – naziv regije. Za nazive država članica upotrijebite odgovarajuće dvije kratice slova. Za naziv regije upotrijebiti šifru ili šifre u klasifikaciji NUTS 2021.</w:t>
      </w:r>
    </w:p>
    <w:p w14:paraId="7FE1B968" w14:textId="77777777" w:rsidR="00393915" w:rsidRDefault="00393915">
      <w:pPr>
        <w:pStyle w:val="InstructionsText2"/>
        <w:numPr>
          <w:ilvl w:val="0"/>
          <w:numId w:val="0"/>
        </w:numPr>
        <w:rPr>
          <w:rFonts w:ascii="Times New Roman" w:hAnsi="Times New Roman" w:cs="Times New Roman"/>
          <w:sz w:val="20"/>
          <w:szCs w:val="20"/>
        </w:rPr>
      </w:pPr>
    </w:p>
    <w:tbl>
      <w:tblPr>
        <w:tblW w:w="9083" w:type="dxa"/>
        <w:tblLayout w:type="fixed"/>
        <w:tblCellMar>
          <w:top w:w="57" w:type="dxa"/>
          <w:left w:w="57" w:type="dxa"/>
          <w:bottom w:w="57" w:type="dxa"/>
          <w:right w:w="0" w:type="dxa"/>
        </w:tblCellMar>
        <w:tblLook w:val="01E0" w:firstRow="1" w:lastRow="1" w:firstColumn="1" w:lastColumn="1" w:noHBand="0" w:noVBand="0"/>
      </w:tblPr>
      <w:tblGrid>
        <w:gridCol w:w="1191"/>
        <w:gridCol w:w="7892"/>
      </w:tblGrid>
      <w:tr w:rsidR="00393915" w14:paraId="7FE1B96B" w14:textId="77777777">
        <w:trPr>
          <w:tblHeader/>
        </w:trPr>
        <w:tc>
          <w:tcPr>
            <w:tcW w:w="1191" w:type="dxa"/>
            <w:tcBorders>
              <w:top w:val="single" w:sz="4" w:space="0" w:color="1A171C"/>
              <w:left w:val="nil"/>
              <w:bottom w:val="single" w:sz="4" w:space="0" w:color="1A171C"/>
              <w:right w:val="single" w:sz="4" w:space="0" w:color="1A171C"/>
            </w:tcBorders>
            <w:shd w:val="clear" w:color="auto" w:fill="E4E5E5"/>
          </w:tcPr>
          <w:p w14:paraId="7FE1B969" w14:textId="77777777" w:rsidR="00393915" w:rsidRDefault="00F24D68">
            <w:pPr>
              <w:pStyle w:val="P68B1DB1-TableParagraph17"/>
              <w:spacing w:before="108"/>
              <w:ind w:left="85"/>
              <w:jc w:val="both"/>
            </w:pPr>
            <w:r>
              <w:t>Redci</w:t>
            </w:r>
          </w:p>
        </w:tc>
        <w:tc>
          <w:tcPr>
            <w:tcW w:w="7892" w:type="dxa"/>
            <w:tcBorders>
              <w:top w:val="single" w:sz="4" w:space="0" w:color="1A171C"/>
              <w:left w:val="single" w:sz="4" w:space="0" w:color="1A171C"/>
              <w:bottom w:val="single" w:sz="4" w:space="0" w:color="1A171C"/>
              <w:right w:val="nil"/>
            </w:tcBorders>
            <w:shd w:val="clear" w:color="auto" w:fill="E4E5E5"/>
          </w:tcPr>
          <w:p w14:paraId="7FE1B96A" w14:textId="2812DDEB" w:rsidR="00393915" w:rsidRDefault="00D17BC3">
            <w:pPr>
              <w:pStyle w:val="P68B1DB1-TableParagraph17"/>
              <w:spacing w:before="108"/>
              <w:ind w:left="85" w:right="1"/>
              <w:jc w:val="both"/>
            </w:pPr>
            <w:r>
              <w:t>Ekonomska</w:t>
            </w:r>
            <w:r>
              <w:t xml:space="preserve"> </w:t>
            </w:r>
            <w:r w:rsidR="00F24D68">
              <w:t>funkcija</w:t>
            </w:r>
          </w:p>
        </w:tc>
      </w:tr>
      <w:tr w:rsidR="00393915" w14:paraId="7FE1B970" w14:textId="77777777">
        <w:tc>
          <w:tcPr>
            <w:tcW w:w="9083" w:type="dxa"/>
            <w:gridSpan w:val="2"/>
            <w:tcBorders>
              <w:top w:val="single" w:sz="4" w:space="0" w:color="1A171C"/>
              <w:left w:val="nil"/>
              <w:bottom w:val="single" w:sz="4" w:space="0" w:color="1A171C"/>
            </w:tcBorders>
          </w:tcPr>
          <w:p w14:paraId="7FE1B96C" w14:textId="639F6B95" w:rsidR="00393915" w:rsidRDefault="00F24D68">
            <w:pPr>
              <w:pStyle w:val="P68B1DB1-TableParagraph16"/>
              <w:spacing w:before="108"/>
              <w:ind w:left="85"/>
              <w:jc w:val="both"/>
              <w:rPr>
                <w:b/>
                <w:bCs/>
                <w:color w:val="000000" w:themeColor="text1"/>
                <w:sz w:val="20"/>
                <w:szCs w:val="20"/>
              </w:rPr>
            </w:pPr>
            <w:r>
              <w:t xml:space="preserve">Z 07.01.1 </w:t>
            </w:r>
            <w:r>
              <w:t>FUN</w:t>
            </w:r>
            <w:r w:rsidR="00835260">
              <w:t>KCIJA</w:t>
            </w:r>
            <w:r>
              <w:t xml:space="preserve"> 1 </w:t>
            </w:r>
            <w:r>
              <w:t>DEP</w:t>
            </w:r>
            <w:r w:rsidR="00835260">
              <w:t>OZITI</w:t>
            </w:r>
          </w:p>
          <w:p w14:paraId="7FE1B96D" w14:textId="71D3B51B" w:rsidR="00393915" w:rsidRDefault="00F24D68">
            <w:pPr>
              <w:pStyle w:val="P68B1DB1-TableParagraph17"/>
              <w:spacing w:before="108"/>
              <w:ind w:left="85"/>
            </w:pPr>
            <w:r>
              <w:t xml:space="preserve">Primanje depozita odnosi se na prihvaćanje depozita od nefinancijskih </w:t>
            </w:r>
            <w:r w:rsidR="006B3CF1">
              <w:t>protustanaka</w:t>
            </w:r>
            <w:r>
              <w:t>. Ono ne uključuje pozajmljivanje od drugih financijskih posrednika, čime se ovaj Prilog zasebno bavi u rubrici „</w:t>
            </w:r>
            <w:r w:rsidR="00F164D1" w:rsidRPr="00F164D1">
              <w:t>financiranje institucionalnih klijenata</w:t>
            </w:r>
            <w:r>
              <w:t xml:space="preserve">”. </w:t>
            </w:r>
          </w:p>
          <w:p w14:paraId="7FE1B96E" w14:textId="77777777" w:rsidR="00393915" w:rsidRDefault="00F24D68">
            <w:pPr>
              <w:pStyle w:val="P68B1DB1-TableParagraph17"/>
              <w:spacing w:before="108"/>
              <w:ind w:left="85"/>
            </w:pPr>
            <w:r>
              <w:t>Depoziti uključuju: i. tekuće račune/prekonoćne depozite, ii. depozite s ugovorenim rokom dospijeća i iii. iskupive depozite s otkaznim rokom, a isključuju repo ugovore.</w:t>
            </w:r>
          </w:p>
          <w:p w14:paraId="7FE1B96F" w14:textId="77777777" w:rsidR="00393915" w:rsidRDefault="00F24D68">
            <w:pPr>
              <w:pStyle w:val="P68B1DB1-TableParagraph13"/>
              <w:spacing w:before="108"/>
              <w:ind w:left="85"/>
              <w:rPr>
                <w:rFonts w:eastAsia="Cambria"/>
              </w:rPr>
            </w:pPr>
            <w:r>
              <w:t>Referentni dokumenti: Smjernice Odbora za financijsku stabilnost o utvrđivanju ključnih funkcija i ključnih zajedničkih usluga (2013.), str. 14.; Stavci 9.1., 9.2. i 9.3. dijela 2. Priloga II. Uredbe (EU) 2021/379.</w:t>
            </w:r>
          </w:p>
        </w:tc>
      </w:tr>
      <w:tr w:rsidR="00393915" w14:paraId="7FE1B973" w14:textId="77777777">
        <w:tc>
          <w:tcPr>
            <w:tcW w:w="1191" w:type="dxa"/>
            <w:tcBorders>
              <w:top w:val="single" w:sz="4" w:space="0" w:color="1A171C"/>
              <w:left w:val="nil"/>
              <w:bottom w:val="single" w:sz="4" w:space="0" w:color="1A171C"/>
              <w:right w:val="single" w:sz="4" w:space="0" w:color="1A171C"/>
            </w:tcBorders>
          </w:tcPr>
          <w:p w14:paraId="7FE1B971" w14:textId="77777777" w:rsidR="00393915" w:rsidRDefault="00F24D68">
            <w:pPr>
              <w:pStyle w:val="P68B1DB1-TableParagraph17"/>
              <w:spacing w:before="108"/>
              <w:ind w:left="85"/>
              <w:jc w:val="both"/>
            </w:pPr>
            <w:r>
              <w:t>0010</w:t>
            </w:r>
          </w:p>
        </w:tc>
        <w:tc>
          <w:tcPr>
            <w:tcW w:w="7892" w:type="dxa"/>
            <w:tcBorders>
              <w:top w:val="single" w:sz="4" w:space="0" w:color="1A171C"/>
              <w:left w:val="single" w:sz="4" w:space="0" w:color="1A171C"/>
              <w:bottom w:val="single" w:sz="4" w:space="0" w:color="1A171C"/>
              <w:right w:val="nil"/>
            </w:tcBorders>
          </w:tcPr>
          <w:p w14:paraId="7FE1B972" w14:textId="77777777" w:rsidR="00393915" w:rsidRDefault="00F24D68">
            <w:pPr>
              <w:pStyle w:val="P68B1DB1-TableParagraph14"/>
              <w:spacing w:before="108"/>
              <w:ind w:left="85"/>
              <w:jc w:val="both"/>
              <w:rPr>
                <w:rFonts w:eastAsia="Cambria"/>
              </w:rPr>
            </w:pPr>
            <w:r>
              <w:t>Kućanstva</w:t>
            </w:r>
          </w:p>
        </w:tc>
      </w:tr>
      <w:tr w:rsidR="00393915" w14:paraId="7FE1B976" w14:textId="77777777">
        <w:tc>
          <w:tcPr>
            <w:tcW w:w="1191" w:type="dxa"/>
            <w:tcBorders>
              <w:top w:val="single" w:sz="4" w:space="0" w:color="1A171C"/>
              <w:left w:val="nil"/>
              <w:bottom w:val="single" w:sz="4" w:space="0" w:color="1A171C"/>
              <w:right w:val="single" w:sz="4" w:space="0" w:color="1A171C"/>
            </w:tcBorders>
          </w:tcPr>
          <w:p w14:paraId="7FE1B974" w14:textId="77777777" w:rsidR="00393915" w:rsidRDefault="00F24D68">
            <w:pPr>
              <w:pStyle w:val="P68B1DB1-TableParagraph17"/>
              <w:spacing w:before="108"/>
              <w:ind w:left="85"/>
              <w:jc w:val="both"/>
            </w:pPr>
            <w:r>
              <w:t>0020</w:t>
            </w:r>
          </w:p>
        </w:tc>
        <w:tc>
          <w:tcPr>
            <w:tcW w:w="7892" w:type="dxa"/>
            <w:tcBorders>
              <w:top w:val="single" w:sz="4" w:space="0" w:color="1A171C"/>
              <w:left w:val="single" w:sz="4" w:space="0" w:color="1A171C"/>
              <w:bottom w:val="single" w:sz="4" w:space="0" w:color="1A171C"/>
              <w:right w:val="nil"/>
            </w:tcBorders>
          </w:tcPr>
          <w:p w14:paraId="7FE1B975" w14:textId="61D7AE70" w:rsidR="00393915" w:rsidRDefault="00F24D68">
            <w:pPr>
              <w:pStyle w:val="P68B1DB1-TableParagraph14"/>
              <w:spacing w:before="108"/>
              <w:ind w:left="85"/>
              <w:jc w:val="both"/>
              <w:rPr>
                <w:rFonts w:eastAsia="Cambria"/>
              </w:rPr>
            </w:pPr>
            <w:r>
              <w:t xml:space="preserve">Nefinancijska </w:t>
            </w:r>
            <w:r w:rsidR="00F164D1">
              <w:t>mala i srednja poduzeća</w:t>
            </w:r>
          </w:p>
        </w:tc>
      </w:tr>
      <w:tr w:rsidR="00393915" w14:paraId="7FE1B979" w14:textId="77777777">
        <w:tc>
          <w:tcPr>
            <w:tcW w:w="1191" w:type="dxa"/>
            <w:tcBorders>
              <w:top w:val="single" w:sz="4" w:space="0" w:color="1A171C"/>
              <w:left w:val="nil"/>
              <w:bottom w:val="single" w:sz="4" w:space="0" w:color="1A171C"/>
              <w:right w:val="single" w:sz="4" w:space="0" w:color="1A171C"/>
            </w:tcBorders>
          </w:tcPr>
          <w:p w14:paraId="7FE1B977" w14:textId="77777777" w:rsidR="00393915" w:rsidRDefault="00F24D68">
            <w:pPr>
              <w:pStyle w:val="P68B1DB1-TableParagraph17"/>
              <w:spacing w:before="108"/>
              <w:ind w:left="85"/>
              <w:jc w:val="both"/>
            </w:pPr>
            <w:r>
              <w:t>0030</w:t>
            </w:r>
          </w:p>
        </w:tc>
        <w:tc>
          <w:tcPr>
            <w:tcW w:w="7892" w:type="dxa"/>
            <w:tcBorders>
              <w:top w:val="single" w:sz="4" w:space="0" w:color="1A171C"/>
              <w:left w:val="single" w:sz="4" w:space="0" w:color="1A171C"/>
              <w:bottom w:val="single" w:sz="4" w:space="0" w:color="1A171C"/>
              <w:right w:val="nil"/>
            </w:tcBorders>
          </w:tcPr>
          <w:p w14:paraId="7FE1B978" w14:textId="2A4BF29A" w:rsidR="00393915" w:rsidRDefault="00F24D68">
            <w:pPr>
              <w:pStyle w:val="P68B1DB1-TableParagraph14"/>
              <w:spacing w:before="108"/>
              <w:ind w:left="85"/>
              <w:jc w:val="both"/>
              <w:rPr>
                <w:rFonts w:eastAsia="Cambria"/>
              </w:rPr>
            </w:pPr>
            <w:r>
              <w:t xml:space="preserve">Nefinancijska društva </w:t>
            </w:r>
            <w:r w:rsidR="00B33DF1">
              <w:t>koja nisu</w:t>
            </w:r>
            <w:r w:rsidR="002E4223">
              <w:t xml:space="preserve"> </w:t>
            </w:r>
            <w:r w:rsidR="00F164D1">
              <w:t>mal</w:t>
            </w:r>
            <w:r w:rsidR="00B33DF1">
              <w:t>a i</w:t>
            </w:r>
            <w:r w:rsidR="00F164D1">
              <w:t xml:space="preserve"> srednj</w:t>
            </w:r>
            <w:r w:rsidR="00B33DF1">
              <w:t>a</w:t>
            </w:r>
            <w:r w:rsidR="00F164D1">
              <w:t xml:space="preserve"> poduzeća</w:t>
            </w:r>
          </w:p>
        </w:tc>
      </w:tr>
      <w:tr w:rsidR="00393915" w14:paraId="7FE1B97C" w14:textId="77777777">
        <w:tc>
          <w:tcPr>
            <w:tcW w:w="1191" w:type="dxa"/>
            <w:tcBorders>
              <w:top w:val="single" w:sz="4" w:space="0" w:color="1A171C"/>
              <w:left w:val="nil"/>
              <w:bottom w:val="single" w:sz="4" w:space="0" w:color="1A171C"/>
              <w:right w:val="single" w:sz="4" w:space="0" w:color="1A171C"/>
            </w:tcBorders>
          </w:tcPr>
          <w:p w14:paraId="7FE1B97A" w14:textId="77777777" w:rsidR="00393915" w:rsidRDefault="00F24D68">
            <w:pPr>
              <w:pStyle w:val="P68B1DB1-TableParagraph17"/>
              <w:spacing w:before="108"/>
              <w:ind w:left="85"/>
              <w:jc w:val="both"/>
            </w:pPr>
            <w:r>
              <w:t>0040</w:t>
            </w:r>
          </w:p>
        </w:tc>
        <w:tc>
          <w:tcPr>
            <w:tcW w:w="7892" w:type="dxa"/>
            <w:tcBorders>
              <w:top w:val="single" w:sz="4" w:space="0" w:color="1A171C"/>
              <w:left w:val="single" w:sz="4" w:space="0" w:color="1A171C"/>
              <w:bottom w:val="single" w:sz="4" w:space="0" w:color="1A171C"/>
              <w:right w:val="nil"/>
            </w:tcBorders>
          </w:tcPr>
          <w:p w14:paraId="7FE1B97B" w14:textId="77777777" w:rsidR="00393915" w:rsidRDefault="00F24D68">
            <w:pPr>
              <w:pStyle w:val="P68B1DB1-TableParagraph14"/>
              <w:spacing w:before="108"/>
              <w:ind w:left="85"/>
              <w:jc w:val="both"/>
              <w:rPr>
                <w:rFonts w:eastAsia="Cambria"/>
              </w:rPr>
            </w:pPr>
            <w:r>
              <w:t>Opće države</w:t>
            </w:r>
          </w:p>
        </w:tc>
      </w:tr>
      <w:tr w:rsidR="00393915" w14:paraId="7FE1B97F" w14:textId="77777777">
        <w:tc>
          <w:tcPr>
            <w:tcW w:w="1191" w:type="dxa"/>
            <w:tcBorders>
              <w:top w:val="single" w:sz="4" w:space="0" w:color="1A171C"/>
              <w:left w:val="nil"/>
              <w:bottom w:val="single" w:sz="4" w:space="0" w:color="1A171C"/>
              <w:right w:val="single" w:sz="4" w:space="0" w:color="1A171C"/>
            </w:tcBorders>
          </w:tcPr>
          <w:p w14:paraId="7FE1B97D" w14:textId="77777777" w:rsidR="00393915" w:rsidRDefault="00F24D68">
            <w:pPr>
              <w:pStyle w:val="P68B1DB1-TableParagraph17"/>
              <w:spacing w:before="108"/>
              <w:ind w:left="85"/>
              <w:jc w:val="both"/>
            </w:pPr>
            <w:r>
              <w:t>0050 – 0070</w:t>
            </w:r>
          </w:p>
        </w:tc>
        <w:tc>
          <w:tcPr>
            <w:tcW w:w="7892" w:type="dxa"/>
            <w:tcBorders>
              <w:top w:val="single" w:sz="4" w:space="0" w:color="1A171C"/>
              <w:left w:val="single" w:sz="4" w:space="0" w:color="1A171C"/>
              <w:bottom w:val="single" w:sz="4" w:space="0" w:color="1A171C"/>
              <w:right w:val="nil"/>
            </w:tcBorders>
          </w:tcPr>
          <w:p w14:paraId="7FE1B97E" w14:textId="77777777" w:rsidR="00393915" w:rsidRDefault="00F24D68">
            <w:pPr>
              <w:pStyle w:val="P68B1DB1-TableParagraph14"/>
              <w:spacing w:before="108"/>
              <w:ind w:left="85"/>
              <w:jc w:val="both"/>
              <w:rPr>
                <w:rFonts w:eastAsia="Cambria"/>
              </w:rPr>
            </w:pPr>
            <w:r>
              <w:t>Ostali sektori/druge ugovorne strane 1., 2. i 3.</w:t>
            </w:r>
          </w:p>
        </w:tc>
      </w:tr>
      <w:tr w:rsidR="00393915" w14:paraId="7FE1B983" w14:textId="77777777">
        <w:tc>
          <w:tcPr>
            <w:tcW w:w="9083" w:type="dxa"/>
            <w:gridSpan w:val="2"/>
            <w:tcBorders>
              <w:top w:val="single" w:sz="4" w:space="0" w:color="1A171C"/>
              <w:left w:val="nil"/>
              <w:bottom w:val="single" w:sz="4" w:space="0" w:color="1A171C"/>
            </w:tcBorders>
          </w:tcPr>
          <w:p w14:paraId="7FE1B980" w14:textId="31D3F4CD" w:rsidR="00393915" w:rsidRDefault="00F24D68">
            <w:pPr>
              <w:pStyle w:val="TableParagraph"/>
              <w:spacing w:before="108"/>
              <w:ind w:left="85"/>
              <w:rPr>
                <w:rFonts w:ascii="Times New Roman" w:eastAsia="Cambria" w:hAnsi="Times New Roman" w:cs="Times New Roman"/>
                <w:color w:val="000000" w:themeColor="text1"/>
                <w:sz w:val="20"/>
                <w:szCs w:val="20"/>
              </w:rPr>
            </w:pPr>
            <w:r>
              <w:rPr>
                <w:rFonts w:ascii="Times New Roman" w:hAnsi="Times New Roman" w:cs="Times New Roman"/>
              </w:rPr>
              <w:t xml:space="preserve">Z 07.01.2 </w:t>
            </w:r>
            <w:r>
              <w:rPr>
                <w:rFonts w:ascii="Times New Roman" w:hAnsi="Times New Roman" w:cs="Times New Roman"/>
              </w:rPr>
              <w:t>FUN</w:t>
            </w:r>
            <w:r w:rsidR="00835260">
              <w:rPr>
                <w:rFonts w:ascii="Times New Roman" w:hAnsi="Times New Roman" w:cs="Times New Roman"/>
              </w:rPr>
              <w:t>KCIJA</w:t>
            </w:r>
            <w:r>
              <w:rPr>
                <w:rFonts w:ascii="Times New Roman" w:hAnsi="Times New Roman" w:cs="Times New Roman"/>
              </w:rPr>
              <w:t xml:space="preserve"> 1 </w:t>
            </w:r>
            <w:r w:rsidR="00835260">
              <w:rPr>
                <w:rFonts w:ascii="Times New Roman" w:hAnsi="Times New Roman" w:cs="Times New Roman"/>
              </w:rPr>
              <w:t>KREDITIRANJE</w:t>
            </w:r>
          </w:p>
          <w:p w14:paraId="7FE1B981" w14:textId="2B632A53" w:rsidR="00393915" w:rsidRDefault="00F24D68">
            <w:pPr>
              <w:pStyle w:val="P68B1DB1-TableParagraph17"/>
              <w:spacing w:before="108"/>
              <w:ind w:left="85"/>
            </w:pPr>
            <w:r>
              <w:t>Kreditiranje se odnosi na pružanje sredstava nefinancijskim drugim ugovornim stranama, kao što su trgovačka društva ili stanovništvo. Kreditiranje financijskih drugih ugovornih strana posebna je aktivnost i procjenjuje se u okviru rubrike „</w:t>
            </w:r>
            <w:r w:rsidR="00272311">
              <w:t>financiranje institucionalnih klijenata</w:t>
            </w:r>
            <w:r>
              <w:t>”.</w:t>
            </w:r>
            <w:r>
              <w:t xml:space="preserve"> Krediti uključuju dužničke instrumente koje drže institucije, ali isključuju dužničke instrumente koji su vrijednosni papiri, neovisno o njihovoj računovodstvenoj klasifikaciji (npr. koji se drže do dospijeća ili koji su raspoloživi za prodaju).</w:t>
            </w:r>
          </w:p>
          <w:p w14:paraId="7FE1B982" w14:textId="77777777" w:rsidR="00393915" w:rsidRDefault="00F24D68">
            <w:pPr>
              <w:pStyle w:val="P68B1DB1-TableParagraph13"/>
              <w:spacing w:before="108"/>
              <w:ind w:left="85"/>
              <w:rPr>
                <w:rFonts w:eastAsia="Cambria"/>
              </w:rPr>
            </w:pPr>
            <w:r>
              <w:t>Referentni dokumenti: Smjernice Odbora za financijsku stabilnost o utvrđivanju ključnih funkcija i ključnih zajedničkih usluga (2013.), str. 17.; Dio 2. točka 2. Priloga II. Uredbi (EU) 2021/379.</w:t>
            </w:r>
          </w:p>
        </w:tc>
      </w:tr>
      <w:tr w:rsidR="00393915" w14:paraId="7FE1B987" w14:textId="77777777">
        <w:tc>
          <w:tcPr>
            <w:tcW w:w="1191" w:type="dxa"/>
            <w:tcBorders>
              <w:top w:val="single" w:sz="4" w:space="0" w:color="1A171C"/>
              <w:left w:val="nil"/>
              <w:bottom w:val="single" w:sz="4" w:space="0" w:color="1A171C"/>
              <w:right w:val="single" w:sz="4" w:space="0" w:color="1A171C"/>
            </w:tcBorders>
          </w:tcPr>
          <w:p w14:paraId="7FE1B984" w14:textId="77777777" w:rsidR="00393915" w:rsidRDefault="00F24D68">
            <w:pPr>
              <w:pStyle w:val="P68B1DB1-TableParagraph17"/>
              <w:spacing w:before="108"/>
              <w:ind w:left="85"/>
              <w:jc w:val="both"/>
            </w:pPr>
            <w:r>
              <w:lastRenderedPageBreak/>
              <w:t>0080</w:t>
            </w:r>
          </w:p>
        </w:tc>
        <w:tc>
          <w:tcPr>
            <w:tcW w:w="7892" w:type="dxa"/>
            <w:tcBorders>
              <w:top w:val="single" w:sz="4" w:space="0" w:color="1A171C"/>
              <w:left w:val="single" w:sz="4" w:space="0" w:color="1A171C"/>
              <w:bottom w:val="single" w:sz="4" w:space="0" w:color="1A171C"/>
              <w:right w:val="nil"/>
            </w:tcBorders>
          </w:tcPr>
          <w:p w14:paraId="7FE1B985" w14:textId="77777777" w:rsidR="00393915" w:rsidRDefault="00F24D68">
            <w:pPr>
              <w:pStyle w:val="P68B1DB1-TableParagraph14"/>
              <w:spacing w:before="108"/>
              <w:ind w:left="85"/>
              <w:jc w:val="both"/>
              <w:rPr>
                <w:bCs/>
              </w:rPr>
            </w:pPr>
            <w:r>
              <w:t>Kućanstva – kreditiranje kupnje stana ili kuće</w:t>
            </w:r>
          </w:p>
          <w:p w14:paraId="7FE1B986" w14:textId="77777777" w:rsidR="00393915" w:rsidRDefault="00F24D68">
            <w:pPr>
              <w:pStyle w:val="P68B1DB1-TableParagraph17"/>
              <w:spacing w:before="108"/>
              <w:ind w:left="85"/>
            </w:pPr>
            <w:r>
              <w:t>Osigurani krediti odobreni kućanstvima s nekretninom kao kolateralom</w:t>
            </w:r>
          </w:p>
        </w:tc>
      </w:tr>
      <w:tr w:rsidR="00393915" w14:paraId="7FE1B98A" w14:textId="77777777">
        <w:tc>
          <w:tcPr>
            <w:tcW w:w="1191" w:type="dxa"/>
            <w:tcBorders>
              <w:top w:val="single" w:sz="4" w:space="0" w:color="1A171C"/>
              <w:left w:val="nil"/>
              <w:bottom w:val="single" w:sz="4" w:space="0" w:color="1A171C"/>
              <w:right w:val="single" w:sz="4" w:space="0" w:color="1A171C"/>
            </w:tcBorders>
          </w:tcPr>
          <w:p w14:paraId="7FE1B988" w14:textId="77777777" w:rsidR="00393915" w:rsidRDefault="00F24D68">
            <w:pPr>
              <w:pStyle w:val="P68B1DB1-TableParagraph17"/>
              <w:spacing w:before="108"/>
              <w:ind w:left="85"/>
              <w:jc w:val="both"/>
            </w:pPr>
            <w:r>
              <w:t>0090</w:t>
            </w:r>
          </w:p>
        </w:tc>
        <w:tc>
          <w:tcPr>
            <w:tcW w:w="7892" w:type="dxa"/>
            <w:tcBorders>
              <w:top w:val="single" w:sz="4" w:space="0" w:color="1A171C"/>
              <w:left w:val="single" w:sz="4" w:space="0" w:color="1A171C"/>
              <w:bottom w:val="single" w:sz="4" w:space="0" w:color="1A171C"/>
              <w:right w:val="nil"/>
            </w:tcBorders>
          </w:tcPr>
          <w:p w14:paraId="7FE1B989" w14:textId="77777777" w:rsidR="00393915" w:rsidRDefault="00F24D68">
            <w:pPr>
              <w:pStyle w:val="P68B1DB1-TableParagraph14"/>
              <w:spacing w:before="108"/>
              <w:ind w:left="85"/>
              <w:jc w:val="both"/>
              <w:rPr>
                <w:bCs/>
              </w:rPr>
            </w:pPr>
            <w:r>
              <w:t>Kućanstva – ostalo kreditiranje</w:t>
            </w:r>
          </w:p>
        </w:tc>
      </w:tr>
      <w:tr w:rsidR="00393915" w14:paraId="7FE1B98D" w14:textId="77777777">
        <w:tc>
          <w:tcPr>
            <w:tcW w:w="1191" w:type="dxa"/>
            <w:tcBorders>
              <w:top w:val="single" w:sz="4" w:space="0" w:color="1A171C"/>
              <w:left w:val="nil"/>
              <w:bottom w:val="single" w:sz="4" w:space="0" w:color="1A171C"/>
              <w:right w:val="single" w:sz="4" w:space="0" w:color="1A171C"/>
            </w:tcBorders>
          </w:tcPr>
          <w:p w14:paraId="7FE1B98B" w14:textId="77777777" w:rsidR="00393915" w:rsidRDefault="00F24D68">
            <w:pPr>
              <w:pStyle w:val="P68B1DB1-TableParagraph17"/>
              <w:spacing w:before="108"/>
              <w:ind w:left="85"/>
              <w:jc w:val="both"/>
            </w:pPr>
            <w:r>
              <w:t>0100</w:t>
            </w:r>
          </w:p>
        </w:tc>
        <w:tc>
          <w:tcPr>
            <w:tcW w:w="7892" w:type="dxa"/>
            <w:tcBorders>
              <w:top w:val="single" w:sz="4" w:space="0" w:color="1A171C"/>
              <w:left w:val="single" w:sz="4" w:space="0" w:color="1A171C"/>
              <w:bottom w:val="single" w:sz="4" w:space="0" w:color="1A171C"/>
              <w:right w:val="nil"/>
            </w:tcBorders>
            <w:vAlign w:val="bottom"/>
          </w:tcPr>
          <w:p w14:paraId="7FE1B98C" w14:textId="165B816E" w:rsidR="00393915" w:rsidRDefault="00F24D68">
            <w:pPr>
              <w:pStyle w:val="P68B1DB1-TableParagraph14"/>
              <w:spacing w:before="108"/>
              <w:ind w:left="85"/>
              <w:jc w:val="both"/>
              <w:rPr>
                <w:bCs/>
              </w:rPr>
            </w:pPr>
            <w:r>
              <w:t xml:space="preserve">Nefinancijska </w:t>
            </w:r>
            <w:r w:rsidR="00272311" w:rsidRPr="00272311">
              <w:t>mala i srednja poduzeća</w:t>
            </w:r>
          </w:p>
        </w:tc>
      </w:tr>
      <w:tr w:rsidR="00393915" w14:paraId="7FE1B990" w14:textId="77777777">
        <w:tc>
          <w:tcPr>
            <w:tcW w:w="1191" w:type="dxa"/>
            <w:tcBorders>
              <w:top w:val="single" w:sz="4" w:space="0" w:color="1A171C"/>
              <w:left w:val="nil"/>
              <w:bottom w:val="single" w:sz="4" w:space="0" w:color="1A171C"/>
              <w:right w:val="single" w:sz="4" w:space="0" w:color="1A171C"/>
            </w:tcBorders>
            <w:vAlign w:val="bottom"/>
          </w:tcPr>
          <w:p w14:paraId="7FE1B98E" w14:textId="77777777" w:rsidR="00393915" w:rsidRDefault="00F24D68">
            <w:pPr>
              <w:pStyle w:val="P68B1DB1-TableParagraph17"/>
              <w:spacing w:before="108"/>
              <w:ind w:left="85"/>
              <w:jc w:val="both"/>
            </w:pPr>
            <w:r>
              <w:t>0110</w:t>
            </w:r>
          </w:p>
        </w:tc>
        <w:tc>
          <w:tcPr>
            <w:tcW w:w="7892" w:type="dxa"/>
            <w:tcBorders>
              <w:top w:val="single" w:sz="4" w:space="0" w:color="1A171C"/>
              <w:left w:val="single" w:sz="4" w:space="0" w:color="1A171C"/>
              <w:bottom w:val="single" w:sz="4" w:space="0" w:color="1A171C"/>
              <w:right w:val="nil"/>
            </w:tcBorders>
            <w:vAlign w:val="bottom"/>
          </w:tcPr>
          <w:p w14:paraId="7FE1B98F" w14:textId="4F81132E" w:rsidR="00393915" w:rsidRDefault="00F24D68">
            <w:pPr>
              <w:pStyle w:val="P68B1DB1-TableParagraph14"/>
              <w:spacing w:before="108"/>
              <w:ind w:left="85"/>
              <w:jc w:val="both"/>
              <w:rPr>
                <w:bCs/>
              </w:rPr>
            </w:pPr>
            <w:r>
              <w:t xml:space="preserve">Nefinancijska društva </w:t>
            </w:r>
            <w:r w:rsidR="00B33DF1">
              <w:t>koja nisu</w:t>
            </w:r>
            <w:r w:rsidR="00272311" w:rsidRPr="00272311">
              <w:t xml:space="preserve"> mal</w:t>
            </w:r>
            <w:r w:rsidR="00B33DF1">
              <w:t>a</w:t>
            </w:r>
            <w:r w:rsidR="00272311" w:rsidRPr="00272311">
              <w:t xml:space="preserve"> i srednj</w:t>
            </w:r>
            <w:r w:rsidR="00B33DF1">
              <w:t>a</w:t>
            </w:r>
            <w:r w:rsidR="00272311" w:rsidRPr="00272311">
              <w:t xml:space="preserve"> poduzeća</w:t>
            </w:r>
          </w:p>
        </w:tc>
      </w:tr>
      <w:tr w:rsidR="00393915" w14:paraId="7FE1B993" w14:textId="77777777">
        <w:tc>
          <w:tcPr>
            <w:tcW w:w="1191" w:type="dxa"/>
            <w:tcBorders>
              <w:top w:val="single" w:sz="4" w:space="0" w:color="1A171C"/>
              <w:left w:val="nil"/>
              <w:bottom w:val="single" w:sz="4" w:space="0" w:color="1A171C"/>
              <w:right w:val="single" w:sz="4" w:space="0" w:color="1A171C"/>
            </w:tcBorders>
            <w:vAlign w:val="bottom"/>
          </w:tcPr>
          <w:p w14:paraId="7FE1B991" w14:textId="77777777" w:rsidR="00393915" w:rsidRDefault="00F24D68">
            <w:pPr>
              <w:pStyle w:val="P68B1DB1-TableParagraph17"/>
              <w:spacing w:before="108"/>
              <w:ind w:left="85"/>
              <w:jc w:val="both"/>
            </w:pPr>
            <w:r>
              <w:t>0120</w:t>
            </w:r>
          </w:p>
        </w:tc>
        <w:tc>
          <w:tcPr>
            <w:tcW w:w="7892" w:type="dxa"/>
            <w:tcBorders>
              <w:top w:val="single" w:sz="4" w:space="0" w:color="1A171C"/>
              <w:left w:val="single" w:sz="4" w:space="0" w:color="1A171C"/>
              <w:bottom w:val="single" w:sz="4" w:space="0" w:color="1A171C"/>
              <w:right w:val="nil"/>
            </w:tcBorders>
            <w:vAlign w:val="bottom"/>
          </w:tcPr>
          <w:p w14:paraId="7FE1B992" w14:textId="77777777" w:rsidR="00393915" w:rsidRDefault="00F24D68">
            <w:pPr>
              <w:pStyle w:val="P68B1DB1-TableParagraph14"/>
              <w:spacing w:before="108"/>
              <w:ind w:left="85"/>
              <w:jc w:val="both"/>
              <w:rPr>
                <w:bCs/>
              </w:rPr>
            </w:pPr>
            <w:r>
              <w:t>Opće države</w:t>
            </w:r>
          </w:p>
        </w:tc>
      </w:tr>
      <w:tr w:rsidR="00393915" w14:paraId="7FE1B996" w14:textId="77777777">
        <w:tc>
          <w:tcPr>
            <w:tcW w:w="1191" w:type="dxa"/>
            <w:tcBorders>
              <w:top w:val="single" w:sz="4" w:space="0" w:color="1A171C"/>
              <w:left w:val="nil"/>
              <w:bottom w:val="single" w:sz="4" w:space="0" w:color="1A171C"/>
              <w:right w:val="single" w:sz="4" w:space="0" w:color="1A171C"/>
            </w:tcBorders>
          </w:tcPr>
          <w:p w14:paraId="7FE1B994" w14:textId="77777777" w:rsidR="00393915" w:rsidRDefault="00F24D68">
            <w:pPr>
              <w:pStyle w:val="P68B1DB1-TableParagraph17"/>
              <w:spacing w:before="108"/>
              <w:ind w:left="85"/>
              <w:jc w:val="both"/>
            </w:pPr>
            <w:r>
              <w:t>0130 – 0150</w:t>
            </w:r>
          </w:p>
        </w:tc>
        <w:tc>
          <w:tcPr>
            <w:tcW w:w="7892" w:type="dxa"/>
            <w:tcBorders>
              <w:top w:val="single" w:sz="4" w:space="0" w:color="1A171C"/>
              <w:left w:val="single" w:sz="4" w:space="0" w:color="1A171C"/>
              <w:bottom w:val="single" w:sz="4" w:space="0" w:color="1A171C"/>
              <w:right w:val="nil"/>
            </w:tcBorders>
          </w:tcPr>
          <w:p w14:paraId="7FE1B995" w14:textId="77777777" w:rsidR="00393915" w:rsidRDefault="00F24D68">
            <w:pPr>
              <w:pStyle w:val="P68B1DB1-TableParagraph14"/>
              <w:spacing w:before="108"/>
              <w:ind w:left="85"/>
              <w:jc w:val="both"/>
              <w:rPr>
                <w:rFonts w:eastAsia="Cambria"/>
              </w:rPr>
            </w:pPr>
            <w:r>
              <w:t>Ostali sektori/druge ugovorne strane 1., 2. i 3.</w:t>
            </w:r>
          </w:p>
        </w:tc>
      </w:tr>
      <w:tr w:rsidR="00393915" w14:paraId="7FE1B99C" w14:textId="77777777">
        <w:tc>
          <w:tcPr>
            <w:tcW w:w="9083" w:type="dxa"/>
            <w:gridSpan w:val="2"/>
            <w:tcBorders>
              <w:top w:val="single" w:sz="4" w:space="0" w:color="1A171C"/>
              <w:left w:val="nil"/>
              <w:bottom w:val="single" w:sz="4" w:space="0" w:color="1A171C"/>
            </w:tcBorders>
          </w:tcPr>
          <w:p w14:paraId="3402A875" w14:textId="77777777" w:rsidR="00272311" w:rsidRDefault="00272311">
            <w:pPr>
              <w:pStyle w:val="TableParagraph"/>
              <w:spacing w:before="108"/>
              <w:ind w:left="85"/>
              <w:jc w:val="both"/>
              <w:rPr>
                <w:rFonts w:ascii="Times New Roman" w:hAnsi="Times New Roman" w:cs="Times New Roman"/>
              </w:rPr>
            </w:pPr>
          </w:p>
          <w:p w14:paraId="7FE1B997" w14:textId="5E8E2C09" w:rsidR="00393915" w:rsidRDefault="00F24D68">
            <w:pPr>
              <w:pStyle w:val="TableParagraph"/>
              <w:spacing w:before="108"/>
              <w:ind w:left="85"/>
              <w:jc w:val="both"/>
              <w:rPr>
                <w:rFonts w:ascii="Times New Roman" w:eastAsia="Cambria" w:hAnsi="Times New Roman" w:cs="Times New Roman"/>
                <w:color w:val="000000" w:themeColor="text1"/>
                <w:sz w:val="20"/>
                <w:szCs w:val="20"/>
              </w:rPr>
            </w:pPr>
            <w:r>
              <w:rPr>
                <w:rFonts w:ascii="Times New Roman" w:hAnsi="Times New Roman" w:cs="Times New Roman"/>
              </w:rPr>
              <w:t xml:space="preserve">Z 07.01.3 </w:t>
            </w:r>
            <w:r>
              <w:rPr>
                <w:rFonts w:ascii="Times New Roman" w:hAnsi="Times New Roman" w:cs="Times New Roman"/>
              </w:rPr>
              <w:t>FUN</w:t>
            </w:r>
            <w:r w:rsidR="00835260">
              <w:rPr>
                <w:rFonts w:ascii="Times New Roman" w:hAnsi="Times New Roman" w:cs="Times New Roman"/>
              </w:rPr>
              <w:t>KCIJA</w:t>
            </w:r>
            <w:r>
              <w:rPr>
                <w:rFonts w:ascii="Times New Roman" w:hAnsi="Times New Roman" w:cs="Times New Roman"/>
              </w:rPr>
              <w:t xml:space="preserve"> 1 </w:t>
            </w:r>
            <w:r w:rsidR="00835260">
              <w:rPr>
                <w:rFonts w:ascii="Times New Roman" w:hAnsi="Times New Roman" w:cs="Times New Roman"/>
              </w:rPr>
              <w:t>PLATNI PROMET</w:t>
            </w:r>
          </w:p>
          <w:p w14:paraId="7FE1B998" w14:textId="77777777" w:rsidR="00393915" w:rsidRDefault="00F24D68">
            <w:pPr>
              <w:pStyle w:val="P68B1DB1-TableParagraph13"/>
              <w:spacing w:before="108"/>
              <w:ind w:left="85"/>
              <w:jc w:val="both"/>
              <w:rPr>
                <w:rFonts w:eastAsia="Cambria"/>
              </w:rPr>
            </w:pPr>
            <w:r>
              <w:t>Referentni broj: Smjernice Odbora za financijsku stabilnost o utvrđivanju ključnih funkcija i ključnih zajedničkih usluga (2013.), str. 20.</w:t>
            </w:r>
          </w:p>
          <w:p w14:paraId="7FE1B999" w14:textId="0F3C3D59" w:rsidR="00393915" w:rsidRDefault="00272311">
            <w:pPr>
              <w:pStyle w:val="P68B1DB1-TableParagraph13"/>
              <w:spacing w:before="108"/>
              <w:ind w:left="85"/>
              <w:jc w:val="both"/>
              <w:rPr>
                <w:rFonts w:eastAsia="Cambria"/>
              </w:rPr>
            </w:pPr>
            <w:r>
              <w:t>Ekonomske</w:t>
            </w:r>
            <w:r w:rsidR="00F24D68">
              <w:t xml:space="preserve"> funkcije uključene u okviru ovog naslova sastoje se od pružanja platnih i gotovinskih usluga te usluga namire, poravnanja i skrbništva koje pruža kreditna institucija, kao posrednik između vlastitih klijenata ili kao posrednik između klijenta i jedne ili više relevantnih infrastruktura financijskog tržišta, te od pružanja drugim bankama (neizravnog) pristupa infrastrukturama financijskog tržišta. U skladu sa Smjernicama Odbora za financijsku stabilnost o utvrđivanju ključnih funkcija i ključnih zajedničkih usluga, funkcija plaćanja, poravnanja i namire ograničena je na usluge koje banke pružaju svojim klijentima. Ovom kategorijom nisu obuhvaćene usluge koje pružaju (čisti) pružatelji infrastrukture financijskog tržišta. Za potrebe ovog predloška infrastrukture financijskog tržišta uključuju platne sustave, sustave za namiru vrijednosnih papira, središnje depozitorije vrijednosnih papira i središnje druge ugovorne strane (a ne uključuju trgovinske repozitorije).</w:t>
            </w:r>
          </w:p>
          <w:p w14:paraId="7FE1B99A" w14:textId="77777777" w:rsidR="00393915" w:rsidRDefault="00F24D68">
            <w:pPr>
              <w:pStyle w:val="TableParagraph"/>
              <w:spacing w:before="108"/>
              <w:ind w:left="85"/>
              <w:jc w:val="both"/>
              <w:rPr>
                <w:rFonts w:ascii="Times New Roman" w:eastAsia="Cambria" w:hAnsi="Times New Roman" w:cs="Times New Roman"/>
                <w:color w:val="000000" w:themeColor="text1"/>
                <w:sz w:val="20"/>
                <w:szCs w:val="20"/>
              </w:rPr>
            </w:pPr>
            <w:r>
              <w:rPr>
                <w:rFonts w:ascii="Times New Roman" w:eastAsia="Cambria" w:hAnsi="Times New Roman" w:cs="Times New Roman"/>
                <w:color w:val="000000" w:themeColor="text1"/>
                <w:sz w:val="20"/>
                <w:szCs w:val="20"/>
              </w:rPr>
              <w:t>„Platna usluga”, „platna transakcija” i „platni sustav” imaju isto značenje kako je definirano u članku 4. stavcima 3, 5. i 7. DIREKTIVE 2015/2366 o platnim uslugama na unutarnjem tržištu</w:t>
            </w:r>
            <w:r>
              <w:rPr>
                <w:rStyle w:val="FootnoteReference"/>
                <w:rFonts w:ascii="Times New Roman" w:eastAsia="Cambria" w:hAnsi="Times New Roman" w:cs="Times New Roman"/>
                <w:color w:val="000000" w:themeColor="text1"/>
                <w:sz w:val="20"/>
                <w:szCs w:val="20"/>
              </w:rPr>
              <w:footnoteReference w:id="19"/>
            </w:r>
            <w:r>
              <w:rPr>
                <w:rFonts w:ascii="Times New Roman" w:eastAsia="Cambria" w:hAnsi="Times New Roman" w:cs="Times New Roman"/>
                <w:color w:val="000000" w:themeColor="text1"/>
                <w:sz w:val="20"/>
                <w:szCs w:val="20"/>
              </w:rPr>
              <w:t>.</w:t>
            </w:r>
          </w:p>
          <w:p w14:paraId="7FE1B99B" w14:textId="77777777" w:rsidR="00393915" w:rsidRDefault="00393915">
            <w:pPr>
              <w:pStyle w:val="TableParagraph"/>
              <w:spacing w:before="108"/>
              <w:ind w:left="85"/>
              <w:jc w:val="both"/>
              <w:rPr>
                <w:rFonts w:ascii="Times New Roman" w:eastAsia="Cambria" w:hAnsi="Times New Roman" w:cs="Times New Roman"/>
                <w:color w:val="000000" w:themeColor="text1"/>
                <w:sz w:val="20"/>
                <w:szCs w:val="20"/>
              </w:rPr>
            </w:pPr>
          </w:p>
        </w:tc>
      </w:tr>
      <w:tr w:rsidR="00393915" w14:paraId="7FE1B9A0" w14:textId="77777777">
        <w:tc>
          <w:tcPr>
            <w:tcW w:w="1191" w:type="dxa"/>
            <w:tcBorders>
              <w:top w:val="single" w:sz="4" w:space="0" w:color="1A171C"/>
              <w:left w:val="nil"/>
              <w:bottom w:val="single" w:sz="4" w:space="0" w:color="1A171C"/>
              <w:right w:val="single" w:sz="4" w:space="0" w:color="1A171C"/>
            </w:tcBorders>
          </w:tcPr>
          <w:p w14:paraId="7FE1B99D" w14:textId="77777777" w:rsidR="00393915" w:rsidRDefault="00F24D68">
            <w:pPr>
              <w:pStyle w:val="P68B1DB1-TableParagraph17"/>
              <w:spacing w:before="108"/>
              <w:ind w:left="85"/>
              <w:jc w:val="both"/>
            </w:pPr>
            <w:r>
              <w:t>0160</w:t>
            </w:r>
          </w:p>
        </w:tc>
        <w:tc>
          <w:tcPr>
            <w:tcW w:w="7892" w:type="dxa"/>
            <w:tcBorders>
              <w:top w:val="single" w:sz="4" w:space="0" w:color="1A171C"/>
              <w:left w:val="single" w:sz="4" w:space="0" w:color="1A171C"/>
              <w:bottom w:val="single" w:sz="4" w:space="0" w:color="1A171C"/>
              <w:right w:val="nil"/>
            </w:tcBorders>
          </w:tcPr>
          <w:p w14:paraId="7FE1B99E" w14:textId="77777777" w:rsidR="00393915" w:rsidRDefault="00F24D68">
            <w:pPr>
              <w:pStyle w:val="P68B1DB1-TableParagraph14"/>
              <w:spacing w:before="108"/>
              <w:ind w:left="85"/>
              <w:jc w:val="both"/>
              <w:rPr>
                <w:bCs/>
              </w:rPr>
            </w:pPr>
            <w:r>
              <w:t>Platne usluge koje se pružaju monetarnim financijskim institucijama</w:t>
            </w:r>
          </w:p>
          <w:p w14:paraId="7FE1B99F" w14:textId="77777777" w:rsidR="00393915" w:rsidRDefault="00F24D68">
            <w:pPr>
              <w:pStyle w:val="P68B1DB1-TableParagraph17"/>
              <w:spacing w:before="108"/>
              <w:ind w:left="85"/>
              <w:jc w:val="both"/>
            </w:pPr>
            <w:r>
              <w:t>Ovaj redak uključuje platne usluge koje se nude monetarnim financijskim institucijama, uz upotrebu vanjskih platnih sustava ili bez nje. To uključuje i (plaćanja koja se odnose na) korespondentne bankarske usluge. Monetarne financijske institucije sastoje se od svih institucijskih jedinica uključenih u sljedeće podsektore: i. središnja banka; ii) društva koja primaju depozite osim središnje banke; i iii. novčani fondovi.</w:t>
            </w:r>
          </w:p>
        </w:tc>
      </w:tr>
      <w:tr w:rsidR="00393915" w14:paraId="7FE1B9A8" w14:textId="77777777">
        <w:tc>
          <w:tcPr>
            <w:tcW w:w="1191" w:type="dxa"/>
            <w:tcBorders>
              <w:top w:val="single" w:sz="4" w:space="0" w:color="1A171C"/>
              <w:left w:val="nil"/>
              <w:bottom w:val="single" w:sz="4" w:space="0" w:color="1A171C"/>
              <w:right w:val="single" w:sz="4" w:space="0" w:color="1A171C"/>
            </w:tcBorders>
          </w:tcPr>
          <w:p w14:paraId="7FE1B9A1" w14:textId="77777777" w:rsidR="00393915" w:rsidRDefault="00F24D68">
            <w:pPr>
              <w:pStyle w:val="P68B1DB1-TableParagraph17"/>
              <w:spacing w:before="108"/>
              <w:ind w:left="85"/>
              <w:jc w:val="both"/>
            </w:pPr>
            <w:r>
              <w:t>0170 – 0176</w:t>
            </w:r>
          </w:p>
        </w:tc>
        <w:tc>
          <w:tcPr>
            <w:tcW w:w="7892" w:type="dxa"/>
            <w:tcBorders>
              <w:top w:val="single" w:sz="4" w:space="0" w:color="1A171C"/>
              <w:left w:val="single" w:sz="4" w:space="0" w:color="1A171C"/>
              <w:bottom w:val="single" w:sz="4" w:space="0" w:color="1A171C"/>
              <w:right w:val="nil"/>
            </w:tcBorders>
          </w:tcPr>
          <w:p w14:paraId="7FE1B9A2" w14:textId="77777777" w:rsidR="00393915" w:rsidRDefault="00F24D68">
            <w:pPr>
              <w:pStyle w:val="P68B1DB1-TableParagraph14"/>
              <w:spacing w:before="108"/>
              <w:ind w:left="85"/>
              <w:jc w:val="both"/>
              <w:rPr>
                <w:bCs/>
              </w:rPr>
            </w:pPr>
            <w:r>
              <w:t>Platne usluge koje se pružaju klijentima koji nisu monetarne financijske institucije</w:t>
            </w:r>
          </w:p>
          <w:p w14:paraId="7FE1B9A3" w14:textId="77777777" w:rsidR="00393915" w:rsidRDefault="00F24D68">
            <w:pPr>
              <w:pStyle w:val="P68B1DB1-TableParagraph17"/>
              <w:spacing w:before="108"/>
              <w:ind w:left="85"/>
            </w:pPr>
            <w:r>
              <w:t>Platne usluge koje se nude klijentima, uz upotrebu vanjskih platnih sustava ili bez nje. To uključuje samo fizičke ili pravne osobe koje ne pripadaju sektoru monetarnih financijskih institucija. Pružatelji platnih usluga isto su isključeni iz sektora „klijenata koji nisu monetarne financijske institucije”.</w:t>
            </w:r>
          </w:p>
          <w:p w14:paraId="7FE1B9A4" w14:textId="77777777" w:rsidR="00393915" w:rsidRDefault="00F24D68">
            <w:pPr>
              <w:pStyle w:val="P68B1DB1-TableParagraph17"/>
              <w:spacing w:before="108"/>
              <w:ind w:left="85"/>
            </w:pPr>
            <w:r>
              <w:t>Funkcija je dodatno podijeljena na tri podfunkcije:</w:t>
            </w:r>
          </w:p>
          <w:p w14:paraId="7FE1B9A5" w14:textId="77777777" w:rsidR="00393915" w:rsidRDefault="00F24D68">
            <w:pPr>
              <w:pStyle w:val="P68B1DB1-TableParagraph17"/>
              <w:spacing w:before="108"/>
              <w:ind w:left="85"/>
            </w:pPr>
            <w:r>
              <w:t>(1) Kućanstva</w:t>
            </w:r>
          </w:p>
          <w:p w14:paraId="7FE1B9A6" w14:textId="150A3E46" w:rsidR="00393915" w:rsidRDefault="00F24D68">
            <w:pPr>
              <w:pStyle w:val="P68B1DB1-TableParagraph17"/>
              <w:spacing w:before="108"/>
              <w:ind w:left="85"/>
            </w:pPr>
            <w:r>
              <w:t xml:space="preserve">(2) Nefinancijska </w:t>
            </w:r>
            <w:r w:rsidR="00F60BA4">
              <w:t>mala i srednja poduzeća</w:t>
            </w:r>
          </w:p>
          <w:p w14:paraId="7FE1B9A7" w14:textId="4503CD16" w:rsidR="00393915" w:rsidRDefault="00F24D68">
            <w:pPr>
              <w:pStyle w:val="P68B1DB1-TableParagraph17"/>
              <w:spacing w:before="108"/>
              <w:ind w:left="85"/>
            </w:pPr>
            <w:r>
              <w:t xml:space="preserve">(3) Nefinancijska društva </w:t>
            </w:r>
            <w:r w:rsidR="004F2510">
              <w:t>koja nisu</w:t>
            </w:r>
            <w:r w:rsidR="00F60BA4">
              <w:t xml:space="preserve"> ma</w:t>
            </w:r>
            <w:r w:rsidR="004F2510">
              <w:t xml:space="preserve">la </w:t>
            </w:r>
            <w:r w:rsidR="00F60BA4">
              <w:t>i srednj</w:t>
            </w:r>
            <w:r w:rsidR="004F2510">
              <w:t>a</w:t>
            </w:r>
            <w:r w:rsidR="00F60BA4">
              <w:t xml:space="preserve"> poduzeća</w:t>
            </w:r>
          </w:p>
        </w:tc>
      </w:tr>
      <w:tr w:rsidR="00393915" w14:paraId="7FE1B9AC" w14:textId="77777777">
        <w:tc>
          <w:tcPr>
            <w:tcW w:w="1191" w:type="dxa"/>
            <w:tcBorders>
              <w:top w:val="single" w:sz="4" w:space="0" w:color="1A171C"/>
              <w:left w:val="nil"/>
              <w:bottom w:val="single" w:sz="4" w:space="0" w:color="1A171C"/>
              <w:right w:val="single" w:sz="4" w:space="0" w:color="1A171C"/>
            </w:tcBorders>
          </w:tcPr>
          <w:p w14:paraId="7FE1B9A9" w14:textId="77777777" w:rsidR="00393915" w:rsidRDefault="00F24D68">
            <w:pPr>
              <w:pStyle w:val="P68B1DB1-TableParagraph17"/>
              <w:spacing w:before="108"/>
              <w:ind w:left="85"/>
              <w:jc w:val="both"/>
            </w:pPr>
            <w:r>
              <w:lastRenderedPageBreak/>
              <w:t>0180</w:t>
            </w:r>
          </w:p>
        </w:tc>
        <w:tc>
          <w:tcPr>
            <w:tcW w:w="7892" w:type="dxa"/>
            <w:tcBorders>
              <w:top w:val="single" w:sz="4" w:space="0" w:color="1A171C"/>
              <w:left w:val="single" w:sz="4" w:space="0" w:color="1A171C"/>
              <w:bottom w:val="single" w:sz="4" w:space="0" w:color="1A171C"/>
              <w:right w:val="nil"/>
            </w:tcBorders>
          </w:tcPr>
          <w:p w14:paraId="7FE1B9AA" w14:textId="77777777" w:rsidR="00393915" w:rsidRDefault="00F24D68">
            <w:pPr>
              <w:pStyle w:val="P68B1DB1-TableParagraph14"/>
              <w:spacing w:before="108"/>
              <w:ind w:left="85"/>
              <w:jc w:val="both"/>
              <w:rPr>
                <w:bCs/>
              </w:rPr>
            </w:pPr>
            <w:r>
              <w:t>Gotovinske usluge</w:t>
            </w:r>
          </w:p>
          <w:p w14:paraId="7FE1B9AB" w14:textId="77777777" w:rsidR="00393915" w:rsidRDefault="00F24D68">
            <w:pPr>
              <w:pStyle w:val="P68B1DB1-TableParagraph17"/>
              <w:spacing w:before="108"/>
              <w:ind w:left="85"/>
            </w:pPr>
            <w:r>
              <w:t>Pružanje gotovinskih usluga klijentima (pojedincima i društvima, samo klijenti koji nisu monetarne financijske institucije). Te usluge odnose se na podizanje novca s bankomata i na šalterima u podružnicama i ne uključuju ostale gotovinske usluge (kao što je prijevoz gotovine za velike trgovce na malo). Uključeno je podizanje gotovine čekovima i na šalterima u podružnicama s pomoću bankovnih obrazaca (pri čemu se kao sredstvo za identifikaciju mogu koristiti kartice).</w:t>
            </w:r>
          </w:p>
        </w:tc>
      </w:tr>
      <w:tr w:rsidR="00393915" w14:paraId="7FE1B9B0" w14:textId="77777777">
        <w:tc>
          <w:tcPr>
            <w:tcW w:w="1191" w:type="dxa"/>
            <w:tcBorders>
              <w:top w:val="single" w:sz="4" w:space="0" w:color="1A171C"/>
              <w:left w:val="nil"/>
              <w:bottom w:val="single" w:sz="4" w:space="0" w:color="1A171C"/>
              <w:right w:val="single" w:sz="4" w:space="0" w:color="1A171C"/>
            </w:tcBorders>
          </w:tcPr>
          <w:p w14:paraId="7FE1B9AD" w14:textId="77777777" w:rsidR="00393915" w:rsidRDefault="00F24D68">
            <w:pPr>
              <w:pStyle w:val="P68B1DB1-TableParagraph17"/>
              <w:spacing w:before="108"/>
              <w:ind w:left="85"/>
              <w:jc w:val="both"/>
            </w:pPr>
            <w:r>
              <w:t>0190</w:t>
            </w:r>
          </w:p>
        </w:tc>
        <w:tc>
          <w:tcPr>
            <w:tcW w:w="7892" w:type="dxa"/>
            <w:tcBorders>
              <w:top w:val="single" w:sz="4" w:space="0" w:color="1A171C"/>
              <w:left w:val="single" w:sz="4" w:space="0" w:color="1A171C"/>
              <w:bottom w:val="single" w:sz="4" w:space="0" w:color="1A171C"/>
              <w:right w:val="nil"/>
            </w:tcBorders>
          </w:tcPr>
          <w:p w14:paraId="7FE1B9AE" w14:textId="77777777" w:rsidR="00393915" w:rsidRDefault="00F24D68">
            <w:pPr>
              <w:pStyle w:val="P68B1DB1-TableParagraph14"/>
              <w:spacing w:before="108"/>
              <w:ind w:left="85"/>
              <w:jc w:val="both"/>
              <w:rPr>
                <w:bCs/>
              </w:rPr>
            </w:pPr>
            <w:r>
              <w:t>Usluge namire vrijednosnih papira</w:t>
            </w:r>
          </w:p>
          <w:p w14:paraId="7FE1B9AF" w14:textId="77777777" w:rsidR="00393915" w:rsidRDefault="00F24D68">
            <w:pPr>
              <w:pStyle w:val="P68B1DB1-TableParagraph17"/>
              <w:spacing w:before="108"/>
              <w:ind w:left="85"/>
            </w:pPr>
            <w:r>
              <w:t>Usluge koje se nude klijentima za potvrđivanje, poravnanje i namiru transakcija vrijednosnim papirima, uz upotrebu sustava za namiru vrijednosnih papira ili bez nje. „Namira” znači dovršavanje transakcije vrijednosnim papirima, kada se ona zaključuje s ciljem izvršavanja obveza strana u toj transakciji putem prijenosa gotovine i/ili vrijednosnih papira.</w:t>
            </w:r>
          </w:p>
        </w:tc>
      </w:tr>
      <w:tr w:rsidR="00393915" w14:paraId="7FE1B9B4" w14:textId="77777777">
        <w:tc>
          <w:tcPr>
            <w:tcW w:w="1191" w:type="dxa"/>
            <w:tcBorders>
              <w:top w:val="single" w:sz="4" w:space="0" w:color="1A171C"/>
              <w:left w:val="nil"/>
              <w:bottom w:val="single" w:sz="4" w:space="0" w:color="1A171C"/>
              <w:right w:val="single" w:sz="4" w:space="0" w:color="1A171C"/>
            </w:tcBorders>
          </w:tcPr>
          <w:p w14:paraId="7FE1B9B1" w14:textId="77777777" w:rsidR="00393915" w:rsidRDefault="00F24D68">
            <w:pPr>
              <w:pStyle w:val="P68B1DB1-TableParagraph17"/>
              <w:spacing w:before="108"/>
              <w:ind w:left="85"/>
              <w:jc w:val="both"/>
            </w:pPr>
            <w:r>
              <w:t>0200</w:t>
            </w:r>
          </w:p>
        </w:tc>
        <w:tc>
          <w:tcPr>
            <w:tcW w:w="7892" w:type="dxa"/>
            <w:tcBorders>
              <w:top w:val="single" w:sz="4" w:space="0" w:color="1A171C"/>
              <w:left w:val="single" w:sz="4" w:space="0" w:color="1A171C"/>
              <w:bottom w:val="single" w:sz="4" w:space="0" w:color="1A171C"/>
              <w:right w:val="nil"/>
            </w:tcBorders>
          </w:tcPr>
          <w:p w14:paraId="7FE1B9B2" w14:textId="77777777" w:rsidR="00393915" w:rsidRDefault="00F24D68">
            <w:pPr>
              <w:pStyle w:val="P68B1DB1-TableParagraph14"/>
              <w:spacing w:before="108"/>
              <w:ind w:left="85"/>
              <w:jc w:val="both"/>
              <w:rPr>
                <w:bCs/>
              </w:rPr>
            </w:pPr>
            <w:r>
              <w:t>Usluge poravnanja preko središnje druge ugovorne strane</w:t>
            </w:r>
          </w:p>
          <w:p w14:paraId="7FE1B9B3" w14:textId="77777777" w:rsidR="00393915" w:rsidRDefault="00F24D68">
            <w:pPr>
              <w:pStyle w:val="P68B1DB1-TableParagraph17"/>
              <w:spacing w:before="108"/>
              <w:ind w:left="85"/>
            </w:pPr>
            <w:r>
              <w:t>Usluge poravnanja vrijednosnih papira i izvedenica koje se pružaju klijentima. To uključuje i pružanje neizravnog pristupa središnjoj drugoj ugovornoj strani.</w:t>
            </w:r>
          </w:p>
        </w:tc>
      </w:tr>
      <w:tr w:rsidR="00393915" w14:paraId="7FE1B9B8" w14:textId="77777777">
        <w:tc>
          <w:tcPr>
            <w:tcW w:w="1191" w:type="dxa"/>
            <w:tcBorders>
              <w:top w:val="single" w:sz="4" w:space="0" w:color="1A171C"/>
              <w:left w:val="nil"/>
              <w:bottom w:val="single" w:sz="4" w:space="0" w:color="1A171C"/>
              <w:right w:val="single" w:sz="4" w:space="0" w:color="1A171C"/>
            </w:tcBorders>
          </w:tcPr>
          <w:p w14:paraId="7FE1B9B5" w14:textId="77777777" w:rsidR="00393915" w:rsidRDefault="00F24D68">
            <w:pPr>
              <w:pStyle w:val="P68B1DB1-TableParagraph17"/>
              <w:spacing w:before="108"/>
              <w:ind w:left="85"/>
              <w:jc w:val="both"/>
            </w:pPr>
            <w:r>
              <w:t>0210</w:t>
            </w:r>
          </w:p>
        </w:tc>
        <w:tc>
          <w:tcPr>
            <w:tcW w:w="7892" w:type="dxa"/>
            <w:tcBorders>
              <w:top w:val="single" w:sz="4" w:space="0" w:color="1A171C"/>
              <w:left w:val="single" w:sz="4" w:space="0" w:color="1A171C"/>
              <w:bottom w:val="single" w:sz="4" w:space="0" w:color="1A171C"/>
              <w:right w:val="nil"/>
            </w:tcBorders>
          </w:tcPr>
          <w:p w14:paraId="7FE1B9B6" w14:textId="77777777" w:rsidR="00393915" w:rsidRDefault="00F24D68">
            <w:pPr>
              <w:pStyle w:val="P68B1DB1-TableParagraph14"/>
              <w:spacing w:before="108"/>
              <w:ind w:left="85"/>
              <w:jc w:val="both"/>
              <w:rPr>
                <w:bCs/>
              </w:rPr>
            </w:pPr>
            <w:r>
              <w:t>Usluge pohrane vrijednosnih papira</w:t>
            </w:r>
          </w:p>
          <w:p w14:paraId="7FE1B9B7" w14:textId="77777777" w:rsidR="00393915" w:rsidRDefault="00F24D68">
            <w:pPr>
              <w:pStyle w:val="P68B1DB1-TableParagraph17"/>
              <w:spacing w:before="108"/>
              <w:ind w:left="85"/>
            </w:pPr>
            <w:r>
              <w:t>Pohrana i administriranje financijskih instrumenata za klijente i usluge povezane sa skrbništvom kao što su upravljanje gotovinom i kolateralom.</w:t>
            </w:r>
          </w:p>
        </w:tc>
      </w:tr>
      <w:tr w:rsidR="00393915" w14:paraId="7FE1B9BB" w14:textId="77777777">
        <w:tc>
          <w:tcPr>
            <w:tcW w:w="1191" w:type="dxa"/>
            <w:tcBorders>
              <w:top w:val="single" w:sz="4" w:space="0" w:color="1A171C"/>
              <w:left w:val="nil"/>
              <w:bottom w:val="single" w:sz="4" w:space="0" w:color="1A171C"/>
              <w:right w:val="single" w:sz="4" w:space="0" w:color="1A171C"/>
            </w:tcBorders>
          </w:tcPr>
          <w:p w14:paraId="7FE1B9B9" w14:textId="77777777" w:rsidR="00393915" w:rsidRDefault="00F24D68">
            <w:pPr>
              <w:pStyle w:val="P68B1DB1-TableParagraph17"/>
              <w:spacing w:before="108"/>
              <w:ind w:left="85"/>
              <w:jc w:val="both"/>
            </w:pPr>
            <w:r>
              <w:t>0220 – 0240</w:t>
            </w:r>
          </w:p>
        </w:tc>
        <w:tc>
          <w:tcPr>
            <w:tcW w:w="7892" w:type="dxa"/>
            <w:tcBorders>
              <w:top w:val="single" w:sz="4" w:space="0" w:color="1A171C"/>
              <w:left w:val="single" w:sz="4" w:space="0" w:color="1A171C"/>
              <w:bottom w:val="single" w:sz="4" w:space="0" w:color="1A171C"/>
              <w:right w:val="nil"/>
            </w:tcBorders>
          </w:tcPr>
          <w:p w14:paraId="7FE1B9BA" w14:textId="77777777" w:rsidR="00393915" w:rsidRDefault="00F24D68">
            <w:pPr>
              <w:pStyle w:val="P68B1DB1-TableParagraph14"/>
              <w:spacing w:before="108"/>
              <w:ind w:left="85"/>
              <w:jc w:val="both"/>
              <w:rPr>
                <w:rFonts w:eastAsia="Cambria"/>
              </w:rPr>
            </w:pPr>
            <w:r>
              <w:t>Ostale usluge/aktivnosti/funkcije 1., 2. i 3.</w:t>
            </w:r>
          </w:p>
        </w:tc>
      </w:tr>
      <w:tr w:rsidR="00393915" w14:paraId="7FE1B9BE" w14:textId="77777777">
        <w:tc>
          <w:tcPr>
            <w:tcW w:w="9083" w:type="dxa"/>
            <w:gridSpan w:val="2"/>
            <w:tcBorders>
              <w:top w:val="single" w:sz="4" w:space="0" w:color="1A171C"/>
              <w:left w:val="nil"/>
              <w:bottom w:val="single" w:sz="4" w:space="0" w:color="1A171C"/>
            </w:tcBorders>
          </w:tcPr>
          <w:p w14:paraId="6525890D" w14:textId="77777777" w:rsidR="00F60BA4" w:rsidRDefault="00F60BA4">
            <w:pPr>
              <w:pStyle w:val="TableParagraph"/>
              <w:spacing w:before="108"/>
              <w:ind w:left="85"/>
              <w:jc w:val="both"/>
              <w:rPr>
                <w:rFonts w:ascii="Times New Roman" w:hAnsi="Times New Roman" w:cs="Times New Roman"/>
              </w:rPr>
            </w:pPr>
          </w:p>
          <w:p w14:paraId="7FE1B9BC" w14:textId="0799CA27" w:rsidR="00393915" w:rsidRDefault="00F24D68">
            <w:pPr>
              <w:pStyle w:val="TableParagraph"/>
              <w:spacing w:before="108"/>
              <w:ind w:left="85"/>
              <w:jc w:val="both"/>
              <w:rPr>
                <w:rFonts w:ascii="Times New Roman" w:eastAsia="Cambria" w:hAnsi="Times New Roman" w:cs="Times New Roman"/>
                <w:color w:val="000000" w:themeColor="text1"/>
                <w:sz w:val="20"/>
                <w:szCs w:val="20"/>
              </w:rPr>
            </w:pPr>
            <w:r>
              <w:rPr>
                <w:rFonts w:ascii="Times New Roman" w:hAnsi="Times New Roman" w:cs="Times New Roman"/>
              </w:rPr>
              <w:t xml:space="preserve">Z 07.01.4 </w:t>
            </w:r>
            <w:r>
              <w:rPr>
                <w:rFonts w:ascii="Times New Roman" w:hAnsi="Times New Roman" w:cs="Times New Roman"/>
              </w:rPr>
              <w:t>FUN</w:t>
            </w:r>
            <w:r w:rsidR="00835260">
              <w:rPr>
                <w:rFonts w:ascii="Times New Roman" w:hAnsi="Times New Roman" w:cs="Times New Roman"/>
              </w:rPr>
              <w:t>KCIJA</w:t>
            </w:r>
            <w:r>
              <w:rPr>
                <w:rFonts w:ascii="Times New Roman" w:hAnsi="Times New Roman" w:cs="Times New Roman"/>
              </w:rPr>
              <w:t xml:space="preserve"> 1 </w:t>
            </w:r>
            <w:r w:rsidR="00835260">
              <w:rPr>
                <w:rFonts w:ascii="Times New Roman" w:hAnsi="Times New Roman" w:cs="Times New Roman"/>
              </w:rPr>
              <w:t>TRŽIŠTE KAPITALA</w:t>
            </w:r>
          </w:p>
          <w:p w14:paraId="7FE1B9BD" w14:textId="77777777" w:rsidR="00393915" w:rsidRDefault="00F24D68">
            <w:pPr>
              <w:pStyle w:val="P68B1DB1-TableParagraph17"/>
              <w:spacing w:before="108"/>
              <w:ind w:left="85"/>
              <w:jc w:val="both"/>
            </w:pPr>
            <w:r>
              <w:t xml:space="preserve">Aktivnosti tržišta kapitala odnose se na izdavanje vrijednosnih papira i trgovanje njima, povezane savjetodavne usluge i povezane usluge kao što su usluge glavnog brokera i održavanje tržišta. </w:t>
            </w:r>
          </w:p>
        </w:tc>
      </w:tr>
      <w:tr w:rsidR="00393915" w14:paraId="7FE1B9C5" w14:textId="77777777">
        <w:tc>
          <w:tcPr>
            <w:tcW w:w="1191" w:type="dxa"/>
            <w:tcBorders>
              <w:top w:val="single" w:sz="4" w:space="0" w:color="1A171C"/>
              <w:left w:val="nil"/>
              <w:bottom w:val="single" w:sz="4" w:space="0" w:color="1A171C"/>
              <w:right w:val="single" w:sz="4" w:space="0" w:color="1A171C"/>
            </w:tcBorders>
          </w:tcPr>
          <w:p w14:paraId="7FE1B9BF" w14:textId="77777777" w:rsidR="00393915" w:rsidRDefault="00F24D68">
            <w:pPr>
              <w:pStyle w:val="P68B1DB1-TableParagraph17"/>
              <w:spacing w:before="108"/>
              <w:ind w:left="85"/>
            </w:pPr>
            <w:r>
              <w:t>0250</w:t>
            </w:r>
          </w:p>
        </w:tc>
        <w:tc>
          <w:tcPr>
            <w:tcW w:w="7892" w:type="dxa"/>
            <w:tcBorders>
              <w:top w:val="single" w:sz="4" w:space="0" w:color="1A171C"/>
              <w:left w:val="single" w:sz="4" w:space="0" w:color="1A171C"/>
              <w:bottom w:val="single" w:sz="4" w:space="0" w:color="1A171C"/>
              <w:right w:val="nil"/>
            </w:tcBorders>
          </w:tcPr>
          <w:p w14:paraId="7FE1B9C0" w14:textId="77777777" w:rsidR="00393915" w:rsidRDefault="00F24D68">
            <w:pPr>
              <w:pStyle w:val="P68B1DB1-TableParagraph14"/>
              <w:spacing w:before="108"/>
              <w:ind w:left="85"/>
              <w:jc w:val="both"/>
              <w:rPr>
                <w:bCs/>
              </w:rPr>
            </w:pPr>
            <w:r>
              <w:t>Izvedenice koje se drže radi trgovanja (OTC)</w:t>
            </w:r>
          </w:p>
          <w:p w14:paraId="7FE1B9C1" w14:textId="2FDAA405" w:rsidR="00393915" w:rsidRDefault="00F24D68">
            <w:pPr>
              <w:pStyle w:val="TableParagraph"/>
              <w:spacing w:before="108"/>
              <w:ind w:left="85"/>
              <w:rPr>
                <w:rFonts w:ascii="Times New Roman" w:eastAsia="Cambria" w:hAnsi="Times New Roman" w:cs="Times New Roman"/>
                <w:color w:val="000000" w:themeColor="text1"/>
                <w:sz w:val="20"/>
                <w:szCs w:val="20"/>
              </w:rPr>
            </w:pPr>
            <w:r>
              <w:rPr>
                <w:rFonts w:ascii="Times New Roman" w:eastAsia="Cambria" w:hAnsi="Times New Roman" w:cs="Times New Roman"/>
                <w:color w:val="000000" w:themeColor="text1"/>
                <w:sz w:val="20"/>
                <w:szCs w:val="20"/>
              </w:rPr>
              <w:t>Članak 2. stavci 5. i 7. Uredbe (EU) br.</w:t>
            </w:r>
            <w:r>
              <w:rPr>
                <w:rStyle w:val="FootnoteReference"/>
                <w:rFonts w:ascii="Times New Roman" w:eastAsia="Cambria" w:hAnsi="Times New Roman" w:cs="Times New Roman"/>
                <w:color w:val="000000" w:themeColor="text1"/>
                <w:sz w:val="20"/>
                <w:szCs w:val="20"/>
              </w:rPr>
              <w:footnoteReference w:id="20"/>
            </w:r>
            <w:r>
              <w:rPr>
                <w:rFonts w:ascii="Times New Roman" w:eastAsia="Cambria" w:hAnsi="Times New Roman" w:cs="Times New Roman"/>
                <w:color w:val="000000" w:themeColor="text1"/>
                <w:sz w:val="20"/>
                <w:szCs w:val="20"/>
              </w:rPr>
              <w:t>648/2012</w:t>
            </w:r>
          </w:p>
          <w:p w14:paraId="7FE1B9C2" w14:textId="3A857D21" w:rsidR="00393915" w:rsidRDefault="00F24D68">
            <w:pPr>
              <w:pStyle w:val="P68B1DB1-TableParagraph17"/>
              <w:spacing w:before="108"/>
              <w:ind w:left="85"/>
            </w:pPr>
            <w:r>
              <w:t>„Izvedenica” ili „ugovor o izvedenicama” znači financijski instrument kako je utvrđeno u točkama od 4. do 10. odjeljka C Priloga I. DIREKTIVI 2014/65/EU kako je provedena člancima 38. i 39. UREDBE (EZ) br. 1287/2006.</w:t>
            </w:r>
          </w:p>
          <w:p w14:paraId="7FE1B9C3" w14:textId="583C566B" w:rsidR="00393915" w:rsidRDefault="00F24D68">
            <w:pPr>
              <w:pStyle w:val="P68B1DB1-TableParagraph17"/>
              <w:spacing w:before="108"/>
              <w:ind w:left="85"/>
            </w:pPr>
            <w:r>
              <w:t>OTC izvedenica ili ugovor o OTC izvedenicama znači ugovor o izvedenicama koji se ne izvršava na uređenom tržištu u smislu članka 4. stavka 1. točke 21. DIREKTIVE 2014/65/EU ili na tržištu treće zemlje koje se smatra istovrijednim uređenom tržištu u skladu s člankom 2.a UREDBE (EU) br. 648/2012.</w:t>
            </w:r>
          </w:p>
          <w:p w14:paraId="7FE1B9C4" w14:textId="77777777" w:rsidR="00393915" w:rsidRDefault="00F24D68">
            <w:pPr>
              <w:pStyle w:val="P68B1DB1-TableParagraph17"/>
              <w:spacing w:before="108"/>
              <w:ind w:left="85"/>
            </w:pPr>
            <w:r>
              <w:t xml:space="preserve">Iznos koji treba iskazati uključuje samo izvedenice kojima se trguje na OTC tržištu. </w:t>
            </w:r>
          </w:p>
        </w:tc>
      </w:tr>
      <w:tr w:rsidR="00393915" w14:paraId="7FE1B9C9" w14:textId="77777777">
        <w:tc>
          <w:tcPr>
            <w:tcW w:w="1191" w:type="dxa"/>
            <w:tcBorders>
              <w:top w:val="single" w:sz="4" w:space="0" w:color="1A171C"/>
              <w:left w:val="nil"/>
              <w:bottom w:val="single" w:sz="4" w:space="0" w:color="1A171C"/>
              <w:right w:val="single" w:sz="4" w:space="0" w:color="1A171C"/>
            </w:tcBorders>
          </w:tcPr>
          <w:p w14:paraId="7FE1B9C6" w14:textId="77777777" w:rsidR="00393915" w:rsidRDefault="00F24D68">
            <w:pPr>
              <w:pStyle w:val="P68B1DB1-TableParagraph17"/>
              <w:spacing w:before="108"/>
              <w:ind w:left="85"/>
            </w:pPr>
            <w:r>
              <w:t>0260</w:t>
            </w:r>
          </w:p>
        </w:tc>
        <w:tc>
          <w:tcPr>
            <w:tcW w:w="7892" w:type="dxa"/>
            <w:tcBorders>
              <w:top w:val="single" w:sz="4" w:space="0" w:color="1A171C"/>
              <w:left w:val="single" w:sz="4" w:space="0" w:color="1A171C"/>
              <w:bottom w:val="single" w:sz="4" w:space="0" w:color="1A171C"/>
              <w:right w:val="nil"/>
            </w:tcBorders>
          </w:tcPr>
          <w:p w14:paraId="7FE1B9C7" w14:textId="77777777" w:rsidR="00393915" w:rsidRDefault="00F24D68">
            <w:pPr>
              <w:pStyle w:val="P68B1DB1-TableParagraph14"/>
              <w:spacing w:before="108"/>
              <w:ind w:left="85"/>
              <w:jc w:val="both"/>
              <w:rPr>
                <w:bCs/>
              </w:rPr>
            </w:pPr>
            <w:r>
              <w:t>Izvedenice koje se drže radi trgovanja (koje nisu OTC)</w:t>
            </w:r>
          </w:p>
          <w:p w14:paraId="7FE1B9C8" w14:textId="77777777" w:rsidR="00393915" w:rsidRDefault="00F24D68">
            <w:pPr>
              <w:pStyle w:val="P68B1DB1-TableParagraph17"/>
              <w:spacing w:before="108"/>
              <w:ind w:left="85"/>
            </w:pPr>
            <w:r>
              <w:t xml:space="preserve">Sve izvedenice koje se drže radi trgovanja, isključujući OTC izvedenice koje se drže radi trgovanja. </w:t>
            </w:r>
          </w:p>
        </w:tc>
      </w:tr>
      <w:tr w:rsidR="00393915" w14:paraId="7FE1B9CF" w14:textId="77777777">
        <w:tc>
          <w:tcPr>
            <w:tcW w:w="1191" w:type="dxa"/>
            <w:tcBorders>
              <w:top w:val="single" w:sz="4" w:space="0" w:color="1A171C"/>
              <w:left w:val="nil"/>
              <w:bottom w:val="single" w:sz="4" w:space="0" w:color="1A171C"/>
              <w:right w:val="single" w:sz="4" w:space="0" w:color="1A171C"/>
            </w:tcBorders>
          </w:tcPr>
          <w:p w14:paraId="7FE1B9CA" w14:textId="77777777" w:rsidR="00393915" w:rsidRDefault="00F24D68">
            <w:pPr>
              <w:pStyle w:val="P68B1DB1-TableParagraph17"/>
              <w:spacing w:before="108"/>
              <w:ind w:left="85"/>
            </w:pPr>
            <w:r>
              <w:t>0270</w:t>
            </w:r>
          </w:p>
        </w:tc>
        <w:tc>
          <w:tcPr>
            <w:tcW w:w="7892" w:type="dxa"/>
            <w:tcBorders>
              <w:top w:val="single" w:sz="4" w:space="0" w:color="1A171C"/>
              <w:left w:val="single" w:sz="4" w:space="0" w:color="1A171C"/>
              <w:bottom w:val="single" w:sz="4" w:space="0" w:color="1A171C"/>
              <w:right w:val="nil"/>
            </w:tcBorders>
          </w:tcPr>
          <w:p w14:paraId="7FE1B9CB" w14:textId="77777777" w:rsidR="00393915" w:rsidRDefault="00F24D68">
            <w:pPr>
              <w:pStyle w:val="P68B1DB1-TableParagraph14"/>
              <w:spacing w:before="108"/>
              <w:ind w:left="85"/>
              <w:jc w:val="both"/>
              <w:rPr>
                <w:bCs/>
              </w:rPr>
            </w:pPr>
            <w:r>
              <w:t>Sekundarna tržišta/trgovanje:</w:t>
            </w:r>
          </w:p>
          <w:p w14:paraId="7FE1B9CC" w14:textId="245292A0" w:rsidR="00393915" w:rsidRDefault="00F24D68">
            <w:pPr>
              <w:pStyle w:val="P68B1DB1-TableParagraph17"/>
              <w:spacing w:before="108"/>
              <w:ind w:left="85"/>
            </w:pPr>
            <w:r>
              <w:t xml:space="preserve">Sekundarno tržište </w:t>
            </w:r>
            <w:r w:rsidR="00F669F8">
              <w:t>tržište</w:t>
            </w:r>
            <w:r>
              <w:t xml:space="preserve"> </w:t>
            </w:r>
            <w:r>
              <w:t xml:space="preserve">na kojem ulagatelji kupuju i prodaju vrijednosne papire. Ova funkcija primjenjuje se na ukupni portfelj namijenjen trgovanju (tj. vlasnički kapital, korporativni kredit, </w:t>
            </w:r>
            <w:r>
              <w:lastRenderedPageBreak/>
              <w:t>državni kredit).</w:t>
            </w:r>
          </w:p>
          <w:p w14:paraId="7FE1B9CD" w14:textId="77777777" w:rsidR="00393915" w:rsidRDefault="00F24D68">
            <w:pPr>
              <w:pStyle w:val="P68B1DB1-TableParagraph17"/>
              <w:spacing w:before="108"/>
              <w:ind w:left="85"/>
            </w:pPr>
            <w:r>
              <w:t>Iznos koji treba iskazati uključuje vrijednost vrijednosnih papira izmjerenu kao ukupni iznos vrijednosnih papira u kategoriji „namijenjeno trgovanju”. Vrijednosni papiri iskazuju se po fer vrijednosti na izvještajni datum.</w:t>
            </w:r>
          </w:p>
          <w:p w14:paraId="7FE1B9CE" w14:textId="77777777" w:rsidR="00393915" w:rsidRDefault="00F24D68">
            <w:pPr>
              <w:pStyle w:val="P68B1DB1-TableParagraph17"/>
              <w:spacing w:before="108"/>
              <w:ind w:left="85"/>
            </w:pPr>
            <w:r>
              <w:t>Taj iznos ne uključuje kredite, izvedenice i imovinu kojom se ne trguje (npr. potraživanja).</w:t>
            </w:r>
          </w:p>
        </w:tc>
      </w:tr>
      <w:tr w:rsidR="00393915" w14:paraId="7FE1B9D3" w14:textId="77777777">
        <w:tc>
          <w:tcPr>
            <w:tcW w:w="1191" w:type="dxa"/>
            <w:tcBorders>
              <w:top w:val="single" w:sz="4" w:space="0" w:color="1A171C"/>
              <w:left w:val="nil"/>
              <w:bottom w:val="single" w:sz="4" w:space="0" w:color="1A171C"/>
              <w:right w:val="single" w:sz="4" w:space="0" w:color="1A171C"/>
            </w:tcBorders>
          </w:tcPr>
          <w:p w14:paraId="7FE1B9D0" w14:textId="77777777" w:rsidR="00393915" w:rsidRDefault="00F24D68">
            <w:pPr>
              <w:pStyle w:val="P68B1DB1-TableParagraph17"/>
              <w:spacing w:before="108"/>
              <w:ind w:left="85"/>
            </w:pPr>
            <w:r>
              <w:lastRenderedPageBreak/>
              <w:t>0280</w:t>
            </w:r>
          </w:p>
        </w:tc>
        <w:tc>
          <w:tcPr>
            <w:tcW w:w="7892" w:type="dxa"/>
            <w:tcBorders>
              <w:top w:val="single" w:sz="4" w:space="0" w:color="1A171C"/>
              <w:left w:val="single" w:sz="4" w:space="0" w:color="1A171C"/>
              <w:bottom w:val="single" w:sz="4" w:space="0" w:color="1A171C"/>
              <w:right w:val="nil"/>
            </w:tcBorders>
          </w:tcPr>
          <w:p w14:paraId="7FE1B9D1" w14:textId="77777777" w:rsidR="00393915" w:rsidRDefault="00F24D68">
            <w:pPr>
              <w:pStyle w:val="P68B1DB1-TableParagraph14"/>
              <w:spacing w:before="108"/>
              <w:ind w:left="85"/>
              <w:jc w:val="both"/>
              <w:rPr>
                <w:bCs/>
              </w:rPr>
            </w:pPr>
            <w:r>
              <w:t>Primarna tržišta/usluge provedbe ponude odnosno prodaje financijskih instrumenta uz obvezu otkupa</w:t>
            </w:r>
          </w:p>
          <w:p w14:paraId="7FE1B9D2" w14:textId="77777777" w:rsidR="00393915" w:rsidRDefault="00F24D68">
            <w:pPr>
              <w:pStyle w:val="P68B1DB1-TableParagraph17"/>
              <w:spacing w:before="108"/>
              <w:ind w:left="85"/>
            </w:pPr>
            <w:r>
              <w:t>Primarna tržišta znači slučaj u kojem društva, države i druge grupe izdaju nove vrijednosne papire na burzi kako bi dobile financiranje na temelju dužničkih ili vlasničkih vrijednosnih papira (kao što su obične i povlaštene dionice, korporativne obveznice, mjenice, blagajnički zapisi, državne obveznice). Rad primarnih tržišta olakšavaju grupe za provedbu ponude odnosno prodaje financijskih instrumenata uz obvezu otkupa.</w:t>
            </w:r>
          </w:p>
        </w:tc>
      </w:tr>
      <w:tr w:rsidR="00393915" w14:paraId="7FE1B9D6" w14:textId="77777777">
        <w:tc>
          <w:tcPr>
            <w:tcW w:w="1191" w:type="dxa"/>
            <w:tcBorders>
              <w:top w:val="single" w:sz="4" w:space="0" w:color="1A171C"/>
              <w:left w:val="nil"/>
              <w:bottom w:val="single" w:sz="4" w:space="0" w:color="1A171C"/>
              <w:right w:val="single" w:sz="4" w:space="0" w:color="1A171C"/>
            </w:tcBorders>
          </w:tcPr>
          <w:p w14:paraId="7FE1B9D4" w14:textId="77777777" w:rsidR="00393915" w:rsidRDefault="00F24D68">
            <w:pPr>
              <w:pStyle w:val="P68B1DB1-TableParagraph17"/>
              <w:spacing w:before="108"/>
              <w:ind w:left="85"/>
              <w:jc w:val="both"/>
            </w:pPr>
            <w:r>
              <w:t>0290 – 0310</w:t>
            </w:r>
          </w:p>
        </w:tc>
        <w:tc>
          <w:tcPr>
            <w:tcW w:w="7892" w:type="dxa"/>
            <w:tcBorders>
              <w:top w:val="single" w:sz="4" w:space="0" w:color="1A171C"/>
              <w:left w:val="single" w:sz="4" w:space="0" w:color="1A171C"/>
              <w:bottom w:val="single" w:sz="4" w:space="0" w:color="1A171C"/>
              <w:right w:val="nil"/>
            </w:tcBorders>
          </w:tcPr>
          <w:p w14:paraId="7FE1B9D5" w14:textId="77777777" w:rsidR="00393915" w:rsidRDefault="00F24D68">
            <w:pPr>
              <w:pStyle w:val="P68B1DB1-TableParagraph14"/>
              <w:spacing w:before="108"/>
              <w:ind w:left="85"/>
              <w:jc w:val="both"/>
              <w:rPr>
                <w:rFonts w:eastAsia="Cambria"/>
              </w:rPr>
            </w:pPr>
            <w:r>
              <w:t>Ostale usluge/aktivnosti/funkcije 1., 2. i 3.</w:t>
            </w:r>
          </w:p>
        </w:tc>
      </w:tr>
      <w:tr w:rsidR="00393915" w14:paraId="7FE1B9D9" w14:textId="77777777">
        <w:tc>
          <w:tcPr>
            <w:tcW w:w="9083" w:type="dxa"/>
            <w:gridSpan w:val="2"/>
            <w:tcBorders>
              <w:top w:val="single" w:sz="4" w:space="0" w:color="1A171C"/>
              <w:left w:val="nil"/>
              <w:bottom w:val="single" w:sz="4" w:space="0" w:color="1A171C"/>
            </w:tcBorders>
          </w:tcPr>
          <w:p w14:paraId="7FE1B9D7" w14:textId="51C9205C" w:rsidR="00393915" w:rsidRDefault="00F24D68">
            <w:pPr>
              <w:pStyle w:val="P68B1DB1-TableParagraph16"/>
              <w:spacing w:before="108"/>
              <w:ind w:left="85"/>
              <w:jc w:val="both"/>
              <w:rPr>
                <w:b/>
                <w:bCs/>
                <w:color w:val="000000" w:themeColor="text1"/>
                <w:sz w:val="20"/>
                <w:szCs w:val="20"/>
              </w:rPr>
            </w:pPr>
            <w:r>
              <w:t xml:space="preserve">Z 07.01.5 </w:t>
            </w:r>
            <w:r>
              <w:t>FUN</w:t>
            </w:r>
            <w:r w:rsidR="00AB4D03">
              <w:t>KCIJA</w:t>
            </w:r>
            <w:r>
              <w:t xml:space="preserve"> 1 </w:t>
            </w:r>
            <w:r w:rsidR="00AB4D03" w:rsidRPr="00AB4D03">
              <w:t>FINANCIRANJE INSTITUCIONALNIH KLIJENATA</w:t>
            </w:r>
          </w:p>
          <w:p w14:paraId="7FE1B9D8" w14:textId="77777777" w:rsidR="00393915" w:rsidRDefault="00F24D68">
            <w:pPr>
              <w:pStyle w:val="P68B1DB1-TableParagraph17"/>
              <w:spacing w:before="108"/>
              <w:ind w:left="85"/>
              <w:jc w:val="both"/>
            </w:pPr>
            <w:r>
              <w:t>Aktivnosti kreditiranja financijskih drugih ugovornih strana (kreditne institucije i druga financijska društva) i pozajmljivanja od njih na tržištima za velike klijente.</w:t>
            </w:r>
          </w:p>
        </w:tc>
      </w:tr>
      <w:tr w:rsidR="00393915" w14:paraId="7FE1B9DD" w14:textId="77777777">
        <w:tc>
          <w:tcPr>
            <w:tcW w:w="1191" w:type="dxa"/>
            <w:tcBorders>
              <w:top w:val="single" w:sz="4" w:space="0" w:color="1A171C"/>
              <w:left w:val="nil"/>
              <w:bottom w:val="single" w:sz="4" w:space="0" w:color="1A171C"/>
              <w:right w:val="single" w:sz="4" w:space="0" w:color="1A171C"/>
            </w:tcBorders>
          </w:tcPr>
          <w:p w14:paraId="7FE1B9DA" w14:textId="77777777" w:rsidR="00393915" w:rsidRDefault="00F24D68">
            <w:pPr>
              <w:pStyle w:val="P68B1DB1-TableParagraph13"/>
              <w:spacing w:before="108"/>
              <w:ind w:left="85"/>
              <w:jc w:val="both"/>
              <w:rPr>
                <w:rFonts w:eastAsia="Cambria"/>
              </w:rPr>
            </w:pPr>
            <w:r>
              <w:t>0320</w:t>
            </w:r>
          </w:p>
        </w:tc>
        <w:tc>
          <w:tcPr>
            <w:tcW w:w="7892" w:type="dxa"/>
            <w:tcBorders>
              <w:top w:val="single" w:sz="4" w:space="0" w:color="1A171C"/>
              <w:left w:val="single" w:sz="4" w:space="0" w:color="1A171C"/>
              <w:bottom w:val="single" w:sz="4" w:space="0" w:color="1A171C"/>
              <w:right w:val="nil"/>
            </w:tcBorders>
          </w:tcPr>
          <w:p w14:paraId="7FE1B9DB" w14:textId="77777777" w:rsidR="00393915" w:rsidRDefault="00F24D68">
            <w:pPr>
              <w:pStyle w:val="P68B1DB1-TableParagraph14"/>
              <w:spacing w:before="108"/>
              <w:ind w:left="85"/>
              <w:jc w:val="both"/>
              <w:rPr>
                <w:bCs/>
              </w:rPr>
            </w:pPr>
            <w:r>
              <w:t>Uzimanje zajmova</w:t>
            </w:r>
          </w:p>
          <w:p w14:paraId="7FE1B9DC" w14:textId="77777777" w:rsidR="00393915" w:rsidRDefault="00F24D68">
            <w:pPr>
              <w:pStyle w:val="P68B1DB1-TableParagraph17"/>
              <w:spacing w:before="108"/>
              <w:ind w:left="85"/>
            </w:pPr>
            <w:r>
              <w:t>Pozajmljivanje na tržištima za velike klijente od financijskih drugih ugovornih strana (uključujući putem repo ugovora, međubankovnog pozajmljivanja, komercijalnih zapisa, certifikata o depozitima, novčanih fondova, kreditnih linija, komercijalnih zapisa osiguranih imovinom i fiducijarnih depozita).</w:t>
            </w:r>
          </w:p>
        </w:tc>
      </w:tr>
      <w:tr w:rsidR="00393915" w14:paraId="7FE1B9E1" w14:textId="77777777">
        <w:tc>
          <w:tcPr>
            <w:tcW w:w="1191" w:type="dxa"/>
            <w:tcBorders>
              <w:top w:val="single" w:sz="4" w:space="0" w:color="1A171C"/>
              <w:left w:val="nil"/>
              <w:bottom w:val="single" w:sz="4" w:space="0" w:color="1A171C"/>
              <w:right w:val="single" w:sz="4" w:space="0" w:color="1A171C"/>
            </w:tcBorders>
          </w:tcPr>
          <w:p w14:paraId="7FE1B9DE" w14:textId="77777777" w:rsidR="00393915" w:rsidRDefault="00F24D68">
            <w:pPr>
              <w:pStyle w:val="P68B1DB1-TableParagraph13"/>
              <w:spacing w:before="108"/>
              <w:ind w:left="85"/>
              <w:jc w:val="both"/>
              <w:rPr>
                <w:rFonts w:eastAsia="Cambria"/>
              </w:rPr>
            </w:pPr>
            <w:r>
              <w:t>0330</w:t>
            </w:r>
          </w:p>
        </w:tc>
        <w:tc>
          <w:tcPr>
            <w:tcW w:w="7892" w:type="dxa"/>
            <w:tcBorders>
              <w:top w:val="single" w:sz="4" w:space="0" w:color="1A171C"/>
              <w:left w:val="single" w:sz="4" w:space="0" w:color="1A171C"/>
              <w:bottom w:val="single" w:sz="4" w:space="0" w:color="1A171C"/>
              <w:right w:val="nil"/>
            </w:tcBorders>
          </w:tcPr>
          <w:p w14:paraId="7FE1B9DF" w14:textId="77777777" w:rsidR="00393915" w:rsidRDefault="00F24D68">
            <w:pPr>
              <w:pStyle w:val="P68B1DB1-TableParagraph14"/>
              <w:spacing w:before="108"/>
              <w:ind w:left="85"/>
              <w:jc w:val="both"/>
              <w:rPr>
                <w:bCs/>
              </w:rPr>
            </w:pPr>
            <w:r>
              <w:t>Izvedenice (imovina)</w:t>
            </w:r>
          </w:p>
          <w:p w14:paraId="7FE1B9E0" w14:textId="2BEB3A92" w:rsidR="00393915" w:rsidRDefault="00F24D68">
            <w:pPr>
              <w:pStyle w:val="P68B1DB1-TableParagraph17"/>
              <w:spacing w:before="108"/>
              <w:ind w:left="85"/>
            </w:pPr>
            <w:r>
              <w:t>Sve izvedenice s financijskim drugim ugovornim stranama koje se drže na strani imovine u bilanci. Za razliku od rubrike „Tržišta kapitala”, u rubrici „</w:t>
            </w:r>
            <w:r w:rsidR="00AB4D03">
              <w:t>Financiranje institucionalnih klijenata</w:t>
            </w:r>
            <w:r>
              <w:t>” izvedenice uključuju sve ugovore o izvedenicama s financijskim drugim ugovornim stranama (što nije ograničeno na držanje radi trgovanja).</w:t>
            </w:r>
          </w:p>
        </w:tc>
      </w:tr>
      <w:tr w:rsidR="00393915" w14:paraId="7FE1B9E5" w14:textId="77777777">
        <w:tc>
          <w:tcPr>
            <w:tcW w:w="1191" w:type="dxa"/>
            <w:tcBorders>
              <w:top w:val="single" w:sz="4" w:space="0" w:color="1A171C"/>
              <w:left w:val="nil"/>
              <w:bottom w:val="single" w:sz="4" w:space="0" w:color="1A171C"/>
              <w:right w:val="single" w:sz="4" w:space="0" w:color="1A171C"/>
            </w:tcBorders>
          </w:tcPr>
          <w:p w14:paraId="7FE1B9E2" w14:textId="77777777" w:rsidR="00393915" w:rsidRDefault="00F24D68">
            <w:pPr>
              <w:pStyle w:val="P68B1DB1-TableParagraph13"/>
              <w:spacing w:before="108"/>
              <w:ind w:left="85"/>
              <w:jc w:val="both"/>
              <w:rPr>
                <w:rFonts w:eastAsia="Cambria"/>
              </w:rPr>
            </w:pPr>
            <w:r>
              <w:t>0340</w:t>
            </w:r>
          </w:p>
        </w:tc>
        <w:tc>
          <w:tcPr>
            <w:tcW w:w="7892" w:type="dxa"/>
            <w:tcBorders>
              <w:top w:val="single" w:sz="4" w:space="0" w:color="1A171C"/>
              <w:left w:val="single" w:sz="4" w:space="0" w:color="1A171C"/>
              <w:bottom w:val="single" w:sz="4" w:space="0" w:color="1A171C"/>
              <w:right w:val="nil"/>
            </w:tcBorders>
          </w:tcPr>
          <w:p w14:paraId="7FE1B9E3" w14:textId="77777777" w:rsidR="00393915" w:rsidRDefault="00F24D68">
            <w:pPr>
              <w:pStyle w:val="P68B1DB1-TableParagraph14"/>
              <w:spacing w:before="108"/>
              <w:ind w:left="85"/>
              <w:jc w:val="both"/>
              <w:rPr>
                <w:bCs/>
              </w:rPr>
            </w:pPr>
            <w:r>
              <w:t>Davanje zajmova</w:t>
            </w:r>
          </w:p>
          <w:p w14:paraId="7FE1B9E4" w14:textId="77777777" w:rsidR="00393915" w:rsidRDefault="00F24D68">
            <w:pPr>
              <w:pStyle w:val="P68B1DB1-TableParagraph17"/>
              <w:spacing w:before="108"/>
              <w:ind w:left="85"/>
            </w:pPr>
            <w:r>
              <w:t>Kreditiranje financijskih drugih ugovornih strana na tržištima za velike klijente (uključujući putem obratnih repo ugovora, komercijalnih zapisa, certifikata o depozitima, novčanih fondova, kreditnih linija, komercijalnih zapisa osiguranih imovinom, fiducijarnih depozita).</w:t>
            </w:r>
          </w:p>
        </w:tc>
      </w:tr>
      <w:tr w:rsidR="00393915" w14:paraId="7FE1B9E9" w14:textId="77777777">
        <w:tc>
          <w:tcPr>
            <w:tcW w:w="1191" w:type="dxa"/>
            <w:tcBorders>
              <w:top w:val="single" w:sz="4" w:space="0" w:color="1A171C"/>
              <w:left w:val="nil"/>
              <w:bottom w:val="single" w:sz="4" w:space="0" w:color="1A171C"/>
              <w:right w:val="single" w:sz="4" w:space="0" w:color="1A171C"/>
            </w:tcBorders>
          </w:tcPr>
          <w:p w14:paraId="7FE1B9E6" w14:textId="77777777" w:rsidR="00393915" w:rsidRDefault="00F24D68">
            <w:pPr>
              <w:pStyle w:val="P68B1DB1-TableParagraph13"/>
              <w:spacing w:before="108"/>
              <w:ind w:left="85"/>
              <w:jc w:val="both"/>
              <w:rPr>
                <w:rFonts w:eastAsia="Cambria"/>
              </w:rPr>
            </w:pPr>
            <w:r>
              <w:t>0350</w:t>
            </w:r>
          </w:p>
        </w:tc>
        <w:tc>
          <w:tcPr>
            <w:tcW w:w="7892" w:type="dxa"/>
            <w:tcBorders>
              <w:top w:val="single" w:sz="4" w:space="0" w:color="1A171C"/>
              <w:left w:val="single" w:sz="4" w:space="0" w:color="1A171C"/>
              <w:bottom w:val="single" w:sz="4" w:space="0" w:color="1A171C"/>
              <w:right w:val="nil"/>
            </w:tcBorders>
          </w:tcPr>
          <w:p w14:paraId="7FE1B9E7" w14:textId="77777777" w:rsidR="00393915" w:rsidRDefault="00F24D68">
            <w:pPr>
              <w:pStyle w:val="P68B1DB1-TableParagraph14"/>
              <w:spacing w:before="108"/>
              <w:ind w:left="85"/>
              <w:jc w:val="both"/>
              <w:rPr>
                <w:bCs/>
              </w:rPr>
            </w:pPr>
            <w:r>
              <w:t>Izvedenice (obveze)</w:t>
            </w:r>
          </w:p>
          <w:p w14:paraId="7FE1B9E8" w14:textId="77777777" w:rsidR="00393915" w:rsidRDefault="00F24D68">
            <w:pPr>
              <w:pStyle w:val="P68B1DB1-TableParagraph17"/>
              <w:spacing w:before="108"/>
              <w:ind w:left="85"/>
              <w:jc w:val="both"/>
            </w:pPr>
            <w:r>
              <w:t xml:space="preserve">Sve izvedenice s financijskim drugim ugovornim stranama koje se drže na strani obveza u bilanci. </w:t>
            </w:r>
          </w:p>
        </w:tc>
      </w:tr>
      <w:tr w:rsidR="00393915" w14:paraId="7FE1B9ED" w14:textId="77777777">
        <w:tc>
          <w:tcPr>
            <w:tcW w:w="1191" w:type="dxa"/>
            <w:tcBorders>
              <w:top w:val="single" w:sz="4" w:space="0" w:color="1A171C"/>
              <w:left w:val="nil"/>
              <w:bottom w:val="single" w:sz="4" w:space="0" w:color="1A171C"/>
              <w:right w:val="single" w:sz="4" w:space="0" w:color="1A171C"/>
            </w:tcBorders>
          </w:tcPr>
          <w:p w14:paraId="7FE1B9EA" w14:textId="77777777" w:rsidR="00393915" w:rsidRDefault="00F24D68">
            <w:pPr>
              <w:pStyle w:val="P68B1DB1-TableParagraph17"/>
              <w:spacing w:before="108"/>
              <w:ind w:left="85"/>
              <w:jc w:val="both"/>
            </w:pPr>
            <w:r>
              <w:t>0360 – 0380</w:t>
            </w:r>
          </w:p>
        </w:tc>
        <w:tc>
          <w:tcPr>
            <w:tcW w:w="7892" w:type="dxa"/>
            <w:tcBorders>
              <w:top w:val="single" w:sz="4" w:space="0" w:color="1A171C"/>
              <w:left w:val="single" w:sz="4" w:space="0" w:color="1A171C"/>
              <w:bottom w:val="single" w:sz="4" w:space="0" w:color="1A171C"/>
              <w:right w:val="nil"/>
            </w:tcBorders>
          </w:tcPr>
          <w:p w14:paraId="7FE1B9EB" w14:textId="77777777" w:rsidR="00393915" w:rsidRDefault="00F24D68">
            <w:pPr>
              <w:pStyle w:val="P68B1DB1-TableParagraph14"/>
              <w:spacing w:before="108"/>
              <w:ind w:left="85"/>
              <w:jc w:val="both"/>
              <w:rPr>
                <w:bCs/>
              </w:rPr>
            </w:pPr>
            <w:r>
              <w:t>Ostale vrste proizvoda 1., 2. i 3.</w:t>
            </w:r>
          </w:p>
          <w:p w14:paraId="7FE1B9EC" w14:textId="7A32C203" w:rsidR="00393915" w:rsidRDefault="00F24D68">
            <w:pPr>
              <w:pStyle w:val="P68B1DB1-TableParagraph17"/>
              <w:spacing w:before="108"/>
              <w:ind w:left="85"/>
            </w:pPr>
            <w:r>
              <w:t>Svaka funkcija iz gospodarske funkcije „</w:t>
            </w:r>
            <w:r w:rsidR="00AB4D03">
              <w:t>Financiranje institucionalnih klijenata</w:t>
            </w:r>
            <w:r>
              <w:t>” koja nije uključena u prethodni popis.</w:t>
            </w:r>
          </w:p>
        </w:tc>
      </w:tr>
    </w:tbl>
    <w:p w14:paraId="7FE1B9EE" w14:textId="77777777" w:rsidR="00393915" w:rsidRDefault="00393915">
      <w:pPr>
        <w:pStyle w:val="InstructionsText2"/>
        <w:numPr>
          <w:ilvl w:val="0"/>
          <w:numId w:val="0"/>
        </w:numPr>
        <w:ind w:left="1440" w:firstLine="18"/>
        <w:rPr>
          <w:rFonts w:ascii="Times New Roman" w:hAnsi="Times New Roman" w:cs="Times New Roman"/>
          <w:sz w:val="20"/>
          <w:szCs w:val="20"/>
        </w:rPr>
      </w:pPr>
    </w:p>
    <w:p w14:paraId="7FE1B9EF" w14:textId="65CDA2A9" w:rsidR="00393915" w:rsidRDefault="00F24D68">
      <w:pPr>
        <w:pStyle w:val="P68B1DB1-Instructionsberschrift25"/>
        <w:numPr>
          <w:ilvl w:val="1"/>
          <w:numId w:val="49"/>
        </w:numPr>
        <w:ind w:left="357" w:hanging="357"/>
      </w:pPr>
      <w:bookmarkStart w:id="109" w:name="_Toc208244808"/>
      <w:r>
        <w:t xml:space="preserve">Z 07.01.1 </w:t>
      </w:r>
      <w:r>
        <w:t>FUN</w:t>
      </w:r>
      <w:r w:rsidR="00AB4D03">
        <w:t>KCIJA</w:t>
      </w:r>
      <w:r>
        <w:t xml:space="preserve"> 1 </w:t>
      </w:r>
      <w:bookmarkEnd w:id="109"/>
      <w:r w:rsidR="00AB4D03">
        <w:t>DEPOZITI</w:t>
      </w:r>
    </w:p>
    <w:p w14:paraId="7FE1B9F9" w14:textId="77777777" w:rsidR="00393915" w:rsidRDefault="00393915">
      <w:pPr>
        <w:rPr>
          <w:rFonts w:ascii="Times New Roman" w:hAnsi="Times New Roman" w:cs="Times New Roman"/>
          <w:color w:val="000000" w:themeColor="text1"/>
          <w:sz w:val="20"/>
          <w:szCs w:val="20"/>
        </w:rPr>
      </w:pPr>
    </w:p>
    <w:tbl>
      <w:tblPr>
        <w:tblW w:w="9083" w:type="dxa"/>
        <w:tblLayout w:type="fixed"/>
        <w:tblCellMar>
          <w:top w:w="57" w:type="dxa"/>
          <w:left w:w="57" w:type="dxa"/>
          <w:bottom w:w="57" w:type="dxa"/>
          <w:right w:w="0" w:type="dxa"/>
        </w:tblCellMar>
        <w:tblLook w:val="01E0" w:firstRow="1" w:lastRow="1" w:firstColumn="1" w:lastColumn="1" w:noHBand="0" w:noVBand="0"/>
      </w:tblPr>
      <w:tblGrid>
        <w:gridCol w:w="1080"/>
        <w:gridCol w:w="8003"/>
      </w:tblGrid>
      <w:tr w:rsidR="00393915" w14:paraId="7FE1B9FC" w14:textId="77777777">
        <w:trPr>
          <w:tblHeader/>
        </w:trPr>
        <w:tc>
          <w:tcPr>
            <w:tcW w:w="1080" w:type="dxa"/>
            <w:tcBorders>
              <w:top w:val="single" w:sz="4" w:space="0" w:color="1A171C"/>
              <w:left w:val="nil"/>
              <w:bottom w:val="single" w:sz="4" w:space="0" w:color="1A171C"/>
              <w:right w:val="single" w:sz="4" w:space="0" w:color="1A171C"/>
            </w:tcBorders>
            <w:shd w:val="clear" w:color="auto" w:fill="E4E5E5"/>
          </w:tcPr>
          <w:p w14:paraId="7FE1B9FA" w14:textId="77777777" w:rsidR="00393915" w:rsidRDefault="00F24D68">
            <w:pPr>
              <w:pStyle w:val="P68B1DB1-TableParagraph17"/>
              <w:spacing w:before="108"/>
              <w:ind w:left="85"/>
              <w:jc w:val="both"/>
            </w:pPr>
            <w:r>
              <w:t>Stupci</w:t>
            </w:r>
          </w:p>
        </w:tc>
        <w:tc>
          <w:tcPr>
            <w:tcW w:w="8003" w:type="dxa"/>
            <w:tcBorders>
              <w:top w:val="single" w:sz="4" w:space="0" w:color="1A171C"/>
              <w:left w:val="single" w:sz="4" w:space="0" w:color="1A171C"/>
              <w:bottom w:val="single" w:sz="4" w:space="0" w:color="1A171C"/>
              <w:right w:val="nil"/>
            </w:tcBorders>
            <w:shd w:val="clear" w:color="auto" w:fill="E4E5E5"/>
          </w:tcPr>
          <w:p w14:paraId="7FE1B9FB" w14:textId="77777777" w:rsidR="00393915" w:rsidRDefault="00F24D68">
            <w:pPr>
              <w:pStyle w:val="P68B1DB1-TableParagraph17"/>
              <w:spacing w:before="108"/>
              <w:ind w:left="85" w:right="1"/>
              <w:jc w:val="both"/>
            </w:pPr>
            <w:r>
              <w:t>Upute</w:t>
            </w:r>
          </w:p>
        </w:tc>
      </w:tr>
      <w:tr w:rsidR="00393915" w14:paraId="7FE1BA00" w14:textId="77777777">
        <w:tc>
          <w:tcPr>
            <w:tcW w:w="1080" w:type="dxa"/>
            <w:tcBorders>
              <w:top w:val="single" w:sz="4" w:space="0" w:color="1A171C"/>
              <w:left w:val="nil"/>
              <w:bottom w:val="single" w:sz="4" w:space="0" w:color="1A171C"/>
              <w:right w:val="single" w:sz="4" w:space="0" w:color="1A171C"/>
            </w:tcBorders>
            <w:vAlign w:val="center"/>
          </w:tcPr>
          <w:p w14:paraId="7FE1B9FD" w14:textId="77777777" w:rsidR="00393915" w:rsidRDefault="00F24D68">
            <w:pPr>
              <w:pStyle w:val="P68B1DB1-TableParagraph17"/>
              <w:spacing w:before="108"/>
              <w:ind w:left="85"/>
              <w:jc w:val="both"/>
            </w:pPr>
            <w:r>
              <w:t>0010</w:t>
            </w:r>
          </w:p>
        </w:tc>
        <w:tc>
          <w:tcPr>
            <w:tcW w:w="8003" w:type="dxa"/>
            <w:tcBorders>
              <w:top w:val="single" w:sz="4" w:space="0" w:color="1A171C"/>
              <w:left w:val="single" w:sz="4" w:space="0" w:color="1A171C"/>
              <w:bottom w:val="single" w:sz="4" w:space="0" w:color="1A171C"/>
              <w:right w:val="nil"/>
            </w:tcBorders>
            <w:vAlign w:val="center"/>
          </w:tcPr>
          <w:p w14:paraId="7FE1B9FE" w14:textId="1CE60E0E" w:rsidR="00393915" w:rsidRDefault="00F24D68">
            <w:pPr>
              <w:pStyle w:val="P68B1DB1-TableParagraph14"/>
              <w:spacing w:before="108"/>
              <w:ind w:left="85"/>
              <w:jc w:val="both"/>
              <w:rPr>
                <w:bCs/>
              </w:rPr>
            </w:pPr>
            <w:r>
              <w:t xml:space="preserve">Opis </w:t>
            </w:r>
            <w:r w:rsidR="00AB4D03">
              <w:t>ekonomske</w:t>
            </w:r>
            <w:r>
              <w:t xml:space="preserve"> funkcije</w:t>
            </w:r>
          </w:p>
          <w:p w14:paraId="7FE1B9FF" w14:textId="2DF858EE" w:rsidR="00393915" w:rsidRDefault="00F24D68">
            <w:pPr>
              <w:pStyle w:val="P68B1DB1-TableParagraph17"/>
              <w:spacing w:before="108"/>
              <w:ind w:left="85"/>
            </w:pPr>
            <w:r>
              <w:lastRenderedPageBreak/>
              <w:t xml:space="preserve">Ako je ekonomska funkcija vrste „Ostalo” (funkcije u r0050 do r0070), navodi se opis te funkcije. </w:t>
            </w:r>
          </w:p>
        </w:tc>
      </w:tr>
      <w:tr w:rsidR="00393915" w14:paraId="7FE1BA04" w14:textId="77777777">
        <w:tc>
          <w:tcPr>
            <w:tcW w:w="1080" w:type="dxa"/>
            <w:tcBorders>
              <w:top w:val="single" w:sz="4" w:space="0" w:color="1A171C"/>
              <w:left w:val="nil"/>
              <w:bottom w:val="single" w:sz="4" w:space="0" w:color="1A171C"/>
              <w:right w:val="single" w:sz="4" w:space="0" w:color="1A171C"/>
            </w:tcBorders>
            <w:vAlign w:val="center"/>
          </w:tcPr>
          <w:p w14:paraId="7FE1BA01" w14:textId="77777777" w:rsidR="00393915" w:rsidRDefault="00F24D68">
            <w:pPr>
              <w:pStyle w:val="P68B1DB1-TableParagraph17"/>
              <w:spacing w:before="108"/>
              <w:ind w:left="85"/>
              <w:jc w:val="both"/>
            </w:pPr>
            <w:r>
              <w:lastRenderedPageBreak/>
              <w:t>0020</w:t>
            </w:r>
          </w:p>
        </w:tc>
        <w:tc>
          <w:tcPr>
            <w:tcW w:w="8003" w:type="dxa"/>
            <w:tcBorders>
              <w:top w:val="single" w:sz="4" w:space="0" w:color="1A171C"/>
              <w:left w:val="single" w:sz="4" w:space="0" w:color="1A171C"/>
              <w:bottom w:val="single" w:sz="4" w:space="0" w:color="1A171C"/>
              <w:right w:val="nil"/>
            </w:tcBorders>
            <w:vAlign w:val="center"/>
          </w:tcPr>
          <w:p w14:paraId="7FE1BA02" w14:textId="77777777" w:rsidR="00393915" w:rsidRDefault="00F24D68">
            <w:pPr>
              <w:pStyle w:val="P68B1DB1-TableParagraph14"/>
              <w:spacing w:before="108"/>
              <w:ind w:left="85"/>
              <w:jc w:val="both"/>
              <w:rPr>
                <w:bCs/>
              </w:rPr>
            </w:pPr>
            <w:r>
              <w:t xml:space="preserve">Tržišni udio </w:t>
            </w:r>
          </w:p>
          <w:p w14:paraId="7FE1BA03" w14:textId="45B5E943" w:rsidR="00393915" w:rsidRDefault="00F24D68">
            <w:pPr>
              <w:pStyle w:val="P68B1DB1-TableParagraph17"/>
              <w:spacing w:before="108"/>
              <w:ind w:left="85"/>
            </w:pPr>
            <w:r>
              <w:t xml:space="preserve">Procjena tržišnog udjela institucije ili grupe za predmetnu </w:t>
            </w:r>
            <w:r w:rsidR="00AB4D03">
              <w:t>ekonomsku</w:t>
            </w:r>
            <w:r w:rsidR="00AB4D03">
              <w:t xml:space="preserve"> </w:t>
            </w:r>
            <w:r>
              <w:t xml:space="preserve">funkciju u odgovarajućoj </w:t>
            </w:r>
            <w:r w:rsidR="00AB4D03">
              <w:t>državi</w:t>
            </w:r>
            <w:r>
              <w:t xml:space="preserve"> ili geografskoj regiji. Postotak </w:t>
            </w:r>
            <w:r w:rsidR="00AB4D03">
              <w:t xml:space="preserve">u </w:t>
            </w:r>
            <w:r w:rsidR="00AB4D03">
              <w:t xml:space="preserve">odnosu na ukupno tržište </w:t>
            </w:r>
            <w:r w:rsidR="00FD2A04">
              <w:t xml:space="preserve">prema </w:t>
            </w:r>
            <w:r w:rsidR="00037101">
              <w:t>„vrijednosti na računima”</w:t>
            </w:r>
            <w:r w:rsidR="00FD2A04">
              <w:t>.</w:t>
            </w:r>
          </w:p>
        </w:tc>
      </w:tr>
      <w:tr w:rsidR="00393915" w14:paraId="7FE1BA09" w14:textId="77777777">
        <w:tc>
          <w:tcPr>
            <w:tcW w:w="1080" w:type="dxa"/>
            <w:tcBorders>
              <w:top w:val="single" w:sz="4" w:space="0" w:color="1A171C"/>
              <w:left w:val="nil"/>
              <w:bottom w:val="single" w:sz="4" w:space="0" w:color="1A171C"/>
              <w:right w:val="single" w:sz="4" w:space="0" w:color="1A171C"/>
            </w:tcBorders>
            <w:vAlign w:val="center"/>
          </w:tcPr>
          <w:p w14:paraId="7FE1BA05" w14:textId="77777777" w:rsidR="00393915" w:rsidRDefault="00F24D68">
            <w:pPr>
              <w:pStyle w:val="P68B1DB1-TableParagraph17"/>
              <w:spacing w:before="108"/>
              <w:ind w:left="85"/>
              <w:jc w:val="both"/>
            </w:pPr>
            <w:r>
              <w:t>0030</w:t>
            </w:r>
          </w:p>
        </w:tc>
        <w:tc>
          <w:tcPr>
            <w:tcW w:w="8003" w:type="dxa"/>
            <w:tcBorders>
              <w:top w:val="single" w:sz="4" w:space="0" w:color="1A171C"/>
              <w:left w:val="single" w:sz="4" w:space="0" w:color="1A171C"/>
              <w:bottom w:val="single" w:sz="4" w:space="0" w:color="1A171C"/>
              <w:right w:val="nil"/>
            </w:tcBorders>
            <w:vAlign w:val="center"/>
          </w:tcPr>
          <w:p w14:paraId="7FE1BA06" w14:textId="77777777" w:rsidR="00393915" w:rsidRDefault="00F24D68">
            <w:pPr>
              <w:pStyle w:val="P68B1DB1-TableParagraph14"/>
              <w:spacing w:before="108"/>
              <w:jc w:val="both"/>
              <w:rPr>
                <w:bCs/>
              </w:rPr>
            </w:pPr>
            <w:r>
              <w:t>Vrijednost na računima</w:t>
            </w:r>
          </w:p>
          <w:p w14:paraId="7FE1BA07" w14:textId="77777777" w:rsidR="00393915" w:rsidRDefault="00F24D68">
            <w:pPr>
              <w:pStyle w:val="P68B1DB1-TableParagraph17"/>
              <w:spacing w:before="108"/>
            </w:pPr>
            <w:r>
              <w:t>Knjigovodstvena vrijednost (uključujući obračunate kamate) prihvaćenih depozita</w:t>
            </w:r>
          </w:p>
          <w:p w14:paraId="7FE1BA08" w14:textId="77777777" w:rsidR="00393915" w:rsidRDefault="00F24D68">
            <w:pPr>
              <w:pStyle w:val="P68B1DB1-TableParagraph17"/>
              <w:spacing w:before="108"/>
            </w:pPr>
            <w:r>
              <w:t>Referentni dokumenti: FINREP, prilozi III. i IV., predložak F 08.01 i Prilog V. dio 2. točka 97.</w:t>
            </w:r>
          </w:p>
        </w:tc>
      </w:tr>
      <w:tr w:rsidR="00393915" w14:paraId="7FE1BA0D" w14:textId="77777777">
        <w:tc>
          <w:tcPr>
            <w:tcW w:w="1080" w:type="dxa"/>
            <w:tcBorders>
              <w:top w:val="single" w:sz="4" w:space="0" w:color="1A171C"/>
              <w:left w:val="nil"/>
              <w:bottom w:val="single" w:sz="4" w:space="0" w:color="1A171C"/>
              <w:right w:val="single" w:sz="4" w:space="0" w:color="1A171C"/>
            </w:tcBorders>
            <w:vAlign w:val="center"/>
          </w:tcPr>
          <w:p w14:paraId="7FE1BA0A" w14:textId="47AA2EA1" w:rsidR="00393915" w:rsidRDefault="00F24D68">
            <w:pPr>
              <w:pStyle w:val="P68B1DB1-TableParagraph17"/>
              <w:spacing w:before="108"/>
              <w:ind w:left="85"/>
              <w:jc w:val="both"/>
            </w:pPr>
            <w:r>
              <w:t>0035</w:t>
            </w:r>
          </w:p>
        </w:tc>
        <w:tc>
          <w:tcPr>
            <w:tcW w:w="8003" w:type="dxa"/>
            <w:tcBorders>
              <w:top w:val="single" w:sz="4" w:space="0" w:color="1A171C"/>
              <w:left w:val="single" w:sz="4" w:space="0" w:color="1A171C"/>
              <w:bottom w:val="single" w:sz="4" w:space="0" w:color="1A171C"/>
              <w:right w:val="nil"/>
            </w:tcBorders>
            <w:vAlign w:val="center"/>
          </w:tcPr>
          <w:p w14:paraId="7FE1BA0B" w14:textId="6EC28009" w:rsidR="00393915" w:rsidRDefault="00F24D68">
            <w:pPr>
              <w:pStyle w:val="P68B1DB1-TableParagraph14"/>
              <w:spacing w:before="108"/>
              <w:jc w:val="both"/>
              <w:rPr>
                <w:bCs/>
              </w:rPr>
            </w:pPr>
            <w:bookmarkStart w:id="110" w:name="_Hlk162030772"/>
            <w:r>
              <w:t xml:space="preserve">Od čega </w:t>
            </w:r>
            <w:r>
              <w:t>neosiguran</w:t>
            </w:r>
            <w:r w:rsidR="006B40D5">
              <w:t>i</w:t>
            </w:r>
          </w:p>
          <w:p w14:paraId="7FE1BA0C" w14:textId="7E254582" w:rsidR="00393915" w:rsidRDefault="00F24D68">
            <w:pPr>
              <w:pStyle w:val="P68B1DB1-TableParagraph13"/>
              <w:spacing w:before="108"/>
              <w:rPr>
                <w:rFonts w:eastAsia="Cambria"/>
              </w:rPr>
            </w:pPr>
            <w:r>
              <w:t>Knjigovodstvena vrijednost (uključujući obračunate kamate) depozita prihvaćenih s stanjem na njihovu računu većim od 100</w:t>
            </w:r>
            <w:r w:rsidR="006B40D5">
              <w:t>.</w:t>
            </w:r>
            <w:r>
              <w:t>000</w:t>
            </w:r>
            <w:r w:rsidR="006B40D5">
              <w:t xml:space="preserve"> </w:t>
            </w:r>
            <w:r>
              <w:t>EUR</w:t>
            </w:r>
            <w:bookmarkEnd w:id="110"/>
            <w:r>
              <w:t>. Ovdje se iskazuje samo iznos koji premašuje 100</w:t>
            </w:r>
            <w:r w:rsidR="006B40D5">
              <w:t>.</w:t>
            </w:r>
            <w:r>
              <w:t>000 EUR.</w:t>
            </w:r>
          </w:p>
        </w:tc>
      </w:tr>
      <w:tr w:rsidR="00393915" w14:paraId="7FE1BA14" w14:textId="77777777">
        <w:tc>
          <w:tcPr>
            <w:tcW w:w="1080" w:type="dxa"/>
            <w:tcBorders>
              <w:top w:val="single" w:sz="4" w:space="0" w:color="1A171C"/>
              <w:left w:val="nil"/>
              <w:bottom w:val="single" w:sz="4" w:space="0" w:color="1A171C"/>
              <w:right w:val="single" w:sz="4" w:space="0" w:color="1A171C"/>
            </w:tcBorders>
            <w:vAlign w:val="center"/>
          </w:tcPr>
          <w:p w14:paraId="7FE1BA0E" w14:textId="13FF7421" w:rsidR="00393915" w:rsidRDefault="00F24D68">
            <w:pPr>
              <w:pStyle w:val="P68B1DB1-TableParagraph17"/>
              <w:spacing w:before="108"/>
              <w:ind w:left="85"/>
              <w:jc w:val="both"/>
            </w:pPr>
            <w:r>
              <w:t>0036</w:t>
            </w:r>
          </w:p>
        </w:tc>
        <w:tc>
          <w:tcPr>
            <w:tcW w:w="8003" w:type="dxa"/>
            <w:tcBorders>
              <w:top w:val="single" w:sz="4" w:space="0" w:color="1A171C"/>
              <w:left w:val="single" w:sz="4" w:space="0" w:color="1A171C"/>
              <w:bottom w:val="single" w:sz="4" w:space="0" w:color="1A171C"/>
              <w:right w:val="nil"/>
            </w:tcBorders>
            <w:vAlign w:val="center"/>
          </w:tcPr>
          <w:p w14:paraId="7FE1BA0F" w14:textId="76E87FC3" w:rsidR="00393915" w:rsidRDefault="00F24D68">
            <w:pPr>
              <w:pStyle w:val="P68B1DB1-TableParagraph14"/>
              <w:spacing w:before="108"/>
              <w:ind w:left="85"/>
              <w:jc w:val="both"/>
              <w:rPr>
                <w:bCs/>
              </w:rPr>
            </w:pPr>
            <w:bookmarkStart w:id="111" w:name="_Hlk162030782"/>
            <w:r>
              <w:t xml:space="preserve">Od čega </w:t>
            </w:r>
            <w:r w:rsidR="006B40D5">
              <w:t>stalni</w:t>
            </w:r>
          </w:p>
          <w:p w14:paraId="7FE1BA12" w14:textId="01B3DD8A" w:rsidR="00393915" w:rsidRDefault="00F24D68">
            <w:pPr>
              <w:pStyle w:val="P68B1DB1-TableParagraph13"/>
              <w:spacing w:before="108"/>
              <w:ind w:left="85"/>
              <w:jc w:val="both"/>
            </w:pPr>
            <w:bookmarkStart w:id="112" w:name="_Hlk170377814"/>
            <w:bookmarkStart w:id="113" w:name="_Hlk162030851"/>
            <w:r>
              <w:t xml:space="preserve">Knjigovodstvena vrijednost (uključujući obračunate kamate) prihvaćenih depozita koji se drže na </w:t>
            </w:r>
            <w:r w:rsidR="006B40D5">
              <w:t>staln</w:t>
            </w:r>
            <w:r>
              <w:t>om</w:t>
            </w:r>
            <w:r>
              <w:t xml:space="preserve"> depozitnom računu.  </w:t>
            </w:r>
            <w:r w:rsidR="00037101">
              <w:t>Stalni</w:t>
            </w:r>
            <w:r>
              <w:t xml:space="preserve"> depozitni računi su depozitni računi na kojima je račun terećen ili uplaćen u korist najmanje pet mjesečnih transakcija u prosjeku tijekom šest mjeseci prije krajnjeg roka, osim godišnjih naknada, drugih naknada i plaćanja kamata povezanih s računom. </w:t>
            </w:r>
            <w:bookmarkEnd w:id="112"/>
          </w:p>
          <w:bookmarkEnd w:id="111"/>
          <w:bookmarkEnd w:id="113"/>
          <w:p w14:paraId="7FE1BA13" w14:textId="0C63C868" w:rsidR="00393915" w:rsidRDefault="00393915">
            <w:pPr>
              <w:pStyle w:val="TableParagraph"/>
              <w:spacing w:before="108"/>
              <w:ind w:left="85"/>
              <w:jc w:val="both"/>
              <w:rPr>
                <w:rFonts w:ascii="Times New Roman" w:hAnsi="Times New Roman" w:cs="Times New Roman"/>
                <w:color w:val="000000" w:themeColor="text1"/>
                <w:sz w:val="20"/>
                <w:szCs w:val="20"/>
              </w:rPr>
            </w:pPr>
          </w:p>
        </w:tc>
      </w:tr>
      <w:tr w:rsidR="00393915" w14:paraId="7FE1BA18" w14:textId="77777777">
        <w:tc>
          <w:tcPr>
            <w:tcW w:w="1080" w:type="dxa"/>
            <w:tcBorders>
              <w:top w:val="single" w:sz="4" w:space="0" w:color="1A171C"/>
              <w:left w:val="nil"/>
              <w:bottom w:val="single" w:sz="4" w:space="0" w:color="1A171C"/>
              <w:right w:val="single" w:sz="4" w:space="0" w:color="1A171C"/>
            </w:tcBorders>
            <w:vAlign w:val="center"/>
          </w:tcPr>
          <w:p w14:paraId="7FE1BA15" w14:textId="56462D7A" w:rsidR="00393915" w:rsidRDefault="00F24D68">
            <w:pPr>
              <w:pStyle w:val="P68B1DB1-TableParagraph17"/>
              <w:spacing w:before="108"/>
              <w:ind w:left="85"/>
              <w:jc w:val="both"/>
            </w:pPr>
            <w:r>
              <w:t>0040</w:t>
            </w:r>
          </w:p>
        </w:tc>
        <w:tc>
          <w:tcPr>
            <w:tcW w:w="8003" w:type="dxa"/>
            <w:tcBorders>
              <w:top w:val="single" w:sz="4" w:space="0" w:color="1A171C"/>
              <w:left w:val="single" w:sz="4" w:space="0" w:color="1A171C"/>
              <w:bottom w:val="single" w:sz="4" w:space="0" w:color="1A171C"/>
              <w:right w:val="nil"/>
            </w:tcBorders>
            <w:vAlign w:val="center"/>
          </w:tcPr>
          <w:p w14:paraId="7FE1BA16" w14:textId="77777777" w:rsidR="00393915" w:rsidRDefault="00F24D68">
            <w:pPr>
              <w:pStyle w:val="P68B1DB1-TableParagraph14"/>
              <w:spacing w:before="108"/>
              <w:ind w:left="85"/>
              <w:jc w:val="both"/>
              <w:rPr>
                <w:bCs/>
              </w:rPr>
            </w:pPr>
            <w:r>
              <w:t>Broj klijenata</w:t>
            </w:r>
          </w:p>
          <w:p w14:paraId="7FE1BA17" w14:textId="77777777" w:rsidR="00393915" w:rsidRDefault="00F24D68">
            <w:pPr>
              <w:pStyle w:val="P68B1DB1-TableParagraph13"/>
              <w:spacing w:before="108"/>
              <w:ind w:left="85"/>
              <w:jc w:val="both"/>
            </w:pPr>
            <w:r>
              <w:t>Ukupan broj klijenata koji su položili vrijednosti iskazane u c0030 „vrijednost na računima”. Ako jedan klijent koristi više od jednog proizvoda/računa za depozite, taj klijent računa se samo jednom.</w:t>
            </w:r>
          </w:p>
        </w:tc>
      </w:tr>
      <w:tr w:rsidR="00F83F66" w14:paraId="7FE1BA1F" w14:textId="77777777" w:rsidTr="00F83F66">
        <w:trPr>
          <w:trHeight w:val="1428"/>
        </w:trPr>
        <w:tc>
          <w:tcPr>
            <w:tcW w:w="1080" w:type="dxa"/>
            <w:tcBorders>
              <w:top w:val="single" w:sz="4" w:space="0" w:color="1A171C"/>
              <w:left w:val="nil"/>
              <w:bottom w:val="single" w:sz="4" w:space="0" w:color="1A171C"/>
              <w:right w:val="single" w:sz="4" w:space="0" w:color="1A171C"/>
            </w:tcBorders>
            <w:vAlign w:val="center"/>
          </w:tcPr>
          <w:p w14:paraId="7FE1BA19" w14:textId="5D4B8FB0" w:rsidR="00393915" w:rsidRDefault="00F24D68">
            <w:pPr>
              <w:pStyle w:val="P68B1DB1-TableParagraph17"/>
              <w:spacing w:before="108"/>
              <w:ind w:left="85"/>
              <w:jc w:val="both"/>
            </w:pPr>
            <w:r>
              <w:t>0050</w:t>
            </w:r>
          </w:p>
        </w:tc>
        <w:tc>
          <w:tcPr>
            <w:tcW w:w="8003" w:type="dxa"/>
            <w:tcBorders>
              <w:top w:val="single" w:sz="4" w:space="0" w:color="1A171C"/>
              <w:left w:val="single" w:sz="4" w:space="0" w:color="1A171C"/>
              <w:bottom w:val="single" w:sz="4" w:space="0" w:color="1A171C"/>
              <w:right w:val="nil"/>
            </w:tcBorders>
            <w:vAlign w:val="center"/>
          </w:tcPr>
          <w:p w14:paraId="7FE1BA1A" w14:textId="77777777" w:rsidR="00393915" w:rsidRDefault="00F24D68">
            <w:pPr>
              <w:pStyle w:val="P68B1DB1-TableParagraph14"/>
              <w:spacing w:before="108"/>
              <w:ind w:left="85"/>
              <w:jc w:val="both"/>
              <w:rPr>
                <w:bCs/>
              </w:rPr>
            </w:pPr>
            <w:r>
              <w:t>Broj računa</w:t>
            </w:r>
          </w:p>
          <w:p w14:paraId="7FE1BA1E" w14:textId="44B58661" w:rsidR="00393915" w:rsidRDefault="00F24D68">
            <w:pPr>
              <w:pStyle w:val="P68B1DB1-TableParagraph13"/>
              <w:spacing w:before="108"/>
              <w:ind w:left="85"/>
              <w:jc w:val="both"/>
              <w:rPr>
                <w:b/>
                <w:bCs/>
              </w:rPr>
            </w:pPr>
            <w:r>
              <w:t>Ukupan broj tekućih računa/prekonoćnih depozita, depozita s ugovorenim dospijećem i</w:t>
            </w:r>
            <w:r w:rsidR="000521A8">
              <w:t xml:space="preserve"> </w:t>
            </w:r>
            <w:r>
              <w:t xml:space="preserve">depoziti </w:t>
            </w:r>
            <w:r w:rsidR="009974BC">
              <w:t xml:space="preserve">koji se mogu povući </w:t>
            </w:r>
            <w:r>
              <w:t>s otkaznim rokom</w:t>
            </w:r>
            <w:r w:rsidR="009974BC">
              <w:t>.</w:t>
            </w:r>
            <w:r>
              <w:t xml:space="preserve"> Zajednički računi računaju se samo jednom. </w:t>
            </w:r>
            <w:r w:rsidR="009974BC">
              <w:t>U</w:t>
            </w:r>
            <w:r>
              <w:t>kupan</w:t>
            </w:r>
            <w:r>
              <w:t xml:space="preserve"> broj računa u ovom stupcu odgovara vrijednosti iskazanoj u c0030</w:t>
            </w:r>
            <w:r w:rsidR="009974BC">
              <w:t xml:space="preserve"> </w:t>
            </w:r>
            <w:r>
              <w:t>„vrijednost na računima”.</w:t>
            </w:r>
          </w:p>
        </w:tc>
      </w:tr>
      <w:tr w:rsidR="00393915" w14:paraId="7FE1BA23" w14:textId="77777777">
        <w:tc>
          <w:tcPr>
            <w:tcW w:w="1080" w:type="dxa"/>
            <w:tcBorders>
              <w:top w:val="single" w:sz="4" w:space="0" w:color="1A171C"/>
              <w:left w:val="nil"/>
              <w:bottom w:val="single" w:sz="4" w:space="0" w:color="1A171C"/>
              <w:right w:val="single" w:sz="4" w:space="0" w:color="1A171C"/>
            </w:tcBorders>
            <w:vAlign w:val="center"/>
          </w:tcPr>
          <w:p w14:paraId="7FE1BA20" w14:textId="175782F6" w:rsidR="00393915" w:rsidRDefault="00F24D68">
            <w:pPr>
              <w:pStyle w:val="P68B1DB1-TableParagraph17"/>
              <w:spacing w:before="108"/>
              <w:ind w:left="85"/>
              <w:jc w:val="both"/>
            </w:pPr>
            <w:r>
              <w:t>0055</w:t>
            </w:r>
          </w:p>
        </w:tc>
        <w:tc>
          <w:tcPr>
            <w:tcW w:w="8003" w:type="dxa"/>
            <w:tcBorders>
              <w:top w:val="single" w:sz="4" w:space="0" w:color="1A171C"/>
              <w:left w:val="single" w:sz="4" w:space="0" w:color="1A171C"/>
              <w:bottom w:val="single" w:sz="4" w:space="0" w:color="1A171C"/>
              <w:right w:val="nil"/>
            </w:tcBorders>
            <w:vAlign w:val="center"/>
          </w:tcPr>
          <w:p w14:paraId="7FE1BA21" w14:textId="02F102FF" w:rsidR="00393915" w:rsidRDefault="00F24D68">
            <w:pPr>
              <w:pStyle w:val="P68B1DB1-TableParagraph14"/>
              <w:spacing w:before="108"/>
              <w:ind w:left="85"/>
              <w:jc w:val="both"/>
              <w:rPr>
                <w:bCs/>
              </w:rPr>
            </w:pPr>
            <w:r>
              <w:t xml:space="preserve">Od čega </w:t>
            </w:r>
            <w:r w:rsidR="000521A8">
              <w:t>stalni</w:t>
            </w:r>
          </w:p>
          <w:p w14:paraId="7FE1BA22" w14:textId="730C963F" w:rsidR="00393915" w:rsidRDefault="00F24D68">
            <w:pPr>
              <w:pStyle w:val="P68B1DB1-TableParagraph13"/>
              <w:spacing w:before="108"/>
              <w:ind w:left="85"/>
              <w:jc w:val="both"/>
            </w:pPr>
            <w:r>
              <w:t xml:space="preserve">Ukupan broj </w:t>
            </w:r>
            <w:r w:rsidR="000521A8">
              <w:t>stalnih</w:t>
            </w:r>
            <w:r w:rsidR="000521A8">
              <w:t xml:space="preserve"> </w:t>
            </w:r>
            <w:r>
              <w:t>računa kako je definirano u c0036</w:t>
            </w:r>
          </w:p>
        </w:tc>
      </w:tr>
      <w:tr w:rsidR="00393915" w14:paraId="7FE1BA2B" w14:textId="77777777">
        <w:tc>
          <w:tcPr>
            <w:tcW w:w="1080" w:type="dxa"/>
            <w:tcBorders>
              <w:top w:val="single" w:sz="4" w:space="0" w:color="1A171C"/>
              <w:left w:val="nil"/>
              <w:bottom w:val="single" w:sz="4" w:space="0" w:color="1A171C"/>
              <w:right w:val="single" w:sz="4" w:space="0" w:color="1A171C"/>
            </w:tcBorders>
            <w:vAlign w:val="center"/>
          </w:tcPr>
          <w:p w14:paraId="7FE1BA24" w14:textId="486A03B3" w:rsidR="00393915" w:rsidRDefault="00F24D68">
            <w:pPr>
              <w:pStyle w:val="P68B1DB1-TableParagraph17"/>
              <w:spacing w:before="108"/>
              <w:jc w:val="both"/>
            </w:pPr>
            <w:r>
              <w:t>0060</w:t>
            </w:r>
          </w:p>
        </w:tc>
        <w:tc>
          <w:tcPr>
            <w:tcW w:w="8003" w:type="dxa"/>
            <w:tcBorders>
              <w:top w:val="single" w:sz="4" w:space="0" w:color="1A171C"/>
              <w:left w:val="single" w:sz="4" w:space="0" w:color="1A171C"/>
              <w:bottom w:val="single" w:sz="4" w:space="0" w:color="1A171C"/>
              <w:right w:val="nil"/>
            </w:tcBorders>
            <w:vAlign w:val="center"/>
          </w:tcPr>
          <w:p w14:paraId="7FE1BA25" w14:textId="77777777" w:rsidR="00393915" w:rsidRDefault="00F24D68">
            <w:pPr>
              <w:pStyle w:val="P68B1DB1-TableParagraph14"/>
              <w:spacing w:before="108"/>
              <w:ind w:left="85"/>
              <w:jc w:val="both"/>
              <w:rPr>
                <w:bCs/>
              </w:rPr>
            </w:pPr>
            <w:r>
              <w:t>Prekogranična vrijednost</w:t>
            </w:r>
          </w:p>
          <w:p w14:paraId="7E15DA76" w14:textId="62034E8B" w:rsidR="00D92F79" w:rsidRPr="00F15538" w:rsidRDefault="00F24D68">
            <w:pPr>
              <w:pStyle w:val="P68B1DB1-TableParagraph13"/>
              <w:spacing w:before="108"/>
              <w:ind w:left="85"/>
              <w:jc w:val="both"/>
            </w:pPr>
            <w:r>
              <w:t>Vrijednost na računima nerezidenata (nedomaće osobe). Domaće osobe uključuju: i.</w:t>
            </w:r>
            <w:r w:rsidR="001411AA" w:rsidRPr="002E4A39">
              <w:t xml:space="preserve"> </w:t>
            </w:r>
            <w:r>
              <w:t xml:space="preserve">osobe koje imaju glavni </w:t>
            </w:r>
            <w:r w:rsidR="00D92F79" w:rsidRPr="000A0BD6">
              <w:t>ekonomski</w:t>
            </w:r>
            <w:r w:rsidRPr="000A0BD6">
              <w:t xml:space="preserve"> </w:t>
            </w:r>
            <w:r>
              <w:t>interes (</w:t>
            </w:r>
            <w:r w:rsidR="00D92F79" w:rsidRPr="000A0BD6">
              <w:t>ekonomsk</w:t>
            </w:r>
            <w:r w:rsidR="000A0BD6" w:rsidRPr="000A0BD6">
              <w:t>e</w:t>
            </w:r>
            <w:r w:rsidR="00D92F79" w:rsidRPr="000A0BD6">
              <w:t xml:space="preserve"> aktivnost</w:t>
            </w:r>
            <w:r w:rsidR="000A0BD6" w:rsidRPr="000A0BD6">
              <w:t>i</w:t>
            </w:r>
            <w:r w:rsidR="00D92F79" w:rsidRPr="000A0BD6">
              <w:t xml:space="preserve"> </w:t>
            </w:r>
            <w:r>
              <w:t>najmanje godinu dana;</w:t>
            </w:r>
            <w:r w:rsidR="00D92F79" w:rsidRPr="00F15538">
              <w:t xml:space="preserve"> </w:t>
            </w:r>
            <w:r w:rsidR="00D92F79" w:rsidRPr="00F15538">
              <w:t>vlasništvo nad fizičkom imovinom smatra se dostatnim dokazom)</w:t>
            </w:r>
            <w:r w:rsidR="001411AA" w:rsidRPr="002E4A39">
              <w:t xml:space="preserve"> </w:t>
            </w:r>
          </w:p>
          <w:p w14:paraId="7FE1BA29" w14:textId="786CDC49" w:rsidR="00393915" w:rsidRDefault="00F24D68">
            <w:pPr>
              <w:pStyle w:val="P68B1DB1-TableParagraph13"/>
              <w:spacing w:before="108"/>
              <w:ind w:left="85"/>
              <w:jc w:val="both"/>
            </w:pPr>
            <w:r>
              <w:t xml:space="preserve">u </w:t>
            </w:r>
            <w:r w:rsidR="00D92F79" w:rsidRPr="00F15538">
              <w:t>državi izvješ</w:t>
            </w:r>
            <w:r w:rsidR="008715F4" w:rsidRPr="00F15538">
              <w:t>t</w:t>
            </w:r>
            <w:r w:rsidR="00D92F79" w:rsidRPr="00F15538">
              <w:t>ajnog subjekta</w:t>
            </w:r>
            <w:r>
              <w:t xml:space="preserve"> i ii. </w:t>
            </w:r>
            <w:r w:rsidRPr="00F83F66">
              <w:rPr>
                <w:highlight w:val="yellow"/>
              </w:rPr>
              <w:t>strane podružnice klijenata izvještajnog subjekta.</w:t>
            </w:r>
          </w:p>
          <w:p w14:paraId="7FE1BA2A" w14:textId="77777777" w:rsidR="00393915" w:rsidRDefault="00F24D68">
            <w:pPr>
              <w:pStyle w:val="P68B1DB1-TableParagraph13"/>
              <w:spacing w:before="108"/>
              <w:ind w:left="85"/>
              <w:jc w:val="both"/>
              <w:rPr>
                <w:b/>
                <w:bCs/>
              </w:rPr>
            </w:pPr>
            <w:r>
              <w:t xml:space="preserve">Referentni broj: </w:t>
            </w:r>
          </w:p>
        </w:tc>
      </w:tr>
      <w:tr w:rsidR="00393915" w14:paraId="7FE1BA34" w14:textId="77777777">
        <w:tc>
          <w:tcPr>
            <w:tcW w:w="1080" w:type="dxa"/>
            <w:tcBorders>
              <w:top w:val="single" w:sz="4" w:space="0" w:color="1A171C"/>
              <w:left w:val="nil"/>
              <w:bottom w:val="single" w:sz="4" w:space="0" w:color="1A171C"/>
              <w:right w:val="single" w:sz="4" w:space="0" w:color="1A171C"/>
            </w:tcBorders>
            <w:vAlign w:val="center"/>
          </w:tcPr>
          <w:p w14:paraId="7FE1BA2C" w14:textId="38DDB56C" w:rsidR="00393915" w:rsidRDefault="00F24D68">
            <w:pPr>
              <w:pStyle w:val="P68B1DB1-TableParagraph17"/>
              <w:spacing w:before="108"/>
              <w:jc w:val="both"/>
            </w:pPr>
            <w:r>
              <w:t>0070 – 0140</w:t>
            </w:r>
          </w:p>
        </w:tc>
        <w:tc>
          <w:tcPr>
            <w:tcW w:w="8003" w:type="dxa"/>
            <w:tcBorders>
              <w:top w:val="single" w:sz="4" w:space="0" w:color="1A171C"/>
              <w:left w:val="single" w:sz="4" w:space="0" w:color="1A171C"/>
              <w:bottom w:val="single" w:sz="4" w:space="0" w:color="1A171C"/>
              <w:right w:val="nil"/>
            </w:tcBorders>
            <w:vAlign w:val="center"/>
          </w:tcPr>
          <w:p w14:paraId="7FE1BA2D" w14:textId="034BD17D" w:rsidR="00393915" w:rsidRDefault="00F24D68">
            <w:pPr>
              <w:pStyle w:val="P68B1DB1-TableParagraph14"/>
              <w:spacing w:before="108"/>
              <w:jc w:val="both"/>
              <w:rPr>
                <w:bCs/>
              </w:rPr>
            </w:pPr>
            <w:r>
              <w:t xml:space="preserve">Analize </w:t>
            </w:r>
            <w:r w:rsidR="008715F4" w:rsidRPr="002E4A39">
              <w:t>utjecaja</w:t>
            </w:r>
            <w:r w:rsidR="008715F4">
              <w:t xml:space="preserve"> </w:t>
            </w:r>
            <w:r>
              <w:t>i zamjenjivosti</w:t>
            </w:r>
          </w:p>
          <w:p w14:paraId="7FE1BA2E" w14:textId="0EB04A5B" w:rsidR="00393915" w:rsidRDefault="00F24D68">
            <w:pPr>
              <w:pStyle w:val="P68B1DB1-Normal31"/>
              <w:spacing w:line="276" w:lineRule="auto"/>
              <w:jc w:val="both"/>
            </w:pPr>
            <w:r>
              <w:t xml:space="preserve">Kriteriji procjene </w:t>
            </w:r>
            <w:r w:rsidR="001177BC">
              <w:t>utjecaja</w:t>
            </w:r>
            <w:r w:rsidR="001177BC">
              <w:t xml:space="preserve"> </w:t>
            </w:r>
            <w:r>
              <w:t>na treće strane uključuju sljedeće elemente u skladu s Delegiranom uredbom Komisije (EU) 2016/778:</w:t>
            </w:r>
          </w:p>
          <w:p w14:paraId="7FE1BA2F" w14:textId="1C214367" w:rsidR="00393915" w:rsidRDefault="00F24D68">
            <w:pPr>
              <w:pStyle w:val="P68B1DB1-ListParagraph32"/>
              <w:numPr>
                <w:ilvl w:val="0"/>
                <w:numId w:val="131"/>
              </w:numPr>
              <w:spacing w:line="276" w:lineRule="auto"/>
              <w:rPr>
                <w:b/>
                <w:bCs/>
              </w:rPr>
            </w:pPr>
            <w:r>
              <w:rPr>
                <w:b/>
              </w:rPr>
              <w:t>prirodu i doseg aktivnosti</w:t>
            </w:r>
            <w:r>
              <w:t xml:space="preserve">, globalni, nacionalni ili regionalni doseg, </w:t>
            </w:r>
            <w:r w:rsidR="002E4A39">
              <w:t>volumen</w:t>
            </w:r>
            <w:r>
              <w:t xml:space="preserve"> i broj transakcija; broj korisnika i ugovornih strana; broj korisnika za koje je institucija jedini ili glavni bankarski partner.</w:t>
            </w:r>
          </w:p>
          <w:p w14:paraId="7FE1BA30" w14:textId="77777777" w:rsidR="00393915" w:rsidRDefault="00F24D68">
            <w:pPr>
              <w:pStyle w:val="P68B1DB1-ListParagraph32"/>
              <w:numPr>
                <w:ilvl w:val="0"/>
                <w:numId w:val="131"/>
              </w:numPr>
              <w:spacing w:line="276" w:lineRule="auto"/>
              <w:rPr>
                <w:b/>
                <w:bCs/>
              </w:rPr>
            </w:pPr>
            <w:r>
              <w:rPr>
                <w:b/>
              </w:rPr>
              <w:lastRenderedPageBreak/>
              <w:t>važnost institucije na</w:t>
            </w:r>
            <w:r>
              <w:t xml:space="preserve"> lokalnoj, regionalnoj, nacionalnoj ili europskoj razini, ovisno o predmetnom tržištu. Važnost institucije može se procijeniti na temelju tržišnog udjela, međusobne povezanosti, složenosti i prekograničnih aktivnosti.</w:t>
            </w:r>
          </w:p>
          <w:p w14:paraId="7FE1BA31" w14:textId="432395B1" w:rsidR="00393915" w:rsidRDefault="00F24D68">
            <w:pPr>
              <w:pStyle w:val="P68B1DB1-ListParagraph32"/>
              <w:numPr>
                <w:ilvl w:val="0"/>
                <w:numId w:val="131"/>
              </w:numPr>
              <w:spacing w:line="276" w:lineRule="auto"/>
              <w:rPr>
                <w:b/>
                <w:bCs/>
              </w:rPr>
            </w:pPr>
            <w:r>
              <w:rPr>
                <w:b/>
              </w:rPr>
              <w:t xml:space="preserve">prirodu </w:t>
            </w:r>
            <w:r w:rsidR="00FB481F">
              <w:rPr>
                <w:b/>
              </w:rPr>
              <w:t>klijenata</w:t>
            </w:r>
            <w:r w:rsidR="00FB481F">
              <w:rPr>
                <w:b/>
              </w:rPr>
              <w:t xml:space="preserve"> </w:t>
            </w:r>
            <w:r>
              <w:rPr>
                <w:b/>
              </w:rPr>
              <w:t>i dionika na koje utječe funkcija</w:t>
            </w:r>
            <w:r>
              <w:t xml:space="preserve"> kao što su, ali ne isključivo, mali korisnici, korporativni i međubankovni korisnici, središnje klirinške kuće i javna tijela. </w:t>
            </w:r>
          </w:p>
          <w:p w14:paraId="7FE1BA32" w14:textId="61367312" w:rsidR="00393915" w:rsidRDefault="00F24D68">
            <w:pPr>
              <w:pStyle w:val="P68B1DB1-ListParagraph32"/>
              <w:numPr>
                <w:ilvl w:val="0"/>
                <w:numId w:val="131"/>
              </w:numPr>
              <w:spacing w:line="276" w:lineRule="auto"/>
              <w:rPr>
                <w:b/>
                <w:bCs/>
              </w:rPr>
            </w:pPr>
            <w:r>
              <w:rPr>
                <w:b/>
              </w:rPr>
              <w:t>u</w:t>
            </w:r>
            <w:r w:rsidR="001177BC">
              <w:rPr>
                <w:b/>
              </w:rPr>
              <w:t>tjecaj</w:t>
            </w:r>
            <w:r>
              <w:rPr>
                <w:b/>
              </w:rPr>
              <w:t xml:space="preserve"> potencijalnog prekida funkcije na tržišta, infrastrukture, </w:t>
            </w:r>
            <w:r w:rsidR="00BC6E91">
              <w:rPr>
                <w:b/>
              </w:rPr>
              <w:t>klijente</w:t>
            </w:r>
            <w:r w:rsidR="00BC6E91">
              <w:rPr>
                <w:b/>
              </w:rPr>
              <w:t xml:space="preserve"> </w:t>
            </w:r>
            <w:r>
              <w:rPr>
                <w:b/>
              </w:rPr>
              <w:t>i javne usluge</w:t>
            </w:r>
            <w:r>
              <w:t xml:space="preserve">. Procjena može posebno uključivati </w:t>
            </w:r>
            <w:r>
              <w:t>u</w:t>
            </w:r>
            <w:r w:rsidR="001177BC">
              <w:t>tjecaj</w:t>
            </w:r>
            <w:r>
              <w:t xml:space="preserve"> na likvidnost predmetnog tržišta, utjecaj i razmjer prekida na poslovanje </w:t>
            </w:r>
            <w:r w:rsidR="00BC6E91">
              <w:t>klijenata,</w:t>
            </w:r>
            <w:r w:rsidR="00BC6E91">
              <w:t xml:space="preserve"> </w:t>
            </w:r>
            <w:r>
              <w:t xml:space="preserve">i kratkoročne likvidnosne potrebe; </w:t>
            </w:r>
            <w:r w:rsidR="00BC6E91">
              <w:t>percepciju</w:t>
            </w:r>
            <w:r>
              <w:t xml:space="preserve"> drug</w:t>
            </w:r>
            <w:r w:rsidR="00BC6E91">
              <w:t>ih</w:t>
            </w:r>
            <w:r>
              <w:t xml:space="preserve"> ugovorn</w:t>
            </w:r>
            <w:r w:rsidR="00BC6E91">
              <w:t>ih</w:t>
            </w:r>
            <w:r>
              <w:t xml:space="preserve"> </w:t>
            </w:r>
            <w:r w:rsidR="00BC6E91">
              <w:t>strana</w:t>
            </w:r>
            <w:r>
              <w:t xml:space="preserve">, </w:t>
            </w:r>
            <w:r w:rsidR="00BC6E91">
              <w:t>klijenata</w:t>
            </w:r>
            <w:r w:rsidR="00BC6E91">
              <w:t xml:space="preserve"> </w:t>
            </w:r>
            <w:r>
              <w:t xml:space="preserve">i javnost; mogućnost i brzinu reakcije </w:t>
            </w:r>
            <w:r w:rsidR="00BC6E91">
              <w:t>klijenata</w:t>
            </w:r>
            <w:r>
              <w:t xml:space="preserve">; važnost za funkcioniranje drugih tržišta; </w:t>
            </w:r>
            <w:r w:rsidR="001177BC">
              <w:t>utjecaj</w:t>
            </w:r>
            <w:r w:rsidR="001177BC">
              <w:t xml:space="preserve"> </w:t>
            </w:r>
            <w:r>
              <w:t xml:space="preserve">na likvidnost, poslovanje, strukturu drugog tržišta; </w:t>
            </w:r>
            <w:r w:rsidR="00F5543C">
              <w:t>utjecaj</w:t>
            </w:r>
            <w:r w:rsidR="00F5543C">
              <w:t xml:space="preserve"> </w:t>
            </w:r>
            <w:r>
              <w:t xml:space="preserve">na </w:t>
            </w:r>
            <w:r w:rsidR="00BC6E91">
              <w:t>druge</w:t>
            </w:r>
            <w:r>
              <w:t xml:space="preserve"> </w:t>
            </w:r>
            <w:r>
              <w:t xml:space="preserve">ugovorne strane povezane s </w:t>
            </w:r>
            <w:r w:rsidR="00BC6E91">
              <w:t>najv</w:t>
            </w:r>
            <w:r w:rsidR="00300A97">
              <w:t>ećim</w:t>
            </w:r>
            <w:r w:rsidR="00BC6E91">
              <w:t xml:space="preserve"> klijentima</w:t>
            </w:r>
            <w:r>
              <w:t xml:space="preserve"> i međusobnu povezanost funkcije s drugim uslugama.</w:t>
            </w:r>
          </w:p>
          <w:p w14:paraId="7FE1BA33" w14:textId="77777777" w:rsidR="00393915" w:rsidRDefault="00393915">
            <w:pPr>
              <w:pStyle w:val="TableParagraph"/>
              <w:spacing w:before="108"/>
              <w:ind w:left="85"/>
              <w:jc w:val="both"/>
              <w:rPr>
                <w:rFonts w:ascii="Times New Roman" w:hAnsi="Times New Roman" w:cs="Times New Roman"/>
                <w:b/>
                <w:bCs/>
                <w:color w:val="000000" w:themeColor="text1"/>
                <w:sz w:val="20"/>
                <w:szCs w:val="20"/>
              </w:rPr>
            </w:pPr>
          </w:p>
        </w:tc>
      </w:tr>
      <w:tr w:rsidR="00393915" w14:paraId="7FE1BA38" w14:textId="77777777">
        <w:tc>
          <w:tcPr>
            <w:tcW w:w="1080" w:type="dxa"/>
            <w:tcBorders>
              <w:top w:val="single" w:sz="4" w:space="0" w:color="1A171C"/>
              <w:left w:val="nil"/>
              <w:bottom w:val="single" w:sz="4" w:space="0" w:color="1A171C"/>
              <w:right w:val="single" w:sz="4" w:space="0" w:color="1A171C"/>
            </w:tcBorders>
            <w:vAlign w:val="center"/>
          </w:tcPr>
          <w:p w14:paraId="7FE1BA35" w14:textId="3050578F" w:rsidR="00393915" w:rsidRDefault="00F24D68">
            <w:pPr>
              <w:pStyle w:val="P68B1DB1-TableParagraph17"/>
              <w:spacing w:before="108"/>
              <w:jc w:val="both"/>
            </w:pPr>
            <w:r>
              <w:lastRenderedPageBreak/>
              <w:t>0070 – 0090</w:t>
            </w:r>
          </w:p>
        </w:tc>
        <w:tc>
          <w:tcPr>
            <w:tcW w:w="8003" w:type="dxa"/>
            <w:tcBorders>
              <w:top w:val="single" w:sz="4" w:space="0" w:color="1A171C"/>
              <w:left w:val="single" w:sz="4" w:space="0" w:color="1A171C"/>
              <w:bottom w:val="single" w:sz="4" w:space="0" w:color="1A171C"/>
              <w:right w:val="nil"/>
            </w:tcBorders>
            <w:vAlign w:val="center"/>
          </w:tcPr>
          <w:p w14:paraId="7FE1BA36" w14:textId="77777777" w:rsidR="00393915" w:rsidRDefault="00F24D68">
            <w:pPr>
              <w:pStyle w:val="P68B1DB1-TableParagraph14"/>
              <w:spacing w:before="108"/>
              <w:ind w:left="85"/>
              <w:jc w:val="both"/>
              <w:rPr>
                <w:bCs/>
              </w:rPr>
            </w:pPr>
            <w:r>
              <w:t xml:space="preserve">Priroda i područje primjene </w:t>
            </w:r>
          </w:p>
          <w:p w14:paraId="7FE1BA37" w14:textId="14D9C343" w:rsidR="00393915" w:rsidRDefault="00F24D68">
            <w:pPr>
              <w:pStyle w:val="P68B1DB1-TableParagraph33"/>
              <w:spacing w:before="108"/>
              <w:ind w:left="85"/>
              <w:jc w:val="both"/>
              <w:rPr>
                <w:rFonts w:cs="Times New Roman"/>
                <w:b/>
                <w:bCs/>
                <w:color w:val="000000" w:themeColor="text1"/>
              </w:rPr>
            </w:pPr>
            <w:r>
              <w:t xml:space="preserve">Globalni, nacionalni ili regionalni doseg, obujam i broj transakcija; broj </w:t>
            </w:r>
            <w:r w:rsidR="00300A97">
              <w:t>klijenata</w:t>
            </w:r>
            <w:r w:rsidR="00300A97">
              <w:t xml:space="preserve"> </w:t>
            </w:r>
            <w:r>
              <w:t xml:space="preserve">i ugovornih strana; broj </w:t>
            </w:r>
            <w:r>
              <w:t>k</w:t>
            </w:r>
            <w:r w:rsidR="00300A97">
              <w:t>lijenata</w:t>
            </w:r>
            <w:r>
              <w:t xml:space="preserve"> za koje je institucija jedini ili glavni bankarski partner.</w:t>
            </w:r>
          </w:p>
        </w:tc>
      </w:tr>
      <w:tr w:rsidR="00393915" w14:paraId="7FE1BA3F" w14:textId="77777777">
        <w:tc>
          <w:tcPr>
            <w:tcW w:w="1080" w:type="dxa"/>
            <w:tcBorders>
              <w:top w:val="single" w:sz="4" w:space="0" w:color="1A171C"/>
              <w:left w:val="nil"/>
              <w:bottom w:val="single" w:sz="4" w:space="0" w:color="1A171C"/>
              <w:right w:val="single" w:sz="4" w:space="0" w:color="1A171C"/>
            </w:tcBorders>
            <w:vAlign w:val="center"/>
          </w:tcPr>
          <w:p w14:paraId="7FE1BA39" w14:textId="153BD48E" w:rsidR="00393915" w:rsidRDefault="00F24D68">
            <w:pPr>
              <w:pStyle w:val="P68B1DB1-TableParagraph17"/>
              <w:spacing w:before="108"/>
              <w:jc w:val="both"/>
            </w:pPr>
            <w:r>
              <w:t>0070</w:t>
            </w:r>
          </w:p>
        </w:tc>
        <w:tc>
          <w:tcPr>
            <w:tcW w:w="8003" w:type="dxa"/>
            <w:tcBorders>
              <w:top w:val="single" w:sz="4" w:space="0" w:color="1A171C"/>
              <w:left w:val="single" w:sz="4" w:space="0" w:color="1A171C"/>
              <w:bottom w:val="single" w:sz="4" w:space="0" w:color="1A171C"/>
              <w:right w:val="nil"/>
            </w:tcBorders>
            <w:vAlign w:val="center"/>
          </w:tcPr>
          <w:p w14:paraId="7FE1BA3A" w14:textId="77777777" w:rsidR="00393915" w:rsidRDefault="00F24D68">
            <w:pPr>
              <w:pStyle w:val="P68B1DB1-TableParagraph14"/>
              <w:spacing w:before="108"/>
              <w:ind w:left="85"/>
              <w:jc w:val="both"/>
              <w:rPr>
                <w:bCs/>
              </w:rPr>
            </w:pPr>
            <w:r>
              <w:t>Pokazatelj veličine br. 1</w:t>
            </w:r>
          </w:p>
          <w:p w14:paraId="7FE1BA3B" w14:textId="21F41478" w:rsidR="00393915" w:rsidRDefault="00F24D68">
            <w:pPr>
              <w:pStyle w:val="P68B1DB1-Normal31"/>
              <w:spacing w:line="276" w:lineRule="auto"/>
              <w:jc w:val="both"/>
            </w:pPr>
            <w:r>
              <w:t>Procijeniti koliko je banka važna u tim aktivnostima. Ta se procjena kvalitativno izražava kao „visoka”, „srednja visoka”, „</w:t>
            </w:r>
            <w:r w:rsidR="00291ACA">
              <w:t>srednje niska</w:t>
            </w:r>
            <w:r>
              <w:t>” ili „niska”. Navesti „</w:t>
            </w:r>
            <w:r w:rsidR="00291ACA">
              <w:t>Visoka</w:t>
            </w:r>
            <w:r>
              <w:t>” ako je veličina funkcije velika, „srednje-visoka” ako je srednja, „</w:t>
            </w:r>
            <w:r w:rsidR="00291ACA" w:rsidRPr="00291ACA">
              <w:t>srednje niska</w:t>
            </w:r>
            <w:r>
              <w:t>” ako je mala, i „</w:t>
            </w:r>
            <w:r w:rsidR="00291ACA">
              <w:t>niska</w:t>
            </w:r>
            <w:r>
              <w:t xml:space="preserve">” ako je zanemariva. Kao referentnu vrijednost za tu kvalitativnu procjenu koristi makroekonomske varijable kao što su BDP, stanovništvo (za depozite, kreditiranje, </w:t>
            </w:r>
            <w:r w:rsidR="00291ACA">
              <w:t>platni promet</w:t>
            </w:r>
            <w:r>
              <w:t xml:space="preserve">, gotovinu, namiru, usluge poravnanja i skrbništva) ili veličinu tržišta (za tržišta kapitala i veleprodajno financiranje). </w:t>
            </w:r>
          </w:p>
          <w:p w14:paraId="7FE1BA3C" w14:textId="6C730612" w:rsidR="00393915" w:rsidRDefault="00F24D68">
            <w:pPr>
              <w:pStyle w:val="P68B1DB1-ListParagraph32"/>
              <w:numPr>
                <w:ilvl w:val="0"/>
                <w:numId w:val="130"/>
              </w:numPr>
              <w:spacing w:line="276" w:lineRule="auto"/>
            </w:pPr>
            <w:r>
              <w:t xml:space="preserve">Stručna prosudba o veličini </w:t>
            </w:r>
            <w:r>
              <w:rPr>
                <w:b/>
              </w:rPr>
              <w:t>vrijednosti</w:t>
            </w:r>
            <w:r>
              <w:t xml:space="preserve"> na računima (c0030) iz perspektive </w:t>
            </w:r>
            <w:r>
              <w:rPr>
                <w:b/>
              </w:rPr>
              <w:t>EU-a</w:t>
            </w:r>
            <w:r>
              <w:t xml:space="preserve"> </w:t>
            </w:r>
            <w:r>
              <w:rPr>
                <w:i/>
              </w:rPr>
              <w:t xml:space="preserve">[jedna razina viša od </w:t>
            </w:r>
            <w:r w:rsidR="00291ACA">
              <w:rPr>
                <w:i/>
              </w:rPr>
              <w:t>relevantnog</w:t>
            </w:r>
            <w:r w:rsidR="00291ACA">
              <w:rPr>
                <w:i/>
              </w:rPr>
              <w:t xml:space="preserve"> </w:t>
            </w:r>
            <w:r>
              <w:rPr>
                <w:i/>
              </w:rPr>
              <w:t xml:space="preserve">tržišta. To znači da, ako je </w:t>
            </w:r>
            <w:r w:rsidR="00291ACA">
              <w:rPr>
                <w:i/>
              </w:rPr>
              <w:t>relevantno</w:t>
            </w:r>
            <w:r w:rsidR="00291ACA">
              <w:rPr>
                <w:i/>
              </w:rPr>
              <w:t xml:space="preserve"> </w:t>
            </w:r>
            <w:r>
              <w:rPr>
                <w:i/>
              </w:rPr>
              <w:t xml:space="preserve">tržište regionalno, veličina 1 = </w:t>
            </w:r>
            <w:r>
              <w:rPr>
                <w:i/>
              </w:rPr>
              <w:t>nacionaln</w:t>
            </w:r>
            <w:r w:rsidR="00B54F01">
              <w:rPr>
                <w:i/>
              </w:rPr>
              <w:t>o</w:t>
            </w:r>
            <w:r>
              <w:rPr>
                <w:i/>
              </w:rPr>
              <w:t xml:space="preserve">; ako je </w:t>
            </w:r>
            <w:r>
              <w:rPr>
                <w:i/>
              </w:rPr>
              <w:t>nacionaln</w:t>
            </w:r>
            <w:r w:rsidR="00B54F01">
              <w:rPr>
                <w:i/>
              </w:rPr>
              <w:t>o</w:t>
            </w:r>
            <w:r>
              <w:rPr>
                <w:i/>
              </w:rPr>
              <w:t>, veličina 1 = EU; kada je riječ o EU-u, veličina 1 = globalno]</w:t>
            </w:r>
            <w:r>
              <w:t>:</w:t>
            </w:r>
          </w:p>
          <w:p w14:paraId="7FE1BA3D" w14:textId="4E2F3FFB" w:rsidR="00393915" w:rsidRDefault="00F24D68">
            <w:pPr>
              <w:pStyle w:val="P68B1DB1-ListParagraph32"/>
              <w:numPr>
                <w:ilvl w:val="1"/>
                <w:numId w:val="129"/>
              </w:numPr>
              <w:spacing w:line="276" w:lineRule="auto"/>
            </w:pPr>
            <w:r>
              <w:t xml:space="preserve">Koliko je, prema vašem mišljenju, iz perspektive EU-a </w:t>
            </w:r>
            <w:r w:rsidR="00B820AF">
              <w:t xml:space="preserve"> velika </w:t>
            </w:r>
            <w:r>
              <w:t xml:space="preserve">ukupna vrijednost </w:t>
            </w:r>
            <w:r w:rsidR="00B54F01">
              <w:t xml:space="preserve">na </w:t>
            </w:r>
            <w:r>
              <w:t>račun</w:t>
            </w:r>
            <w:r w:rsidR="00B54F01">
              <w:t>im</w:t>
            </w:r>
            <w:r>
              <w:t>a</w:t>
            </w:r>
            <w:r>
              <w:t xml:space="preserve"> u vašoj instituciji? </w:t>
            </w:r>
          </w:p>
          <w:p w14:paraId="7FE1BA3E" w14:textId="77777777" w:rsidR="00393915" w:rsidRDefault="00393915">
            <w:pPr>
              <w:pStyle w:val="TableParagraph"/>
              <w:spacing w:before="108"/>
              <w:ind w:left="85"/>
              <w:jc w:val="both"/>
              <w:rPr>
                <w:rFonts w:ascii="Times New Roman" w:hAnsi="Times New Roman" w:cs="Times New Roman"/>
                <w:b/>
                <w:bCs/>
                <w:color w:val="000000" w:themeColor="text1"/>
                <w:sz w:val="20"/>
                <w:szCs w:val="20"/>
              </w:rPr>
            </w:pPr>
          </w:p>
        </w:tc>
      </w:tr>
      <w:tr w:rsidR="00393915" w14:paraId="7FE1BA46" w14:textId="77777777">
        <w:tc>
          <w:tcPr>
            <w:tcW w:w="1080" w:type="dxa"/>
            <w:tcBorders>
              <w:top w:val="single" w:sz="4" w:space="0" w:color="1A171C"/>
              <w:left w:val="nil"/>
              <w:bottom w:val="single" w:sz="4" w:space="0" w:color="1A171C"/>
              <w:right w:val="single" w:sz="4" w:space="0" w:color="1A171C"/>
            </w:tcBorders>
            <w:vAlign w:val="center"/>
          </w:tcPr>
          <w:p w14:paraId="7FE1BA40" w14:textId="54B11659" w:rsidR="00393915" w:rsidRDefault="00F24D68">
            <w:pPr>
              <w:pStyle w:val="P68B1DB1-TableParagraph17"/>
              <w:spacing w:before="108"/>
              <w:jc w:val="both"/>
            </w:pPr>
            <w:r>
              <w:t>0080</w:t>
            </w:r>
          </w:p>
        </w:tc>
        <w:tc>
          <w:tcPr>
            <w:tcW w:w="8003" w:type="dxa"/>
            <w:tcBorders>
              <w:top w:val="single" w:sz="4" w:space="0" w:color="1A171C"/>
              <w:left w:val="single" w:sz="4" w:space="0" w:color="1A171C"/>
              <w:bottom w:val="single" w:sz="4" w:space="0" w:color="1A171C"/>
              <w:right w:val="nil"/>
            </w:tcBorders>
            <w:vAlign w:val="center"/>
          </w:tcPr>
          <w:p w14:paraId="7FE1BA41" w14:textId="77777777" w:rsidR="00393915" w:rsidRDefault="00F24D68">
            <w:pPr>
              <w:pStyle w:val="P68B1DB1-TableParagraph14"/>
              <w:spacing w:before="108"/>
              <w:ind w:left="85"/>
              <w:jc w:val="both"/>
              <w:rPr>
                <w:bCs/>
              </w:rPr>
            </w:pPr>
            <w:r>
              <w:t>Pokazatelj veličine br. 2</w:t>
            </w:r>
          </w:p>
          <w:p w14:paraId="3B32AD4C" w14:textId="29B08461" w:rsidR="00393915" w:rsidRDefault="00F24D68">
            <w:pPr>
              <w:pStyle w:val="P68B1DB1-Normal31"/>
              <w:spacing w:line="276" w:lineRule="auto"/>
              <w:jc w:val="both"/>
            </w:pPr>
            <w:r>
              <w:t>Procijeniti koliko je banka važna u tim aktivnostima. Ta se procjena kvalitativno izražava kao „visoka”, „srednja visoka”, „</w:t>
            </w:r>
            <w:r>
              <w:t>sredn</w:t>
            </w:r>
            <w:r w:rsidR="007B4630">
              <w:t>je niska</w:t>
            </w:r>
            <w:r>
              <w:t>” ili „niska”. Navesti „</w:t>
            </w:r>
            <w:r w:rsidR="007B4630">
              <w:t>visoka</w:t>
            </w:r>
            <w:r>
              <w:t>” ako je veličina funkcije velika, „srednje-visoka” ako je srednja, „</w:t>
            </w:r>
            <w:r>
              <w:t>srednj</w:t>
            </w:r>
            <w:r w:rsidR="007B4630">
              <w:t>e niska</w:t>
            </w:r>
            <w:r>
              <w:t>” ako je mala, i „</w:t>
            </w:r>
            <w:r w:rsidR="007B4630">
              <w:t>niska</w:t>
            </w:r>
            <w:r>
              <w:t xml:space="preserve">” ako je zanemariva. Kao referentnu vrijednost za tu kvalitativnu procjenu koristi makroekonomske varijable kao što su BDP, stanovništvo (za depozite, kreditiranje, </w:t>
            </w:r>
            <w:r w:rsidR="007B4630">
              <w:t>platni promet</w:t>
            </w:r>
            <w:r>
              <w:t xml:space="preserve">, gotovinu, namiru, usluge poravnanja i skrbništva) ili veličinu tržišta (za tržišta kapitala i veleprodajno financiranje). </w:t>
            </w:r>
          </w:p>
          <w:p w14:paraId="7FE1BA42" w14:textId="7FE1DE6A" w:rsidR="00393915" w:rsidRDefault="00393915">
            <w:pPr>
              <w:spacing w:line="276" w:lineRule="auto"/>
              <w:jc w:val="both"/>
              <w:rPr>
                <w:rFonts w:ascii="Times New Roman" w:eastAsia="Times New Roman" w:hAnsi="Times New Roman" w:cs="Times New Roman"/>
                <w:sz w:val="20"/>
                <w:szCs w:val="20"/>
              </w:rPr>
            </w:pPr>
          </w:p>
          <w:p w14:paraId="7FE1BA43" w14:textId="73D337E8" w:rsidR="00393915" w:rsidRDefault="00F24D68">
            <w:pPr>
              <w:pStyle w:val="P68B1DB1-ListParagraph32"/>
              <w:numPr>
                <w:ilvl w:val="0"/>
                <w:numId w:val="124"/>
              </w:numPr>
              <w:spacing w:line="276" w:lineRule="auto"/>
            </w:pPr>
            <w:r>
              <w:t xml:space="preserve">Stručna prosudba o veličini </w:t>
            </w:r>
            <w:r>
              <w:rPr>
                <w:b/>
              </w:rPr>
              <w:t>broja</w:t>
            </w:r>
            <w:r>
              <w:t xml:space="preserve"> klijenata (c0040) iz </w:t>
            </w:r>
            <w:r>
              <w:rPr>
                <w:b/>
              </w:rPr>
              <w:t>nacionalne</w:t>
            </w:r>
            <w:r>
              <w:t xml:space="preserve"> perspektive [</w:t>
            </w:r>
            <w:r>
              <w:rPr>
                <w:i/>
              </w:rPr>
              <w:t xml:space="preserve">na razini </w:t>
            </w:r>
            <w:r w:rsidR="00B820AF">
              <w:rPr>
                <w:i/>
              </w:rPr>
              <w:t>relevantnog</w:t>
            </w:r>
            <w:r w:rsidR="00B820AF">
              <w:rPr>
                <w:i/>
              </w:rPr>
              <w:t xml:space="preserve"> </w:t>
            </w:r>
            <w:r>
              <w:rPr>
                <w:i/>
              </w:rPr>
              <w:t>tržišta</w:t>
            </w:r>
            <w:r>
              <w:t>]:</w:t>
            </w:r>
          </w:p>
          <w:p w14:paraId="7FE1BA44" w14:textId="32FB70C2" w:rsidR="00393915" w:rsidRDefault="00F24D68">
            <w:pPr>
              <w:pStyle w:val="P68B1DB1-ListParagraph32"/>
              <w:numPr>
                <w:ilvl w:val="1"/>
                <w:numId w:val="122"/>
              </w:numPr>
              <w:spacing w:line="276" w:lineRule="auto"/>
            </w:pPr>
            <w:r>
              <w:t>Koliko je</w:t>
            </w:r>
            <w:r w:rsidR="00B820AF">
              <w:t>,</w:t>
            </w:r>
            <w:r w:rsidR="00B820AF">
              <w:t xml:space="preserve"> </w:t>
            </w:r>
            <w:r>
              <w:t>iz nacionalne perspektive</w:t>
            </w:r>
            <w:r w:rsidR="00B820AF">
              <w:t>, velik</w:t>
            </w:r>
            <w:r>
              <w:t xml:space="preserve"> procijenjen ukupan broj klijenata institucije?</w:t>
            </w:r>
          </w:p>
          <w:p w14:paraId="7FE1BA45" w14:textId="77777777" w:rsidR="00393915" w:rsidRDefault="00393915">
            <w:pPr>
              <w:pStyle w:val="TableParagraph"/>
              <w:spacing w:before="108"/>
              <w:ind w:left="85"/>
              <w:jc w:val="both"/>
              <w:rPr>
                <w:rFonts w:ascii="Times New Roman" w:hAnsi="Times New Roman" w:cs="Times New Roman"/>
                <w:b/>
                <w:bCs/>
                <w:color w:val="000000" w:themeColor="text1"/>
                <w:sz w:val="20"/>
                <w:szCs w:val="20"/>
              </w:rPr>
            </w:pPr>
          </w:p>
        </w:tc>
      </w:tr>
      <w:tr w:rsidR="00393915" w14:paraId="7FE1BA51" w14:textId="77777777">
        <w:tc>
          <w:tcPr>
            <w:tcW w:w="1080" w:type="dxa"/>
            <w:tcBorders>
              <w:top w:val="single" w:sz="4" w:space="0" w:color="1A171C"/>
              <w:left w:val="nil"/>
              <w:bottom w:val="single" w:sz="4" w:space="0" w:color="1A171C"/>
              <w:right w:val="single" w:sz="4" w:space="0" w:color="1A171C"/>
            </w:tcBorders>
            <w:vAlign w:val="center"/>
          </w:tcPr>
          <w:p w14:paraId="7FE1BA47" w14:textId="171E9753" w:rsidR="00393915" w:rsidRDefault="00F24D68">
            <w:pPr>
              <w:pStyle w:val="P68B1DB1-TableParagraph17"/>
              <w:spacing w:before="108"/>
              <w:jc w:val="both"/>
            </w:pPr>
            <w:r>
              <w:t>0090</w:t>
            </w:r>
          </w:p>
        </w:tc>
        <w:tc>
          <w:tcPr>
            <w:tcW w:w="8003" w:type="dxa"/>
            <w:tcBorders>
              <w:top w:val="single" w:sz="4" w:space="0" w:color="1A171C"/>
              <w:left w:val="single" w:sz="4" w:space="0" w:color="1A171C"/>
              <w:bottom w:val="single" w:sz="4" w:space="0" w:color="1A171C"/>
              <w:right w:val="nil"/>
            </w:tcBorders>
            <w:vAlign w:val="center"/>
          </w:tcPr>
          <w:p w14:paraId="7FE1BA48" w14:textId="77777777" w:rsidR="00393915" w:rsidRDefault="00F24D68">
            <w:pPr>
              <w:pStyle w:val="P68B1DB1-TableParagraph14"/>
              <w:spacing w:before="108"/>
              <w:ind w:left="85"/>
              <w:jc w:val="both"/>
              <w:rPr>
                <w:bCs/>
              </w:rPr>
            </w:pPr>
            <w:r>
              <w:t>Prekogranični pokazatelj</w:t>
            </w:r>
          </w:p>
          <w:p w14:paraId="7FE1BA49" w14:textId="0914A1BE" w:rsidR="00393915" w:rsidRDefault="00F24D68">
            <w:pPr>
              <w:pStyle w:val="P68B1DB1-Normal31"/>
              <w:spacing w:line="276" w:lineRule="auto"/>
              <w:jc w:val="both"/>
            </w:pPr>
            <w:r>
              <w:t xml:space="preserve">Procijeniti relativnu važnost prekograničnih aktivnosti za različite </w:t>
            </w:r>
            <w:r w:rsidR="00474B16">
              <w:t>ekonomske</w:t>
            </w:r>
            <w:r w:rsidR="00474B16">
              <w:t xml:space="preserve"> </w:t>
            </w:r>
            <w:r>
              <w:t>funkcije.</w:t>
            </w:r>
          </w:p>
          <w:p w14:paraId="7FE1BA4A" w14:textId="778D9D35" w:rsidR="00393915" w:rsidRDefault="00F24D68">
            <w:pPr>
              <w:pStyle w:val="P68B1DB1-Normal31"/>
              <w:spacing w:line="276" w:lineRule="auto"/>
              <w:jc w:val="both"/>
            </w:pPr>
            <w:r>
              <w:lastRenderedPageBreak/>
              <w:t xml:space="preserve">To nije potrebno ocjenjivati u slučaju izvješća u kojima se </w:t>
            </w:r>
            <w:r w:rsidR="00732056">
              <w:t>relevantn</w:t>
            </w:r>
            <w:r>
              <w:t>o</w:t>
            </w:r>
            <w:r>
              <w:t xml:space="preserve"> tržište smatra regionalnim. </w:t>
            </w:r>
          </w:p>
          <w:p w14:paraId="7FE1BA4B" w14:textId="0ED4FA62" w:rsidR="00393915" w:rsidRDefault="00F24D68">
            <w:pPr>
              <w:pStyle w:val="P68B1DB1-ListParagraph32"/>
              <w:numPr>
                <w:ilvl w:val="0"/>
                <w:numId w:val="118"/>
              </w:numPr>
              <w:rPr>
                <w:i/>
                <w:iCs/>
              </w:rPr>
            </w:pPr>
            <w:r>
              <w:t xml:space="preserve">Broj država članica EU-a u kojima se procjenjuje da izvještajni subjekt ima nacionalni tržišni udio veći od 2 %. </w:t>
            </w:r>
            <w:r>
              <w:t>Izv</w:t>
            </w:r>
            <w:r w:rsidR="00852C49">
              <w:t>i</w:t>
            </w:r>
            <w:r>
              <w:t>je</w:t>
            </w:r>
            <w:r w:rsidR="00732056">
              <w:t>stiti</w:t>
            </w:r>
            <w:r>
              <w:t xml:space="preserve">: </w:t>
            </w:r>
          </w:p>
          <w:p w14:paraId="7FE1BA4C" w14:textId="1B964C75" w:rsidR="00393915" w:rsidRDefault="00F24D68">
            <w:pPr>
              <w:pStyle w:val="P68B1DB1-ListParagraph32"/>
              <w:numPr>
                <w:ilvl w:val="1"/>
                <w:numId w:val="118"/>
              </w:numPr>
              <w:rPr>
                <w:i/>
                <w:iCs/>
              </w:rPr>
            </w:pPr>
            <w:r>
              <w:t xml:space="preserve">≤ 1 </w:t>
            </w:r>
            <w:r w:rsidR="00732056">
              <w:t>država</w:t>
            </w:r>
            <w:r>
              <w:t xml:space="preserve">; </w:t>
            </w:r>
          </w:p>
          <w:p w14:paraId="7FE1BA4D" w14:textId="47B10B77" w:rsidR="00393915" w:rsidRDefault="00F24D68">
            <w:pPr>
              <w:pStyle w:val="P68B1DB1-ListParagraph32"/>
              <w:numPr>
                <w:ilvl w:val="1"/>
                <w:numId w:val="118"/>
              </w:numPr>
              <w:rPr>
                <w:i/>
                <w:iCs/>
              </w:rPr>
            </w:pPr>
            <w:r>
              <w:t xml:space="preserve">2 – 3 države </w:t>
            </w:r>
          </w:p>
          <w:p w14:paraId="7FE1BA4E" w14:textId="6E11A454" w:rsidR="00393915" w:rsidRDefault="00F24D68">
            <w:pPr>
              <w:pStyle w:val="P68B1DB1-ListParagraph32"/>
              <w:numPr>
                <w:ilvl w:val="1"/>
                <w:numId w:val="118"/>
              </w:numPr>
              <w:rPr>
                <w:i/>
                <w:iCs/>
              </w:rPr>
            </w:pPr>
            <w:r>
              <w:t xml:space="preserve">4 – 5 </w:t>
            </w:r>
            <w:r w:rsidR="00732056">
              <w:t>država</w:t>
            </w:r>
            <w:r>
              <w:t xml:space="preserve">, </w:t>
            </w:r>
          </w:p>
          <w:p w14:paraId="7FE1BA4F" w14:textId="35DA0B06" w:rsidR="00393915" w:rsidRDefault="00F24D68">
            <w:pPr>
              <w:pStyle w:val="P68B1DB1-ListParagraph32"/>
              <w:numPr>
                <w:ilvl w:val="1"/>
                <w:numId w:val="118"/>
              </w:numPr>
              <w:rPr>
                <w:i/>
                <w:iCs/>
              </w:rPr>
            </w:pPr>
            <w:r>
              <w:t xml:space="preserve">&gt; 5 </w:t>
            </w:r>
            <w:r w:rsidR="00732056">
              <w:t>država</w:t>
            </w:r>
            <w:r>
              <w:t>.</w:t>
            </w:r>
          </w:p>
          <w:p w14:paraId="7FE1BA50" w14:textId="77777777" w:rsidR="00393915" w:rsidRDefault="00393915">
            <w:pPr>
              <w:pStyle w:val="TableParagraph"/>
              <w:spacing w:before="108"/>
              <w:jc w:val="both"/>
              <w:rPr>
                <w:rFonts w:ascii="Times New Roman" w:hAnsi="Times New Roman" w:cs="Times New Roman"/>
                <w:b/>
                <w:bCs/>
                <w:color w:val="000000" w:themeColor="text1"/>
                <w:sz w:val="20"/>
                <w:szCs w:val="20"/>
              </w:rPr>
            </w:pPr>
          </w:p>
        </w:tc>
      </w:tr>
      <w:tr w:rsidR="00393915" w14:paraId="7FE1BA60" w14:textId="77777777">
        <w:tc>
          <w:tcPr>
            <w:tcW w:w="1080" w:type="dxa"/>
            <w:tcBorders>
              <w:top w:val="single" w:sz="4" w:space="0" w:color="1A171C"/>
              <w:left w:val="nil"/>
              <w:bottom w:val="single" w:sz="4" w:space="0" w:color="1A171C"/>
              <w:right w:val="single" w:sz="4" w:space="0" w:color="1A171C"/>
            </w:tcBorders>
            <w:vAlign w:val="center"/>
          </w:tcPr>
          <w:p w14:paraId="7FE1BA52" w14:textId="05E0D2FF" w:rsidR="00393915" w:rsidRDefault="00F24D68">
            <w:pPr>
              <w:pStyle w:val="P68B1DB1-TableParagraph17"/>
              <w:spacing w:before="108"/>
              <w:jc w:val="both"/>
            </w:pPr>
            <w:r>
              <w:lastRenderedPageBreak/>
              <w:t>0100</w:t>
            </w:r>
          </w:p>
        </w:tc>
        <w:tc>
          <w:tcPr>
            <w:tcW w:w="8003" w:type="dxa"/>
            <w:tcBorders>
              <w:top w:val="single" w:sz="4" w:space="0" w:color="1A171C"/>
              <w:left w:val="single" w:sz="4" w:space="0" w:color="1A171C"/>
              <w:bottom w:val="single" w:sz="4" w:space="0" w:color="1A171C"/>
              <w:right w:val="nil"/>
            </w:tcBorders>
            <w:vAlign w:val="center"/>
          </w:tcPr>
          <w:p w14:paraId="7FE1BA53" w14:textId="77777777" w:rsidR="00393915" w:rsidRDefault="00F24D68">
            <w:pPr>
              <w:pStyle w:val="P68B1DB1-TableParagraph14"/>
              <w:spacing w:before="108"/>
              <w:ind w:left="85"/>
              <w:jc w:val="both"/>
              <w:rPr>
                <w:bCs/>
              </w:rPr>
            </w:pPr>
            <w:r>
              <w:t xml:space="preserve">Važnost — </w:t>
            </w:r>
          </w:p>
          <w:p w14:paraId="7FE1BA54" w14:textId="77777777" w:rsidR="00393915" w:rsidRDefault="00F24D68">
            <w:pPr>
              <w:pStyle w:val="P68B1DB1-TableParagraph33"/>
              <w:spacing w:before="108"/>
              <w:ind w:left="85"/>
              <w:jc w:val="both"/>
            </w:pPr>
            <w:r>
              <w:t>Na lokalnoj, regionalnoj, nacionalnoj ili europskoj razini, ovisno o predmetnom tržištu. Važnost institucije može se procijeniti na temelju tržišnog udjela, međusobne povezanosti, složenosti i prekograničnih aktivnosti.</w:t>
            </w:r>
          </w:p>
          <w:p w14:paraId="7FE1BA55" w14:textId="77777777" w:rsidR="00393915" w:rsidRDefault="00F24D68">
            <w:pPr>
              <w:pStyle w:val="P68B1DB1-TableParagraph14"/>
              <w:spacing w:before="108"/>
              <w:ind w:left="85"/>
              <w:jc w:val="both"/>
              <w:rPr>
                <w:bCs/>
              </w:rPr>
            </w:pPr>
            <w:r>
              <w:t>Tržišni udio</w:t>
            </w:r>
          </w:p>
          <w:p w14:paraId="7FE1BA56" w14:textId="77777777" w:rsidR="00393915" w:rsidRDefault="00F24D68">
            <w:pPr>
              <w:pStyle w:val="P68B1DB1-Normal31"/>
              <w:spacing w:line="276" w:lineRule="auto"/>
              <w:jc w:val="both"/>
            </w:pPr>
            <w:r>
              <w:t xml:space="preserve">Procijeniti koliko je važan tržišni udio subjekta koji izvješćuje, u usporedbi s nacionalnim ili drugim relevantnim tržištem, kako je navedeno u obrascu. Ta je procjena kvalitativno izražena kao </w:t>
            </w:r>
          </w:p>
          <w:p w14:paraId="7FE1BA57" w14:textId="4FBBC6A6" w:rsidR="00393915" w:rsidRDefault="00F24D68">
            <w:pPr>
              <w:pStyle w:val="P68B1DB1-ListParagraph32"/>
              <w:numPr>
                <w:ilvl w:val="0"/>
                <w:numId w:val="276"/>
              </w:numPr>
              <w:spacing w:line="276" w:lineRule="auto"/>
              <w:jc w:val="both"/>
            </w:pPr>
            <w:r>
              <w:t>Visok, ako je tržišni udio velik</w:t>
            </w:r>
          </w:p>
          <w:p w14:paraId="7FE1BA58" w14:textId="71C0B34E" w:rsidR="00393915" w:rsidRDefault="00F24D68">
            <w:pPr>
              <w:pStyle w:val="P68B1DB1-ListParagraph32"/>
              <w:numPr>
                <w:ilvl w:val="0"/>
                <w:numId w:val="276"/>
              </w:numPr>
              <w:spacing w:line="276" w:lineRule="auto"/>
              <w:jc w:val="both"/>
            </w:pPr>
            <w:r>
              <w:t>Srednje visoki, ako je tržišni udio srednje visok</w:t>
            </w:r>
          </w:p>
          <w:p w14:paraId="7FE1BA59" w14:textId="08E5BD39" w:rsidR="00393915" w:rsidRDefault="00F24D68">
            <w:pPr>
              <w:pStyle w:val="P68B1DB1-ListParagraph32"/>
              <w:numPr>
                <w:ilvl w:val="0"/>
                <w:numId w:val="276"/>
              </w:numPr>
              <w:spacing w:line="276" w:lineRule="auto"/>
              <w:jc w:val="both"/>
            </w:pPr>
            <w:r>
              <w:t xml:space="preserve">Srednje </w:t>
            </w:r>
            <w:r w:rsidR="00732056">
              <w:t>nizak</w:t>
            </w:r>
            <w:r>
              <w:t xml:space="preserve">, ako je tržišni udio malen ili </w:t>
            </w:r>
          </w:p>
          <w:p w14:paraId="7FE1BA5A" w14:textId="3DD284B5" w:rsidR="00393915" w:rsidRDefault="00F24D68">
            <w:pPr>
              <w:pStyle w:val="P68B1DB1-ListParagraph32"/>
              <w:numPr>
                <w:ilvl w:val="0"/>
                <w:numId w:val="276"/>
              </w:numPr>
              <w:spacing w:line="276" w:lineRule="auto"/>
              <w:jc w:val="both"/>
            </w:pPr>
            <w:r>
              <w:t xml:space="preserve">Nizak, ako je tržišni udio zanemariv. </w:t>
            </w:r>
          </w:p>
          <w:p w14:paraId="7FE1BA5B" w14:textId="77777777" w:rsidR="00393915" w:rsidRDefault="00F24D68">
            <w:pPr>
              <w:pStyle w:val="P68B1DB1-Normal31"/>
              <w:spacing w:line="276" w:lineRule="auto"/>
              <w:jc w:val="both"/>
            </w:pPr>
            <w:r>
              <w:t xml:space="preserve">Tom se procjenom uzima u obzir tržišna struktura zemlje izvještajnog subjekta (ili drugog mjerodavnog tržišta) i tržišni udjeli o kojima se izvješćuje djelomično. </w:t>
            </w:r>
          </w:p>
          <w:p w14:paraId="7FE1BA5C" w14:textId="77777777" w:rsidR="00393915" w:rsidRDefault="00F24D68">
            <w:pPr>
              <w:pStyle w:val="P68B1DB1-Normal31"/>
              <w:spacing w:line="276" w:lineRule="auto"/>
              <w:jc w:val="both"/>
            </w:pPr>
            <w:r>
              <w:t>2.Kvantitativni podaci:</w:t>
            </w:r>
          </w:p>
          <w:p w14:paraId="7FE1BA5D" w14:textId="7098F797" w:rsidR="00393915" w:rsidRDefault="00F24D68">
            <w:pPr>
              <w:pStyle w:val="P68B1DB1-ListParagraph32"/>
              <w:numPr>
                <w:ilvl w:val="0"/>
                <w:numId w:val="117"/>
              </w:numPr>
              <w:spacing w:line="276" w:lineRule="auto"/>
              <w:jc w:val="both"/>
              <w:rPr>
                <w:i/>
                <w:iCs/>
              </w:rPr>
            </w:pPr>
            <w:r>
              <w:t xml:space="preserve">Stručna prosudba o veličini </w:t>
            </w:r>
            <w:r>
              <w:rPr>
                <w:b/>
              </w:rPr>
              <w:t xml:space="preserve">nacionalnog </w:t>
            </w:r>
            <w:r>
              <w:t xml:space="preserve">tržišnog udjela (navedena u c0020, osim u slučajevima kada se izvješće dostavlja za različitu razinu </w:t>
            </w:r>
            <w:r w:rsidR="00732056">
              <w:t>relevantnog</w:t>
            </w:r>
            <w:r w:rsidR="00732056">
              <w:t xml:space="preserve"> </w:t>
            </w:r>
            <w:r>
              <w:t>tržišta, u kojem se slučaju očekuje procjena relevantnog tržišnog udjela).</w:t>
            </w:r>
          </w:p>
          <w:p w14:paraId="7FE1BA5E" w14:textId="77777777" w:rsidR="00393915" w:rsidRDefault="00393915">
            <w:pPr>
              <w:spacing w:line="276" w:lineRule="auto"/>
              <w:jc w:val="both"/>
              <w:rPr>
                <w:rFonts w:ascii="Times New Roman" w:eastAsia="Times New Roman" w:hAnsi="Times New Roman" w:cs="Times New Roman"/>
                <w:sz w:val="20"/>
                <w:szCs w:val="20"/>
              </w:rPr>
            </w:pPr>
          </w:p>
          <w:p w14:paraId="7FE1BA5F" w14:textId="77777777" w:rsidR="00393915" w:rsidRDefault="00393915">
            <w:pPr>
              <w:pStyle w:val="TableParagraph"/>
              <w:spacing w:before="108"/>
              <w:ind w:left="85"/>
              <w:jc w:val="both"/>
              <w:rPr>
                <w:rFonts w:ascii="Times New Roman" w:hAnsi="Times New Roman" w:cs="Times New Roman"/>
                <w:b/>
                <w:bCs/>
                <w:color w:val="000000" w:themeColor="text1"/>
                <w:sz w:val="20"/>
                <w:szCs w:val="20"/>
              </w:rPr>
            </w:pPr>
          </w:p>
        </w:tc>
      </w:tr>
      <w:tr w:rsidR="00393915" w14:paraId="7FE1BA6E" w14:textId="77777777">
        <w:tc>
          <w:tcPr>
            <w:tcW w:w="1080" w:type="dxa"/>
            <w:tcBorders>
              <w:top w:val="single" w:sz="4" w:space="0" w:color="1A171C"/>
              <w:left w:val="nil"/>
              <w:bottom w:val="single" w:sz="4" w:space="0" w:color="1A171C"/>
              <w:right w:val="single" w:sz="4" w:space="0" w:color="1A171C"/>
            </w:tcBorders>
            <w:vAlign w:val="center"/>
          </w:tcPr>
          <w:p w14:paraId="7FE1BA61" w14:textId="5039FA68" w:rsidR="00393915" w:rsidRDefault="00F24D68">
            <w:pPr>
              <w:pStyle w:val="P68B1DB1-TableParagraph17"/>
              <w:spacing w:before="108"/>
              <w:jc w:val="both"/>
            </w:pPr>
            <w:r>
              <w:t>0110</w:t>
            </w:r>
          </w:p>
        </w:tc>
        <w:tc>
          <w:tcPr>
            <w:tcW w:w="8003" w:type="dxa"/>
            <w:tcBorders>
              <w:top w:val="single" w:sz="4" w:space="0" w:color="1A171C"/>
              <w:left w:val="single" w:sz="4" w:space="0" w:color="1A171C"/>
              <w:bottom w:val="single" w:sz="4" w:space="0" w:color="1A171C"/>
              <w:right w:val="nil"/>
            </w:tcBorders>
            <w:vAlign w:val="center"/>
          </w:tcPr>
          <w:p w14:paraId="7FE1BA62" w14:textId="77777777" w:rsidR="00393915" w:rsidRDefault="00F24D68">
            <w:pPr>
              <w:pStyle w:val="P68B1DB1-TableParagraph14"/>
              <w:spacing w:before="108"/>
              <w:ind w:left="85"/>
              <w:jc w:val="both"/>
              <w:rPr>
                <w:bCs/>
              </w:rPr>
            </w:pPr>
            <w:r>
              <w:t>Struktura tržišta – koncentracija na tržištu</w:t>
            </w:r>
          </w:p>
          <w:p w14:paraId="7FE1BA64" w14:textId="116B9CC6" w:rsidR="00393915" w:rsidRDefault="00F24D68">
            <w:pPr>
              <w:pStyle w:val="P68B1DB1-Normal31"/>
              <w:jc w:val="both"/>
            </w:pPr>
            <w:r>
              <w:t xml:space="preserve">Koncentracija na tržištu, mjerena brojem konkurenata koji trenutačno </w:t>
            </w:r>
            <w:r w:rsidR="00951698">
              <w:t xml:space="preserve">pružaju </w:t>
            </w:r>
            <w:r>
              <w:t xml:space="preserve">slične </w:t>
            </w:r>
            <w:r w:rsidR="00951698">
              <w:t>e</w:t>
            </w:r>
            <w:r w:rsidR="00951698">
              <w:t xml:space="preserve"> </w:t>
            </w:r>
            <w:r>
              <w:t xml:space="preserve">funkcije i/ili </w:t>
            </w:r>
            <w:r>
              <w:t>pruža</w:t>
            </w:r>
            <w:r w:rsidR="000949BC">
              <w:t>ju</w:t>
            </w:r>
            <w:r>
              <w:t xml:space="preserve"> sličnh</w:t>
            </w:r>
            <w:r>
              <w:t xml:space="preserve"> usluga pod jednakim uvjetima (tj. </w:t>
            </w:r>
          </w:p>
          <w:p w14:paraId="7FE1BA65" w14:textId="47640508" w:rsidR="00393915" w:rsidRDefault="00ED00A5">
            <w:pPr>
              <w:pStyle w:val="P68B1DB1-Normal31"/>
              <w:jc w:val="both"/>
            </w:pPr>
            <w:r>
              <w:t xml:space="preserve">U </w:t>
            </w:r>
            <w:r w:rsidR="00F24D68">
              <w:t>usporediv</w:t>
            </w:r>
            <w:r>
              <w:t>om</w:t>
            </w:r>
            <w:r w:rsidR="00F24D68">
              <w:t xml:space="preserve"> opseg</w:t>
            </w:r>
            <w:r>
              <w:t>u</w:t>
            </w:r>
            <w:r w:rsidR="00F24D68">
              <w:t xml:space="preserve"> i </w:t>
            </w:r>
            <w:r w:rsidR="00F24D68">
              <w:t>kvalitet</w:t>
            </w:r>
            <w:r>
              <w:t>i</w:t>
            </w:r>
            <w:r w:rsidR="00F24D68">
              <w:t xml:space="preserve"> te uz usporedive troškove) koji bi mogli preuzeti </w:t>
            </w:r>
          </w:p>
          <w:p w14:paraId="7FE1BA66" w14:textId="77777777" w:rsidR="00393915" w:rsidRDefault="00F24D68">
            <w:pPr>
              <w:pStyle w:val="P68B1DB1-Normal31"/>
              <w:jc w:val="both"/>
            </w:pPr>
            <w:r>
              <w:t xml:space="preserve">(dio) klijenata i/ili poslovanja izvještajnog subjekta u razumnom roku. </w:t>
            </w:r>
          </w:p>
          <w:p w14:paraId="7FE1BA67" w14:textId="77777777" w:rsidR="00393915" w:rsidRDefault="00F24D68">
            <w:pPr>
              <w:pStyle w:val="P68B1DB1-Normal31"/>
              <w:jc w:val="both"/>
            </w:pPr>
            <w:r>
              <w:t xml:space="preserve">To je potrebno iskazati u razdobljima koja su jednaka za svaku podfunkciju. </w:t>
            </w:r>
          </w:p>
          <w:p w14:paraId="7FE1BA68" w14:textId="5B483BC6" w:rsidR="00393915" w:rsidRDefault="00F24D68">
            <w:pPr>
              <w:pStyle w:val="P68B1DB1-ListParagraph32"/>
              <w:numPr>
                <w:ilvl w:val="0"/>
                <w:numId w:val="277"/>
              </w:numPr>
              <w:jc w:val="both"/>
            </w:pPr>
            <w:bookmarkStart w:id="114" w:name="_Hlk194417513"/>
            <w:r>
              <w:t xml:space="preserve">&gt; 20 konkurenata; </w:t>
            </w:r>
          </w:p>
          <w:p w14:paraId="7FE1BA69" w14:textId="7D2A0C84" w:rsidR="00393915" w:rsidRDefault="00F24D68">
            <w:pPr>
              <w:pStyle w:val="P68B1DB1-ListParagraph32"/>
              <w:numPr>
                <w:ilvl w:val="0"/>
                <w:numId w:val="277"/>
              </w:numPr>
              <w:jc w:val="both"/>
            </w:pPr>
            <w:r>
              <w:t xml:space="preserve">11 – 20 konkurenata; </w:t>
            </w:r>
          </w:p>
          <w:p w14:paraId="7FE1BA6A" w14:textId="5EF3634F" w:rsidR="00393915" w:rsidRDefault="00F24D68">
            <w:pPr>
              <w:pStyle w:val="P68B1DB1-ListParagraph32"/>
              <w:numPr>
                <w:ilvl w:val="0"/>
                <w:numId w:val="277"/>
              </w:numPr>
              <w:jc w:val="both"/>
            </w:pPr>
            <w:r>
              <w:t xml:space="preserve">5 – 10 konkurenata, </w:t>
            </w:r>
          </w:p>
          <w:p w14:paraId="7FE1BA6B" w14:textId="659F24C1" w:rsidR="00393915" w:rsidRDefault="00ED00A5">
            <w:pPr>
              <w:pStyle w:val="P68B1DB1-ListParagraph32"/>
              <w:numPr>
                <w:ilvl w:val="0"/>
                <w:numId w:val="277"/>
              </w:numPr>
              <w:jc w:val="both"/>
              <w:rPr>
                <w:b/>
                <w:bCs/>
                <w:color w:val="000000" w:themeColor="text1"/>
              </w:rPr>
            </w:pPr>
            <w:r>
              <w:t>&lt;</w:t>
            </w:r>
            <w:r w:rsidR="00F24D68">
              <w:t>5</w:t>
            </w:r>
            <w:bookmarkEnd w:id="114"/>
            <w:r w:rsidR="00F24D68">
              <w:t xml:space="preserve"> </w:t>
            </w:r>
            <w:r w:rsidR="00F24D68">
              <w:t>konkurent</w:t>
            </w:r>
            <w:r w:rsidR="00946688">
              <w:t>a.</w:t>
            </w:r>
          </w:p>
          <w:p w14:paraId="7FE1BA6C" w14:textId="25520005" w:rsidR="00393915" w:rsidRDefault="00F24D68">
            <w:pPr>
              <w:pStyle w:val="P68B1DB1-Normal34"/>
              <w:ind w:left="360"/>
              <w:jc w:val="both"/>
              <w:rPr>
                <w:i/>
                <w:iCs/>
              </w:rPr>
            </w:pPr>
            <w:r>
              <w:t xml:space="preserve">Stručna prosudba o veličini </w:t>
            </w:r>
            <w:r>
              <w:rPr>
                <w:b/>
              </w:rPr>
              <w:t xml:space="preserve">nacionalnog </w:t>
            </w:r>
            <w:r>
              <w:t xml:space="preserve">tržišnog udjela (navedena u c0020, osim u slučajevima kada se izvješće dostavlja za različitu razinu </w:t>
            </w:r>
            <w:r w:rsidR="00ED00A5">
              <w:t>relevantnog</w:t>
            </w:r>
            <w:r w:rsidR="00ED00A5">
              <w:t xml:space="preserve"> </w:t>
            </w:r>
            <w:r>
              <w:t>tržišta, u kojem se slučaju očekuje procjena relevantnog tržišnog udjela).</w:t>
            </w:r>
          </w:p>
          <w:p w14:paraId="7FE1BA6D" w14:textId="77777777" w:rsidR="00393915" w:rsidRDefault="00393915">
            <w:pPr>
              <w:jc w:val="both"/>
              <w:rPr>
                <w:rFonts w:ascii="Times New Roman" w:hAnsi="Times New Roman"/>
                <w:b/>
                <w:bCs/>
                <w:color w:val="000000" w:themeColor="text1"/>
                <w:sz w:val="20"/>
                <w:szCs w:val="20"/>
              </w:rPr>
            </w:pPr>
          </w:p>
        </w:tc>
      </w:tr>
      <w:tr w:rsidR="00393915" w14:paraId="7FE1BA81" w14:textId="77777777">
        <w:tc>
          <w:tcPr>
            <w:tcW w:w="1080" w:type="dxa"/>
            <w:tcBorders>
              <w:top w:val="single" w:sz="4" w:space="0" w:color="1A171C"/>
              <w:left w:val="nil"/>
              <w:bottom w:val="single" w:sz="4" w:space="0" w:color="1A171C"/>
              <w:right w:val="single" w:sz="4" w:space="0" w:color="1A171C"/>
            </w:tcBorders>
            <w:vAlign w:val="center"/>
          </w:tcPr>
          <w:p w14:paraId="7FE1BA6F" w14:textId="38765705" w:rsidR="00393915" w:rsidRDefault="00F24D68">
            <w:pPr>
              <w:pStyle w:val="P68B1DB1-TableParagraph17"/>
              <w:spacing w:before="108"/>
              <w:jc w:val="both"/>
            </w:pPr>
            <w:r>
              <w:t>0120</w:t>
            </w:r>
          </w:p>
        </w:tc>
        <w:tc>
          <w:tcPr>
            <w:tcW w:w="8003" w:type="dxa"/>
            <w:tcBorders>
              <w:top w:val="single" w:sz="4" w:space="0" w:color="1A171C"/>
              <w:left w:val="single" w:sz="4" w:space="0" w:color="1A171C"/>
              <w:bottom w:val="single" w:sz="4" w:space="0" w:color="1A171C"/>
              <w:right w:val="nil"/>
            </w:tcBorders>
            <w:vAlign w:val="center"/>
          </w:tcPr>
          <w:p w14:paraId="7FE1BA70" w14:textId="77777777" w:rsidR="00393915" w:rsidRDefault="00F24D68">
            <w:pPr>
              <w:pStyle w:val="P68B1DB1-TableParagraph14"/>
              <w:spacing w:before="108"/>
              <w:ind w:left="85"/>
              <w:jc w:val="both"/>
              <w:rPr>
                <w:bCs/>
              </w:rPr>
            </w:pPr>
            <w:r>
              <w:t>Vrijeme – Očekivano vrijeme zamjene</w:t>
            </w:r>
          </w:p>
          <w:p w14:paraId="7FE1BA71" w14:textId="55D7759D" w:rsidR="00393915" w:rsidRDefault="00F24D68">
            <w:pPr>
              <w:pStyle w:val="P68B1DB1-Normal31"/>
              <w:jc w:val="both"/>
            </w:pPr>
            <w:r>
              <w:t xml:space="preserve">Procijeniti vrijeme potrebno </w:t>
            </w:r>
            <w:r w:rsidR="00ED00A5">
              <w:t>da ekonomsk</w:t>
            </w:r>
            <w:r w:rsidR="00152911">
              <w:t>u</w:t>
            </w:r>
            <w:r>
              <w:t xml:space="preserve"> funkcij</w:t>
            </w:r>
            <w:r w:rsidR="00152911">
              <w:t>u</w:t>
            </w:r>
            <w:r w:rsidR="00ED00A5">
              <w:t xml:space="preserve"> koju pruža izvještajni</w:t>
            </w:r>
          </w:p>
          <w:p w14:paraId="7FE1BA72" w14:textId="4683CA5A" w:rsidR="00393915" w:rsidRDefault="00F24D68">
            <w:pPr>
              <w:pStyle w:val="P68B1DB1-Normal31"/>
              <w:jc w:val="both"/>
            </w:pPr>
            <w:r>
              <w:t xml:space="preserve">subjekt </w:t>
            </w:r>
            <w:r>
              <w:t>apsorbir</w:t>
            </w:r>
            <w:r w:rsidR="00152911">
              <w:t>a</w:t>
            </w:r>
            <w:r w:rsidR="00152911">
              <w:t xml:space="preserve"> tržište</w:t>
            </w:r>
            <w:r>
              <w:t xml:space="preserve"> u kriznoj situaciji. </w:t>
            </w:r>
            <w:r w:rsidR="00152911">
              <w:t>To</w:t>
            </w:r>
            <w:r w:rsidR="00152911">
              <w:t xml:space="preserve"> </w:t>
            </w:r>
            <w:r>
              <w:t xml:space="preserve">uključuje: </w:t>
            </w:r>
          </w:p>
          <w:p w14:paraId="7FE1BA73" w14:textId="77777777" w:rsidR="00393915" w:rsidRDefault="00F24D68">
            <w:pPr>
              <w:pStyle w:val="P68B1DB1-ListParagraph32"/>
              <w:numPr>
                <w:ilvl w:val="0"/>
                <w:numId w:val="274"/>
              </w:numPr>
              <w:jc w:val="both"/>
            </w:pPr>
            <w:r>
              <w:t xml:space="preserve">očekivano vrijeme koje je jednom konkurentu ili više njih potrebno za provedbu pravnih i tehničkih koraka za preuzimanje funkcije; kao i  </w:t>
            </w:r>
          </w:p>
          <w:p w14:paraId="7FE1BA74" w14:textId="77777777" w:rsidR="00393915" w:rsidRDefault="00F24D68">
            <w:pPr>
              <w:pStyle w:val="P68B1DB1-ListParagraph32"/>
              <w:numPr>
                <w:ilvl w:val="0"/>
                <w:numId w:val="274"/>
              </w:numPr>
              <w:jc w:val="both"/>
            </w:pPr>
            <w:r>
              <w:t xml:space="preserve">vrijeme koje je korisnicima usluge potrebno za prelazak na drugog pružatelja usluga. </w:t>
            </w:r>
          </w:p>
          <w:p w14:paraId="7FE1BA75" w14:textId="77777777" w:rsidR="00393915" w:rsidRDefault="00393915">
            <w:pPr>
              <w:jc w:val="both"/>
              <w:rPr>
                <w:rFonts w:ascii="Times New Roman" w:eastAsia="Times New Roman" w:hAnsi="Times New Roman" w:cs="Times New Roman"/>
                <w:sz w:val="20"/>
                <w:szCs w:val="20"/>
              </w:rPr>
            </w:pPr>
          </w:p>
          <w:p w14:paraId="7FE1BA76" w14:textId="48F6B05E" w:rsidR="00393915" w:rsidRDefault="00F24D68">
            <w:pPr>
              <w:pStyle w:val="P68B1DB1-Normal31"/>
              <w:jc w:val="both"/>
            </w:pPr>
            <w:r>
              <w:lastRenderedPageBreak/>
              <w:t xml:space="preserve">Kad je riječ o depozitima, ona se uglavnom odnosi na financijsku, operativnu i tehničku sposobnost alternativnih pružatelja da klijentima </w:t>
            </w:r>
            <w:r w:rsidR="00EB1096">
              <w:t xml:space="preserve">izvještajne </w:t>
            </w:r>
            <w:r>
              <w:t xml:space="preserve">banke ponude usluge primanja depozita, a ne na prijenos depozita drugom pružatelju kao posljedica djelovanja nadležnog tijela ili primitka naknade od SOD-a. </w:t>
            </w:r>
          </w:p>
          <w:p w14:paraId="7FE1BA77" w14:textId="77777777" w:rsidR="00393915" w:rsidRDefault="00393915">
            <w:pPr>
              <w:jc w:val="both"/>
              <w:rPr>
                <w:rFonts w:ascii="Times New Roman" w:eastAsia="Times New Roman" w:hAnsi="Times New Roman" w:cs="Times New Roman"/>
                <w:sz w:val="20"/>
                <w:szCs w:val="20"/>
              </w:rPr>
            </w:pPr>
          </w:p>
          <w:p w14:paraId="7FE1BA78" w14:textId="51246253" w:rsidR="00393915" w:rsidRDefault="00F24D68">
            <w:pPr>
              <w:pStyle w:val="P68B1DB1-Normal31"/>
              <w:jc w:val="both"/>
            </w:pPr>
            <w:r>
              <w:t xml:space="preserve">Kao </w:t>
            </w:r>
            <w:r w:rsidR="002E25F1">
              <w:t>aproksimaciju</w:t>
            </w:r>
            <w:r>
              <w:t xml:space="preserve"> za prethodno navedeno, navedite procjenu vremena koje bi izvještajnom subjektu trebalo da u svoje poslovanje apsorbira </w:t>
            </w:r>
            <w:r w:rsidR="002E25F1">
              <w:t>(dio)</w:t>
            </w:r>
            <w:r>
              <w:t xml:space="preserve"> uslug</w:t>
            </w:r>
            <w:r w:rsidR="002E25F1">
              <w:t>e</w:t>
            </w:r>
            <w:r>
              <w:t xml:space="preserve"> koj</w:t>
            </w:r>
            <w:r w:rsidR="002E25F1">
              <w:t>e</w:t>
            </w:r>
            <w:r>
              <w:t xml:space="preserve"> pruža druga institucija, uz razuman trošak, u kriznoj situaciji. </w:t>
            </w:r>
            <w:r w:rsidR="002E25F1">
              <w:t>P</w:t>
            </w:r>
            <w:r>
              <w:t>rocijenjeno</w:t>
            </w:r>
            <w:r>
              <w:t xml:space="preserve"> vrijeme potrebno za zamjenu </w:t>
            </w:r>
            <w:r w:rsidR="002E25F1">
              <w:t xml:space="preserve">izvještava se </w:t>
            </w:r>
            <w:r>
              <w:t>u razredima iz predloška:</w:t>
            </w:r>
          </w:p>
          <w:p w14:paraId="7FE1BA79" w14:textId="77777777" w:rsidR="00393915" w:rsidRDefault="00393915">
            <w:pPr>
              <w:jc w:val="both"/>
              <w:rPr>
                <w:rFonts w:ascii="Times New Roman" w:hAnsi="Times New Roman" w:cs="Times New Roman"/>
                <w:color w:val="000000" w:themeColor="text1"/>
                <w:sz w:val="20"/>
                <w:szCs w:val="20"/>
              </w:rPr>
            </w:pPr>
          </w:p>
          <w:p w14:paraId="7FE1BA7A" w14:textId="77777777" w:rsidR="00393915" w:rsidRDefault="00F24D68">
            <w:pPr>
              <w:pStyle w:val="P68B1DB1-Normal31"/>
              <w:jc w:val="both"/>
            </w:pPr>
            <w:bookmarkStart w:id="115" w:name="_Hlk194476514"/>
            <w:r>
              <w:t xml:space="preserve">Razredi: </w:t>
            </w:r>
          </w:p>
          <w:p w14:paraId="7FE1BA7B" w14:textId="7BDCEB08" w:rsidR="00393915" w:rsidRDefault="002E25F1">
            <w:pPr>
              <w:pStyle w:val="P68B1DB1-ListParagraph32"/>
              <w:numPr>
                <w:ilvl w:val="0"/>
                <w:numId w:val="280"/>
              </w:numPr>
              <w:jc w:val="both"/>
            </w:pPr>
            <w:r>
              <w:t>&lt;</w:t>
            </w:r>
            <w:r>
              <w:t xml:space="preserve"> </w:t>
            </w:r>
            <w:r w:rsidR="00F24D68">
              <w:t xml:space="preserve">1 tjedan; </w:t>
            </w:r>
          </w:p>
          <w:p w14:paraId="7FE1BA7C" w14:textId="6818EF73" w:rsidR="00393915" w:rsidRDefault="00F24D68">
            <w:pPr>
              <w:pStyle w:val="P68B1DB1-ListParagraph32"/>
              <w:numPr>
                <w:ilvl w:val="0"/>
                <w:numId w:val="280"/>
              </w:numPr>
              <w:jc w:val="both"/>
            </w:pPr>
            <w:r>
              <w:t xml:space="preserve">1 tjedan – 1 mjesec; </w:t>
            </w:r>
          </w:p>
          <w:p w14:paraId="7FE1BA7D" w14:textId="05597976" w:rsidR="00393915" w:rsidRDefault="00F24D68">
            <w:pPr>
              <w:pStyle w:val="P68B1DB1-ListParagraph32"/>
              <w:numPr>
                <w:ilvl w:val="0"/>
                <w:numId w:val="280"/>
              </w:numPr>
              <w:jc w:val="both"/>
            </w:pPr>
            <w:r>
              <w:t xml:space="preserve">&gt; 1 mjesec – 6 mjeseci, </w:t>
            </w:r>
          </w:p>
          <w:p w14:paraId="7FE1BA7E" w14:textId="0D41F489" w:rsidR="00393915" w:rsidRDefault="00F24D68">
            <w:pPr>
              <w:pStyle w:val="P68B1DB1-ListParagraph32"/>
              <w:numPr>
                <w:ilvl w:val="0"/>
                <w:numId w:val="280"/>
              </w:numPr>
              <w:jc w:val="both"/>
            </w:pPr>
            <w:r>
              <w:t xml:space="preserve">&gt; 6 mjeseci  </w:t>
            </w:r>
          </w:p>
          <w:bookmarkEnd w:id="115"/>
          <w:p w14:paraId="7FE1BA7F" w14:textId="77777777" w:rsidR="00393915" w:rsidRDefault="00393915">
            <w:pPr>
              <w:jc w:val="both"/>
              <w:rPr>
                <w:rFonts w:ascii="Times New Roman" w:eastAsia="Times New Roman" w:hAnsi="Times New Roman" w:cs="Times New Roman"/>
                <w:sz w:val="20"/>
                <w:szCs w:val="20"/>
              </w:rPr>
            </w:pPr>
          </w:p>
          <w:p w14:paraId="7FE1BA80" w14:textId="77777777" w:rsidR="00393915" w:rsidRDefault="00393915">
            <w:pPr>
              <w:jc w:val="both"/>
              <w:rPr>
                <w:rFonts w:ascii="Times New Roman" w:hAnsi="Times New Roman" w:cs="Times New Roman"/>
                <w:color w:val="000000" w:themeColor="text1"/>
                <w:sz w:val="20"/>
                <w:szCs w:val="20"/>
              </w:rPr>
            </w:pPr>
          </w:p>
        </w:tc>
      </w:tr>
      <w:tr w:rsidR="00393915" w14:paraId="7FE1BA84" w14:textId="77777777">
        <w:tc>
          <w:tcPr>
            <w:tcW w:w="1080" w:type="dxa"/>
            <w:tcBorders>
              <w:top w:val="single" w:sz="4" w:space="0" w:color="1A171C"/>
              <w:left w:val="nil"/>
              <w:bottom w:val="single" w:sz="4" w:space="0" w:color="1A171C"/>
              <w:right w:val="single" w:sz="4" w:space="0" w:color="1A171C"/>
            </w:tcBorders>
            <w:vAlign w:val="center"/>
          </w:tcPr>
          <w:p w14:paraId="7FE1BA82" w14:textId="28D0359B" w:rsidR="00393915" w:rsidRDefault="00F24D68">
            <w:pPr>
              <w:pStyle w:val="P68B1DB1-TableParagraph17"/>
              <w:spacing w:before="108"/>
              <w:jc w:val="both"/>
            </w:pPr>
            <w:r>
              <w:lastRenderedPageBreak/>
              <w:t>0130 – 0140</w:t>
            </w:r>
          </w:p>
        </w:tc>
        <w:tc>
          <w:tcPr>
            <w:tcW w:w="8003" w:type="dxa"/>
            <w:tcBorders>
              <w:top w:val="single" w:sz="4" w:space="0" w:color="1A171C"/>
              <w:left w:val="single" w:sz="4" w:space="0" w:color="1A171C"/>
              <w:bottom w:val="single" w:sz="4" w:space="0" w:color="1A171C"/>
              <w:right w:val="nil"/>
            </w:tcBorders>
            <w:vAlign w:val="center"/>
          </w:tcPr>
          <w:p w14:paraId="7FE1BA83" w14:textId="77777777" w:rsidR="00393915" w:rsidRDefault="00F24D68">
            <w:pPr>
              <w:pStyle w:val="P68B1DB1-TableParagraph14"/>
              <w:spacing w:before="108"/>
              <w:ind w:left="85"/>
              <w:jc w:val="both"/>
              <w:rPr>
                <w:bCs/>
              </w:rPr>
            </w:pPr>
            <w:r>
              <w:t>Mogućnost zamjene</w:t>
            </w:r>
          </w:p>
        </w:tc>
      </w:tr>
      <w:tr w:rsidR="00393915" w14:paraId="7FE1BA8E" w14:textId="77777777">
        <w:tc>
          <w:tcPr>
            <w:tcW w:w="1080" w:type="dxa"/>
            <w:tcBorders>
              <w:top w:val="single" w:sz="4" w:space="0" w:color="1A171C"/>
              <w:left w:val="nil"/>
              <w:bottom w:val="single" w:sz="4" w:space="0" w:color="1A171C"/>
              <w:right w:val="single" w:sz="4" w:space="0" w:color="1A171C"/>
            </w:tcBorders>
            <w:vAlign w:val="center"/>
          </w:tcPr>
          <w:p w14:paraId="7FE1BA85" w14:textId="56A54470" w:rsidR="00393915" w:rsidRDefault="00F24D68">
            <w:pPr>
              <w:pStyle w:val="P68B1DB1-TableParagraph17"/>
              <w:spacing w:before="108"/>
              <w:jc w:val="both"/>
            </w:pPr>
            <w:r>
              <w:t>0130</w:t>
            </w:r>
          </w:p>
        </w:tc>
        <w:tc>
          <w:tcPr>
            <w:tcW w:w="8003" w:type="dxa"/>
            <w:tcBorders>
              <w:top w:val="single" w:sz="4" w:space="0" w:color="1A171C"/>
              <w:left w:val="single" w:sz="4" w:space="0" w:color="1A171C"/>
              <w:bottom w:val="single" w:sz="4" w:space="0" w:color="1A171C"/>
              <w:right w:val="nil"/>
            </w:tcBorders>
            <w:vAlign w:val="center"/>
          </w:tcPr>
          <w:p w14:paraId="7FE1BA86" w14:textId="77777777" w:rsidR="00393915" w:rsidRDefault="00F24D68">
            <w:pPr>
              <w:pStyle w:val="P68B1DB1-Normal35"/>
              <w:jc w:val="both"/>
              <w:rPr>
                <w:bCs/>
              </w:rPr>
            </w:pPr>
            <w:r>
              <w:t>Pravne prepreke ulasku na tržište ili širenju</w:t>
            </w:r>
          </w:p>
          <w:p w14:paraId="7FE1BA87" w14:textId="77777777" w:rsidR="00393915" w:rsidRDefault="00393915">
            <w:pPr>
              <w:jc w:val="both"/>
              <w:rPr>
                <w:rFonts w:ascii="Times New Roman" w:eastAsia="Times New Roman" w:hAnsi="Times New Roman" w:cs="Times New Roman"/>
                <w:b/>
                <w:bCs/>
                <w:color w:val="000000" w:themeColor="text1"/>
                <w:sz w:val="20"/>
                <w:szCs w:val="20"/>
              </w:rPr>
            </w:pPr>
          </w:p>
          <w:p w14:paraId="7FE1BA88" w14:textId="6AA1DBA8" w:rsidR="00393915" w:rsidRDefault="00F24D68">
            <w:pPr>
              <w:pStyle w:val="P68B1DB1-Normal36"/>
              <w:jc w:val="both"/>
            </w:pPr>
            <w:r>
              <w:t xml:space="preserve">Pravne prepreke za konkurente da ponude uslugu. Pravni zahtjevi za obavljanje djelatnosti kreditnih institucija (npr. bankovne </w:t>
            </w:r>
            <w:r w:rsidR="00863F0B">
              <w:t>licence</w:t>
            </w:r>
            <w:r w:rsidR="00863F0B">
              <w:t xml:space="preserve"> </w:t>
            </w:r>
            <w:r>
              <w:t xml:space="preserve">ili kapitalni zahtjevi) ne smatraju se nepremostivim preprekama u prisutnosti alternativnih pružatelja usluga. Ovaj se pokazatelj mora iskazati u razredima koji su isti za svaku podfunkciju: </w:t>
            </w:r>
          </w:p>
          <w:p w14:paraId="7FE1BA89" w14:textId="4702A48A" w:rsidR="00393915" w:rsidRDefault="00F24D68">
            <w:pPr>
              <w:pStyle w:val="P68B1DB1-ListParagraph37"/>
              <w:numPr>
                <w:ilvl w:val="0"/>
                <w:numId w:val="275"/>
              </w:numPr>
              <w:jc w:val="both"/>
            </w:pPr>
            <w:r>
              <w:t xml:space="preserve">nema većih prepreka, </w:t>
            </w:r>
          </w:p>
          <w:p w14:paraId="7FE1BA8A" w14:textId="10C89312" w:rsidR="00393915" w:rsidRDefault="00F24D68">
            <w:pPr>
              <w:pStyle w:val="P68B1DB1-ListParagraph37"/>
              <w:numPr>
                <w:ilvl w:val="0"/>
                <w:numId w:val="275"/>
              </w:numPr>
              <w:jc w:val="both"/>
            </w:pPr>
            <w:r>
              <w:t xml:space="preserve">neke prepreke, </w:t>
            </w:r>
          </w:p>
          <w:p w14:paraId="7FE1BA8B" w14:textId="5E7499B1" w:rsidR="00393915" w:rsidRDefault="00F24D68">
            <w:pPr>
              <w:pStyle w:val="P68B1DB1-ListParagraph37"/>
              <w:numPr>
                <w:ilvl w:val="0"/>
                <w:numId w:val="275"/>
              </w:numPr>
              <w:jc w:val="both"/>
            </w:pPr>
            <w:r>
              <w:t xml:space="preserve">znatne (ali </w:t>
            </w:r>
            <w:r>
              <w:t>premostive</w:t>
            </w:r>
            <w:r>
              <w:t xml:space="preserve">) barijere, </w:t>
            </w:r>
          </w:p>
          <w:p w14:paraId="7FE1BA8D" w14:textId="3A38F717" w:rsidR="00393915" w:rsidRDefault="00F24D68">
            <w:pPr>
              <w:pStyle w:val="P68B1DB1-ListParagraph37"/>
              <w:numPr>
                <w:ilvl w:val="0"/>
                <w:numId w:val="275"/>
              </w:numPr>
              <w:jc w:val="both"/>
              <w:rPr>
                <w:b/>
                <w:bCs/>
              </w:rPr>
            </w:pPr>
            <w:r>
              <w:t xml:space="preserve">kritične (teško </w:t>
            </w:r>
            <w:r w:rsidR="00863F0B">
              <w:t>premostive</w:t>
            </w:r>
            <w:r>
              <w:t>) barijere.</w:t>
            </w:r>
          </w:p>
        </w:tc>
      </w:tr>
      <w:tr w:rsidR="00393915" w14:paraId="7FE1BA9E" w14:textId="77777777">
        <w:tc>
          <w:tcPr>
            <w:tcW w:w="1080" w:type="dxa"/>
            <w:tcBorders>
              <w:top w:val="single" w:sz="4" w:space="0" w:color="1A171C"/>
              <w:left w:val="nil"/>
              <w:bottom w:val="single" w:sz="4" w:space="0" w:color="1A171C"/>
              <w:right w:val="single" w:sz="4" w:space="0" w:color="1A171C"/>
            </w:tcBorders>
            <w:vAlign w:val="center"/>
          </w:tcPr>
          <w:p w14:paraId="7FE1BA8F" w14:textId="6435816F" w:rsidR="00393915" w:rsidRDefault="00F24D68">
            <w:pPr>
              <w:pStyle w:val="P68B1DB1-TableParagraph17"/>
              <w:spacing w:before="108"/>
              <w:jc w:val="both"/>
            </w:pPr>
            <w:r>
              <w:t>0140</w:t>
            </w:r>
          </w:p>
        </w:tc>
        <w:tc>
          <w:tcPr>
            <w:tcW w:w="8003" w:type="dxa"/>
            <w:tcBorders>
              <w:top w:val="single" w:sz="4" w:space="0" w:color="1A171C"/>
              <w:left w:val="single" w:sz="4" w:space="0" w:color="1A171C"/>
              <w:bottom w:val="single" w:sz="4" w:space="0" w:color="1A171C"/>
              <w:right w:val="nil"/>
            </w:tcBorders>
          </w:tcPr>
          <w:p w14:paraId="7FE1BA90" w14:textId="366BF463" w:rsidR="00393915" w:rsidRDefault="00F24D68">
            <w:pPr>
              <w:pStyle w:val="P68B1DB1-Normal35"/>
              <w:jc w:val="both"/>
              <w:rPr>
                <w:bCs/>
              </w:rPr>
            </w:pPr>
            <w:r>
              <w:t xml:space="preserve">Operativni zahtjevi za ulazak ili </w:t>
            </w:r>
            <w:r w:rsidR="00F375B9">
              <w:t>širenje</w:t>
            </w:r>
          </w:p>
          <w:p w14:paraId="7FE1BA91" w14:textId="77777777" w:rsidR="00393915" w:rsidRDefault="00393915">
            <w:pPr>
              <w:jc w:val="both"/>
              <w:rPr>
                <w:rFonts w:ascii="Times New Roman" w:eastAsia="Times New Roman" w:hAnsi="Times New Roman" w:cs="Times New Roman"/>
                <w:b/>
                <w:bCs/>
                <w:color w:val="000000" w:themeColor="text1"/>
                <w:sz w:val="20"/>
                <w:szCs w:val="20"/>
              </w:rPr>
            </w:pPr>
          </w:p>
          <w:p w14:paraId="7FE1BA92" w14:textId="0B3A4A94" w:rsidR="00393915" w:rsidRDefault="00F24D68">
            <w:pPr>
              <w:pStyle w:val="P68B1DB1-Normal36"/>
              <w:jc w:val="both"/>
            </w:pPr>
            <w:r>
              <w:t xml:space="preserve">Organizacijski, tehnički i infrastrukturni zahtjevi za konkurente za pružanje usluge. Zbog ponude usluga povezanih s (pod)funkcijom pružatelji moraju ulagati u (novu ili dodatnu) infrastrukturu ili </w:t>
            </w:r>
            <w:r w:rsidR="005F4529">
              <w:t>prilagod</w:t>
            </w:r>
            <w:r w:rsidR="001C2630">
              <w:t>iti</w:t>
            </w:r>
            <w:r w:rsidR="005F4529">
              <w:t xml:space="preserve"> njihove</w:t>
            </w:r>
            <w:r>
              <w:t xml:space="preserve"> organizacij</w:t>
            </w:r>
            <w:r w:rsidR="005F4529">
              <w:t>e</w:t>
            </w:r>
            <w:r>
              <w:t>.</w:t>
            </w:r>
            <w:r>
              <w:t xml:space="preserve"> Procijeniti sposobnost tržišta da apsorbira određeno poslovanje, primjerice u smislu kapitalnih zahtjeva. Kad je riječ o </w:t>
            </w:r>
            <w:r w:rsidR="005F4529">
              <w:t>kreditiranju</w:t>
            </w:r>
            <w:r>
              <w:t xml:space="preserve">, uzeti u obzir povezanu rizikom ponderiranu imovinu (navedenu u Q.17.). </w:t>
            </w:r>
          </w:p>
          <w:p w14:paraId="7FE1BA93" w14:textId="77777777" w:rsidR="00393915" w:rsidRDefault="00F24D68">
            <w:pPr>
              <w:pStyle w:val="P68B1DB1-Normal36"/>
              <w:jc w:val="both"/>
            </w:pPr>
            <w:r>
              <w:t xml:space="preserve">Ovaj se pokazatelj mora iskazati u razredima koji su isti za svaku podfunkciju: </w:t>
            </w:r>
          </w:p>
          <w:p w14:paraId="7FE1BA94" w14:textId="2E9A8492" w:rsidR="00393915" w:rsidRDefault="00F24D68">
            <w:pPr>
              <w:pStyle w:val="P68B1DB1-ListParagraph37"/>
              <w:numPr>
                <w:ilvl w:val="0"/>
                <w:numId w:val="278"/>
              </w:numPr>
              <w:jc w:val="both"/>
            </w:pPr>
            <w:r>
              <w:t xml:space="preserve">nema većih zahtjeva, </w:t>
            </w:r>
          </w:p>
          <w:p w14:paraId="7FE1BA95" w14:textId="564BCCAE" w:rsidR="00393915" w:rsidRDefault="00F24D68">
            <w:pPr>
              <w:pStyle w:val="P68B1DB1-ListParagraph37"/>
              <w:numPr>
                <w:ilvl w:val="0"/>
                <w:numId w:val="278"/>
              </w:numPr>
              <w:jc w:val="both"/>
            </w:pPr>
            <w:r>
              <w:t>nek</w:t>
            </w:r>
            <w:r w:rsidR="00E33C3D">
              <w:t>i</w:t>
            </w:r>
            <w:r>
              <w:t xml:space="preserve"> zahtjev</w:t>
            </w:r>
            <w:r w:rsidR="00E33C3D">
              <w:t>i</w:t>
            </w:r>
            <w:r>
              <w:t xml:space="preserve">, </w:t>
            </w:r>
          </w:p>
          <w:p w14:paraId="7FE1BA96" w14:textId="34F822E7" w:rsidR="00393915" w:rsidRDefault="00F24D68">
            <w:pPr>
              <w:pStyle w:val="P68B1DB1-ListParagraph37"/>
              <w:numPr>
                <w:ilvl w:val="0"/>
                <w:numId w:val="278"/>
              </w:numPr>
              <w:jc w:val="both"/>
            </w:pPr>
            <w:r>
              <w:t xml:space="preserve">značajni (ali </w:t>
            </w:r>
            <w:r w:rsidR="00E33C3D">
              <w:t>premostivi</w:t>
            </w:r>
            <w:r w:rsidR="00E33C3D">
              <w:t>)</w:t>
            </w:r>
            <w:r>
              <w:t xml:space="preserve"> zahtjevi, </w:t>
            </w:r>
          </w:p>
          <w:p w14:paraId="7FE1BA97" w14:textId="2E5FBCC7" w:rsidR="00393915" w:rsidRDefault="00F24D68">
            <w:pPr>
              <w:pStyle w:val="P68B1DB1-ListParagraph37"/>
              <w:numPr>
                <w:ilvl w:val="0"/>
                <w:numId w:val="278"/>
              </w:numPr>
              <w:jc w:val="both"/>
            </w:pPr>
            <w:r>
              <w:t>kritični (</w:t>
            </w:r>
            <w:r w:rsidR="00E33C3D">
              <w:t>teško premostivi</w:t>
            </w:r>
            <w:r>
              <w:t>) zahtjevi.</w:t>
            </w:r>
          </w:p>
          <w:p w14:paraId="7FE1BA9D" w14:textId="77777777" w:rsidR="00393915" w:rsidRDefault="00393915">
            <w:pPr>
              <w:pStyle w:val="ListParagraph"/>
              <w:jc w:val="both"/>
              <w:rPr>
                <w:rFonts w:ascii="Times New Roman" w:hAnsi="Times New Roman"/>
                <w:b/>
                <w:bCs/>
                <w:color w:val="000000" w:themeColor="text1"/>
                <w:sz w:val="20"/>
                <w:szCs w:val="20"/>
              </w:rPr>
            </w:pPr>
          </w:p>
        </w:tc>
      </w:tr>
      <w:tr w:rsidR="00393915" w14:paraId="7FE1BAA9" w14:textId="77777777">
        <w:tc>
          <w:tcPr>
            <w:tcW w:w="1080" w:type="dxa"/>
            <w:tcBorders>
              <w:top w:val="single" w:sz="4" w:space="0" w:color="1A171C"/>
              <w:left w:val="nil"/>
              <w:bottom w:val="single" w:sz="4" w:space="0" w:color="1A171C"/>
              <w:right w:val="single" w:sz="4" w:space="0" w:color="1A171C"/>
            </w:tcBorders>
            <w:vAlign w:val="center"/>
          </w:tcPr>
          <w:p w14:paraId="7FE1BAA2" w14:textId="663C9747" w:rsidR="00393915" w:rsidRDefault="00F24D68">
            <w:pPr>
              <w:pStyle w:val="P68B1DB1-TableParagraph17"/>
              <w:spacing w:before="108"/>
              <w:jc w:val="both"/>
            </w:pPr>
            <w:r>
              <w:t>0145</w:t>
            </w:r>
          </w:p>
        </w:tc>
        <w:tc>
          <w:tcPr>
            <w:tcW w:w="8003" w:type="dxa"/>
            <w:tcBorders>
              <w:top w:val="single" w:sz="4" w:space="0" w:color="1A171C"/>
              <w:left w:val="single" w:sz="4" w:space="0" w:color="1A171C"/>
              <w:bottom w:val="single" w:sz="4" w:space="0" w:color="1A171C"/>
              <w:right w:val="nil"/>
            </w:tcBorders>
            <w:vAlign w:val="center"/>
          </w:tcPr>
          <w:p w14:paraId="7FE1BAA3" w14:textId="29D9F55C" w:rsidR="00393915" w:rsidRDefault="00F24D68">
            <w:pPr>
              <w:pStyle w:val="P68B1DB1-TableParagraph14"/>
              <w:spacing w:before="108"/>
              <w:jc w:val="both"/>
              <w:rPr>
                <w:bCs/>
              </w:rPr>
            </w:pPr>
            <w:r>
              <w:t xml:space="preserve">Kapacitet za </w:t>
            </w:r>
            <w:r w:rsidR="00A4403B">
              <w:t>preuzimanje poslova</w:t>
            </w:r>
            <w:r>
              <w:t xml:space="preserve"> – broj zahtjeva novih klijenata tijekom jednog radnog dana (broj računa)</w:t>
            </w:r>
          </w:p>
          <w:p w14:paraId="7FE1BAA4" w14:textId="795A2B9D" w:rsidR="00393915" w:rsidRDefault="00F24D68">
            <w:pPr>
              <w:pStyle w:val="P68B1DB1-TableParagraph13"/>
              <w:spacing w:before="108"/>
              <w:jc w:val="both"/>
            </w:pPr>
            <w:r>
              <w:t xml:space="preserve">Od institucija se traži da </w:t>
            </w:r>
            <w:r w:rsidR="00E01ABE">
              <w:t>izvijeste</w:t>
            </w:r>
            <w:r w:rsidR="00E01ABE">
              <w:t xml:space="preserve"> </w:t>
            </w:r>
            <w:r>
              <w:t xml:space="preserve">najveći broj zahtjeva </w:t>
            </w:r>
            <w:r w:rsidR="00E01ABE">
              <w:t>gdje</w:t>
            </w:r>
            <w:r w:rsidR="00E01ABE">
              <w:t xml:space="preserve"> </w:t>
            </w:r>
            <w:r>
              <w:t>je</w:t>
            </w:r>
            <w:r w:rsidR="00E01ABE">
              <w:t xml:space="preserve"> </w:t>
            </w:r>
            <w:r>
              <w:t>institucija potvrdila zahtjev za bankarsku uslugu.</w:t>
            </w:r>
          </w:p>
          <w:p w14:paraId="1312271B" w14:textId="13480CC4" w:rsidR="00393915" w:rsidRDefault="00F24D68">
            <w:pPr>
              <w:pStyle w:val="P68B1DB1-TableParagraph13"/>
              <w:spacing w:before="108"/>
              <w:jc w:val="both"/>
            </w:pPr>
            <w:r>
              <w:t xml:space="preserve">Kapacitet za </w:t>
            </w:r>
            <w:r w:rsidR="00E01ABE">
              <w:t>preuzimanje</w:t>
            </w:r>
            <w:r>
              <w:t xml:space="preserve"> pos</w:t>
            </w:r>
            <w:r w:rsidR="00E01ABE">
              <w:t>lova</w:t>
            </w:r>
            <w:r>
              <w:t xml:space="preserve"> u smislu broja novih računa izražava se tijekom jednog radnog dana.</w:t>
            </w:r>
          </w:p>
          <w:p w14:paraId="7FE1BAA8" w14:textId="4E1E6FE1" w:rsidR="00393915" w:rsidRDefault="00F24D68">
            <w:pPr>
              <w:pStyle w:val="P68B1DB1-TableParagraph13"/>
              <w:spacing w:before="108"/>
              <w:jc w:val="both"/>
              <w:rPr>
                <w:b/>
                <w:bCs/>
              </w:rPr>
            </w:pPr>
            <w:r>
              <w:t xml:space="preserve">Od institucija se očekuje da uzmu u obzir vremenski okvir za </w:t>
            </w:r>
            <w:r w:rsidR="00E01ABE">
              <w:t>preuzimanj</w:t>
            </w:r>
            <w:r>
              <w:t>e</w:t>
            </w:r>
            <w:r>
              <w:t xml:space="preserve"> novih klijenata s obzirom na to da je novi klijent podnio zahtjev za bankarsku uslugu.</w:t>
            </w:r>
          </w:p>
        </w:tc>
      </w:tr>
      <w:tr w:rsidR="00393915" w14:paraId="7FE1BAAC" w14:textId="77777777">
        <w:tc>
          <w:tcPr>
            <w:tcW w:w="1080" w:type="dxa"/>
            <w:tcBorders>
              <w:top w:val="single" w:sz="4" w:space="0" w:color="1A171C"/>
              <w:left w:val="nil"/>
              <w:bottom w:val="single" w:sz="4" w:space="0" w:color="1A171C"/>
              <w:right w:val="single" w:sz="4" w:space="0" w:color="1A171C"/>
            </w:tcBorders>
            <w:vAlign w:val="center"/>
          </w:tcPr>
          <w:p w14:paraId="7FE1BAAA" w14:textId="71AB9851" w:rsidR="00393915" w:rsidRDefault="00F24D68">
            <w:pPr>
              <w:pStyle w:val="P68B1DB1-TableParagraph17"/>
              <w:spacing w:before="108"/>
              <w:jc w:val="both"/>
            </w:pPr>
            <w:r>
              <w:t>0150 – 0170</w:t>
            </w:r>
          </w:p>
        </w:tc>
        <w:tc>
          <w:tcPr>
            <w:tcW w:w="8003" w:type="dxa"/>
            <w:tcBorders>
              <w:top w:val="single" w:sz="4" w:space="0" w:color="1A171C"/>
              <w:left w:val="single" w:sz="4" w:space="0" w:color="1A171C"/>
              <w:bottom w:val="single" w:sz="4" w:space="0" w:color="1A171C"/>
              <w:right w:val="nil"/>
            </w:tcBorders>
            <w:vAlign w:val="center"/>
          </w:tcPr>
          <w:p w14:paraId="7FE1BAAB" w14:textId="00B6D8D1" w:rsidR="00393915" w:rsidRDefault="00F24D68">
            <w:pPr>
              <w:pStyle w:val="P68B1DB1-TableParagraph14"/>
              <w:spacing w:before="108"/>
              <w:jc w:val="both"/>
              <w:rPr>
                <w:bCs/>
              </w:rPr>
            </w:pPr>
            <w:r>
              <w:t xml:space="preserve">Procjena </w:t>
            </w:r>
            <w:r w:rsidR="00EC3560">
              <w:t>ključnosti</w:t>
            </w:r>
          </w:p>
        </w:tc>
      </w:tr>
      <w:tr w:rsidR="00393915" w14:paraId="7FE1BAB2" w14:textId="77777777">
        <w:tc>
          <w:tcPr>
            <w:tcW w:w="1080" w:type="dxa"/>
            <w:tcBorders>
              <w:top w:val="single" w:sz="4" w:space="0" w:color="1A171C"/>
              <w:left w:val="nil"/>
              <w:bottom w:val="single" w:sz="4" w:space="0" w:color="1A171C"/>
              <w:right w:val="single" w:sz="4" w:space="0" w:color="1A171C"/>
            </w:tcBorders>
            <w:vAlign w:val="center"/>
          </w:tcPr>
          <w:p w14:paraId="7FE1BAAD" w14:textId="5EFF4F1D" w:rsidR="00393915" w:rsidRDefault="00F24D68">
            <w:pPr>
              <w:pStyle w:val="P68B1DB1-TableParagraph17"/>
              <w:spacing w:before="108"/>
              <w:jc w:val="both"/>
            </w:pPr>
            <w:r>
              <w:lastRenderedPageBreak/>
              <w:t>0150</w:t>
            </w:r>
          </w:p>
        </w:tc>
        <w:tc>
          <w:tcPr>
            <w:tcW w:w="8003" w:type="dxa"/>
            <w:tcBorders>
              <w:top w:val="single" w:sz="4" w:space="0" w:color="1A171C"/>
              <w:left w:val="single" w:sz="4" w:space="0" w:color="1A171C"/>
              <w:bottom w:val="single" w:sz="4" w:space="0" w:color="1A171C"/>
              <w:right w:val="nil"/>
            </w:tcBorders>
            <w:vAlign w:val="center"/>
          </w:tcPr>
          <w:p w14:paraId="7FE1BAAE" w14:textId="01A887BF" w:rsidR="00393915" w:rsidRDefault="00EC3560">
            <w:pPr>
              <w:pStyle w:val="P68B1DB1-TableParagraph14"/>
              <w:spacing w:before="108"/>
              <w:jc w:val="both"/>
              <w:rPr>
                <w:bCs/>
              </w:rPr>
            </w:pPr>
            <w:r>
              <w:t>Utjecaj</w:t>
            </w:r>
            <w:r>
              <w:t xml:space="preserve"> </w:t>
            </w:r>
            <w:r w:rsidR="00F24D68">
              <w:t xml:space="preserve">na tržište </w:t>
            </w:r>
          </w:p>
          <w:p w14:paraId="7FE1BAAF" w14:textId="396C583F" w:rsidR="00393915" w:rsidRDefault="00F24D68">
            <w:pPr>
              <w:pStyle w:val="P68B1DB1-TableParagraph13"/>
              <w:spacing w:before="108"/>
              <w:jc w:val="both"/>
            </w:pPr>
            <w:r>
              <w:t xml:space="preserve">Procijenjeni </w:t>
            </w:r>
            <w:r w:rsidR="00EC3560">
              <w:t>utjecaj</w:t>
            </w:r>
            <w:r>
              <w:t xml:space="preserve"> naglog obustavljanja funkcije na treće strane, financijska tržišta i realno gospodarstvo, uzimajući u obzir veličinu, tržišni udio u zemlji, vanjske i unutarnje međusobne povezanosti, složenost i prekograničnu aktivnosti institucije.</w:t>
            </w:r>
          </w:p>
          <w:p w14:paraId="7FE1BAB0" w14:textId="7C32AF90" w:rsidR="00393915" w:rsidRDefault="00F24D68">
            <w:pPr>
              <w:pStyle w:val="P68B1DB1-TableParagraph13"/>
              <w:spacing w:before="108"/>
              <w:jc w:val="both"/>
            </w:pPr>
            <w:r>
              <w:t>Ta procjena izražava se kvalitativno kao „visok</w:t>
            </w:r>
            <w:r>
              <w:t>”,</w:t>
            </w:r>
            <w:r>
              <w:t xml:space="preserve"> „srednje visok</w:t>
            </w:r>
            <w:r>
              <w:t>”,</w:t>
            </w:r>
            <w:r>
              <w:t xml:space="preserve"> „srednje nizak</w:t>
            </w:r>
            <w:r>
              <w:t>”</w:t>
            </w:r>
            <w:r>
              <w:t xml:space="preserve"> ili „nizak (N)”.</w:t>
            </w:r>
          </w:p>
          <w:p w14:paraId="7FE1BAB1" w14:textId="1520616F" w:rsidR="00393915" w:rsidRDefault="00F24D68">
            <w:pPr>
              <w:pStyle w:val="P68B1DB1-TableParagraph13"/>
              <w:spacing w:before="108"/>
              <w:jc w:val="both"/>
              <w:rPr>
                <w:b/>
                <w:bCs/>
              </w:rPr>
            </w:pPr>
            <w:r>
              <w:t>„</w:t>
            </w:r>
            <w:r w:rsidR="00852C49">
              <w:t>V</w:t>
            </w:r>
            <w:r w:rsidR="00EC3560">
              <w:t>isok</w:t>
            </w:r>
            <w:r>
              <w:t xml:space="preserve">” se odabire ako je obustavljanje imalo velik </w:t>
            </w:r>
            <w:r w:rsidR="00F375B9">
              <w:t>utjecaj</w:t>
            </w:r>
            <w:r w:rsidR="00F375B9">
              <w:t xml:space="preserve"> </w:t>
            </w:r>
            <w:r>
              <w:t>na nacionalno tržište, „</w:t>
            </w:r>
            <w:r w:rsidR="00F375B9">
              <w:t>srednje visok</w:t>
            </w:r>
            <w:r>
              <w:t xml:space="preserve">” ako je </w:t>
            </w:r>
            <w:r w:rsidR="00F375B9">
              <w:t>utjecaj</w:t>
            </w:r>
            <w:r w:rsidR="00F375B9">
              <w:t xml:space="preserve"> </w:t>
            </w:r>
            <w:r>
              <w:t>znatan, „</w:t>
            </w:r>
            <w:r w:rsidR="00F375B9">
              <w:t>srednje nizak</w:t>
            </w:r>
            <w:r>
              <w:t xml:space="preserve">” ako je </w:t>
            </w:r>
            <w:r w:rsidR="00F375B9">
              <w:t>utjecaj</w:t>
            </w:r>
            <w:r w:rsidR="00F375B9">
              <w:t xml:space="preserve"> </w:t>
            </w:r>
            <w:r>
              <w:t>znatan, ali ograničen i „</w:t>
            </w:r>
            <w:r w:rsidR="00F375B9">
              <w:t>nizak</w:t>
            </w:r>
            <w:r>
              <w:t xml:space="preserve">” ako je </w:t>
            </w:r>
            <w:r>
              <w:t>u</w:t>
            </w:r>
            <w:r w:rsidR="00F375B9">
              <w:t>tjecaj</w:t>
            </w:r>
            <w:r>
              <w:t xml:space="preserve"> nizak.</w:t>
            </w:r>
          </w:p>
        </w:tc>
      </w:tr>
      <w:tr w:rsidR="00393915" w14:paraId="7FE1BABF" w14:textId="77777777">
        <w:tc>
          <w:tcPr>
            <w:tcW w:w="1080" w:type="dxa"/>
            <w:tcBorders>
              <w:top w:val="single" w:sz="4" w:space="0" w:color="1A171C"/>
              <w:left w:val="nil"/>
              <w:bottom w:val="single" w:sz="4" w:space="0" w:color="1A171C"/>
              <w:right w:val="single" w:sz="4" w:space="0" w:color="1A171C"/>
            </w:tcBorders>
            <w:vAlign w:val="center"/>
          </w:tcPr>
          <w:p w14:paraId="7FE1BAB3" w14:textId="0598BE56" w:rsidR="00393915" w:rsidRDefault="00F24D68">
            <w:pPr>
              <w:pStyle w:val="P68B1DB1-TableParagraph17"/>
              <w:spacing w:before="108"/>
              <w:jc w:val="both"/>
            </w:pPr>
            <w:r>
              <w:t>0160</w:t>
            </w:r>
          </w:p>
        </w:tc>
        <w:tc>
          <w:tcPr>
            <w:tcW w:w="8003" w:type="dxa"/>
            <w:tcBorders>
              <w:top w:val="single" w:sz="4" w:space="0" w:color="1A171C"/>
              <w:left w:val="single" w:sz="4" w:space="0" w:color="1A171C"/>
              <w:bottom w:val="single" w:sz="4" w:space="0" w:color="1A171C"/>
              <w:right w:val="nil"/>
            </w:tcBorders>
            <w:vAlign w:val="center"/>
          </w:tcPr>
          <w:p w14:paraId="7FE1BAB4" w14:textId="77777777" w:rsidR="00393915" w:rsidRDefault="00F24D68">
            <w:pPr>
              <w:pStyle w:val="P68B1DB1-TableParagraph14"/>
              <w:spacing w:before="108"/>
              <w:jc w:val="both"/>
              <w:rPr>
                <w:bCs/>
              </w:rPr>
            </w:pPr>
            <w:r>
              <w:t>Zamjenjivost</w:t>
            </w:r>
          </w:p>
          <w:p w14:paraId="7FE1BAB5" w14:textId="77777777" w:rsidR="00393915" w:rsidRDefault="00F24D68">
            <w:pPr>
              <w:pStyle w:val="P68B1DB1-TableParagraph13"/>
              <w:spacing w:before="108"/>
              <w:jc w:val="both"/>
            </w:pPr>
            <w:r>
              <w:t>Članak 6. stavak 3. Delegirane uredbe (EU) 2016/778.</w:t>
            </w:r>
          </w:p>
          <w:p w14:paraId="7FE1BAB6" w14:textId="77777777" w:rsidR="00393915" w:rsidRDefault="00F24D68">
            <w:pPr>
              <w:pStyle w:val="P68B1DB1-TableParagraph13"/>
              <w:spacing w:before="108"/>
              <w:jc w:val="both"/>
            </w:pPr>
            <w:r>
              <w:t>Funkcija se smatra zamjenjivom ako ju je moguće na prihvatljiv način i unutar razumnog roka zamijeniti te time izbjeći sistemske probleme za realno gospodarstvo i financijska tržišta. Pri tom se u obzir uzimaju sljedeći kriteriji:</w:t>
            </w:r>
          </w:p>
          <w:p w14:paraId="7FE1BAB7" w14:textId="77777777" w:rsidR="00393915" w:rsidRDefault="00F24D68">
            <w:pPr>
              <w:pStyle w:val="P68B1DB1-TableParagraph13"/>
              <w:spacing w:before="108"/>
              <w:jc w:val="both"/>
            </w:pPr>
            <w:r>
              <w:t xml:space="preserve">(a) struktura tržišta za tu funkciju i dostupnost zamjenskih pružatelja usluga; </w:t>
            </w:r>
          </w:p>
          <w:p w14:paraId="7FE1BAB8" w14:textId="77777777" w:rsidR="00393915" w:rsidRDefault="00F24D68">
            <w:pPr>
              <w:pStyle w:val="P68B1DB1-TableParagraph13"/>
              <w:spacing w:before="108"/>
              <w:jc w:val="both"/>
            </w:pPr>
            <w:r>
              <w:t xml:space="preserve">(b) sposobnost drugih pružatelja usluga u smislu kapaciteta, zahtjevi za obavljanje funkcije te potencijalne prepreke za ulazak ili širenje; </w:t>
            </w:r>
          </w:p>
          <w:p w14:paraId="7FE1BAB9" w14:textId="77777777" w:rsidR="00393915" w:rsidRDefault="00F24D68">
            <w:pPr>
              <w:pStyle w:val="P68B1DB1-TableParagraph13"/>
              <w:spacing w:before="108"/>
              <w:jc w:val="both"/>
            </w:pPr>
            <w:r>
              <w:t xml:space="preserve">(c) poticaj drugih pružatelja usluga da preuzmu te aktivnosti; </w:t>
            </w:r>
          </w:p>
          <w:p w14:paraId="7FE1BABA" w14:textId="77777777" w:rsidR="00393915" w:rsidRDefault="00F24D68">
            <w:pPr>
              <w:pStyle w:val="P68B1DB1-TableParagraph13"/>
              <w:spacing w:before="108"/>
              <w:jc w:val="both"/>
            </w:pPr>
            <w:r>
              <w:t>(d) vrijeme koje je korisnicima usluge potrebno da prijeđu na novog pružatelja usluge i troškovi tog prijelaza, vrijeme koje je potrebno da drugi tržišni natjecatelji preuzmu funkcije i je li to vrijeme dovoljno da se spriječi znatan prekid ovisno o vrsti usluge.</w:t>
            </w:r>
          </w:p>
          <w:p w14:paraId="7FE1BABB" w14:textId="3E92E541" w:rsidR="00393915" w:rsidRDefault="00F24D68">
            <w:pPr>
              <w:pStyle w:val="P68B1DB1-TableParagraph13"/>
              <w:spacing w:before="108"/>
              <w:jc w:val="both"/>
            </w:pPr>
            <w:r>
              <w:t>Navesti ukupnu procjenu očekivanog stupnja zamjenjivosti za svaku funkciju, uzimajući u obzir prethodno procijenjene različite dimenzije (tržišni udio, tržišna koncentracija, vrijeme potrebno za zamjenu, pravne prepreke i operativni zahtjevi za ulazak na tržište ili širenje). Ta procjena izražava se kvalitativno kao „</w:t>
            </w:r>
            <w:r>
              <w:t>visok</w:t>
            </w:r>
            <w:r w:rsidR="0006398F">
              <w:t>a</w:t>
            </w:r>
            <w:r>
              <w:t>”,</w:t>
            </w:r>
            <w:r>
              <w:t xml:space="preserve"> „srednje </w:t>
            </w:r>
            <w:r>
              <w:t>visok</w:t>
            </w:r>
            <w:r w:rsidR="0006398F">
              <w:t>a</w:t>
            </w:r>
            <w:r>
              <w:t>”,</w:t>
            </w:r>
            <w:r>
              <w:t xml:space="preserve"> „srednje </w:t>
            </w:r>
            <w:r>
              <w:t>ni</w:t>
            </w:r>
            <w:r w:rsidR="0006398F">
              <w:t>ska</w:t>
            </w:r>
            <w:r>
              <w:t>”</w:t>
            </w:r>
            <w:r>
              <w:t xml:space="preserve"> ili „</w:t>
            </w:r>
            <w:r>
              <w:t>ni</w:t>
            </w:r>
            <w:r w:rsidR="0006398F">
              <w:t>ska</w:t>
            </w:r>
            <w:r>
              <w:t>”.</w:t>
            </w:r>
            <w:r>
              <w:t xml:space="preserve"> </w:t>
            </w:r>
          </w:p>
          <w:p w14:paraId="7FE1BABC" w14:textId="2471C7B4" w:rsidR="00393915" w:rsidRDefault="00F24D68">
            <w:pPr>
              <w:pStyle w:val="P68B1DB1-TableParagraph13"/>
              <w:spacing w:before="108"/>
              <w:jc w:val="both"/>
            </w:pPr>
            <w:r>
              <w:t>„</w:t>
            </w:r>
            <w:r>
              <w:t>V</w:t>
            </w:r>
            <w:r w:rsidR="0012569B">
              <w:t>isok</w:t>
            </w:r>
            <w:r w:rsidR="0006398F">
              <w:t>a</w:t>
            </w:r>
            <w:r>
              <w:t>” se odabire ako funkciju može lako pružati druga banka pod usporedivim uvjetima u razumnom roku,</w:t>
            </w:r>
          </w:p>
          <w:p w14:paraId="7FE1BABD" w14:textId="3C071D1B" w:rsidR="00393915" w:rsidRDefault="00F24D68">
            <w:pPr>
              <w:pStyle w:val="P68B1DB1-TableParagraph13"/>
              <w:spacing w:before="108"/>
              <w:jc w:val="both"/>
            </w:pPr>
            <w:r>
              <w:t>„</w:t>
            </w:r>
            <w:r>
              <w:t>N</w:t>
            </w:r>
            <w:r w:rsidR="0012569B">
              <w:t>i</w:t>
            </w:r>
            <w:r w:rsidR="0006398F">
              <w:t>ska</w:t>
            </w:r>
            <w:r>
              <w:t xml:space="preserve">” ako funkciju nije moguće lako ili brzo zamijeniti, </w:t>
            </w:r>
          </w:p>
          <w:p w14:paraId="7FE1BABE" w14:textId="77A1A3D6" w:rsidR="00393915" w:rsidRDefault="00F24D68">
            <w:pPr>
              <w:pStyle w:val="P68B1DB1-TableParagraph13"/>
              <w:spacing w:before="108"/>
              <w:jc w:val="both"/>
            </w:pPr>
            <w:r>
              <w:t>„</w:t>
            </w:r>
            <w:r>
              <w:t>S</w:t>
            </w:r>
            <w:r w:rsidR="0012569B">
              <w:t>rednje visok</w:t>
            </w:r>
            <w:r w:rsidR="0006398F">
              <w:t>a</w:t>
            </w:r>
            <w:r>
              <w:t>” i „</w:t>
            </w:r>
            <w:r w:rsidR="0012569B">
              <w:t>srednje ni</w:t>
            </w:r>
            <w:r w:rsidR="0006398F">
              <w:t>ska</w:t>
            </w:r>
            <w:r>
              <w:t>” za prijelazne slučajeve, uzimajući u obzir različite dimenzije (npr. tržišni udio, tržišnu koncentraciju, vrijeme potrebno za zamjenu te pravne prepreke i operativne zahtjeve za ulazak ili širenje).</w:t>
            </w:r>
          </w:p>
        </w:tc>
      </w:tr>
      <w:tr w:rsidR="00393915" w14:paraId="7FE1BAC4" w14:textId="77777777">
        <w:tc>
          <w:tcPr>
            <w:tcW w:w="1080" w:type="dxa"/>
            <w:tcBorders>
              <w:top w:val="single" w:sz="4" w:space="0" w:color="1A171C"/>
              <w:left w:val="nil"/>
              <w:bottom w:val="single" w:sz="4" w:space="0" w:color="1A171C"/>
              <w:right w:val="single" w:sz="4" w:space="0" w:color="1A171C"/>
            </w:tcBorders>
            <w:vAlign w:val="center"/>
          </w:tcPr>
          <w:p w14:paraId="7FE1BAC0" w14:textId="4FCA9719" w:rsidR="00393915" w:rsidRDefault="00F24D68">
            <w:pPr>
              <w:pStyle w:val="P68B1DB1-TableParagraph17"/>
              <w:spacing w:before="108"/>
              <w:jc w:val="both"/>
            </w:pPr>
            <w:r>
              <w:t>0170</w:t>
            </w:r>
          </w:p>
        </w:tc>
        <w:tc>
          <w:tcPr>
            <w:tcW w:w="8003" w:type="dxa"/>
            <w:tcBorders>
              <w:top w:val="single" w:sz="4" w:space="0" w:color="1A171C"/>
              <w:left w:val="single" w:sz="4" w:space="0" w:color="1A171C"/>
              <w:bottom w:val="single" w:sz="4" w:space="0" w:color="1A171C"/>
              <w:right w:val="nil"/>
            </w:tcBorders>
            <w:vAlign w:val="center"/>
          </w:tcPr>
          <w:p w14:paraId="7FE1BAC1" w14:textId="77777777" w:rsidR="00393915" w:rsidRDefault="00F24D68">
            <w:pPr>
              <w:pStyle w:val="P68B1DB1-TableParagraph14"/>
              <w:spacing w:before="108"/>
              <w:jc w:val="both"/>
              <w:rPr>
                <w:bCs/>
              </w:rPr>
            </w:pPr>
            <w:r>
              <w:t>Ključna funkcija</w:t>
            </w:r>
          </w:p>
          <w:p w14:paraId="7FE1BAC2" w14:textId="4FD20DAE" w:rsidR="00393915" w:rsidRDefault="00F24D68">
            <w:pPr>
              <w:pStyle w:val="P68B1DB1-TableParagraph13"/>
              <w:spacing w:before="108"/>
              <w:jc w:val="both"/>
            </w:pPr>
            <w:r>
              <w:t xml:space="preserve">U ovom stupcu iskazuje se smatra li se, uzimajući u obzir </w:t>
            </w:r>
            <w:r w:rsidR="00272E67">
              <w:t>rezultate</w:t>
            </w:r>
            <w:r w:rsidR="00272E67">
              <w:t xml:space="preserve"> analize </w:t>
            </w:r>
            <w:r>
              <w:t>utjecaj</w:t>
            </w:r>
            <w:r w:rsidR="00272E67">
              <w:t>a</w:t>
            </w:r>
            <w:r>
              <w:t xml:space="preserve"> i zamjenjivost</w:t>
            </w:r>
            <w:r w:rsidR="00272E67">
              <w:t xml:space="preserve">i </w:t>
            </w:r>
            <w:r>
              <w:t xml:space="preserve">provedene od strane institucije, da je </w:t>
            </w:r>
            <w:r w:rsidR="0012569B">
              <w:t>ekonomska</w:t>
            </w:r>
            <w:r w:rsidR="0012569B">
              <w:t xml:space="preserve"> </w:t>
            </w:r>
            <w:r>
              <w:t xml:space="preserve">funkcija ključna na tržištu za </w:t>
            </w:r>
            <w:r w:rsidR="0012569B">
              <w:t>relevantnu državu</w:t>
            </w:r>
            <w:r>
              <w:t>.</w:t>
            </w:r>
          </w:p>
          <w:p w14:paraId="7FE1BAC3" w14:textId="4863B3FD" w:rsidR="00393915" w:rsidRDefault="00F24D68">
            <w:pPr>
              <w:pStyle w:val="P68B1DB1-TableParagraph13"/>
              <w:spacing w:before="108"/>
              <w:jc w:val="both"/>
            </w:pPr>
            <w:r>
              <w:t>I</w:t>
            </w:r>
            <w:r w:rsidR="0012569B">
              <w:t>zvijestiti</w:t>
            </w:r>
            <w:r>
              <w:t xml:space="preserve"> „da” ili „ne”.</w:t>
            </w:r>
          </w:p>
        </w:tc>
      </w:tr>
      <w:tr w:rsidR="00393915" w14:paraId="7FE1BAC8" w14:textId="77777777">
        <w:tc>
          <w:tcPr>
            <w:tcW w:w="1080" w:type="dxa"/>
            <w:tcBorders>
              <w:top w:val="single" w:sz="4" w:space="0" w:color="1A171C"/>
              <w:left w:val="nil"/>
              <w:bottom w:val="single" w:sz="4" w:space="0" w:color="1A171C"/>
              <w:right w:val="single" w:sz="4" w:space="0" w:color="1A171C"/>
            </w:tcBorders>
            <w:vAlign w:val="center"/>
          </w:tcPr>
          <w:p w14:paraId="7FE1BAC5" w14:textId="2A137A37" w:rsidR="00393915" w:rsidRDefault="00F24D68">
            <w:pPr>
              <w:pStyle w:val="P68B1DB1-TableParagraph17"/>
              <w:spacing w:before="108"/>
              <w:jc w:val="both"/>
            </w:pPr>
            <w:r>
              <w:t>0180</w:t>
            </w:r>
          </w:p>
        </w:tc>
        <w:tc>
          <w:tcPr>
            <w:tcW w:w="8003" w:type="dxa"/>
            <w:tcBorders>
              <w:top w:val="single" w:sz="4" w:space="0" w:color="1A171C"/>
              <w:left w:val="single" w:sz="4" w:space="0" w:color="1A171C"/>
              <w:bottom w:val="single" w:sz="4" w:space="0" w:color="1A171C"/>
              <w:right w:val="nil"/>
            </w:tcBorders>
            <w:vAlign w:val="center"/>
          </w:tcPr>
          <w:p w14:paraId="7FE1BAC6" w14:textId="77777777" w:rsidR="00393915" w:rsidRDefault="00F24D68">
            <w:pPr>
              <w:pStyle w:val="P68B1DB1-TableParagraph14"/>
              <w:spacing w:before="108"/>
              <w:jc w:val="both"/>
              <w:rPr>
                <w:bCs/>
              </w:rPr>
            </w:pPr>
            <w:r>
              <w:t>Primjedbe grupe</w:t>
            </w:r>
          </w:p>
          <w:p w14:paraId="7FE1BAC7" w14:textId="77777777" w:rsidR="00393915" w:rsidRDefault="00F24D68">
            <w:pPr>
              <w:pStyle w:val="P68B1DB1-TableParagraph13"/>
              <w:spacing w:before="108"/>
              <w:jc w:val="both"/>
            </w:pPr>
            <w:r>
              <w:t>Ovo polje omogućuje izvještajnom subjektu da objasni sve pretpostavke primijenjene pri procjeni kritičnosti funkcija o kojima se izvješćuje.</w:t>
            </w:r>
          </w:p>
        </w:tc>
      </w:tr>
    </w:tbl>
    <w:p w14:paraId="7FE1BAC9" w14:textId="77777777" w:rsidR="00393915" w:rsidRDefault="00393915">
      <w:pPr>
        <w:rPr>
          <w:rFonts w:ascii="Times New Roman" w:hAnsi="Times New Roman" w:cs="Times New Roman"/>
          <w:color w:val="000000" w:themeColor="text1"/>
          <w:sz w:val="20"/>
          <w:szCs w:val="20"/>
        </w:rPr>
      </w:pPr>
    </w:p>
    <w:p w14:paraId="7FE1BACA" w14:textId="77777777" w:rsidR="00393915" w:rsidRDefault="00393915">
      <w:pPr>
        <w:rPr>
          <w:rFonts w:ascii="Times New Roman" w:hAnsi="Times New Roman" w:cs="Times New Roman"/>
          <w:color w:val="000000" w:themeColor="text1"/>
          <w:sz w:val="20"/>
          <w:szCs w:val="20"/>
        </w:rPr>
      </w:pPr>
    </w:p>
    <w:p w14:paraId="7FE1BACB" w14:textId="018575C0" w:rsidR="00393915" w:rsidRDefault="00F24D68">
      <w:pPr>
        <w:pStyle w:val="P68B1DB1-Instructionsberschrift25"/>
        <w:numPr>
          <w:ilvl w:val="1"/>
          <w:numId w:val="49"/>
        </w:numPr>
        <w:ind w:left="357" w:hanging="357"/>
      </w:pPr>
      <w:bookmarkStart w:id="116" w:name="_Toc208244809"/>
      <w:r>
        <w:t xml:space="preserve">Z 07.01.2 </w:t>
      </w:r>
      <w:r>
        <w:t>FUN</w:t>
      </w:r>
      <w:r w:rsidR="0012569B">
        <w:t>KCIJA</w:t>
      </w:r>
      <w:r>
        <w:t xml:space="preserve"> 1 </w:t>
      </w:r>
      <w:r w:rsidR="0012569B">
        <w:t>KREDITIRANJE</w:t>
      </w:r>
      <w:bookmarkEnd w:id="116"/>
    </w:p>
    <w:p w14:paraId="7FE1BAD5" w14:textId="77777777" w:rsidR="00393915" w:rsidRDefault="00393915">
      <w:pPr>
        <w:rPr>
          <w:rFonts w:ascii="Times New Roman" w:hAnsi="Times New Roman" w:cs="Times New Roman"/>
          <w:color w:val="000000" w:themeColor="text1"/>
          <w:sz w:val="20"/>
          <w:szCs w:val="20"/>
        </w:rPr>
      </w:pPr>
    </w:p>
    <w:tbl>
      <w:tblPr>
        <w:tblW w:w="9083" w:type="dxa"/>
        <w:tblLayout w:type="fixed"/>
        <w:tblCellMar>
          <w:top w:w="57" w:type="dxa"/>
          <w:left w:w="57" w:type="dxa"/>
          <w:bottom w:w="57" w:type="dxa"/>
          <w:right w:w="0" w:type="dxa"/>
        </w:tblCellMar>
        <w:tblLook w:val="01E0" w:firstRow="1" w:lastRow="1" w:firstColumn="1" w:lastColumn="1" w:noHBand="0" w:noVBand="0"/>
      </w:tblPr>
      <w:tblGrid>
        <w:gridCol w:w="1080"/>
        <w:gridCol w:w="8003"/>
      </w:tblGrid>
      <w:tr w:rsidR="00393915" w14:paraId="7FE1BAD8" w14:textId="77777777">
        <w:trPr>
          <w:tblHeader/>
        </w:trPr>
        <w:tc>
          <w:tcPr>
            <w:tcW w:w="1080" w:type="dxa"/>
            <w:tcBorders>
              <w:top w:val="single" w:sz="4" w:space="0" w:color="1A171C"/>
              <w:left w:val="nil"/>
              <w:bottom w:val="single" w:sz="4" w:space="0" w:color="1A171C"/>
              <w:right w:val="single" w:sz="4" w:space="0" w:color="1A171C"/>
            </w:tcBorders>
            <w:shd w:val="clear" w:color="auto" w:fill="E4E5E5"/>
          </w:tcPr>
          <w:p w14:paraId="7FE1BAD6" w14:textId="77777777" w:rsidR="00393915" w:rsidRDefault="00F24D68">
            <w:pPr>
              <w:pStyle w:val="P68B1DB1-TableParagraph17"/>
              <w:spacing w:before="108"/>
              <w:ind w:left="85"/>
              <w:jc w:val="both"/>
            </w:pPr>
            <w:bookmarkStart w:id="117" w:name="_Hlk162013303"/>
            <w:r>
              <w:lastRenderedPageBreak/>
              <w:t>Stupci</w:t>
            </w:r>
          </w:p>
        </w:tc>
        <w:tc>
          <w:tcPr>
            <w:tcW w:w="8003" w:type="dxa"/>
            <w:tcBorders>
              <w:top w:val="single" w:sz="4" w:space="0" w:color="1A171C"/>
              <w:left w:val="single" w:sz="4" w:space="0" w:color="1A171C"/>
              <w:bottom w:val="single" w:sz="4" w:space="0" w:color="1A171C"/>
              <w:right w:val="nil"/>
            </w:tcBorders>
            <w:shd w:val="clear" w:color="auto" w:fill="E4E5E5"/>
          </w:tcPr>
          <w:p w14:paraId="7FE1BAD7" w14:textId="77777777" w:rsidR="00393915" w:rsidRDefault="00F24D68">
            <w:pPr>
              <w:pStyle w:val="P68B1DB1-TableParagraph17"/>
              <w:spacing w:before="108"/>
              <w:ind w:left="85" w:right="1"/>
              <w:jc w:val="both"/>
            </w:pPr>
            <w:r>
              <w:t>Upute</w:t>
            </w:r>
          </w:p>
        </w:tc>
      </w:tr>
      <w:tr w:rsidR="00393915" w14:paraId="7FE1BADC" w14:textId="77777777">
        <w:tc>
          <w:tcPr>
            <w:tcW w:w="1080" w:type="dxa"/>
            <w:tcBorders>
              <w:top w:val="single" w:sz="4" w:space="0" w:color="1A171C"/>
              <w:left w:val="nil"/>
              <w:bottom w:val="single" w:sz="4" w:space="0" w:color="1A171C"/>
              <w:right w:val="single" w:sz="4" w:space="0" w:color="1A171C"/>
            </w:tcBorders>
            <w:vAlign w:val="center"/>
          </w:tcPr>
          <w:p w14:paraId="7FE1BAD9" w14:textId="77777777" w:rsidR="00393915" w:rsidRDefault="00F24D68">
            <w:pPr>
              <w:pStyle w:val="P68B1DB1-TableParagraph17"/>
              <w:spacing w:before="108"/>
              <w:ind w:left="85"/>
              <w:jc w:val="both"/>
            </w:pPr>
            <w:r>
              <w:t>0010</w:t>
            </w:r>
          </w:p>
        </w:tc>
        <w:tc>
          <w:tcPr>
            <w:tcW w:w="8003" w:type="dxa"/>
            <w:tcBorders>
              <w:top w:val="single" w:sz="4" w:space="0" w:color="1A171C"/>
              <w:left w:val="single" w:sz="4" w:space="0" w:color="1A171C"/>
              <w:bottom w:val="single" w:sz="4" w:space="0" w:color="1A171C"/>
              <w:right w:val="nil"/>
            </w:tcBorders>
            <w:vAlign w:val="center"/>
          </w:tcPr>
          <w:p w14:paraId="7FE1BADA" w14:textId="7E5B6C2E" w:rsidR="00393915" w:rsidRDefault="00F24D68">
            <w:pPr>
              <w:pStyle w:val="P68B1DB1-TableParagraph14"/>
              <w:spacing w:before="108"/>
              <w:ind w:left="85"/>
              <w:jc w:val="both"/>
              <w:rPr>
                <w:bCs/>
              </w:rPr>
            </w:pPr>
            <w:r>
              <w:t xml:space="preserve">Opis </w:t>
            </w:r>
            <w:r w:rsidR="0012569B">
              <w:t>ekonomske</w:t>
            </w:r>
            <w:r w:rsidR="0012569B">
              <w:t xml:space="preserve"> </w:t>
            </w:r>
            <w:r>
              <w:t>funkcije</w:t>
            </w:r>
          </w:p>
          <w:p w14:paraId="7FE1BADB" w14:textId="2B447F85" w:rsidR="00393915" w:rsidRDefault="00F24D68">
            <w:pPr>
              <w:pStyle w:val="P68B1DB1-TableParagraph17"/>
              <w:spacing w:before="108"/>
              <w:ind w:left="85"/>
            </w:pPr>
            <w:r>
              <w:t xml:space="preserve">Ako je ekonomska funkcija vrste „Ostalo” (Z 07.01.2 </w:t>
            </w:r>
            <w:r>
              <w:t>FUN</w:t>
            </w:r>
            <w:r w:rsidR="0083124E">
              <w:t>KCIJA</w:t>
            </w:r>
            <w:r>
              <w:t xml:space="preserve"> 1 </w:t>
            </w:r>
            <w:r w:rsidR="0083124E">
              <w:t>KREDITIRANJE</w:t>
            </w:r>
            <w:r w:rsidR="0083124E">
              <w:t xml:space="preserve"> </w:t>
            </w:r>
            <w:r>
              <w:t xml:space="preserve">r0130 do r0150), navodi se opis te funkcije. </w:t>
            </w:r>
          </w:p>
        </w:tc>
      </w:tr>
      <w:tr w:rsidR="00393915" w14:paraId="7FE1BAE0" w14:textId="77777777">
        <w:tc>
          <w:tcPr>
            <w:tcW w:w="1080" w:type="dxa"/>
            <w:tcBorders>
              <w:top w:val="single" w:sz="4" w:space="0" w:color="1A171C"/>
              <w:left w:val="nil"/>
              <w:bottom w:val="single" w:sz="4" w:space="0" w:color="1A171C"/>
              <w:right w:val="single" w:sz="4" w:space="0" w:color="1A171C"/>
            </w:tcBorders>
            <w:vAlign w:val="center"/>
          </w:tcPr>
          <w:p w14:paraId="7FE1BADD" w14:textId="77777777" w:rsidR="00393915" w:rsidRDefault="00F24D68">
            <w:pPr>
              <w:pStyle w:val="P68B1DB1-TableParagraph17"/>
              <w:spacing w:before="108"/>
              <w:ind w:left="85"/>
              <w:jc w:val="both"/>
            </w:pPr>
            <w:r>
              <w:t>0020</w:t>
            </w:r>
          </w:p>
        </w:tc>
        <w:tc>
          <w:tcPr>
            <w:tcW w:w="8003" w:type="dxa"/>
            <w:tcBorders>
              <w:top w:val="single" w:sz="4" w:space="0" w:color="1A171C"/>
              <w:left w:val="single" w:sz="4" w:space="0" w:color="1A171C"/>
              <w:bottom w:val="single" w:sz="4" w:space="0" w:color="1A171C"/>
              <w:right w:val="nil"/>
            </w:tcBorders>
            <w:vAlign w:val="center"/>
          </w:tcPr>
          <w:p w14:paraId="7FE1BADE" w14:textId="77777777" w:rsidR="00393915" w:rsidRDefault="00F24D68">
            <w:pPr>
              <w:pStyle w:val="P68B1DB1-TableParagraph14"/>
              <w:spacing w:before="108"/>
              <w:ind w:left="85"/>
              <w:jc w:val="both"/>
              <w:rPr>
                <w:bCs/>
              </w:rPr>
            </w:pPr>
            <w:r>
              <w:t xml:space="preserve">Tržišni udio </w:t>
            </w:r>
          </w:p>
          <w:p w14:paraId="7FE1BADF" w14:textId="358ADD5F" w:rsidR="00393915" w:rsidRDefault="00F24D68">
            <w:pPr>
              <w:pStyle w:val="P68B1DB1-TableParagraph17"/>
              <w:spacing w:before="108"/>
              <w:ind w:left="85"/>
            </w:pPr>
            <w:r>
              <w:t xml:space="preserve">Procjena tržišnog udjela institucije ili grupe za predmetnu </w:t>
            </w:r>
            <w:r w:rsidR="0083124E">
              <w:t>ekonomsku</w:t>
            </w:r>
            <w:r>
              <w:t xml:space="preserve"> funkciju u </w:t>
            </w:r>
            <w:r w:rsidR="0083124E">
              <w:t>relevantnoj državi</w:t>
            </w:r>
            <w:r>
              <w:t xml:space="preserve"> ili geografskoj regiji. </w:t>
            </w:r>
            <w:r w:rsidR="00647A76" w:rsidRPr="00647A76">
              <w:t xml:space="preserve">Postotak u </w:t>
            </w:r>
            <w:r w:rsidR="00647A76" w:rsidRPr="00647A76">
              <w:t>odnosu na ukupno tržište prema „</w:t>
            </w:r>
            <w:r w:rsidR="00647A76">
              <w:t xml:space="preserve">nepodmirena </w:t>
            </w:r>
            <w:r w:rsidR="00647A76" w:rsidRPr="00647A76">
              <w:t>vrijednost”</w:t>
            </w:r>
            <w:r>
              <w:t>.</w:t>
            </w:r>
          </w:p>
        </w:tc>
      </w:tr>
      <w:tr w:rsidR="00393915" w14:paraId="7FE1BAE5" w14:textId="77777777">
        <w:tc>
          <w:tcPr>
            <w:tcW w:w="1080" w:type="dxa"/>
            <w:tcBorders>
              <w:top w:val="single" w:sz="4" w:space="0" w:color="1A171C"/>
              <w:left w:val="nil"/>
              <w:bottom w:val="single" w:sz="4" w:space="0" w:color="1A171C"/>
              <w:right w:val="single" w:sz="4" w:space="0" w:color="1A171C"/>
            </w:tcBorders>
            <w:vAlign w:val="center"/>
          </w:tcPr>
          <w:p w14:paraId="7FE1BAE1" w14:textId="77777777" w:rsidR="00393915" w:rsidRDefault="00F24D68">
            <w:pPr>
              <w:pStyle w:val="P68B1DB1-TableParagraph17"/>
              <w:spacing w:before="108"/>
              <w:ind w:left="85"/>
              <w:jc w:val="both"/>
            </w:pPr>
            <w:r>
              <w:t>0030</w:t>
            </w:r>
          </w:p>
        </w:tc>
        <w:tc>
          <w:tcPr>
            <w:tcW w:w="8003" w:type="dxa"/>
            <w:tcBorders>
              <w:top w:val="single" w:sz="4" w:space="0" w:color="1A171C"/>
              <w:left w:val="single" w:sz="4" w:space="0" w:color="1A171C"/>
              <w:bottom w:val="single" w:sz="4" w:space="0" w:color="1A171C"/>
              <w:right w:val="nil"/>
            </w:tcBorders>
            <w:vAlign w:val="center"/>
          </w:tcPr>
          <w:p w14:paraId="7FE1BAE2" w14:textId="77777777" w:rsidR="00393915" w:rsidRDefault="00F24D68">
            <w:pPr>
              <w:pStyle w:val="P68B1DB1-TableParagraph14"/>
              <w:spacing w:before="108"/>
              <w:rPr>
                <w:bCs/>
              </w:rPr>
            </w:pPr>
            <w:r>
              <w:t>Nepodmirena vrijednost</w:t>
            </w:r>
          </w:p>
          <w:p w14:paraId="7FE1BAE3" w14:textId="2B5B668C" w:rsidR="00393915" w:rsidRDefault="00F24D68">
            <w:pPr>
              <w:pStyle w:val="P68B1DB1-TableParagraph17"/>
              <w:spacing w:before="108"/>
            </w:pPr>
            <w:r>
              <w:t xml:space="preserve">Bruto knjigovodstvena vrijednost </w:t>
            </w:r>
            <w:r w:rsidR="00647A76">
              <w:t xml:space="preserve">umanjenih i neumanjenih </w:t>
            </w:r>
            <w:r>
              <w:t>kredita i predujmova (uključujući obračunate kamate</w:t>
            </w:r>
            <w:r>
              <w:t>).</w:t>
            </w:r>
          </w:p>
          <w:p w14:paraId="7FE1BAE4" w14:textId="4DDE0078" w:rsidR="00393915" w:rsidRDefault="00F24D68">
            <w:pPr>
              <w:pStyle w:val="P68B1DB1-TableParagraph17"/>
              <w:spacing w:before="108"/>
            </w:pPr>
            <w:r>
              <w:t xml:space="preserve">Ukupna </w:t>
            </w:r>
            <w:r w:rsidR="00647A76">
              <w:t>vrijednost</w:t>
            </w:r>
            <w:r w:rsidR="00647A76">
              <w:t xml:space="preserve"> </w:t>
            </w:r>
            <w:r>
              <w:t xml:space="preserve">kredita uzima se </w:t>
            </w:r>
            <w:r w:rsidR="00647A76">
              <w:t xml:space="preserve">za </w:t>
            </w:r>
            <w:r w:rsidR="00647A76">
              <w:t>aproksimaciju</w:t>
            </w:r>
            <w:r>
              <w:t xml:space="preserve"> očekivano</w:t>
            </w:r>
            <w:r w:rsidR="00647A76">
              <w:t>g</w:t>
            </w:r>
            <w:r>
              <w:t xml:space="preserve"> buduće</w:t>
            </w:r>
            <w:r w:rsidR="00647A76">
              <w:t>g</w:t>
            </w:r>
            <w:r>
              <w:t xml:space="preserve"> </w:t>
            </w:r>
            <w:r w:rsidR="00647A76">
              <w:t>kreditiranja</w:t>
            </w:r>
            <w:r>
              <w:t>.</w:t>
            </w:r>
          </w:p>
        </w:tc>
      </w:tr>
      <w:tr w:rsidR="00393915" w14:paraId="7FE1BAEB" w14:textId="77777777">
        <w:tc>
          <w:tcPr>
            <w:tcW w:w="1080" w:type="dxa"/>
            <w:tcBorders>
              <w:top w:val="single" w:sz="4" w:space="0" w:color="1A171C"/>
              <w:left w:val="nil"/>
              <w:bottom w:val="single" w:sz="4" w:space="0" w:color="1A171C"/>
              <w:right w:val="single" w:sz="4" w:space="0" w:color="1A171C"/>
            </w:tcBorders>
            <w:vAlign w:val="center"/>
          </w:tcPr>
          <w:p w14:paraId="7FE1BAE6" w14:textId="77777777" w:rsidR="00393915" w:rsidRDefault="00F24D68">
            <w:pPr>
              <w:pStyle w:val="P68B1DB1-TableParagraph17"/>
              <w:spacing w:before="108"/>
              <w:ind w:left="85"/>
              <w:jc w:val="both"/>
            </w:pPr>
            <w:r>
              <w:t>0040</w:t>
            </w:r>
          </w:p>
        </w:tc>
        <w:tc>
          <w:tcPr>
            <w:tcW w:w="8003" w:type="dxa"/>
            <w:tcBorders>
              <w:top w:val="single" w:sz="4" w:space="0" w:color="1A171C"/>
              <w:left w:val="single" w:sz="4" w:space="0" w:color="1A171C"/>
              <w:bottom w:val="single" w:sz="4" w:space="0" w:color="1A171C"/>
              <w:right w:val="nil"/>
            </w:tcBorders>
            <w:vAlign w:val="center"/>
          </w:tcPr>
          <w:p w14:paraId="7FE1BAE7" w14:textId="77777777" w:rsidR="00393915" w:rsidRDefault="00F24D68">
            <w:pPr>
              <w:pStyle w:val="P68B1DB1-TableParagraph14"/>
              <w:spacing w:before="108"/>
              <w:rPr>
                <w:bCs/>
              </w:rPr>
            </w:pPr>
            <w:r>
              <w:t>Broj klijenata</w:t>
            </w:r>
          </w:p>
          <w:p w14:paraId="7FE1BAE9" w14:textId="5260E243" w:rsidR="00393915" w:rsidRDefault="00F24D68">
            <w:pPr>
              <w:pStyle w:val="P68B1DB1-TableParagraph17"/>
              <w:spacing w:before="108"/>
            </w:pPr>
            <w:r>
              <w:t xml:space="preserve">Ukupan broj klijenata </w:t>
            </w:r>
            <w:r w:rsidR="00074A5E">
              <w:t>čije</w:t>
            </w:r>
            <w:r w:rsidR="00074A5E">
              <w:t xml:space="preserve"> su vrijednosti</w:t>
            </w:r>
            <w:r>
              <w:t xml:space="preserve"> </w:t>
            </w:r>
            <w:r w:rsidR="00074A5E">
              <w:t>izvještene</w:t>
            </w:r>
            <w:r>
              <w:t xml:space="preserve"> </w:t>
            </w:r>
            <w:r>
              <w:t>u c0030 „</w:t>
            </w:r>
            <w:r w:rsidR="00074A5E">
              <w:t xml:space="preserve">nepodmirena </w:t>
            </w:r>
            <w:r w:rsidR="00074A5E">
              <w:t>vrijednost</w:t>
            </w:r>
            <w:r>
              <w:t xml:space="preserve">”. Ako klijent koristi više </w:t>
            </w:r>
            <w:r w:rsidR="00BD2CF9">
              <w:t xml:space="preserve">kreditnih </w:t>
            </w:r>
            <w:r>
              <w:t>proizvoda/računa, taj klijent računa se samo jednom.</w:t>
            </w:r>
          </w:p>
          <w:p w14:paraId="7FE1BAEA" w14:textId="69D50D9D" w:rsidR="00393915" w:rsidRDefault="00393915">
            <w:pPr>
              <w:pStyle w:val="P68B1DB1-TableParagraph17"/>
              <w:spacing w:before="108"/>
            </w:pPr>
          </w:p>
        </w:tc>
      </w:tr>
      <w:tr w:rsidR="00393915" w14:paraId="7FE1BAF5" w14:textId="77777777">
        <w:tc>
          <w:tcPr>
            <w:tcW w:w="1080" w:type="dxa"/>
            <w:tcBorders>
              <w:top w:val="single" w:sz="4" w:space="0" w:color="1A171C"/>
              <w:left w:val="nil"/>
              <w:bottom w:val="single" w:sz="4" w:space="0" w:color="1A171C"/>
              <w:right w:val="single" w:sz="4" w:space="0" w:color="1A171C"/>
            </w:tcBorders>
            <w:vAlign w:val="center"/>
          </w:tcPr>
          <w:p w14:paraId="7FE1BAF1" w14:textId="77777777" w:rsidR="00393915" w:rsidRDefault="00F24D68">
            <w:pPr>
              <w:pStyle w:val="P68B1DB1-TableParagraph17"/>
              <w:spacing w:before="108"/>
              <w:jc w:val="both"/>
            </w:pPr>
            <w:r>
              <w:t>0060</w:t>
            </w:r>
          </w:p>
        </w:tc>
        <w:tc>
          <w:tcPr>
            <w:tcW w:w="8003" w:type="dxa"/>
            <w:tcBorders>
              <w:top w:val="single" w:sz="4" w:space="0" w:color="1A171C"/>
              <w:left w:val="single" w:sz="4" w:space="0" w:color="1A171C"/>
              <w:bottom w:val="single" w:sz="4" w:space="0" w:color="1A171C"/>
              <w:right w:val="nil"/>
            </w:tcBorders>
            <w:vAlign w:val="center"/>
          </w:tcPr>
          <w:p w14:paraId="7FE1BAF2" w14:textId="77777777" w:rsidR="00393915" w:rsidRDefault="00F24D68">
            <w:pPr>
              <w:pStyle w:val="P68B1DB1-TableParagraph14"/>
              <w:spacing w:before="108"/>
              <w:ind w:left="85"/>
              <w:jc w:val="both"/>
              <w:rPr>
                <w:bCs/>
              </w:rPr>
            </w:pPr>
            <w:r>
              <w:t>Nepodmirena vrijednost – prekogranična vrijednost</w:t>
            </w:r>
          </w:p>
          <w:p w14:paraId="7FE1BAF3" w14:textId="2D7821BE" w:rsidR="00393915" w:rsidRDefault="00F24D68">
            <w:pPr>
              <w:pStyle w:val="P68B1DB1-TableParagraph13"/>
              <w:spacing w:before="108"/>
              <w:ind w:left="85"/>
              <w:jc w:val="both"/>
            </w:pPr>
            <w:r>
              <w:t>Nepodmirena vrijednost (c0030) kredita nerezidenata, vidjeti depozite (c0060) „</w:t>
            </w:r>
            <w:r>
              <w:t>prekograničn</w:t>
            </w:r>
            <w:r w:rsidR="008F1AB6">
              <w:t>a</w:t>
            </w:r>
          </w:p>
          <w:p w14:paraId="7FE1BAF4" w14:textId="77777777" w:rsidR="00393915" w:rsidRDefault="00F24D68">
            <w:pPr>
              <w:pStyle w:val="P68B1DB1-TableParagraph13"/>
              <w:spacing w:before="108"/>
              <w:ind w:left="85"/>
              <w:jc w:val="both"/>
              <w:rPr>
                <w:b/>
                <w:bCs/>
              </w:rPr>
            </w:pPr>
            <w:r>
              <w:t>vrijednost”.</w:t>
            </w:r>
          </w:p>
        </w:tc>
      </w:tr>
      <w:bookmarkEnd w:id="117"/>
      <w:tr w:rsidR="00393915" w14:paraId="7FE1BB01" w14:textId="77777777">
        <w:tc>
          <w:tcPr>
            <w:tcW w:w="1080" w:type="dxa"/>
            <w:tcBorders>
              <w:top w:val="single" w:sz="4" w:space="0" w:color="1A171C"/>
              <w:left w:val="nil"/>
              <w:bottom w:val="single" w:sz="4" w:space="0" w:color="1A171C"/>
              <w:right w:val="single" w:sz="4" w:space="0" w:color="1A171C"/>
            </w:tcBorders>
            <w:vAlign w:val="center"/>
          </w:tcPr>
          <w:p w14:paraId="7FE1BAF9" w14:textId="14542C41" w:rsidR="00393915" w:rsidRDefault="00F24D68">
            <w:pPr>
              <w:pStyle w:val="P68B1DB1-TableParagraph17"/>
              <w:spacing w:before="108"/>
              <w:jc w:val="both"/>
            </w:pPr>
            <w:r>
              <w:t>0080 – 0150</w:t>
            </w:r>
          </w:p>
        </w:tc>
        <w:tc>
          <w:tcPr>
            <w:tcW w:w="8003" w:type="dxa"/>
            <w:tcBorders>
              <w:top w:val="single" w:sz="4" w:space="0" w:color="1A171C"/>
              <w:left w:val="single" w:sz="4" w:space="0" w:color="1A171C"/>
              <w:bottom w:val="single" w:sz="4" w:space="0" w:color="1A171C"/>
              <w:right w:val="nil"/>
            </w:tcBorders>
            <w:vAlign w:val="center"/>
          </w:tcPr>
          <w:p w14:paraId="7FE1BAFA" w14:textId="5141824E" w:rsidR="00393915" w:rsidRDefault="00F24D68">
            <w:pPr>
              <w:pStyle w:val="P68B1DB1-TableParagraph14"/>
              <w:spacing w:before="108"/>
              <w:jc w:val="both"/>
              <w:rPr>
                <w:bCs/>
              </w:rPr>
            </w:pPr>
            <w:r>
              <w:t xml:space="preserve">Analize </w:t>
            </w:r>
            <w:r w:rsidR="00B770FB">
              <w:t>utjecaja</w:t>
            </w:r>
            <w:r w:rsidR="00B770FB">
              <w:t xml:space="preserve"> </w:t>
            </w:r>
            <w:r>
              <w:t>i zamjenjivosti</w:t>
            </w:r>
          </w:p>
          <w:p w14:paraId="7FE1BAFB" w14:textId="5930DE06" w:rsidR="00393915" w:rsidRDefault="00F24D68">
            <w:pPr>
              <w:pStyle w:val="P68B1DB1-TableParagraph13"/>
              <w:spacing w:before="108"/>
            </w:pPr>
            <w:r>
              <w:t xml:space="preserve">Kriteriji procjene </w:t>
            </w:r>
            <w:r w:rsidR="00B770FB">
              <w:t>utjecaja</w:t>
            </w:r>
            <w:r w:rsidR="00B770FB">
              <w:t xml:space="preserve"> </w:t>
            </w:r>
            <w:r>
              <w:t>na treće strane uključuju sljedeće elemente u skladu s Delegiranom uredbom Komisije (EU) 2016/778 o ključnim funkcijama:</w:t>
            </w:r>
          </w:p>
          <w:p w14:paraId="7FE1BAFC" w14:textId="396B817C" w:rsidR="00393915" w:rsidRDefault="00F24D68">
            <w:pPr>
              <w:pStyle w:val="P68B1DB1-ListParagraph38"/>
              <w:numPr>
                <w:ilvl w:val="0"/>
                <w:numId w:val="131"/>
              </w:numPr>
              <w:spacing w:line="276" w:lineRule="auto"/>
            </w:pPr>
            <w:r>
              <w:t xml:space="preserve">prirodu i doseg aktivnosti, globalni, nacionalni ili regionalni doseg, opseg i broj transakcija; broj </w:t>
            </w:r>
            <w:r w:rsidR="00B770FB">
              <w:t>klijenata</w:t>
            </w:r>
            <w:r w:rsidR="00B770FB">
              <w:t xml:space="preserve"> </w:t>
            </w:r>
            <w:r>
              <w:t xml:space="preserve">i ugovornih strana; broj </w:t>
            </w:r>
            <w:r w:rsidR="00B770FB">
              <w:t>klijenata</w:t>
            </w:r>
            <w:r w:rsidR="00B770FB">
              <w:t xml:space="preserve"> </w:t>
            </w:r>
            <w:r>
              <w:t>za koje je institucija jedini ili glavni bankarski partner.</w:t>
            </w:r>
          </w:p>
          <w:p w14:paraId="7FE1BAFD" w14:textId="77777777" w:rsidR="00393915" w:rsidRDefault="00F24D68">
            <w:pPr>
              <w:pStyle w:val="P68B1DB1-ListParagraph38"/>
              <w:numPr>
                <w:ilvl w:val="0"/>
                <w:numId w:val="131"/>
              </w:numPr>
              <w:spacing w:line="276" w:lineRule="auto"/>
            </w:pPr>
            <w:r>
              <w:t>važnost institucije na lokalnoj, regionalnoj, nacionalnoj ili europskoj razini, ovisno o predmetnom tržištu. Važnost institucije može se procijeniti na temelju tržišnog udjela, međusobne povezanosti, složenosti i prekograničnih aktivnosti.</w:t>
            </w:r>
          </w:p>
          <w:p w14:paraId="7FE1BAFE" w14:textId="14F8C964" w:rsidR="00393915" w:rsidRDefault="00F24D68">
            <w:pPr>
              <w:pStyle w:val="P68B1DB1-ListParagraph38"/>
              <w:numPr>
                <w:ilvl w:val="0"/>
                <w:numId w:val="131"/>
              </w:numPr>
              <w:spacing w:line="276" w:lineRule="auto"/>
            </w:pPr>
            <w:r>
              <w:t xml:space="preserve">prirodu </w:t>
            </w:r>
            <w:r w:rsidR="00B770FB">
              <w:t>klijenata</w:t>
            </w:r>
            <w:r w:rsidR="00B770FB">
              <w:t xml:space="preserve"> </w:t>
            </w:r>
            <w:r>
              <w:t xml:space="preserve">i dionika na koje utječe funkcija kao što su, ali ne isključivo, mali </w:t>
            </w:r>
            <w:r>
              <w:t>k</w:t>
            </w:r>
            <w:r w:rsidR="00B770FB">
              <w:t>lijenti</w:t>
            </w:r>
            <w:r>
              <w:t xml:space="preserve">, korporativni i međubankovni </w:t>
            </w:r>
            <w:r w:rsidR="00B770FB">
              <w:t>klijenti</w:t>
            </w:r>
            <w:r>
              <w:t xml:space="preserve">, središnje klirinške kuće i javna tijela. </w:t>
            </w:r>
          </w:p>
          <w:p w14:paraId="7FE1BAFF" w14:textId="030B52AF" w:rsidR="00393915" w:rsidRDefault="00B770FB">
            <w:pPr>
              <w:pStyle w:val="P68B1DB1-ListParagraph38"/>
              <w:numPr>
                <w:ilvl w:val="0"/>
                <w:numId w:val="131"/>
              </w:numPr>
              <w:spacing w:line="276" w:lineRule="auto"/>
            </w:pPr>
            <w:r>
              <w:t>utjecaj</w:t>
            </w:r>
            <w:r w:rsidR="00F24D68">
              <w:t xml:space="preserve"> potencijalnog prekida funkcije na tržišta, infrastrukture, korisnike i javne usluge. Procjena može posebno uključivati </w:t>
            </w:r>
            <w:r w:rsidR="00F56618">
              <w:t>utjecaj</w:t>
            </w:r>
            <w:r w:rsidR="00F56618">
              <w:t xml:space="preserve"> </w:t>
            </w:r>
            <w:r w:rsidR="00F24D68">
              <w:t xml:space="preserve">na likvidnost predmetnog tržišta, utjecaj i razmjer prekida na poslovanje korisnika i kratkoročne likvidnosne potrebe; </w:t>
            </w:r>
            <w:r w:rsidR="00F56618">
              <w:t>percepciju</w:t>
            </w:r>
            <w:r w:rsidR="00F24D68">
              <w:t xml:space="preserve"> drug</w:t>
            </w:r>
            <w:r w:rsidR="00F56618">
              <w:t>ih</w:t>
            </w:r>
            <w:r w:rsidR="00F24D68">
              <w:t xml:space="preserve"> ugovorn</w:t>
            </w:r>
            <w:r w:rsidR="00F56618">
              <w:t>ih</w:t>
            </w:r>
            <w:r w:rsidR="00F24D68">
              <w:t xml:space="preserve"> stran</w:t>
            </w:r>
            <w:r w:rsidR="00F56618">
              <w:t>a</w:t>
            </w:r>
            <w:r w:rsidR="00F24D68">
              <w:t xml:space="preserve">, </w:t>
            </w:r>
            <w:r w:rsidR="00F56618">
              <w:t>klijente</w:t>
            </w:r>
            <w:r w:rsidR="00F56618">
              <w:t xml:space="preserve"> </w:t>
            </w:r>
            <w:r w:rsidR="00F24D68">
              <w:t xml:space="preserve">i javnost; mogućnost i brzinu reakcije </w:t>
            </w:r>
            <w:r w:rsidR="00F56618">
              <w:t>klijenata</w:t>
            </w:r>
            <w:r w:rsidR="00F24D68">
              <w:t xml:space="preserve">; važnost za funkcioniranje drugih tržišta; </w:t>
            </w:r>
            <w:r w:rsidR="00F56618">
              <w:t>utjecaj</w:t>
            </w:r>
            <w:r w:rsidR="00F56618">
              <w:t xml:space="preserve"> </w:t>
            </w:r>
            <w:r w:rsidR="00F24D68">
              <w:t xml:space="preserve">na likvidnost, poslovanje, strukturu drugog tržišta; </w:t>
            </w:r>
            <w:r w:rsidR="00F56618">
              <w:t>utjecaj</w:t>
            </w:r>
            <w:r w:rsidR="00F56618">
              <w:t xml:space="preserve"> </w:t>
            </w:r>
            <w:r w:rsidR="00F24D68">
              <w:t xml:space="preserve">na ugovorne strane povezane s </w:t>
            </w:r>
            <w:r w:rsidR="00F56618">
              <w:t>najvećim klijentima</w:t>
            </w:r>
            <w:r w:rsidR="00F24D68">
              <w:t xml:space="preserve"> i međusobnu povezanost funkcije s drugim uslugama.</w:t>
            </w:r>
          </w:p>
          <w:p w14:paraId="7FE1BB00" w14:textId="77777777" w:rsidR="00393915" w:rsidRDefault="00393915">
            <w:pPr>
              <w:pStyle w:val="TableParagraph"/>
              <w:spacing w:before="108"/>
              <w:jc w:val="both"/>
              <w:rPr>
                <w:rFonts w:ascii="Times New Roman" w:hAnsi="Times New Roman" w:cs="Times New Roman"/>
                <w:color w:val="000000" w:themeColor="text1"/>
                <w:sz w:val="20"/>
                <w:szCs w:val="20"/>
              </w:rPr>
            </w:pPr>
          </w:p>
        </w:tc>
      </w:tr>
      <w:tr w:rsidR="00393915" w14:paraId="7FE1BB05" w14:textId="77777777">
        <w:tc>
          <w:tcPr>
            <w:tcW w:w="1080" w:type="dxa"/>
            <w:tcBorders>
              <w:top w:val="single" w:sz="4" w:space="0" w:color="1A171C"/>
              <w:left w:val="nil"/>
              <w:bottom w:val="single" w:sz="4" w:space="0" w:color="1A171C"/>
              <w:right w:val="single" w:sz="4" w:space="0" w:color="1A171C"/>
            </w:tcBorders>
            <w:vAlign w:val="center"/>
          </w:tcPr>
          <w:p w14:paraId="7FE1BB02" w14:textId="36421503" w:rsidR="00393915" w:rsidRDefault="00F24D68">
            <w:pPr>
              <w:pStyle w:val="P68B1DB1-TableParagraph17"/>
              <w:spacing w:before="108"/>
              <w:jc w:val="both"/>
            </w:pPr>
            <w:r>
              <w:t>0080 – 0150</w:t>
            </w:r>
          </w:p>
        </w:tc>
        <w:tc>
          <w:tcPr>
            <w:tcW w:w="8003" w:type="dxa"/>
            <w:tcBorders>
              <w:top w:val="single" w:sz="4" w:space="0" w:color="1A171C"/>
              <w:left w:val="single" w:sz="4" w:space="0" w:color="1A171C"/>
              <w:bottom w:val="single" w:sz="4" w:space="0" w:color="1A171C"/>
              <w:right w:val="nil"/>
            </w:tcBorders>
            <w:vAlign w:val="center"/>
          </w:tcPr>
          <w:p w14:paraId="7FE1BB03" w14:textId="77777777" w:rsidR="00393915" w:rsidRDefault="00F24D68">
            <w:pPr>
              <w:pStyle w:val="P68B1DB1-TableParagraph14"/>
              <w:spacing w:before="108"/>
              <w:jc w:val="both"/>
              <w:rPr>
                <w:bCs/>
              </w:rPr>
            </w:pPr>
            <w:r>
              <w:t xml:space="preserve">Priroda i područje primjene </w:t>
            </w:r>
          </w:p>
          <w:p w14:paraId="7FE1BB04" w14:textId="2CABC0F3" w:rsidR="00393915" w:rsidRDefault="00F24D68">
            <w:pPr>
              <w:pStyle w:val="P68B1DB1-TableParagraph13"/>
              <w:spacing w:before="108"/>
              <w:jc w:val="both"/>
            </w:pPr>
            <w:r>
              <w:t xml:space="preserve">Globalni, nacionalni ili regionalni doseg, obujam i broj transakcija; broj </w:t>
            </w:r>
            <w:r w:rsidR="00F56618">
              <w:t>klijenata</w:t>
            </w:r>
            <w:r w:rsidR="00F56618">
              <w:t xml:space="preserve"> </w:t>
            </w:r>
            <w:r>
              <w:t xml:space="preserve">i ugovornih strana; broj </w:t>
            </w:r>
            <w:r w:rsidR="00F56618">
              <w:t>klijenata</w:t>
            </w:r>
            <w:r w:rsidR="00F56618">
              <w:t xml:space="preserve"> </w:t>
            </w:r>
            <w:r>
              <w:t>za koje je institucija jedini ili glavni bankarski partner.</w:t>
            </w:r>
          </w:p>
        </w:tc>
      </w:tr>
      <w:tr w:rsidR="00393915" w14:paraId="7FE1BB0C" w14:textId="77777777">
        <w:tc>
          <w:tcPr>
            <w:tcW w:w="1080" w:type="dxa"/>
            <w:tcBorders>
              <w:top w:val="single" w:sz="4" w:space="0" w:color="1A171C"/>
              <w:left w:val="nil"/>
              <w:bottom w:val="single" w:sz="4" w:space="0" w:color="1A171C"/>
              <w:right w:val="single" w:sz="4" w:space="0" w:color="1A171C"/>
            </w:tcBorders>
            <w:vAlign w:val="center"/>
          </w:tcPr>
          <w:p w14:paraId="7FE1BB06" w14:textId="202CD428" w:rsidR="00393915" w:rsidRDefault="00F24D68">
            <w:pPr>
              <w:pStyle w:val="P68B1DB1-TableParagraph17"/>
              <w:spacing w:before="108"/>
              <w:jc w:val="both"/>
            </w:pPr>
            <w:r>
              <w:t>0080</w:t>
            </w:r>
          </w:p>
        </w:tc>
        <w:tc>
          <w:tcPr>
            <w:tcW w:w="8003" w:type="dxa"/>
            <w:tcBorders>
              <w:top w:val="single" w:sz="4" w:space="0" w:color="1A171C"/>
              <w:left w:val="single" w:sz="4" w:space="0" w:color="1A171C"/>
              <w:bottom w:val="single" w:sz="4" w:space="0" w:color="1A171C"/>
              <w:right w:val="nil"/>
            </w:tcBorders>
            <w:vAlign w:val="center"/>
          </w:tcPr>
          <w:p w14:paraId="7FE1BB07" w14:textId="77777777" w:rsidR="00393915" w:rsidRDefault="00F24D68">
            <w:pPr>
              <w:pStyle w:val="P68B1DB1-TableParagraph14"/>
              <w:spacing w:before="108"/>
              <w:jc w:val="both"/>
              <w:rPr>
                <w:bCs/>
              </w:rPr>
            </w:pPr>
            <w:r>
              <w:t>Pokazatelj veličine br. 1</w:t>
            </w:r>
          </w:p>
          <w:p w14:paraId="50B226E0" w14:textId="2AC50390" w:rsidR="00393915" w:rsidRDefault="00F24D68">
            <w:pPr>
              <w:pStyle w:val="P68B1DB1-Normal31"/>
              <w:spacing w:line="276" w:lineRule="auto"/>
              <w:jc w:val="both"/>
            </w:pPr>
            <w:r>
              <w:lastRenderedPageBreak/>
              <w:t>Procijeniti koliko je banka važna u tim aktivnostima. Ta se procjena kvalitativno izražava kao „visoka”, „srednja visoka”, „</w:t>
            </w:r>
            <w:r>
              <w:t>srednj</w:t>
            </w:r>
            <w:r w:rsidR="00F56618">
              <w:t>e niska</w:t>
            </w:r>
            <w:r>
              <w:t>” ili „niska”. Navesti „</w:t>
            </w:r>
            <w:r w:rsidR="00F56618">
              <w:t>visoka</w:t>
            </w:r>
            <w:r>
              <w:t>” ako je veličina funkcije velika, „srednje-visoka” ako je srednja, „</w:t>
            </w:r>
            <w:r>
              <w:t>srednj</w:t>
            </w:r>
            <w:r w:rsidR="00F56618">
              <w:t>e niska</w:t>
            </w:r>
            <w:r>
              <w:t>” ako je mala, i „</w:t>
            </w:r>
            <w:r w:rsidR="00F56618">
              <w:t>niska</w:t>
            </w:r>
            <w:r>
              <w:t xml:space="preserve">” ako je zanemariva. Kao referentnu vrijednost za tu kvalitativnu procjenu koristi makroekonomske varijable kao što su BDP, stanovništvo (za depozite, kreditiranje, plaćanja, gotovinu, namiru, usluge poravnanja i skrbništva) ili veličinu tržišta (za tržišta kapitala i veleprodajno financiranje). </w:t>
            </w:r>
          </w:p>
          <w:p w14:paraId="7FE1BB08" w14:textId="658E0B92" w:rsidR="00393915" w:rsidRDefault="00393915">
            <w:pPr>
              <w:pStyle w:val="TableParagraph"/>
              <w:spacing w:before="108"/>
              <w:rPr>
                <w:rFonts w:ascii="Times New Roman" w:hAnsi="Times New Roman" w:cs="Times New Roman"/>
                <w:color w:val="000000" w:themeColor="text1"/>
                <w:sz w:val="20"/>
                <w:szCs w:val="20"/>
              </w:rPr>
            </w:pPr>
          </w:p>
          <w:p w14:paraId="7FE1BB09" w14:textId="0D6525DA" w:rsidR="00393915" w:rsidRDefault="00F24D68">
            <w:pPr>
              <w:pStyle w:val="P68B1DB1-ListParagraph32"/>
              <w:numPr>
                <w:ilvl w:val="0"/>
                <w:numId w:val="130"/>
              </w:numPr>
              <w:spacing w:line="276" w:lineRule="auto"/>
            </w:pPr>
            <w:r>
              <w:t xml:space="preserve">Stručna prosudba o veličini vrijednosti nepodmirenih </w:t>
            </w:r>
            <w:r w:rsidR="000C695D">
              <w:t>kredita</w:t>
            </w:r>
            <w:r w:rsidR="000C695D">
              <w:t xml:space="preserve"> </w:t>
            </w:r>
            <w:r>
              <w:t xml:space="preserve">(c0030) iz perspektive EU-a </w:t>
            </w:r>
            <w:r>
              <w:rPr>
                <w:i/>
              </w:rPr>
              <w:t xml:space="preserve">[jedna razina viša od </w:t>
            </w:r>
            <w:r w:rsidR="000F60C8">
              <w:rPr>
                <w:i/>
              </w:rPr>
              <w:t>relevantnog</w:t>
            </w:r>
            <w:r w:rsidR="000F60C8">
              <w:rPr>
                <w:i/>
              </w:rPr>
              <w:t xml:space="preserve"> </w:t>
            </w:r>
            <w:r>
              <w:rPr>
                <w:i/>
              </w:rPr>
              <w:t>tržišta].</w:t>
            </w:r>
            <w:r>
              <w:t xml:space="preserve"> Pri procjeni tog pokazatelja veličine uzeti u obzir i potencijalne buduće tokove kreditiranja. Postojeće stanje kreditiranja možete upotrijebiti kao </w:t>
            </w:r>
            <w:r w:rsidR="000C695D">
              <w:t>aproksimativnu</w:t>
            </w:r>
            <w:r w:rsidR="000C695D">
              <w:t xml:space="preserve"> </w:t>
            </w:r>
            <w:r>
              <w:t xml:space="preserve">vrijednost za buduće kreditne tokove ako smatrate da prethodna aktivnost točno odražava planiranu aktivnost kreditiranja u kratkoročnom do srednjoročnom razdoblju. </w:t>
            </w:r>
          </w:p>
          <w:p w14:paraId="7FE1BB0A" w14:textId="642C55D5" w:rsidR="00393915" w:rsidRDefault="00F24D68">
            <w:pPr>
              <w:pStyle w:val="P68B1DB1-ListParagraph32"/>
              <w:numPr>
                <w:ilvl w:val="1"/>
                <w:numId w:val="127"/>
              </w:numPr>
              <w:spacing w:line="276" w:lineRule="auto"/>
            </w:pPr>
            <w:r>
              <w:t xml:space="preserve">Iz perspektive EU-a, koliko je, prema vašem mišljenju, </w:t>
            </w:r>
            <w:r w:rsidR="000F60C8">
              <w:t xml:space="preserve">velika </w:t>
            </w:r>
            <w:r>
              <w:t xml:space="preserve">vrijednost nepodmirenih </w:t>
            </w:r>
            <w:r w:rsidR="000F60C8">
              <w:t>kredita</w:t>
            </w:r>
            <w:r>
              <w:t xml:space="preserve"> </w:t>
            </w:r>
            <w:r>
              <w:t xml:space="preserve">i preuzetih </w:t>
            </w:r>
            <w:r w:rsidR="000F60C8">
              <w:t>obveza po kreditima</w:t>
            </w:r>
            <w:r>
              <w:t xml:space="preserve">, kao </w:t>
            </w:r>
            <w:r w:rsidR="000F60C8">
              <w:t>aproksimativna</w:t>
            </w:r>
            <w:r w:rsidR="000F60C8">
              <w:t xml:space="preserve"> </w:t>
            </w:r>
            <w:r>
              <w:t>vrijednost za buduće kreditne tokove?</w:t>
            </w:r>
          </w:p>
          <w:p w14:paraId="7FE1BB0B" w14:textId="77777777" w:rsidR="00393915" w:rsidRDefault="00393915">
            <w:pPr>
              <w:pStyle w:val="TableParagraph"/>
              <w:spacing w:before="108"/>
              <w:jc w:val="both"/>
              <w:rPr>
                <w:rFonts w:ascii="Times New Roman" w:hAnsi="Times New Roman" w:cs="Times New Roman"/>
                <w:color w:val="000000" w:themeColor="text1"/>
                <w:sz w:val="20"/>
                <w:szCs w:val="20"/>
              </w:rPr>
            </w:pPr>
          </w:p>
        </w:tc>
      </w:tr>
      <w:tr w:rsidR="00393915" w14:paraId="7FE1BB18" w14:textId="77777777">
        <w:tc>
          <w:tcPr>
            <w:tcW w:w="1080" w:type="dxa"/>
            <w:tcBorders>
              <w:top w:val="single" w:sz="4" w:space="0" w:color="1A171C"/>
              <w:left w:val="nil"/>
              <w:bottom w:val="single" w:sz="4" w:space="0" w:color="1A171C"/>
              <w:right w:val="single" w:sz="4" w:space="0" w:color="1A171C"/>
            </w:tcBorders>
            <w:vAlign w:val="center"/>
          </w:tcPr>
          <w:p w14:paraId="7FE1BB0D" w14:textId="28626F4D" w:rsidR="00393915" w:rsidRDefault="00F24D68">
            <w:pPr>
              <w:pStyle w:val="P68B1DB1-TableParagraph17"/>
              <w:spacing w:before="108"/>
              <w:jc w:val="both"/>
            </w:pPr>
            <w:r>
              <w:lastRenderedPageBreak/>
              <w:t>0090</w:t>
            </w:r>
          </w:p>
        </w:tc>
        <w:tc>
          <w:tcPr>
            <w:tcW w:w="8003" w:type="dxa"/>
            <w:tcBorders>
              <w:top w:val="single" w:sz="4" w:space="0" w:color="1A171C"/>
              <w:left w:val="single" w:sz="4" w:space="0" w:color="1A171C"/>
              <w:bottom w:val="single" w:sz="4" w:space="0" w:color="1A171C"/>
              <w:right w:val="nil"/>
            </w:tcBorders>
            <w:vAlign w:val="center"/>
          </w:tcPr>
          <w:p w14:paraId="7FE1BB0E" w14:textId="77777777" w:rsidR="00393915" w:rsidRDefault="00F24D68">
            <w:pPr>
              <w:pStyle w:val="P68B1DB1-TableParagraph14"/>
              <w:spacing w:before="108"/>
              <w:jc w:val="both"/>
              <w:rPr>
                <w:bCs/>
              </w:rPr>
            </w:pPr>
            <w:r>
              <w:t>Pokazatelj veličine br. 2</w:t>
            </w:r>
          </w:p>
          <w:p w14:paraId="68B7FEDE" w14:textId="7525EDBC" w:rsidR="00393915" w:rsidRDefault="00F24D68">
            <w:pPr>
              <w:pStyle w:val="P68B1DB1-Normal31"/>
              <w:spacing w:line="276" w:lineRule="auto"/>
              <w:jc w:val="both"/>
            </w:pPr>
            <w:r>
              <w:t>Procijeniti koliko je banka važna u tim aktivnostima. Ta se procjena kvalitativno izražava kao „visoka”, „srednja visoka”, „</w:t>
            </w:r>
            <w:r>
              <w:t>srednj</w:t>
            </w:r>
            <w:r w:rsidR="00C1067D">
              <w:t>e niska</w:t>
            </w:r>
            <w:r>
              <w:t>” ili „niska”. Navesti „</w:t>
            </w:r>
            <w:r w:rsidR="00C1067D">
              <w:t>visoka</w:t>
            </w:r>
            <w:r>
              <w:t>” ako je veličina funkcije velika, „srednje-visoka” ako je srednja, „</w:t>
            </w:r>
            <w:r>
              <w:t>srednj</w:t>
            </w:r>
            <w:r w:rsidR="00C1067D">
              <w:t>e niska</w:t>
            </w:r>
            <w:r>
              <w:t>” ako je mala, i „</w:t>
            </w:r>
            <w:r w:rsidR="00C1067D">
              <w:t>niska</w:t>
            </w:r>
            <w:r>
              <w:t xml:space="preserve">” ako je zanemariva. Kao referentnu vrijednost za tu kvalitativnu procjenu koristi makroekonomske varijable kao što su BDP, stanovništvo (za depozite, kreditiranje, plaćanja, gotovinu, namiru, usluge poravnanja i skrbništva) ili veličinu tržišta (za tržišta kapitala i veleprodajno financiranje). </w:t>
            </w:r>
          </w:p>
          <w:p w14:paraId="7FE1BB0F" w14:textId="40E27EAB" w:rsidR="00393915" w:rsidRDefault="00393915">
            <w:pPr>
              <w:pStyle w:val="TableParagraph"/>
              <w:spacing w:before="108"/>
              <w:rPr>
                <w:rFonts w:ascii="Times New Roman" w:hAnsi="Times New Roman" w:cs="Times New Roman"/>
                <w:color w:val="000000" w:themeColor="text1"/>
                <w:sz w:val="20"/>
                <w:szCs w:val="20"/>
              </w:rPr>
            </w:pPr>
          </w:p>
          <w:p w14:paraId="7FE1BB10" w14:textId="4B1E28F3" w:rsidR="00393915" w:rsidRDefault="00F24D68">
            <w:pPr>
              <w:pStyle w:val="P68B1DB1-ListParagraph32"/>
              <w:numPr>
                <w:ilvl w:val="0"/>
                <w:numId w:val="121"/>
              </w:numPr>
              <w:spacing w:line="276" w:lineRule="auto"/>
            </w:pPr>
            <w:r>
              <w:t xml:space="preserve">Stručna prosudba o veličini </w:t>
            </w:r>
            <w:r>
              <w:rPr>
                <w:b/>
              </w:rPr>
              <w:t>broja</w:t>
            </w:r>
            <w:r>
              <w:t xml:space="preserve"> klijenata (c0040) iz </w:t>
            </w:r>
            <w:r>
              <w:rPr>
                <w:b/>
              </w:rPr>
              <w:t>nacionalne</w:t>
            </w:r>
            <w:r>
              <w:t xml:space="preserve"> perspektive </w:t>
            </w:r>
            <w:r>
              <w:rPr>
                <w:i/>
              </w:rPr>
              <w:t xml:space="preserve">[na razini </w:t>
            </w:r>
            <w:r w:rsidR="00C1067D">
              <w:rPr>
                <w:i/>
              </w:rPr>
              <w:t>relevantnog</w:t>
            </w:r>
            <w:r w:rsidR="00C1067D">
              <w:rPr>
                <w:i/>
              </w:rPr>
              <w:t xml:space="preserve"> </w:t>
            </w:r>
            <w:r>
              <w:rPr>
                <w:i/>
              </w:rPr>
              <w:t>tržišta]</w:t>
            </w:r>
            <w:r>
              <w:t>:</w:t>
            </w:r>
          </w:p>
          <w:p w14:paraId="7FE1BB11" w14:textId="77777777" w:rsidR="00393915" w:rsidRDefault="00F24D68">
            <w:pPr>
              <w:pStyle w:val="P68B1DB1-ListParagraph32"/>
              <w:numPr>
                <w:ilvl w:val="1"/>
                <w:numId w:val="121"/>
              </w:numPr>
              <w:spacing w:line="276" w:lineRule="auto"/>
            </w:pPr>
            <w:r>
              <w:t>Koliko je</w:t>
            </w:r>
            <w:r w:rsidR="00EF191A">
              <w:t>,</w:t>
            </w:r>
            <w:r>
              <w:t xml:space="preserve"> iz nacionalne perspektive</w:t>
            </w:r>
            <w:r w:rsidR="00EF191A">
              <w:t>, velik</w:t>
            </w:r>
            <w:r>
              <w:t xml:space="preserve"> procijenjen ukupan broj klijenata institucije?</w:t>
            </w:r>
          </w:p>
          <w:p w14:paraId="7FE1BB17" w14:textId="77777777" w:rsidR="00393915" w:rsidRDefault="00393915">
            <w:pPr>
              <w:rPr>
                <w:rFonts w:ascii="Times New Roman" w:hAnsi="Times New Roman"/>
                <w:color w:val="000000" w:themeColor="text1"/>
                <w:sz w:val="20"/>
                <w:szCs w:val="20"/>
              </w:rPr>
            </w:pPr>
          </w:p>
        </w:tc>
      </w:tr>
      <w:tr w:rsidR="00393915" w14:paraId="7FE1BB22" w14:textId="77777777">
        <w:tc>
          <w:tcPr>
            <w:tcW w:w="1080" w:type="dxa"/>
            <w:tcBorders>
              <w:top w:val="single" w:sz="4" w:space="0" w:color="1A171C"/>
              <w:left w:val="nil"/>
              <w:bottom w:val="single" w:sz="4" w:space="0" w:color="1A171C"/>
              <w:right w:val="single" w:sz="4" w:space="0" w:color="1A171C"/>
            </w:tcBorders>
            <w:vAlign w:val="center"/>
          </w:tcPr>
          <w:p w14:paraId="7FE1BB19" w14:textId="68DEE50C" w:rsidR="00393915" w:rsidRDefault="00F24D68">
            <w:pPr>
              <w:pStyle w:val="P68B1DB1-TableParagraph17"/>
              <w:spacing w:before="108"/>
              <w:jc w:val="both"/>
            </w:pPr>
            <w:r>
              <w:t>0100</w:t>
            </w:r>
          </w:p>
        </w:tc>
        <w:tc>
          <w:tcPr>
            <w:tcW w:w="8003" w:type="dxa"/>
            <w:tcBorders>
              <w:top w:val="single" w:sz="4" w:space="0" w:color="1A171C"/>
              <w:left w:val="single" w:sz="4" w:space="0" w:color="1A171C"/>
              <w:bottom w:val="single" w:sz="4" w:space="0" w:color="1A171C"/>
              <w:right w:val="nil"/>
            </w:tcBorders>
            <w:vAlign w:val="center"/>
          </w:tcPr>
          <w:p w14:paraId="7FE1BB1A" w14:textId="77777777" w:rsidR="00393915" w:rsidRDefault="00F24D68">
            <w:pPr>
              <w:pStyle w:val="P68B1DB1-TableParagraph14"/>
              <w:spacing w:before="108"/>
              <w:jc w:val="both"/>
              <w:rPr>
                <w:bCs/>
              </w:rPr>
            </w:pPr>
            <w:r>
              <w:t>Prekogranični pokazatelj</w:t>
            </w:r>
          </w:p>
          <w:p w14:paraId="7FE1BB1B" w14:textId="5F15E298" w:rsidR="00393915" w:rsidRDefault="00F24D68">
            <w:pPr>
              <w:pStyle w:val="P68B1DB1-TableParagraph13"/>
              <w:spacing w:before="108"/>
            </w:pPr>
            <w:r>
              <w:t xml:space="preserve">Procijeniti relativnu važnost prekograničnih aktivnosti za različite </w:t>
            </w:r>
            <w:r w:rsidR="00852C49">
              <w:t>ekonomske</w:t>
            </w:r>
            <w:r w:rsidR="00852C49">
              <w:t xml:space="preserve"> </w:t>
            </w:r>
            <w:r>
              <w:t>funkcije.</w:t>
            </w:r>
          </w:p>
          <w:p w14:paraId="7FE1BB1C" w14:textId="65A2C5C5" w:rsidR="00393915" w:rsidRDefault="00F24D68">
            <w:pPr>
              <w:pStyle w:val="P68B1DB1-TableParagraph13"/>
              <w:spacing w:before="108"/>
            </w:pPr>
            <w:r>
              <w:t xml:space="preserve">To nije potrebno ocjenjivati u slučaju izvješća u kojima se </w:t>
            </w:r>
            <w:r w:rsidR="00852C49">
              <w:t>relevantno</w:t>
            </w:r>
            <w:r w:rsidR="00852C49">
              <w:t xml:space="preserve"> </w:t>
            </w:r>
            <w:r>
              <w:t xml:space="preserve">tržište smatra regionalnim. </w:t>
            </w:r>
          </w:p>
          <w:p w14:paraId="7FE1BB1D" w14:textId="308A0DA1" w:rsidR="00393915" w:rsidRDefault="00F24D68">
            <w:pPr>
              <w:pStyle w:val="P68B1DB1-TableParagraph33"/>
              <w:spacing w:before="108"/>
              <w:jc w:val="both"/>
            </w:pPr>
            <w:r>
              <w:t xml:space="preserve">Broj država članica EU-a u kojima izvještajni subjekt ima tržišni udio veći od 2 % (izražen kao vrijednost nepodmirenih kredita). </w:t>
            </w:r>
            <w:r>
              <w:t>Izv</w:t>
            </w:r>
            <w:r w:rsidR="009D665E">
              <w:t>ijestiti</w:t>
            </w:r>
            <w:r>
              <w:t xml:space="preserve">: </w:t>
            </w:r>
          </w:p>
          <w:p w14:paraId="7FE1BB1E" w14:textId="3B39A504" w:rsidR="00393915" w:rsidRDefault="00F24D68">
            <w:pPr>
              <w:pStyle w:val="P68B1DB1-TableParagraph33"/>
              <w:numPr>
                <w:ilvl w:val="0"/>
                <w:numId w:val="282"/>
              </w:numPr>
              <w:spacing w:before="108"/>
              <w:jc w:val="both"/>
            </w:pPr>
            <w:r>
              <w:t xml:space="preserve">≤ 1 </w:t>
            </w:r>
            <w:r w:rsidR="00726AB5">
              <w:t>držav</w:t>
            </w:r>
            <w:r>
              <w:t>a</w:t>
            </w:r>
            <w:r>
              <w:t xml:space="preserve">; </w:t>
            </w:r>
          </w:p>
          <w:p w14:paraId="7FE1BB1F" w14:textId="18AA5CB7" w:rsidR="00393915" w:rsidRDefault="00F24D68">
            <w:pPr>
              <w:pStyle w:val="P68B1DB1-TableParagraph33"/>
              <w:numPr>
                <w:ilvl w:val="0"/>
                <w:numId w:val="282"/>
              </w:numPr>
              <w:spacing w:before="108"/>
              <w:jc w:val="both"/>
            </w:pPr>
            <w:r>
              <w:t>2 – 3 države</w:t>
            </w:r>
            <w:r w:rsidR="00726AB5">
              <w:t>;</w:t>
            </w:r>
            <w:r>
              <w:t xml:space="preserve"> </w:t>
            </w:r>
          </w:p>
          <w:p w14:paraId="7FE1BB20" w14:textId="5AB38583" w:rsidR="00393915" w:rsidRDefault="00F24D68">
            <w:pPr>
              <w:pStyle w:val="P68B1DB1-TableParagraph33"/>
              <w:numPr>
                <w:ilvl w:val="0"/>
                <w:numId w:val="282"/>
              </w:numPr>
              <w:spacing w:before="108"/>
              <w:jc w:val="both"/>
            </w:pPr>
            <w:r>
              <w:t xml:space="preserve">4 – 5 </w:t>
            </w:r>
            <w:r w:rsidR="00726AB5">
              <w:t>država;</w:t>
            </w:r>
            <w:r>
              <w:t xml:space="preserve"> </w:t>
            </w:r>
          </w:p>
          <w:p w14:paraId="7FE1BB21" w14:textId="3415D2CC" w:rsidR="00393915" w:rsidRDefault="00F24D68">
            <w:pPr>
              <w:pStyle w:val="P68B1DB1-TableParagraph33"/>
              <w:numPr>
                <w:ilvl w:val="0"/>
                <w:numId w:val="282"/>
              </w:numPr>
              <w:spacing w:before="108"/>
              <w:jc w:val="both"/>
              <w:rPr>
                <w:rFonts w:cs="Times New Roman"/>
                <w:color w:val="000000" w:themeColor="text1"/>
              </w:rPr>
            </w:pPr>
            <w:r>
              <w:t xml:space="preserve">&gt; 5 </w:t>
            </w:r>
            <w:r w:rsidR="00726AB5">
              <w:t>država</w:t>
            </w:r>
          </w:p>
        </w:tc>
      </w:tr>
      <w:tr w:rsidR="00393915" w14:paraId="7FE1BB31" w14:textId="77777777">
        <w:tc>
          <w:tcPr>
            <w:tcW w:w="1080" w:type="dxa"/>
            <w:tcBorders>
              <w:top w:val="single" w:sz="4" w:space="0" w:color="1A171C"/>
              <w:left w:val="nil"/>
              <w:bottom w:val="single" w:sz="4" w:space="0" w:color="1A171C"/>
              <w:right w:val="single" w:sz="4" w:space="0" w:color="1A171C"/>
            </w:tcBorders>
            <w:vAlign w:val="center"/>
          </w:tcPr>
          <w:p w14:paraId="7FE1BB23" w14:textId="4A05DE2B" w:rsidR="00393915" w:rsidRDefault="00F24D68">
            <w:pPr>
              <w:pStyle w:val="P68B1DB1-TableParagraph17"/>
              <w:spacing w:before="108"/>
              <w:jc w:val="both"/>
            </w:pPr>
            <w:r>
              <w:t>0110</w:t>
            </w:r>
          </w:p>
        </w:tc>
        <w:tc>
          <w:tcPr>
            <w:tcW w:w="8003" w:type="dxa"/>
            <w:tcBorders>
              <w:top w:val="single" w:sz="4" w:space="0" w:color="1A171C"/>
              <w:left w:val="single" w:sz="4" w:space="0" w:color="1A171C"/>
              <w:bottom w:val="single" w:sz="4" w:space="0" w:color="1A171C"/>
              <w:right w:val="nil"/>
            </w:tcBorders>
            <w:vAlign w:val="center"/>
          </w:tcPr>
          <w:p w14:paraId="7FE1BB24" w14:textId="77777777" w:rsidR="00393915" w:rsidRDefault="00F24D68">
            <w:pPr>
              <w:pStyle w:val="P68B1DB1-TableParagraph13"/>
              <w:spacing w:before="108"/>
              <w:jc w:val="both"/>
            </w:pPr>
            <w:r>
              <w:rPr>
                <w:b/>
              </w:rPr>
              <w:t xml:space="preserve">Važnost </w:t>
            </w:r>
            <w:r>
              <w:t xml:space="preserve">— </w:t>
            </w:r>
          </w:p>
          <w:p w14:paraId="7FE1BB25" w14:textId="77777777" w:rsidR="00393915" w:rsidRDefault="00F24D68">
            <w:pPr>
              <w:pStyle w:val="P68B1DB1-TableParagraph13"/>
              <w:spacing w:before="108"/>
              <w:jc w:val="both"/>
            </w:pPr>
            <w:r>
              <w:t>Na lokalnoj, regionalnoj, nacionalnoj ili europskoj razini, ovisno o predmetnom tržištu. Važnost institucije može se procijeniti na temelju tržišnog udjela, međusobne povezanosti, složenosti i prekograničnih aktivnosti.</w:t>
            </w:r>
          </w:p>
          <w:p w14:paraId="7FE1BB26" w14:textId="77777777" w:rsidR="00393915" w:rsidRDefault="00F24D68">
            <w:pPr>
              <w:pStyle w:val="P68B1DB1-TableParagraph14"/>
              <w:spacing w:before="108"/>
              <w:jc w:val="both"/>
              <w:rPr>
                <w:bCs/>
              </w:rPr>
            </w:pPr>
            <w:r>
              <w:t>Tržišni udio</w:t>
            </w:r>
          </w:p>
          <w:p w14:paraId="4A7FDA65" w14:textId="77777777" w:rsidR="00393915" w:rsidRDefault="00F24D68">
            <w:pPr>
              <w:pStyle w:val="P68B1DB1-Normal31"/>
              <w:spacing w:line="276" w:lineRule="auto"/>
              <w:jc w:val="both"/>
            </w:pPr>
            <w:r>
              <w:lastRenderedPageBreak/>
              <w:t xml:space="preserve">Procijeniti koliko je važan tržišni udio subjekta koji izvješćuje, u usporedbi s nacionalnim ili drugim relevantnim tržištem, kako je navedeno u obrascu. Ta je procjena kvalitativno izražena kao </w:t>
            </w:r>
          </w:p>
          <w:p w14:paraId="25EA33C7" w14:textId="77777777" w:rsidR="00393915" w:rsidRDefault="00F24D68">
            <w:pPr>
              <w:pStyle w:val="P68B1DB1-ListParagraph32"/>
              <w:numPr>
                <w:ilvl w:val="0"/>
                <w:numId w:val="276"/>
              </w:numPr>
              <w:spacing w:line="276" w:lineRule="auto"/>
              <w:jc w:val="both"/>
            </w:pPr>
            <w:r>
              <w:t>Visok, ako je tržišni udio velik</w:t>
            </w:r>
          </w:p>
          <w:p w14:paraId="24D12007" w14:textId="77777777" w:rsidR="00393915" w:rsidRDefault="00F24D68">
            <w:pPr>
              <w:pStyle w:val="P68B1DB1-ListParagraph32"/>
              <w:numPr>
                <w:ilvl w:val="0"/>
                <w:numId w:val="276"/>
              </w:numPr>
              <w:spacing w:line="276" w:lineRule="auto"/>
              <w:jc w:val="both"/>
            </w:pPr>
            <w:r>
              <w:t>Srednje visoki, ako je tržišni udio srednje visok</w:t>
            </w:r>
          </w:p>
          <w:p w14:paraId="05C67201" w14:textId="4444BEA4" w:rsidR="00393915" w:rsidRDefault="00F24D68">
            <w:pPr>
              <w:pStyle w:val="P68B1DB1-ListParagraph32"/>
              <w:numPr>
                <w:ilvl w:val="0"/>
                <w:numId w:val="276"/>
              </w:numPr>
              <w:spacing w:line="276" w:lineRule="auto"/>
              <w:jc w:val="both"/>
            </w:pPr>
            <w:r>
              <w:t xml:space="preserve">Srednje </w:t>
            </w:r>
            <w:r w:rsidR="00852C49">
              <w:t>nizak</w:t>
            </w:r>
            <w:r>
              <w:t xml:space="preserve">, ako je tržišni udio malen ili </w:t>
            </w:r>
          </w:p>
          <w:p w14:paraId="29105274" w14:textId="77777777" w:rsidR="00393915" w:rsidRDefault="00F24D68">
            <w:pPr>
              <w:pStyle w:val="P68B1DB1-ListParagraph32"/>
              <w:numPr>
                <w:ilvl w:val="0"/>
                <w:numId w:val="276"/>
              </w:numPr>
              <w:spacing w:line="276" w:lineRule="auto"/>
              <w:jc w:val="both"/>
            </w:pPr>
            <w:r>
              <w:t xml:space="preserve">Nizak, ako je tržišni udio zanemariv. </w:t>
            </w:r>
          </w:p>
          <w:p w14:paraId="7FE1BB2B" w14:textId="586F4387" w:rsidR="00393915" w:rsidRDefault="00393915">
            <w:pPr>
              <w:pStyle w:val="ListParagraph"/>
              <w:spacing w:line="276" w:lineRule="auto"/>
              <w:jc w:val="both"/>
              <w:rPr>
                <w:rFonts w:ascii="Times New Roman" w:eastAsiaTheme="minorHAnsi" w:hAnsi="Times New Roman"/>
                <w:color w:val="000000" w:themeColor="text1"/>
                <w:sz w:val="20"/>
                <w:szCs w:val="20"/>
              </w:rPr>
            </w:pPr>
          </w:p>
          <w:p w14:paraId="7FE1BB2C" w14:textId="2150CAFC" w:rsidR="00393915" w:rsidRDefault="00F24D68">
            <w:pPr>
              <w:pStyle w:val="P68B1DB1-TableParagraph13"/>
              <w:spacing w:before="108"/>
            </w:pPr>
            <w:r>
              <w:t xml:space="preserve">Tom se procjenom uzima u obzir tržišna struktura </w:t>
            </w:r>
            <w:r w:rsidR="00852C49">
              <w:t>države</w:t>
            </w:r>
            <w:r w:rsidR="00852C49">
              <w:t xml:space="preserve"> </w:t>
            </w:r>
            <w:r>
              <w:t xml:space="preserve">izvještajnog subjekta (ili drugog </w:t>
            </w:r>
            <w:r w:rsidR="00852C49">
              <w:t>relevantnog</w:t>
            </w:r>
            <w:r w:rsidR="00852C49">
              <w:t xml:space="preserve"> </w:t>
            </w:r>
            <w:r>
              <w:t xml:space="preserve">tržišta) i tržišni udjeli o kojima se izvješćuje djelomično. </w:t>
            </w:r>
          </w:p>
          <w:p w14:paraId="7FE1BB2D" w14:textId="77777777" w:rsidR="00393915" w:rsidRDefault="00F24D68">
            <w:pPr>
              <w:pStyle w:val="P68B1DB1-TableParagraph13"/>
              <w:spacing w:before="108"/>
            </w:pPr>
            <w:r>
              <w:t>2.Kvantitativni podaci:</w:t>
            </w:r>
          </w:p>
          <w:p w14:paraId="7FE1BB2E" w14:textId="3387F8DE" w:rsidR="00393915" w:rsidRDefault="00F24D68">
            <w:pPr>
              <w:pStyle w:val="P68B1DB1-ListParagraph32"/>
              <w:numPr>
                <w:ilvl w:val="0"/>
                <w:numId w:val="117"/>
              </w:numPr>
              <w:spacing w:line="276" w:lineRule="auto"/>
              <w:jc w:val="both"/>
              <w:rPr>
                <w:i/>
                <w:iCs/>
              </w:rPr>
            </w:pPr>
            <w:r>
              <w:t xml:space="preserve">Stručna prosudba o veličini </w:t>
            </w:r>
            <w:r>
              <w:rPr>
                <w:b/>
              </w:rPr>
              <w:t xml:space="preserve">nacionalnog </w:t>
            </w:r>
            <w:r>
              <w:t xml:space="preserve">tržišnog udjela (navedena u c0020, osim u slučajevima kada se izvješće dostavlja za različitu razinu </w:t>
            </w:r>
            <w:r w:rsidR="00EF3B0B">
              <w:t>relevantnog</w:t>
            </w:r>
            <w:r w:rsidR="00EF3B0B">
              <w:t xml:space="preserve"> </w:t>
            </w:r>
            <w:r>
              <w:t>tržišta, u kojem se slučaju očekuje procjena relevantnog tržišnog udjela).</w:t>
            </w:r>
          </w:p>
          <w:p w14:paraId="7FE1BB2F" w14:textId="77777777" w:rsidR="00393915" w:rsidRDefault="00393915">
            <w:pPr>
              <w:pStyle w:val="TableParagraph"/>
              <w:spacing w:before="108"/>
              <w:rPr>
                <w:rFonts w:ascii="Times New Roman" w:hAnsi="Times New Roman" w:cs="Times New Roman"/>
                <w:color w:val="000000" w:themeColor="text1"/>
                <w:sz w:val="20"/>
                <w:szCs w:val="20"/>
              </w:rPr>
            </w:pPr>
          </w:p>
          <w:p w14:paraId="7FE1BB30" w14:textId="77777777" w:rsidR="00393915" w:rsidRDefault="00393915">
            <w:pPr>
              <w:pStyle w:val="TableParagraph"/>
              <w:spacing w:before="108"/>
              <w:jc w:val="both"/>
              <w:rPr>
                <w:rFonts w:ascii="Times New Roman" w:hAnsi="Times New Roman" w:cs="Times New Roman"/>
                <w:color w:val="000000" w:themeColor="text1"/>
                <w:sz w:val="20"/>
                <w:szCs w:val="20"/>
              </w:rPr>
            </w:pPr>
          </w:p>
        </w:tc>
      </w:tr>
      <w:tr w:rsidR="00393915" w14:paraId="7FE1BB3D" w14:textId="77777777">
        <w:tc>
          <w:tcPr>
            <w:tcW w:w="1080" w:type="dxa"/>
            <w:tcBorders>
              <w:top w:val="single" w:sz="4" w:space="0" w:color="1A171C"/>
              <w:left w:val="nil"/>
              <w:bottom w:val="single" w:sz="4" w:space="0" w:color="1A171C"/>
              <w:right w:val="single" w:sz="4" w:space="0" w:color="1A171C"/>
            </w:tcBorders>
            <w:vAlign w:val="center"/>
          </w:tcPr>
          <w:p w14:paraId="7FE1BB32" w14:textId="3F7E8117" w:rsidR="00393915" w:rsidRDefault="00F24D68">
            <w:pPr>
              <w:pStyle w:val="P68B1DB1-TableParagraph17"/>
              <w:spacing w:before="108"/>
              <w:jc w:val="both"/>
            </w:pPr>
            <w:r>
              <w:lastRenderedPageBreak/>
              <w:t>0120</w:t>
            </w:r>
          </w:p>
        </w:tc>
        <w:tc>
          <w:tcPr>
            <w:tcW w:w="8003" w:type="dxa"/>
            <w:tcBorders>
              <w:top w:val="single" w:sz="4" w:space="0" w:color="1A171C"/>
              <w:left w:val="single" w:sz="4" w:space="0" w:color="1A171C"/>
              <w:bottom w:val="single" w:sz="4" w:space="0" w:color="1A171C"/>
              <w:right w:val="nil"/>
            </w:tcBorders>
            <w:vAlign w:val="center"/>
          </w:tcPr>
          <w:p w14:paraId="7FE1BB33" w14:textId="77777777" w:rsidR="00393915" w:rsidRDefault="00F24D68">
            <w:pPr>
              <w:pStyle w:val="P68B1DB1-TableParagraph14"/>
              <w:spacing w:before="108"/>
              <w:jc w:val="both"/>
              <w:rPr>
                <w:bCs/>
              </w:rPr>
            </w:pPr>
            <w:r>
              <w:t>Struktura tržišta – koncentracija na tržištu</w:t>
            </w:r>
          </w:p>
          <w:p w14:paraId="7FE1BB34" w14:textId="026335E4" w:rsidR="00393915" w:rsidRDefault="00F24D68">
            <w:pPr>
              <w:pStyle w:val="P68B1DB1-TableParagraph13"/>
              <w:spacing w:before="108"/>
            </w:pPr>
            <w:r>
              <w:t xml:space="preserve">Koncentracija na tržištu, mjerena brojem konkurenata koji trenutačno </w:t>
            </w:r>
            <w:r w:rsidR="00EF3B0B">
              <w:t>pružaju</w:t>
            </w:r>
          </w:p>
          <w:p w14:paraId="7FE1BB35" w14:textId="33172C1E" w:rsidR="00393915" w:rsidRDefault="00F24D68">
            <w:pPr>
              <w:pStyle w:val="P68B1DB1-TableParagraph13"/>
              <w:spacing w:before="108"/>
            </w:pPr>
            <w:r>
              <w:t xml:space="preserve">slične </w:t>
            </w:r>
            <w:r w:rsidR="00EF3B0B">
              <w:t>ekonomske</w:t>
            </w:r>
            <w:r w:rsidR="00EF3B0B">
              <w:t xml:space="preserve"> </w:t>
            </w:r>
            <w:r>
              <w:t xml:space="preserve">funkcije i/ili pružanje sličnih usluga pod jednakim uvjetima (tj. </w:t>
            </w:r>
            <w:r w:rsidR="00EF3B0B">
              <w:t>u</w:t>
            </w:r>
          </w:p>
          <w:p w14:paraId="7FE1BB36" w14:textId="0F53896D" w:rsidR="00393915" w:rsidRDefault="00F24D68">
            <w:pPr>
              <w:pStyle w:val="P68B1DB1-TableParagraph13"/>
              <w:spacing w:before="108"/>
            </w:pPr>
            <w:r>
              <w:t>usporediv</w:t>
            </w:r>
            <w:r w:rsidR="00EF3B0B">
              <w:t>om</w:t>
            </w:r>
            <w:r>
              <w:t xml:space="preserve"> opseg</w:t>
            </w:r>
            <w:r w:rsidR="00EF3B0B">
              <w:t>u</w:t>
            </w:r>
            <w:r>
              <w:t xml:space="preserve"> i </w:t>
            </w:r>
            <w:r>
              <w:t>kvalitet</w:t>
            </w:r>
            <w:r w:rsidR="00EF3B0B">
              <w:t>i</w:t>
            </w:r>
            <w:r>
              <w:t xml:space="preserve"> te uz usporedive troškove) koji bi mogli preuzeti </w:t>
            </w:r>
          </w:p>
          <w:p w14:paraId="7FE1BB37" w14:textId="77777777" w:rsidR="00393915" w:rsidRDefault="00F24D68">
            <w:pPr>
              <w:pStyle w:val="P68B1DB1-TableParagraph13"/>
              <w:spacing w:before="108"/>
            </w:pPr>
            <w:r>
              <w:t xml:space="preserve">(dio) klijenata i/ili poslovanja izvještajnog subjekta u razumnom roku. </w:t>
            </w:r>
          </w:p>
          <w:p w14:paraId="7FE1BB38" w14:textId="77777777" w:rsidR="00393915" w:rsidRDefault="00F24D68">
            <w:pPr>
              <w:pStyle w:val="P68B1DB1-TableParagraph13"/>
              <w:spacing w:before="108"/>
            </w:pPr>
            <w:r>
              <w:t xml:space="preserve">To je potrebno iskazati u razdobljima koja su jednaka za svaku podfunkciju. </w:t>
            </w:r>
          </w:p>
          <w:p w14:paraId="6E06F623" w14:textId="77777777" w:rsidR="00393915" w:rsidRDefault="00F24D68">
            <w:pPr>
              <w:pStyle w:val="P68B1DB1-ListParagraph32"/>
              <w:numPr>
                <w:ilvl w:val="0"/>
                <w:numId w:val="277"/>
              </w:numPr>
              <w:jc w:val="both"/>
            </w:pPr>
            <w:r>
              <w:t xml:space="preserve">&gt; 20 konkurenata; </w:t>
            </w:r>
          </w:p>
          <w:p w14:paraId="1C1D9521" w14:textId="77777777" w:rsidR="00393915" w:rsidRDefault="00F24D68">
            <w:pPr>
              <w:pStyle w:val="P68B1DB1-ListParagraph32"/>
              <w:numPr>
                <w:ilvl w:val="0"/>
                <w:numId w:val="277"/>
              </w:numPr>
              <w:jc w:val="both"/>
            </w:pPr>
            <w:r>
              <w:t xml:space="preserve">11 – 20 konkurenata; </w:t>
            </w:r>
          </w:p>
          <w:p w14:paraId="35EEC292" w14:textId="77777777" w:rsidR="00393915" w:rsidRDefault="00F24D68">
            <w:pPr>
              <w:pStyle w:val="P68B1DB1-ListParagraph32"/>
              <w:numPr>
                <w:ilvl w:val="0"/>
                <w:numId w:val="277"/>
              </w:numPr>
              <w:jc w:val="both"/>
            </w:pPr>
            <w:r>
              <w:t xml:space="preserve">5 – 10 konkurenata, </w:t>
            </w:r>
          </w:p>
          <w:p w14:paraId="23AB1BA1" w14:textId="306E17E9" w:rsidR="00393915" w:rsidRDefault="00EF3B0B">
            <w:pPr>
              <w:pStyle w:val="P68B1DB1-ListParagraph32"/>
              <w:numPr>
                <w:ilvl w:val="0"/>
                <w:numId w:val="277"/>
              </w:numPr>
              <w:jc w:val="both"/>
              <w:rPr>
                <w:b/>
                <w:bCs/>
                <w:color w:val="000000" w:themeColor="text1"/>
              </w:rPr>
            </w:pPr>
            <w:r>
              <w:t>&lt;</w:t>
            </w:r>
            <w:r w:rsidR="00F24D68">
              <w:t xml:space="preserve">5 </w:t>
            </w:r>
            <w:r w:rsidR="00F24D68">
              <w:t>konkurent</w:t>
            </w:r>
            <w:r>
              <w:t>a.</w:t>
            </w:r>
          </w:p>
          <w:p w14:paraId="7FE1BB3C" w14:textId="356BF98D" w:rsidR="00393915" w:rsidRDefault="00393915">
            <w:pPr>
              <w:jc w:val="both"/>
              <w:rPr>
                <w:rFonts w:ascii="Times New Roman" w:hAnsi="Times New Roman"/>
                <w:color w:val="000000" w:themeColor="text1"/>
                <w:sz w:val="20"/>
                <w:szCs w:val="20"/>
              </w:rPr>
            </w:pPr>
          </w:p>
        </w:tc>
      </w:tr>
      <w:tr w:rsidR="00F83F66" w14:paraId="7FE1BB49" w14:textId="77777777" w:rsidTr="00F83F66">
        <w:trPr>
          <w:trHeight w:val="4303"/>
        </w:trPr>
        <w:tc>
          <w:tcPr>
            <w:tcW w:w="1080" w:type="dxa"/>
            <w:tcBorders>
              <w:top w:val="single" w:sz="4" w:space="0" w:color="1A171C"/>
              <w:left w:val="nil"/>
              <w:bottom w:val="single" w:sz="4" w:space="0" w:color="1A171C"/>
              <w:right w:val="single" w:sz="4" w:space="0" w:color="1A171C"/>
            </w:tcBorders>
            <w:vAlign w:val="center"/>
          </w:tcPr>
          <w:p w14:paraId="7FE1BB3E" w14:textId="0A51607B" w:rsidR="00393915" w:rsidRDefault="00F24D68">
            <w:pPr>
              <w:pStyle w:val="P68B1DB1-TableParagraph17"/>
              <w:spacing w:before="108"/>
              <w:jc w:val="both"/>
            </w:pPr>
            <w:r>
              <w:t>0130</w:t>
            </w:r>
          </w:p>
        </w:tc>
        <w:tc>
          <w:tcPr>
            <w:tcW w:w="8003" w:type="dxa"/>
            <w:tcBorders>
              <w:top w:val="single" w:sz="4" w:space="0" w:color="1A171C"/>
              <w:left w:val="single" w:sz="4" w:space="0" w:color="1A171C"/>
              <w:bottom w:val="single" w:sz="4" w:space="0" w:color="1A171C"/>
              <w:right w:val="nil"/>
            </w:tcBorders>
            <w:vAlign w:val="center"/>
          </w:tcPr>
          <w:p w14:paraId="7FE1BB3F" w14:textId="0A981778" w:rsidR="00393915" w:rsidRDefault="00F24D68">
            <w:pPr>
              <w:pStyle w:val="P68B1DB1-TableParagraph14"/>
              <w:spacing w:before="108"/>
              <w:jc w:val="both"/>
              <w:rPr>
                <w:bCs/>
              </w:rPr>
            </w:pPr>
            <w:r>
              <w:t xml:space="preserve">Vrijeme – Očekivano vrijeme </w:t>
            </w:r>
            <w:r w:rsidR="00373836">
              <w:t xml:space="preserve">za </w:t>
            </w:r>
            <w:r>
              <w:t>zamjen</w:t>
            </w:r>
            <w:r w:rsidR="00373836">
              <w:t>u</w:t>
            </w:r>
          </w:p>
          <w:p w14:paraId="5E0677B8" w14:textId="07C9178F" w:rsidR="00373836" w:rsidRDefault="00373836" w:rsidP="00373836">
            <w:pPr>
              <w:pStyle w:val="P68B1DB1-TableParagraph13"/>
              <w:spacing w:before="108"/>
            </w:pPr>
            <w:r>
              <w:t xml:space="preserve">Procijeniti vrijeme potrebno </w:t>
            </w:r>
            <w:r>
              <w:t>da ekonomsku funkciju koju pruža izvještajni</w:t>
            </w:r>
          </w:p>
          <w:p w14:paraId="7FE1BB41" w14:textId="02DA33D1" w:rsidR="00393915" w:rsidRDefault="00373836">
            <w:pPr>
              <w:pStyle w:val="P68B1DB1-TableParagraph13"/>
              <w:spacing w:before="108"/>
            </w:pPr>
            <w:r>
              <w:t xml:space="preserve">subjekt </w:t>
            </w:r>
            <w:r>
              <w:t>apsorbira</w:t>
            </w:r>
            <w:r>
              <w:t xml:space="preserve"> tržište u kriznoj situaciji. </w:t>
            </w:r>
            <w:r>
              <w:t>To</w:t>
            </w:r>
            <w:r>
              <w:t xml:space="preserve"> uključuje: </w:t>
            </w:r>
          </w:p>
          <w:p w14:paraId="7FE1BB42" w14:textId="77777777" w:rsidR="00393915" w:rsidRDefault="00F24D68">
            <w:pPr>
              <w:pStyle w:val="P68B1DB1-ListParagraph38"/>
              <w:numPr>
                <w:ilvl w:val="0"/>
                <w:numId w:val="274"/>
              </w:numPr>
              <w:jc w:val="both"/>
            </w:pPr>
            <w:r>
              <w:t xml:space="preserve">očekivano vrijeme koje je jednom konkurentu ili više njih potrebno za provedbu pravnih i tehničkih koraka za preuzimanje funkcije; kao i  </w:t>
            </w:r>
          </w:p>
          <w:p w14:paraId="7FE1BB43" w14:textId="77777777" w:rsidR="00393915" w:rsidRDefault="00F24D68">
            <w:pPr>
              <w:pStyle w:val="P68B1DB1-ListParagraph38"/>
              <w:numPr>
                <w:ilvl w:val="0"/>
                <w:numId w:val="274"/>
              </w:numPr>
              <w:jc w:val="both"/>
            </w:pPr>
            <w:r>
              <w:t xml:space="preserve">vrijeme koje je korisnicima usluge potrebno za prelazak na drugog pružatelja usluga. </w:t>
            </w:r>
          </w:p>
          <w:p w14:paraId="7FE1BB44" w14:textId="77777777" w:rsidR="00393915" w:rsidRDefault="00393915">
            <w:pPr>
              <w:pStyle w:val="TableParagraph"/>
              <w:spacing w:before="108"/>
              <w:rPr>
                <w:rFonts w:ascii="Times New Roman" w:hAnsi="Times New Roman" w:cs="Times New Roman"/>
                <w:color w:val="000000" w:themeColor="text1"/>
                <w:sz w:val="20"/>
                <w:szCs w:val="20"/>
              </w:rPr>
            </w:pPr>
          </w:p>
          <w:p w14:paraId="7FE1BB45" w14:textId="398F3C09" w:rsidR="00393915" w:rsidRDefault="00F24D68">
            <w:pPr>
              <w:pStyle w:val="P68B1DB1-TableParagraph13"/>
              <w:spacing w:before="108"/>
            </w:pPr>
            <w:r>
              <w:t xml:space="preserve">Kad je riječ o kreditiranju, to se, na primjer, ne odnosi na otplatu </w:t>
            </w:r>
            <w:r w:rsidR="003D64BA">
              <w:t>preostalog</w:t>
            </w:r>
            <w:r w:rsidR="003D64BA">
              <w:t xml:space="preserve"> </w:t>
            </w:r>
            <w:r>
              <w:t xml:space="preserve">portfelja ili prijenos tog portfelja na potencijalnog kupca, nego na sposobnost </w:t>
            </w:r>
            <w:r w:rsidR="00700365">
              <w:t>kućanstava</w:t>
            </w:r>
            <w:r w:rsidR="00700365">
              <w:t>,</w:t>
            </w:r>
            <w:r>
              <w:t xml:space="preserve"> </w:t>
            </w:r>
            <w:r w:rsidR="008752EE">
              <w:t xml:space="preserve">nefinancijskih društava </w:t>
            </w:r>
            <w:r>
              <w:t xml:space="preserve">i </w:t>
            </w:r>
            <w:r w:rsidR="00700365">
              <w:t>opće države</w:t>
            </w:r>
            <w:r>
              <w:t xml:space="preserve"> da dobiju slične </w:t>
            </w:r>
            <w:r w:rsidR="003D64BA">
              <w:t>kredite</w:t>
            </w:r>
            <w:r>
              <w:t xml:space="preserve"> od drugih pružatelja. </w:t>
            </w:r>
          </w:p>
          <w:p w14:paraId="7FE1BB46" w14:textId="77777777" w:rsidR="00393915" w:rsidRDefault="00393915">
            <w:pPr>
              <w:pStyle w:val="TableParagraph"/>
              <w:spacing w:before="108"/>
              <w:rPr>
                <w:rFonts w:ascii="Times New Roman" w:hAnsi="Times New Roman" w:cs="Times New Roman"/>
                <w:color w:val="000000" w:themeColor="text1"/>
                <w:sz w:val="20"/>
                <w:szCs w:val="20"/>
              </w:rPr>
            </w:pPr>
          </w:p>
          <w:p w14:paraId="7FE1BB47" w14:textId="463253D7" w:rsidR="00393915" w:rsidRDefault="00F24D68">
            <w:pPr>
              <w:pStyle w:val="P68B1DB1-TableParagraph13"/>
              <w:spacing w:before="108"/>
            </w:pPr>
            <w:r>
              <w:t xml:space="preserve">Kao </w:t>
            </w:r>
            <w:r w:rsidR="00141DA1">
              <w:t>aproksimativna</w:t>
            </w:r>
            <w:r w:rsidR="00141DA1">
              <w:t xml:space="preserve"> </w:t>
            </w:r>
            <w:r>
              <w:t xml:space="preserve">vrijednost za prethodno navedeno, navedite procjenu vremena koje bi izvještajnom subjektu trebalo da u svoje poslovanje apsorbira </w:t>
            </w:r>
            <w:r w:rsidR="00141DA1">
              <w:t xml:space="preserve">(dio) </w:t>
            </w:r>
            <w:r>
              <w:t xml:space="preserve"> uslug</w:t>
            </w:r>
            <w:r w:rsidR="00141DA1">
              <w:t>a</w:t>
            </w:r>
            <w:r>
              <w:t xml:space="preserve"> koj</w:t>
            </w:r>
            <w:r w:rsidR="00141DA1">
              <w:t>e</w:t>
            </w:r>
            <w:r>
              <w:t xml:space="preserve"> pruža druga institucija, uz razuman trošak, u kriznoj situaciji. Navodi se procijenjeno vrijeme potrebno za zamjenu u razredima iz predloška:</w:t>
            </w:r>
          </w:p>
          <w:p w14:paraId="7FE1BB48" w14:textId="77777777" w:rsidR="00393915" w:rsidRDefault="00393915">
            <w:pPr>
              <w:pStyle w:val="TableParagraph"/>
              <w:spacing w:before="108"/>
              <w:rPr>
                <w:rFonts w:ascii="Times New Roman" w:hAnsi="Times New Roman" w:cs="Times New Roman"/>
                <w:color w:val="000000" w:themeColor="text1"/>
                <w:sz w:val="20"/>
                <w:szCs w:val="20"/>
              </w:rPr>
            </w:pPr>
          </w:p>
        </w:tc>
      </w:tr>
      <w:tr w:rsidR="00393915" w14:paraId="7FE1BB4C" w14:textId="77777777">
        <w:tc>
          <w:tcPr>
            <w:tcW w:w="1080" w:type="dxa"/>
            <w:tcBorders>
              <w:top w:val="single" w:sz="4" w:space="0" w:color="1A171C"/>
              <w:left w:val="nil"/>
              <w:bottom w:val="single" w:sz="4" w:space="0" w:color="1A171C"/>
              <w:right w:val="single" w:sz="4" w:space="0" w:color="1A171C"/>
            </w:tcBorders>
            <w:vAlign w:val="center"/>
          </w:tcPr>
          <w:p w14:paraId="7FE1BB4A" w14:textId="623B502D" w:rsidR="00393915" w:rsidRDefault="00F24D68">
            <w:pPr>
              <w:pStyle w:val="P68B1DB1-TableParagraph17"/>
              <w:spacing w:before="108"/>
              <w:jc w:val="both"/>
            </w:pPr>
            <w:r>
              <w:t>0140 – 0150</w:t>
            </w:r>
          </w:p>
        </w:tc>
        <w:tc>
          <w:tcPr>
            <w:tcW w:w="8003" w:type="dxa"/>
            <w:tcBorders>
              <w:top w:val="single" w:sz="4" w:space="0" w:color="1A171C"/>
              <w:left w:val="single" w:sz="4" w:space="0" w:color="1A171C"/>
              <w:bottom w:val="single" w:sz="4" w:space="0" w:color="1A171C"/>
              <w:right w:val="nil"/>
            </w:tcBorders>
            <w:vAlign w:val="center"/>
          </w:tcPr>
          <w:p w14:paraId="7FE1BB4B" w14:textId="77777777" w:rsidR="00393915" w:rsidRDefault="00F24D68">
            <w:pPr>
              <w:pStyle w:val="P68B1DB1-TableParagraph14"/>
              <w:spacing w:before="108"/>
              <w:jc w:val="both"/>
              <w:rPr>
                <w:bCs/>
              </w:rPr>
            </w:pPr>
            <w:r>
              <w:t>Mogućnost zamjene</w:t>
            </w:r>
          </w:p>
        </w:tc>
      </w:tr>
      <w:tr w:rsidR="00393915" w14:paraId="7FE1BB56" w14:textId="77777777">
        <w:tc>
          <w:tcPr>
            <w:tcW w:w="1080" w:type="dxa"/>
            <w:tcBorders>
              <w:top w:val="single" w:sz="4" w:space="0" w:color="1A171C"/>
              <w:left w:val="nil"/>
              <w:bottom w:val="single" w:sz="4" w:space="0" w:color="1A171C"/>
              <w:right w:val="single" w:sz="4" w:space="0" w:color="1A171C"/>
            </w:tcBorders>
            <w:vAlign w:val="center"/>
          </w:tcPr>
          <w:p w14:paraId="7FE1BB4D" w14:textId="187FC1D1" w:rsidR="00393915" w:rsidRDefault="00F24D68">
            <w:pPr>
              <w:pStyle w:val="P68B1DB1-TableParagraph17"/>
              <w:spacing w:before="108"/>
              <w:jc w:val="both"/>
            </w:pPr>
            <w:r>
              <w:lastRenderedPageBreak/>
              <w:t>0140</w:t>
            </w:r>
          </w:p>
        </w:tc>
        <w:tc>
          <w:tcPr>
            <w:tcW w:w="8003" w:type="dxa"/>
            <w:tcBorders>
              <w:top w:val="single" w:sz="4" w:space="0" w:color="1A171C"/>
              <w:left w:val="single" w:sz="4" w:space="0" w:color="1A171C"/>
              <w:bottom w:val="single" w:sz="4" w:space="0" w:color="1A171C"/>
              <w:right w:val="nil"/>
            </w:tcBorders>
            <w:vAlign w:val="center"/>
          </w:tcPr>
          <w:p w14:paraId="7FE1BB4E" w14:textId="77777777" w:rsidR="00393915" w:rsidRDefault="00F24D68">
            <w:pPr>
              <w:pStyle w:val="P68B1DB1-TableParagraph14"/>
              <w:spacing w:before="108"/>
              <w:rPr>
                <w:bCs/>
              </w:rPr>
            </w:pPr>
            <w:r>
              <w:t>Pravne prepreke ulasku na tržište ili širenju</w:t>
            </w:r>
          </w:p>
          <w:p w14:paraId="7FE1BB4F" w14:textId="77777777" w:rsidR="00393915" w:rsidRDefault="00393915">
            <w:pPr>
              <w:pStyle w:val="TableParagraph"/>
              <w:spacing w:before="108"/>
              <w:rPr>
                <w:rFonts w:ascii="Times New Roman" w:hAnsi="Times New Roman" w:cs="Times New Roman"/>
                <w:color w:val="000000" w:themeColor="text1"/>
                <w:sz w:val="20"/>
                <w:szCs w:val="20"/>
              </w:rPr>
            </w:pPr>
          </w:p>
          <w:p w14:paraId="7FE1BB50" w14:textId="13C73859" w:rsidR="00393915" w:rsidRDefault="00F24D68">
            <w:pPr>
              <w:pStyle w:val="P68B1DB1-TableParagraph13"/>
              <w:spacing w:before="108"/>
            </w:pPr>
            <w:r>
              <w:t xml:space="preserve">Pravne prepreke za konkurente da ponude uslugu. Pravni zahtjevi za obavljanje djelatnosti kreditnih institucija (npr. bankovne </w:t>
            </w:r>
            <w:r w:rsidR="00141DA1">
              <w:t>licence</w:t>
            </w:r>
            <w:r w:rsidR="00141DA1">
              <w:t xml:space="preserve"> </w:t>
            </w:r>
            <w:r>
              <w:t xml:space="preserve">ili kapitalni zahtjevi) ne smatraju se nepremostivim preprekama u prisutnosti alternativnih pružatelja usluga. Ovaj se pokazatelj mora iskazati u razredima koji su isti za svaku podfunkciju: </w:t>
            </w:r>
          </w:p>
          <w:p w14:paraId="7FE1BB51" w14:textId="068F91A0" w:rsidR="00393915" w:rsidRDefault="00F24D68">
            <w:pPr>
              <w:pStyle w:val="P68B1DB1-ListParagraph39"/>
              <w:numPr>
                <w:ilvl w:val="0"/>
                <w:numId w:val="275"/>
              </w:numPr>
              <w:jc w:val="both"/>
            </w:pPr>
            <w:r>
              <w:t xml:space="preserve">nema većih prepreka, </w:t>
            </w:r>
          </w:p>
          <w:p w14:paraId="7FE1BB52" w14:textId="6D8354EB" w:rsidR="00393915" w:rsidRDefault="00F24D68">
            <w:pPr>
              <w:pStyle w:val="P68B1DB1-ListParagraph39"/>
              <w:numPr>
                <w:ilvl w:val="0"/>
                <w:numId w:val="275"/>
              </w:numPr>
              <w:jc w:val="both"/>
            </w:pPr>
            <w:r>
              <w:t xml:space="preserve">neke prepreke, </w:t>
            </w:r>
          </w:p>
          <w:p w14:paraId="7FE1BB53" w14:textId="5CC96E9E" w:rsidR="00393915" w:rsidRDefault="00F24D68">
            <w:pPr>
              <w:pStyle w:val="P68B1DB1-ListParagraph39"/>
              <w:numPr>
                <w:ilvl w:val="0"/>
                <w:numId w:val="275"/>
              </w:numPr>
              <w:jc w:val="both"/>
            </w:pPr>
            <w:r>
              <w:t xml:space="preserve">znatne (ali </w:t>
            </w:r>
            <w:r>
              <w:t xml:space="preserve">premostive) </w:t>
            </w:r>
            <w:r w:rsidR="00141DA1">
              <w:t>prepreke</w:t>
            </w:r>
            <w:r>
              <w:t xml:space="preserve">, </w:t>
            </w:r>
          </w:p>
          <w:p w14:paraId="7FE1BB55" w14:textId="36A59DC2" w:rsidR="00393915" w:rsidRDefault="00F24D68">
            <w:pPr>
              <w:pStyle w:val="P68B1DB1-ListParagraph8"/>
              <w:numPr>
                <w:ilvl w:val="0"/>
                <w:numId w:val="275"/>
              </w:numPr>
              <w:jc w:val="both"/>
            </w:pPr>
            <w:r>
              <w:t xml:space="preserve">kritične (teško </w:t>
            </w:r>
            <w:r w:rsidR="00141DA1">
              <w:t>premostive</w:t>
            </w:r>
            <w:r>
              <w:t xml:space="preserve">) </w:t>
            </w:r>
            <w:r w:rsidR="00141DA1">
              <w:t>prepreke</w:t>
            </w:r>
            <w:r>
              <w:t>.</w:t>
            </w:r>
          </w:p>
        </w:tc>
      </w:tr>
      <w:tr w:rsidR="00393915" w14:paraId="7FE1BB65" w14:textId="77777777">
        <w:tc>
          <w:tcPr>
            <w:tcW w:w="1080" w:type="dxa"/>
            <w:tcBorders>
              <w:top w:val="single" w:sz="4" w:space="0" w:color="1A171C"/>
              <w:left w:val="nil"/>
              <w:bottom w:val="single" w:sz="4" w:space="0" w:color="1A171C"/>
              <w:right w:val="single" w:sz="4" w:space="0" w:color="1A171C"/>
            </w:tcBorders>
            <w:vAlign w:val="center"/>
          </w:tcPr>
          <w:p w14:paraId="7FE1BB57" w14:textId="761A85F3" w:rsidR="00393915" w:rsidRDefault="00F24D68">
            <w:pPr>
              <w:pStyle w:val="P68B1DB1-TableParagraph17"/>
              <w:spacing w:before="108"/>
              <w:jc w:val="both"/>
            </w:pPr>
            <w:r>
              <w:t>0150</w:t>
            </w:r>
          </w:p>
        </w:tc>
        <w:tc>
          <w:tcPr>
            <w:tcW w:w="8003" w:type="dxa"/>
            <w:tcBorders>
              <w:top w:val="single" w:sz="4" w:space="0" w:color="1A171C"/>
              <w:left w:val="single" w:sz="4" w:space="0" w:color="1A171C"/>
              <w:bottom w:val="single" w:sz="4" w:space="0" w:color="1A171C"/>
              <w:right w:val="nil"/>
            </w:tcBorders>
            <w:vAlign w:val="center"/>
          </w:tcPr>
          <w:p w14:paraId="7FE1BB58" w14:textId="0AA1E6B5" w:rsidR="00393915" w:rsidRDefault="00F24D68">
            <w:pPr>
              <w:pStyle w:val="P68B1DB1-TableParagraph14"/>
              <w:spacing w:before="108"/>
              <w:rPr>
                <w:bCs/>
              </w:rPr>
            </w:pPr>
            <w:r>
              <w:t xml:space="preserve">Operativni zahtjevi za ulazak ili </w:t>
            </w:r>
            <w:r>
              <w:t>širenje</w:t>
            </w:r>
          </w:p>
          <w:p w14:paraId="7FE1BB59" w14:textId="77777777" w:rsidR="00393915" w:rsidRDefault="00393915">
            <w:pPr>
              <w:pStyle w:val="TableParagraph"/>
              <w:spacing w:before="108"/>
              <w:rPr>
                <w:rFonts w:ascii="Times New Roman" w:hAnsi="Times New Roman" w:cs="Times New Roman"/>
                <w:color w:val="000000" w:themeColor="text1"/>
                <w:sz w:val="20"/>
                <w:szCs w:val="20"/>
              </w:rPr>
            </w:pPr>
          </w:p>
          <w:p w14:paraId="3A30BB5B" w14:textId="5DE74DCA" w:rsidR="001C2630" w:rsidRDefault="00F24D68">
            <w:pPr>
              <w:pStyle w:val="P68B1DB1-TableParagraph13"/>
              <w:spacing w:before="108"/>
            </w:pPr>
            <w:r>
              <w:t xml:space="preserve">Organizacijski, tehnički i infrastrukturni zahtjevi za konkurente za pružanje usluge. Zbog ponude usluga povezanih s (pod)funkcijom pružatelji moraju ulagati u (novu ili dodatnu) infrastrukturu ili </w:t>
            </w:r>
            <w:r w:rsidR="00C856BB" w:rsidRPr="00C856BB">
              <w:t>prilagod</w:t>
            </w:r>
            <w:r w:rsidR="001C2630">
              <w:t>iti</w:t>
            </w:r>
            <w:r w:rsidR="00C856BB" w:rsidRPr="00C856BB">
              <w:t xml:space="preserve"> njihove</w:t>
            </w:r>
            <w:r w:rsidR="00C856BB" w:rsidRPr="00C856BB">
              <w:t xml:space="preserve"> organizacije. Procijeniti sposobnost tržišta da apsorbira određeno </w:t>
            </w:r>
            <w:r w:rsidR="00C856BB" w:rsidRPr="00C856BB">
              <w:t>poslovanje, primjerice u smislu kapitalnih zahtjeva.</w:t>
            </w:r>
          </w:p>
          <w:p w14:paraId="7FE1BB5A" w14:textId="23F9375B" w:rsidR="00393915" w:rsidRDefault="00393915">
            <w:pPr>
              <w:pStyle w:val="P68B1DB1-TableParagraph13"/>
              <w:spacing w:before="108"/>
            </w:pPr>
          </w:p>
          <w:p w14:paraId="7FE1BB5B" w14:textId="77777777" w:rsidR="00393915" w:rsidRDefault="00F24D68">
            <w:pPr>
              <w:pStyle w:val="P68B1DB1-TableParagraph13"/>
              <w:spacing w:before="108"/>
            </w:pPr>
            <w:r>
              <w:t xml:space="preserve">Ovaj se pokazatelj mora iskazati u razredima koji su isti za svaku podfunkciju: </w:t>
            </w:r>
          </w:p>
          <w:p w14:paraId="7FE1BB5C" w14:textId="7C8E68F5" w:rsidR="00393915" w:rsidRDefault="00F24D68">
            <w:pPr>
              <w:pStyle w:val="P68B1DB1-ListParagraph39"/>
              <w:numPr>
                <w:ilvl w:val="0"/>
                <w:numId w:val="278"/>
              </w:numPr>
              <w:jc w:val="both"/>
            </w:pPr>
            <w:r>
              <w:t xml:space="preserve">nema većih zahtjeva, </w:t>
            </w:r>
          </w:p>
          <w:p w14:paraId="7FE1BB5D" w14:textId="0DA036A6" w:rsidR="00393915" w:rsidRDefault="00F24D68">
            <w:pPr>
              <w:pStyle w:val="P68B1DB1-ListParagraph39"/>
              <w:numPr>
                <w:ilvl w:val="0"/>
                <w:numId w:val="278"/>
              </w:numPr>
              <w:jc w:val="both"/>
            </w:pPr>
            <w:r>
              <w:t>nek</w:t>
            </w:r>
            <w:r w:rsidR="006E00E6">
              <w:t>i</w:t>
            </w:r>
            <w:r>
              <w:t xml:space="preserve"> zahtjev</w:t>
            </w:r>
            <w:r w:rsidR="006E00E6">
              <w:t>i</w:t>
            </w:r>
            <w:r>
              <w:t xml:space="preserve">, </w:t>
            </w:r>
          </w:p>
          <w:p w14:paraId="7FE1BB5E" w14:textId="565D2E42" w:rsidR="00393915" w:rsidRDefault="00F24D68">
            <w:pPr>
              <w:pStyle w:val="P68B1DB1-ListParagraph39"/>
              <w:numPr>
                <w:ilvl w:val="0"/>
                <w:numId w:val="278"/>
              </w:numPr>
              <w:jc w:val="both"/>
            </w:pPr>
            <w:r>
              <w:t xml:space="preserve">značajni (ali </w:t>
            </w:r>
            <w:r w:rsidR="006E00E6">
              <w:t>premostivi</w:t>
            </w:r>
            <w:r>
              <w:t xml:space="preserve">) zahtjevi, </w:t>
            </w:r>
          </w:p>
          <w:p w14:paraId="7FE1BB5F" w14:textId="4FC47D68" w:rsidR="00393915" w:rsidRDefault="00F24D68">
            <w:pPr>
              <w:pStyle w:val="P68B1DB1-ListParagraph39"/>
              <w:numPr>
                <w:ilvl w:val="0"/>
                <w:numId w:val="278"/>
              </w:numPr>
              <w:jc w:val="both"/>
            </w:pPr>
            <w:r>
              <w:t>kritični (</w:t>
            </w:r>
            <w:r>
              <w:t>tešk</w:t>
            </w:r>
            <w:r w:rsidR="006E00E6">
              <w:t>o premostivi</w:t>
            </w:r>
            <w:r>
              <w:t>) zahtjevi.</w:t>
            </w:r>
          </w:p>
          <w:p w14:paraId="7FE1BB64" w14:textId="7064EEB7" w:rsidR="00393915" w:rsidRDefault="00F24D68">
            <w:pPr>
              <w:pStyle w:val="P68B1DB1-TableParagraph40"/>
              <w:spacing w:before="108"/>
              <w:ind w:left="720"/>
              <w:jc w:val="both"/>
              <w:rPr>
                <w:color w:val="000000" w:themeColor="text1"/>
              </w:rPr>
            </w:pPr>
            <w:r>
              <w:t xml:space="preserve"> </w:t>
            </w:r>
          </w:p>
        </w:tc>
      </w:tr>
      <w:tr w:rsidR="00393915" w14:paraId="7FE1BB68" w14:textId="77777777">
        <w:tc>
          <w:tcPr>
            <w:tcW w:w="1080" w:type="dxa"/>
            <w:tcBorders>
              <w:top w:val="single" w:sz="4" w:space="0" w:color="1A171C"/>
              <w:left w:val="nil"/>
              <w:bottom w:val="single" w:sz="4" w:space="0" w:color="1A171C"/>
              <w:right w:val="single" w:sz="4" w:space="0" w:color="1A171C"/>
            </w:tcBorders>
            <w:vAlign w:val="center"/>
          </w:tcPr>
          <w:p w14:paraId="7FE1BB66" w14:textId="4C88941E" w:rsidR="00393915" w:rsidRDefault="00F24D68">
            <w:pPr>
              <w:pStyle w:val="P68B1DB1-TableParagraph17"/>
              <w:spacing w:before="108"/>
              <w:jc w:val="both"/>
            </w:pPr>
            <w:r>
              <w:t>0160 – 0180</w:t>
            </w:r>
          </w:p>
        </w:tc>
        <w:tc>
          <w:tcPr>
            <w:tcW w:w="8003" w:type="dxa"/>
            <w:tcBorders>
              <w:top w:val="single" w:sz="4" w:space="0" w:color="1A171C"/>
              <w:left w:val="single" w:sz="4" w:space="0" w:color="1A171C"/>
              <w:bottom w:val="single" w:sz="4" w:space="0" w:color="1A171C"/>
              <w:right w:val="nil"/>
            </w:tcBorders>
            <w:vAlign w:val="center"/>
          </w:tcPr>
          <w:p w14:paraId="7FE1BB67" w14:textId="400BDA0B" w:rsidR="00393915" w:rsidRDefault="00F24D68">
            <w:pPr>
              <w:pStyle w:val="P68B1DB1-TableParagraph14"/>
              <w:spacing w:before="108"/>
              <w:rPr>
                <w:bCs/>
              </w:rPr>
            </w:pPr>
            <w:r>
              <w:t xml:space="preserve">Procjena </w:t>
            </w:r>
            <w:r w:rsidR="00C856BB">
              <w:t>ključnosti</w:t>
            </w:r>
          </w:p>
        </w:tc>
      </w:tr>
      <w:tr w:rsidR="00393915" w14:paraId="7FE1BB6E" w14:textId="77777777">
        <w:tc>
          <w:tcPr>
            <w:tcW w:w="1080" w:type="dxa"/>
            <w:tcBorders>
              <w:top w:val="single" w:sz="4" w:space="0" w:color="1A171C"/>
              <w:left w:val="nil"/>
              <w:bottom w:val="single" w:sz="4" w:space="0" w:color="1A171C"/>
              <w:right w:val="single" w:sz="4" w:space="0" w:color="1A171C"/>
            </w:tcBorders>
            <w:vAlign w:val="center"/>
          </w:tcPr>
          <w:p w14:paraId="7FE1BB69" w14:textId="2EA729ED" w:rsidR="00393915" w:rsidRDefault="00F24D68">
            <w:pPr>
              <w:pStyle w:val="P68B1DB1-TableParagraph17"/>
              <w:spacing w:before="108"/>
              <w:jc w:val="both"/>
            </w:pPr>
            <w:r>
              <w:t>0160</w:t>
            </w:r>
          </w:p>
        </w:tc>
        <w:tc>
          <w:tcPr>
            <w:tcW w:w="8003" w:type="dxa"/>
            <w:tcBorders>
              <w:top w:val="single" w:sz="4" w:space="0" w:color="1A171C"/>
              <w:left w:val="single" w:sz="4" w:space="0" w:color="1A171C"/>
              <w:bottom w:val="single" w:sz="4" w:space="0" w:color="1A171C"/>
              <w:right w:val="nil"/>
            </w:tcBorders>
            <w:vAlign w:val="center"/>
          </w:tcPr>
          <w:p w14:paraId="7FE1BB6A" w14:textId="21B8BAFB" w:rsidR="00393915" w:rsidRDefault="00592126">
            <w:pPr>
              <w:pStyle w:val="P68B1DB1-TableParagraph14"/>
              <w:spacing w:before="108"/>
              <w:rPr>
                <w:bCs/>
              </w:rPr>
            </w:pPr>
            <w:r>
              <w:t>Utjecaj</w:t>
            </w:r>
            <w:r>
              <w:t xml:space="preserve"> </w:t>
            </w:r>
            <w:r w:rsidR="00F24D68">
              <w:t xml:space="preserve">na tržište </w:t>
            </w:r>
          </w:p>
          <w:p w14:paraId="7FE1BB6B" w14:textId="46E9E0A3" w:rsidR="00393915" w:rsidRDefault="00F24D68">
            <w:pPr>
              <w:pStyle w:val="P68B1DB1-TableParagraph13"/>
              <w:spacing w:before="108"/>
            </w:pPr>
            <w:r>
              <w:t xml:space="preserve">Procijenjeni </w:t>
            </w:r>
            <w:r w:rsidR="00592126">
              <w:t>utjecaj</w:t>
            </w:r>
            <w:r>
              <w:t xml:space="preserve"> naglog obustavljanja funkcije na treće strane, financijska tržišta i realno gospodarstvo, uzimajući u obzir veličinu, tržišni udio u zemlji, vanjske i unutarnje međusobne povezanosti, složenost i prekograničnu aktivnosti institucije.</w:t>
            </w:r>
          </w:p>
          <w:p w14:paraId="7FE1BB6C" w14:textId="3006E0F1" w:rsidR="00393915" w:rsidRDefault="00F24D68">
            <w:pPr>
              <w:pStyle w:val="P68B1DB1-TableParagraph13"/>
              <w:spacing w:before="108"/>
            </w:pPr>
            <w:r>
              <w:t>Ta procjena izražava se kvalitativno kao „visok”, „srednje visok”, „srednje nizak” ili „nizak”.</w:t>
            </w:r>
          </w:p>
          <w:p w14:paraId="7FE1BB6D" w14:textId="1B6EB8DC" w:rsidR="00393915" w:rsidRDefault="00F24D68">
            <w:pPr>
              <w:pStyle w:val="P68B1DB1-TableParagraph13"/>
              <w:spacing w:before="108"/>
            </w:pPr>
            <w:r>
              <w:t>„</w:t>
            </w:r>
            <w:r>
              <w:t>V</w:t>
            </w:r>
            <w:r w:rsidR="00592126">
              <w:t>isok</w:t>
            </w:r>
            <w:r>
              <w:t xml:space="preserve">” se odabire ako </w:t>
            </w:r>
            <w:r w:rsidR="00592126">
              <w:t>bi</w:t>
            </w:r>
            <w:r w:rsidR="00592126">
              <w:t xml:space="preserve"> </w:t>
            </w:r>
            <w:r>
              <w:t>obustavljanje imalo velik učinak na nacionalno tržište, „</w:t>
            </w:r>
            <w:r w:rsidR="00592126">
              <w:t>srednje visok</w:t>
            </w:r>
            <w:r>
              <w:t>” ako je učinak znatan, „</w:t>
            </w:r>
            <w:r w:rsidR="00592126">
              <w:t>srednje nizak</w:t>
            </w:r>
            <w:r>
              <w:t>” ako je učinak znatan, ali ograničen i „</w:t>
            </w:r>
            <w:r w:rsidR="00592126">
              <w:t>n</w:t>
            </w:r>
            <w:r>
              <w:t>izak</w:t>
            </w:r>
            <w:r>
              <w:t>” ako je učinak nizak.</w:t>
            </w:r>
          </w:p>
        </w:tc>
      </w:tr>
      <w:tr w:rsidR="00393915" w14:paraId="7FE1BB7B" w14:textId="77777777">
        <w:tc>
          <w:tcPr>
            <w:tcW w:w="1080" w:type="dxa"/>
            <w:tcBorders>
              <w:top w:val="single" w:sz="4" w:space="0" w:color="1A171C"/>
              <w:left w:val="nil"/>
              <w:bottom w:val="single" w:sz="4" w:space="0" w:color="1A171C"/>
              <w:right w:val="single" w:sz="4" w:space="0" w:color="1A171C"/>
            </w:tcBorders>
            <w:vAlign w:val="center"/>
          </w:tcPr>
          <w:p w14:paraId="7FE1BB6F" w14:textId="12F05B84" w:rsidR="00393915" w:rsidRDefault="00F24D68">
            <w:pPr>
              <w:pStyle w:val="P68B1DB1-TableParagraph17"/>
              <w:spacing w:before="108"/>
              <w:jc w:val="both"/>
            </w:pPr>
            <w:r>
              <w:t>0170</w:t>
            </w:r>
          </w:p>
        </w:tc>
        <w:tc>
          <w:tcPr>
            <w:tcW w:w="8003" w:type="dxa"/>
            <w:tcBorders>
              <w:top w:val="single" w:sz="4" w:space="0" w:color="1A171C"/>
              <w:left w:val="single" w:sz="4" w:space="0" w:color="1A171C"/>
              <w:bottom w:val="single" w:sz="4" w:space="0" w:color="1A171C"/>
              <w:right w:val="nil"/>
            </w:tcBorders>
            <w:vAlign w:val="center"/>
          </w:tcPr>
          <w:p w14:paraId="7FE1BB70" w14:textId="77777777" w:rsidR="00393915" w:rsidRDefault="00F24D68">
            <w:pPr>
              <w:pStyle w:val="P68B1DB1-TableParagraph14"/>
              <w:spacing w:before="108"/>
              <w:rPr>
                <w:bCs/>
              </w:rPr>
            </w:pPr>
            <w:r>
              <w:t>Zamjenjivost</w:t>
            </w:r>
          </w:p>
          <w:p w14:paraId="7FE1BB71" w14:textId="77777777" w:rsidR="00393915" w:rsidRDefault="00F24D68">
            <w:pPr>
              <w:pStyle w:val="P68B1DB1-TableParagraph13"/>
              <w:spacing w:before="108"/>
            </w:pPr>
            <w:r>
              <w:t>Članak 6. stavak 3. Delegirane uredbe (EU) 2016/778.</w:t>
            </w:r>
          </w:p>
          <w:p w14:paraId="7FE1BB72" w14:textId="77777777" w:rsidR="00393915" w:rsidRDefault="00F24D68">
            <w:pPr>
              <w:pStyle w:val="P68B1DB1-TableParagraph13"/>
              <w:spacing w:before="108"/>
            </w:pPr>
            <w:r>
              <w:t>Funkcija se smatra zamjenjivom ako ju je moguće na prihvatljiv način i unutar razumnog roka zamijeniti te time izbjeći sistemske probleme za realno gospodarstvo i financijska tržišta. Pri tom se u obzir uzimaju sljedeći kriteriji:</w:t>
            </w:r>
          </w:p>
          <w:p w14:paraId="7FE1BB73" w14:textId="77777777" w:rsidR="00393915" w:rsidRDefault="00F24D68">
            <w:pPr>
              <w:pStyle w:val="P68B1DB1-TableParagraph13"/>
              <w:spacing w:before="108"/>
            </w:pPr>
            <w:r>
              <w:t xml:space="preserve">(a) struktura tržišta za tu funkciju i dostupnost zamjenskih pružatelja usluga; </w:t>
            </w:r>
          </w:p>
          <w:p w14:paraId="7FE1BB74" w14:textId="77777777" w:rsidR="00393915" w:rsidRDefault="00F24D68">
            <w:pPr>
              <w:pStyle w:val="P68B1DB1-TableParagraph13"/>
              <w:spacing w:before="108"/>
            </w:pPr>
            <w:r>
              <w:t xml:space="preserve">(b) sposobnost drugih pružatelja usluga u smislu kapaciteta, zahtjevi za obavljanje funkcije te potencijalne prepreke za ulazak ili širenje; </w:t>
            </w:r>
          </w:p>
          <w:p w14:paraId="7FE1BB75" w14:textId="77777777" w:rsidR="00393915" w:rsidRDefault="00F24D68">
            <w:pPr>
              <w:pStyle w:val="P68B1DB1-TableParagraph13"/>
              <w:spacing w:before="108"/>
            </w:pPr>
            <w:r>
              <w:t xml:space="preserve">(c) poticaj drugih pružatelja usluga da preuzmu te aktivnosti; </w:t>
            </w:r>
          </w:p>
          <w:p w14:paraId="7FE1BB76" w14:textId="77777777" w:rsidR="00393915" w:rsidRDefault="00F24D68">
            <w:pPr>
              <w:pStyle w:val="P68B1DB1-TableParagraph13"/>
              <w:spacing w:before="108"/>
            </w:pPr>
            <w:r>
              <w:t>(d) vrijeme koje je korisnicima usluge potrebno da prijeđu na novog pružatelja usluge i troškovi tog prijelaza, vrijeme koje je potrebno da drugi tržišni natjecatelji preuzmu funkcije i je li to vrijeme dovoljno da se spriječi znatan prekid ovisno o vrsti usluge.</w:t>
            </w:r>
          </w:p>
          <w:p w14:paraId="7FE1BB77" w14:textId="0A212246" w:rsidR="00393915" w:rsidRDefault="00F24D68">
            <w:pPr>
              <w:pStyle w:val="P68B1DB1-TableParagraph13"/>
              <w:spacing w:before="108"/>
            </w:pPr>
            <w:r>
              <w:lastRenderedPageBreak/>
              <w:t>Navesti ukupnu procjenu očekivanog stupnja zamjenjivosti za svaku funkciju, uzimajući u obzir prethodno procijenjene različite dimenzije (tržišni udio, tržišna koncentracija, vrijeme potrebno za zamjenu, pravne prepreke i operativni zahtjevi za ulazak na tržište ili širenje). Ta procjena izražava se kvalitativno kao „</w:t>
            </w:r>
            <w:r>
              <w:t>visok</w:t>
            </w:r>
            <w:r w:rsidR="0006398F">
              <w:t>a</w:t>
            </w:r>
            <w:r>
              <w:t xml:space="preserve">”, „srednje </w:t>
            </w:r>
            <w:r>
              <w:t>visok</w:t>
            </w:r>
            <w:r w:rsidR="0006398F">
              <w:t>a</w:t>
            </w:r>
            <w:r>
              <w:t xml:space="preserve">”, „srednje </w:t>
            </w:r>
            <w:r>
              <w:t>ni</w:t>
            </w:r>
            <w:r w:rsidR="0006398F">
              <w:t>ska</w:t>
            </w:r>
            <w:r>
              <w:t>” ili „</w:t>
            </w:r>
            <w:r>
              <w:t>ni</w:t>
            </w:r>
            <w:r w:rsidR="0006398F">
              <w:t>ska</w:t>
            </w:r>
            <w:r>
              <w:t xml:space="preserve">”. </w:t>
            </w:r>
          </w:p>
          <w:p w14:paraId="7FE1BB78" w14:textId="342C8271" w:rsidR="00393915" w:rsidRDefault="00F24D68">
            <w:pPr>
              <w:pStyle w:val="P68B1DB1-TableParagraph13"/>
              <w:spacing w:before="108"/>
            </w:pPr>
            <w:r>
              <w:t>„</w:t>
            </w:r>
            <w:r>
              <w:t>V</w:t>
            </w:r>
            <w:r w:rsidR="0006398F">
              <w:t>isoka</w:t>
            </w:r>
            <w:r>
              <w:t>” se odabire ako funkciju može lako pružati druga banka pod usporedivim uvjetima u razumnom roku,</w:t>
            </w:r>
          </w:p>
          <w:p w14:paraId="7FE1BB79" w14:textId="2A94E692" w:rsidR="00393915" w:rsidRDefault="00F24D68">
            <w:pPr>
              <w:pStyle w:val="P68B1DB1-TableParagraph13"/>
              <w:spacing w:before="108"/>
            </w:pPr>
            <w:r>
              <w:t>„</w:t>
            </w:r>
            <w:r>
              <w:t>N</w:t>
            </w:r>
            <w:r w:rsidR="0006398F">
              <w:t>iska</w:t>
            </w:r>
            <w:r>
              <w:t xml:space="preserve">” ako funkciju nije moguće lako ili brzo zamijeniti, </w:t>
            </w:r>
          </w:p>
          <w:p w14:paraId="7FE1BB7A" w14:textId="1019CB39" w:rsidR="00393915" w:rsidRDefault="00F24D68">
            <w:pPr>
              <w:pStyle w:val="P68B1DB1-TableParagraph13"/>
              <w:spacing w:before="108"/>
            </w:pPr>
            <w:r>
              <w:t>„</w:t>
            </w:r>
            <w:r>
              <w:t>S</w:t>
            </w:r>
            <w:r w:rsidR="0006398F">
              <w:t>rednje visoka</w:t>
            </w:r>
            <w:r>
              <w:t>” i „</w:t>
            </w:r>
            <w:r w:rsidR="0006398F">
              <w:t>srednje niska</w:t>
            </w:r>
            <w:r>
              <w:t>” za prijelazne slučajeve, uzimajući u obzir različite dimenzije (npr. tržišni udio, tržišnu koncentraciju, vrijeme potrebno za zamjenu te pravne prepreke i operativne zahtjeve za ulazak ili širenje).</w:t>
            </w:r>
          </w:p>
        </w:tc>
      </w:tr>
      <w:tr w:rsidR="00393915" w14:paraId="7FE1BB80" w14:textId="77777777">
        <w:tc>
          <w:tcPr>
            <w:tcW w:w="1080" w:type="dxa"/>
            <w:tcBorders>
              <w:top w:val="single" w:sz="4" w:space="0" w:color="1A171C"/>
              <w:left w:val="nil"/>
              <w:bottom w:val="single" w:sz="4" w:space="0" w:color="1A171C"/>
              <w:right w:val="single" w:sz="4" w:space="0" w:color="1A171C"/>
            </w:tcBorders>
            <w:vAlign w:val="center"/>
          </w:tcPr>
          <w:p w14:paraId="7FE1BB7C" w14:textId="42FC8366" w:rsidR="00393915" w:rsidRDefault="00F24D68">
            <w:pPr>
              <w:pStyle w:val="P68B1DB1-TableParagraph17"/>
              <w:spacing w:before="108"/>
              <w:jc w:val="both"/>
            </w:pPr>
            <w:r>
              <w:lastRenderedPageBreak/>
              <w:t>0180</w:t>
            </w:r>
          </w:p>
        </w:tc>
        <w:tc>
          <w:tcPr>
            <w:tcW w:w="8003" w:type="dxa"/>
            <w:tcBorders>
              <w:top w:val="single" w:sz="4" w:space="0" w:color="1A171C"/>
              <w:left w:val="single" w:sz="4" w:space="0" w:color="1A171C"/>
              <w:bottom w:val="single" w:sz="4" w:space="0" w:color="1A171C"/>
              <w:right w:val="nil"/>
            </w:tcBorders>
            <w:vAlign w:val="center"/>
          </w:tcPr>
          <w:p w14:paraId="7FE1BB7D" w14:textId="77777777" w:rsidR="00393915" w:rsidRDefault="00F24D68">
            <w:pPr>
              <w:pStyle w:val="P68B1DB1-TableParagraph14"/>
              <w:spacing w:before="108"/>
              <w:rPr>
                <w:bCs/>
              </w:rPr>
            </w:pPr>
            <w:r>
              <w:t>Ključna funkcija</w:t>
            </w:r>
          </w:p>
          <w:p w14:paraId="7FE1BB7E" w14:textId="2B684773" w:rsidR="00393915" w:rsidRDefault="00F24D68">
            <w:pPr>
              <w:pStyle w:val="P68B1DB1-TableParagraph13"/>
              <w:spacing w:before="108"/>
            </w:pPr>
            <w:r>
              <w:t xml:space="preserve">U ovom stupcu iskazuje se smatra li se, uzimajući u obzir </w:t>
            </w:r>
            <w:r w:rsidR="00272E67">
              <w:t>rezultate</w:t>
            </w:r>
            <w:r w:rsidR="00272E67">
              <w:t xml:space="preserve"> analize </w:t>
            </w:r>
            <w:r>
              <w:t>utjecaj</w:t>
            </w:r>
            <w:r w:rsidR="00272E67">
              <w:t>a</w:t>
            </w:r>
            <w:r>
              <w:t xml:space="preserve"> i zamjenjivos</w:t>
            </w:r>
            <w:r w:rsidR="00272E67">
              <w:t>ti</w:t>
            </w:r>
            <w:r>
              <w:t xml:space="preserve"> </w:t>
            </w:r>
            <w:r>
              <w:t xml:space="preserve">provedene od strane institucije, da je </w:t>
            </w:r>
            <w:r w:rsidR="00272E67">
              <w:t>ekonomska</w:t>
            </w:r>
            <w:r w:rsidR="00272E67">
              <w:t xml:space="preserve"> </w:t>
            </w:r>
            <w:r>
              <w:t xml:space="preserve">funkcija ključna na tržištu za </w:t>
            </w:r>
            <w:r w:rsidR="00272E67">
              <w:t xml:space="preserve">relevantnu </w:t>
            </w:r>
            <w:r w:rsidR="002B4692">
              <w:t>državu</w:t>
            </w:r>
            <w:r>
              <w:t>.</w:t>
            </w:r>
          </w:p>
          <w:p w14:paraId="7FE1BB7F" w14:textId="5A89D620" w:rsidR="00393915" w:rsidRDefault="00F24D68">
            <w:pPr>
              <w:pStyle w:val="P68B1DB1-TableParagraph13"/>
              <w:spacing w:before="108"/>
            </w:pPr>
            <w:r>
              <w:t>I</w:t>
            </w:r>
            <w:r w:rsidR="002B4692">
              <w:t>zvijestiti</w:t>
            </w:r>
            <w:r>
              <w:t xml:space="preserve"> „da” ili „ne”.</w:t>
            </w:r>
          </w:p>
        </w:tc>
      </w:tr>
      <w:tr w:rsidR="00393915" w14:paraId="7FE1BB84" w14:textId="77777777">
        <w:tc>
          <w:tcPr>
            <w:tcW w:w="1080" w:type="dxa"/>
            <w:tcBorders>
              <w:top w:val="single" w:sz="4" w:space="0" w:color="1A171C"/>
              <w:left w:val="nil"/>
              <w:bottom w:val="single" w:sz="4" w:space="0" w:color="1A171C"/>
              <w:right w:val="single" w:sz="4" w:space="0" w:color="1A171C"/>
            </w:tcBorders>
            <w:vAlign w:val="center"/>
          </w:tcPr>
          <w:p w14:paraId="7FE1BB81" w14:textId="6C49AB94" w:rsidR="00393915" w:rsidRDefault="00F24D68">
            <w:pPr>
              <w:pStyle w:val="P68B1DB1-TableParagraph17"/>
              <w:spacing w:before="108"/>
              <w:jc w:val="both"/>
            </w:pPr>
            <w:r>
              <w:t>0190</w:t>
            </w:r>
          </w:p>
        </w:tc>
        <w:tc>
          <w:tcPr>
            <w:tcW w:w="8003" w:type="dxa"/>
            <w:tcBorders>
              <w:top w:val="single" w:sz="4" w:space="0" w:color="1A171C"/>
              <w:left w:val="single" w:sz="4" w:space="0" w:color="1A171C"/>
              <w:bottom w:val="single" w:sz="4" w:space="0" w:color="1A171C"/>
              <w:right w:val="nil"/>
            </w:tcBorders>
            <w:vAlign w:val="center"/>
          </w:tcPr>
          <w:p w14:paraId="7FE1BB82" w14:textId="77777777" w:rsidR="00393915" w:rsidRDefault="00F24D68">
            <w:pPr>
              <w:pStyle w:val="P68B1DB1-TableParagraph14"/>
              <w:spacing w:before="108"/>
              <w:rPr>
                <w:bCs/>
              </w:rPr>
            </w:pPr>
            <w:r>
              <w:t>Primjedbe grupe</w:t>
            </w:r>
          </w:p>
          <w:p w14:paraId="7FE1BB83" w14:textId="77777777" w:rsidR="00393915" w:rsidRDefault="00F24D68">
            <w:pPr>
              <w:pStyle w:val="P68B1DB1-TableParagraph13"/>
              <w:spacing w:before="108"/>
            </w:pPr>
            <w:r>
              <w:t>Ovo polje omogućuje izvještajnom subjektu da objasni sve pretpostavke primijenjene pri procjeni kritičnosti funkcija o kojima se izvješćuje.</w:t>
            </w:r>
          </w:p>
        </w:tc>
      </w:tr>
    </w:tbl>
    <w:p w14:paraId="7FE1BB85" w14:textId="77777777" w:rsidR="00393915" w:rsidRDefault="00393915">
      <w:pPr>
        <w:rPr>
          <w:rFonts w:ascii="Times New Roman" w:hAnsi="Times New Roman" w:cs="Times New Roman"/>
          <w:color w:val="000000" w:themeColor="text1"/>
          <w:sz w:val="20"/>
          <w:szCs w:val="20"/>
        </w:rPr>
      </w:pPr>
    </w:p>
    <w:p w14:paraId="7FE1BB86" w14:textId="144AA63D" w:rsidR="00393915" w:rsidRDefault="00F24D68">
      <w:pPr>
        <w:pStyle w:val="P68B1DB1-Instructionsberschrift25"/>
        <w:numPr>
          <w:ilvl w:val="1"/>
          <w:numId w:val="49"/>
        </w:numPr>
        <w:ind w:left="357" w:hanging="357"/>
      </w:pPr>
      <w:bookmarkStart w:id="118" w:name="_Toc208244810"/>
      <w:r>
        <w:t xml:space="preserve">Z 07.01.3 </w:t>
      </w:r>
      <w:r>
        <w:t>FUN</w:t>
      </w:r>
      <w:r w:rsidR="003F345B">
        <w:t>KCIJA</w:t>
      </w:r>
      <w:r>
        <w:t xml:space="preserve"> 1 </w:t>
      </w:r>
      <w:r>
        <w:t>PLA</w:t>
      </w:r>
      <w:bookmarkEnd w:id="118"/>
      <w:r w:rsidR="003F345B">
        <w:t>TNI PROMET</w:t>
      </w:r>
    </w:p>
    <w:tbl>
      <w:tblPr>
        <w:tblW w:w="9083" w:type="dxa"/>
        <w:tblLayout w:type="fixed"/>
        <w:tblCellMar>
          <w:top w:w="57" w:type="dxa"/>
          <w:left w:w="57" w:type="dxa"/>
          <w:bottom w:w="57" w:type="dxa"/>
          <w:right w:w="0" w:type="dxa"/>
        </w:tblCellMar>
        <w:tblLook w:val="01E0" w:firstRow="1" w:lastRow="1" w:firstColumn="1" w:lastColumn="1" w:noHBand="0" w:noVBand="0"/>
      </w:tblPr>
      <w:tblGrid>
        <w:gridCol w:w="1080"/>
        <w:gridCol w:w="8003"/>
      </w:tblGrid>
      <w:tr w:rsidR="00393915" w14:paraId="7FE1BB91" w14:textId="77777777">
        <w:trPr>
          <w:tblHeader/>
        </w:trPr>
        <w:tc>
          <w:tcPr>
            <w:tcW w:w="1080" w:type="dxa"/>
            <w:tcBorders>
              <w:top w:val="single" w:sz="4" w:space="0" w:color="1A171C"/>
              <w:left w:val="nil"/>
              <w:bottom w:val="single" w:sz="4" w:space="0" w:color="1A171C"/>
              <w:right w:val="single" w:sz="4" w:space="0" w:color="1A171C"/>
            </w:tcBorders>
            <w:shd w:val="clear" w:color="auto" w:fill="E4E5E5"/>
          </w:tcPr>
          <w:p w14:paraId="7FE1BB8F" w14:textId="77777777" w:rsidR="00393915" w:rsidRDefault="00F24D68">
            <w:pPr>
              <w:pStyle w:val="P68B1DB1-TableParagraph17"/>
              <w:spacing w:before="108"/>
              <w:ind w:left="85"/>
              <w:jc w:val="both"/>
            </w:pPr>
            <w:r>
              <w:t>Stupci</w:t>
            </w:r>
          </w:p>
        </w:tc>
        <w:tc>
          <w:tcPr>
            <w:tcW w:w="8003" w:type="dxa"/>
            <w:tcBorders>
              <w:top w:val="single" w:sz="4" w:space="0" w:color="1A171C"/>
              <w:left w:val="single" w:sz="4" w:space="0" w:color="1A171C"/>
              <w:bottom w:val="single" w:sz="4" w:space="0" w:color="1A171C"/>
              <w:right w:val="nil"/>
            </w:tcBorders>
            <w:shd w:val="clear" w:color="auto" w:fill="E4E5E5"/>
          </w:tcPr>
          <w:p w14:paraId="7FE1BB90" w14:textId="77777777" w:rsidR="00393915" w:rsidRDefault="00F24D68">
            <w:pPr>
              <w:pStyle w:val="P68B1DB1-TableParagraph17"/>
              <w:spacing w:before="108"/>
              <w:ind w:left="85" w:right="1"/>
              <w:jc w:val="both"/>
            </w:pPr>
            <w:r>
              <w:t>Upute</w:t>
            </w:r>
          </w:p>
        </w:tc>
      </w:tr>
      <w:tr w:rsidR="00393915" w14:paraId="7FE1BB95" w14:textId="77777777">
        <w:tc>
          <w:tcPr>
            <w:tcW w:w="1080" w:type="dxa"/>
            <w:tcBorders>
              <w:top w:val="single" w:sz="4" w:space="0" w:color="1A171C"/>
              <w:left w:val="nil"/>
              <w:bottom w:val="single" w:sz="4" w:space="0" w:color="1A171C"/>
              <w:right w:val="single" w:sz="4" w:space="0" w:color="1A171C"/>
            </w:tcBorders>
            <w:vAlign w:val="center"/>
          </w:tcPr>
          <w:p w14:paraId="7FE1BB92" w14:textId="77777777" w:rsidR="00393915" w:rsidRDefault="00F24D68">
            <w:pPr>
              <w:pStyle w:val="P68B1DB1-TableParagraph17"/>
              <w:spacing w:before="108"/>
              <w:ind w:left="85"/>
              <w:jc w:val="both"/>
            </w:pPr>
            <w:r>
              <w:t>0010</w:t>
            </w:r>
          </w:p>
        </w:tc>
        <w:tc>
          <w:tcPr>
            <w:tcW w:w="8003" w:type="dxa"/>
            <w:tcBorders>
              <w:top w:val="single" w:sz="4" w:space="0" w:color="1A171C"/>
              <w:left w:val="single" w:sz="4" w:space="0" w:color="1A171C"/>
              <w:bottom w:val="single" w:sz="4" w:space="0" w:color="1A171C"/>
              <w:right w:val="nil"/>
            </w:tcBorders>
            <w:vAlign w:val="center"/>
          </w:tcPr>
          <w:p w14:paraId="7FE1BB93" w14:textId="6C77F42F" w:rsidR="00393915" w:rsidRDefault="00F24D68">
            <w:pPr>
              <w:pStyle w:val="P68B1DB1-TableParagraph14"/>
              <w:spacing w:before="108"/>
              <w:ind w:left="85"/>
              <w:jc w:val="both"/>
              <w:rPr>
                <w:bCs/>
              </w:rPr>
            </w:pPr>
            <w:r>
              <w:t xml:space="preserve">Opis </w:t>
            </w:r>
            <w:r w:rsidR="003F345B">
              <w:t>ekonomske</w:t>
            </w:r>
            <w:r w:rsidR="003F345B">
              <w:t xml:space="preserve"> </w:t>
            </w:r>
            <w:r>
              <w:t>funkcije</w:t>
            </w:r>
          </w:p>
          <w:p w14:paraId="7FE1BB94" w14:textId="2CC4D19D" w:rsidR="00393915" w:rsidRDefault="00F24D68">
            <w:pPr>
              <w:pStyle w:val="TableParagraph"/>
              <w:spacing w:before="108"/>
              <w:ind w:left="85"/>
              <w:rPr>
                <w:rFonts w:ascii="Times New Roman" w:eastAsia="Cambria" w:hAnsi="Times New Roman" w:cs="Times New Roman"/>
                <w:color w:val="000000" w:themeColor="text1"/>
                <w:sz w:val="20"/>
                <w:szCs w:val="20"/>
              </w:rPr>
            </w:pPr>
            <w:r>
              <w:rPr>
                <w:rFonts w:ascii="Times New Roman" w:eastAsia="Cambria" w:hAnsi="Times New Roman" w:cs="Times New Roman"/>
                <w:color w:val="000000" w:themeColor="text1"/>
                <w:sz w:val="20"/>
                <w:szCs w:val="20"/>
              </w:rPr>
              <w:t>Ako je ekonomska funkcija vrste „Ostalo” (Z</w:t>
            </w:r>
            <w:r>
              <w:t xml:space="preserve">07.01.3 </w:t>
            </w:r>
            <w:r>
              <w:t>FUN</w:t>
            </w:r>
            <w:r w:rsidR="003F345B">
              <w:t>KCIJA</w:t>
            </w:r>
            <w:r>
              <w:t xml:space="preserve"> 1 </w:t>
            </w:r>
            <w:r w:rsidR="003F345B">
              <w:t>PLATNI PROMET</w:t>
            </w:r>
            <w:r w:rsidR="003F345B">
              <w:t xml:space="preserve"> </w:t>
            </w:r>
            <w:r>
              <w:t>r0220 do r0240)</w:t>
            </w:r>
            <w:r>
              <w:rPr>
                <w:rFonts w:ascii="Times New Roman" w:eastAsia="Cambria" w:hAnsi="Times New Roman" w:cs="Times New Roman"/>
                <w:color w:val="000000" w:themeColor="text1"/>
                <w:sz w:val="20"/>
                <w:szCs w:val="20"/>
              </w:rPr>
              <w:t xml:space="preserve">, navodi se opis te funkcije. </w:t>
            </w:r>
          </w:p>
        </w:tc>
      </w:tr>
      <w:tr w:rsidR="00393915" w14:paraId="7FE1BB99" w14:textId="77777777">
        <w:tc>
          <w:tcPr>
            <w:tcW w:w="1080" w:type="dxa"/>
            <w:tcBorders>
              <w:top w:val="single" w:sz="4" w:space="0" w:color="1A171C"/>
              <w:left w:val="nil"/>
              <w:bottom w:val="single" w:sz="4" w:space="0" w:color="1A171C"/>
              <w:right w:val="single" w:sz="4" w:space="0" w:color="1A171C"/>
            </w:tcBorders>
            <w:vAlign w:val="center"/>
          </w:tcPr>
          <w:p w14:paraId="7FE1BB96" w14:textId="77777777" w:rsidR="00393915" w:rsidRDefault="00F24D68">
            <w:pPr>
              <w:pStyle w:val="P68B1DB1-TableParagraph17"/>
              <w:spacing w:before="108"/>
              <w:ind w:left="85"/>
              <w:jc w:val="both"/>
            </w:pPr>
            <w:r>
              <w:t>0020</w:t>
            </w:r>
          </w:p>
        </w:tc>
        <w:tc>
          <w:tcPr>
            <w:tcW w:w="8003" w:type="dxa"/>
            <w:tcBorders>
              <w:top w:val="single" w:sz="4" w:space="0" w:color="1A171C"/>
              <w:left w:val="single" w:sz="4" w:space="0" w:color="1A171C"/>
              <w:bottom w:val="single" w:sz="4" w:space="0" w:color="1A171C"/>
              <w:right w:val="nil"/>
            </w:tcBorders>
            <w:vAlign w:val="center"/>
          </w:tcPr>
          <w:p w14:paraId="7FE1BB97" w14:textId="77777777" w:rsidR="00393915" w:rsidRDefault="00F24D68">
            <w:pPr>
              <w:pStyle w:val="P68B1DB1-TableParagraph14"/>
              <w:spacing w:before="108"/>
              <w:ind w:left="85"/>
              <w:jc w:val="both"/>
              <w:rPr>
                <w:bCs/>
              </w:rPr>
            </w:pPr>
            <w:r>
              <w:t xml:space="preserve">Tržišni udio </w:t>
            </w:r>
          </w:p>
          <w:p w14:paraId="7FE1BB98" w14:textId="15AA3706" w:rsidR="00393915" w:rsidRDefault="00F24D68">
            <w:pPr>
              <w:pStyle w:val="P68B1DB1-TableParagraph17"/>
              <w:spacing w:before="108"/>
              <w:ind w:left="85"/>
            </w:pPr>
            <w:r>
              <w:t xml:space="preserve">Procjena tržišnog udjela institucije ili grupe za predmetnu gospodarsku funkciju u odgovarajućoj zemlji ili geografskoj regiji. Postotak ukupnog tržišta u </w:t>
            </w:r>
            <w:r w:rsidR="002F645A">
              <w:t xml:space="preserve">odnosu na </w:t>
            </w:r>
            <w:r w:rsidR="00E462E1" w:rsidRPr="00F15538">
              <w:t>monetarn</w:t>
            </w:r>
            <w:r w:rsidR="002F645A">
              <w:t>i</w:t>
            </w:r>
            <w:r>
              <w:t xml:space="preserve"> iznos.</w:t>
            </w:r>
            <w:r>
              <w:t xml:space="preserve"> To odgovara vrijednosti transakcija za platne usluge monetarnim financijskim institucijama i nemonetarnim financijskim institucijama, vrijednosti otvorenih pozicija za usluge poravnanja središnje druge ugovorne strane i vrijednosti imovine pod skrbništvom za usluge skrbništva.</w:t>
            </w:r>
          </w:p>
        </w:tc>
      </w:tr>
      <w:tr w:rsidR="00393915" w14:paraId="7FE1BBA5" w14:textId="77777777">
        <w:tc>
          <w:tcPr>
            <w:tcW w:w="1080" w:type="dxa"/>
            <w:tcBorders>
              <w:top w:val="single" w:sz="4" w:space="0" w:color="1A171C"/>
              <w:left w:val="nil"/>
              <w:bottom w:val="single" w:sz="4" w:space="0" w:color="1A171C"/>
              <w:right w:val="single" w:sz="4" w:space="0" w:color="1A171C"/>
            </w:tcBorders>
            <w:vAlign w:val="center"/>
          </w:tcPr>
          <w:p w14:paraId="7FE1BB9A" w14:textId="77777777" w:rsidR="00393915" w:rsidRDefault="00F24D68">
            <w:pPr>
              <w:pStyle w:val="P68B1DB1-TableParagraph17"/>
              <w:spacing w:before="108"/>
              <w:ind w:left="85"/>
              <w:jc w:val="both"/>
            </w:pPr>
            <w:r>
              <w:t>0030</w:t>
            </w:r>
          </w:p>
        </w:tc>
        <w:tc>
          <w:tcPr>
            <w:tcW w:w="8003" w:type="dxa"/>
            <w:tcBorders>
              <w:top w:val="single" w:sz="4" w:space="0" w:color="1A171C"/>
              <w:left w:val="single" w:sz="4" w:space="0" w:color="1A171C"/>
              <w:bottom w:val="single" w:sz="4" w:space="0" w:color="1A171C"/>
              <w:right w:val="nil"/>
            </w:tcBorders>
            <w:vAlign w:val="center"/>
          </w:tcPr>
          <w:p w14:paraId="7FE1BB9B" w14:textId="77777777" w:rsidR="00393915" w:rsidRDefault="00F24D68">
            <w:pPr>
              <w:pStyle w:val="P68B1DB1-TableParagraph14"/>
              <w:spacing w:before="108"/>
              <w:rPr>
                <w:bCs/>
              </w:rPr>
            </w:pPr>
            <w:r>
              <w:t>Vrijednost transakcija</w:t>
            </w:r>
          </w:p>
          <w:p w14:paraId="7FE1BB9C" w14:textId="77777777" w:rsidR="00393915" w:rsidRDefault="00F24D68">
            <w:pPr>
              <w:pStyle w:val="P68B1DB1-TableParagraph17"/>
              <w:spacing w:before="108"/>
            </w:pPr>
            <w:r>
              <w:t>Kao opće pravilo, iskazuje se prosjek dnevnih transakcija tijekom godine. Ako on nije dostupan, može se iskazati prosjek tijekom kraćeg razdoblja (npr. nekoliko mjeseci).</w:t>
            </w:r>
          </w:p>
          <w:p w14:paraId="7FE1BB9D" w14:textId="32F9B039" w:rsidR="00393915" w:rsidRDefault="00F24D68">
            <w:pPr>
              <w:pStyle w:val="TableParagraph"/>
              <w:spacing w:before="108"/>
              <w:rPr>
                <w:rFonts w:ascii="Times New Roman" w:eastAsia="Cambria" w:hAnsi="Times New Roman" w:cs="Times New Roman"/>
                <w:color w:val="000000" w:themeColor="text1"/>
                <w:sz w:val="20"/>
                <w:szCs w:val="20"/>
              </w:rPr>
            </w:pPr>
            <w:r>
              <w:rPr>
                <w:rFonts w:ascii="Times New Roman" w:eastAsia="Cambria" w:hAnsi="Times New Roman" w:cs="Times New Roman"/>
                <w:color w:val="000000" w:themeColor="text1"/>
                <w:sz w:val="20"/>
                <w:szCs w:val="20"/>
              </w:rPr>
              <w:t>Platne usluge (funkcija ID 3.1 i 3.2.): Vrijednost poslanih transakcija.</w:t>
            </w:r>
            <w:r>
              <w:t xml:space="preserve"> </w:t>
            </w:r>
            <w:r>
              <w:rPr>
                <w:rFonts w:ascii="Times New Roman" w:eastAsia="Cambria" w:hAnsi="Times New Roman" w:cs="Times New Roman"/>
                <w:color w:val="000000" w:themeColor="text1"/>
                <w:sz w:val="20"/>
                <w:szCs w:val="20"/>
              </w:rPr>
              <w:t>Reference: Članak 4. stavak 5. Direktive (EU) 2015/2366 o platnim uslugama na unutarnjem tržištu; Uredba (EU) 2020/2011 Europske središnje banke o izmjeni Uredbe (EU) br. 1409/2013 o statistici platnog prometa (ESB/2020/59)</w:t>
            </w:r>
          </w:p>
          <w:p w14:paraId="7FE1BB9F" w14:textId="09A0D6EB" w:rsidR="00393915" w:rsidRPr="00F15538" w:rsidRDefault="00F24D68" w:rsidP="00F15538">
            <w:pPr>
              <w:pStyle w:val="P68B1DB1-TableParagraph41"/>
              <w:spacing w:before="108"/>
              <w:rPr>
                <w:rFonts w:ascii="Times New Roman" w:hAnsi="Times New Roman"/>
                <w:color w:val="000000" w:themeColor="text1"/>
              </w:rPr>
            </w:pPr>
            <w:r>
              <w:t xml:space="preserve">Gotovinske usluge (funkcija ID 3.3): Vrijednost transakcija </w:t>
            </w:r>
            <w:r w:rsidR="002F645A">
              <w:t xml:space="preserve">na </w:t>
            </w:r>
            <w:r>
              <w:t xml:space="preserve">bankomatima </w:t>
            </w:r>
            <w:r w:rsidR="002F645A">
              <w:t xml:space="preserve">izvještajne </w:t>
            </w:r>
            <w:r>
              <w:t>institucij</w:t>
            </w:r>
            <w:r w:rsidR="002F645A">
              <w:t>e</w:t>
            </w:r>
            <w:r w:rsidRPr="00F15538">
              <w:rPr>
                <w:rFonts w:ascii="Times New Roman" w:hAnsi="Times New Roman"/>
                <w:color w:val="000000" w:themeColor="text1"/>
              </w:rPr>
              <w:t>, kako je definirana u Uredbi (EU) br. 1409/2013 Europske središnje banke o statistici platnog prometa</w:t>
            </w:r>
            <w:r w:rsidRPr="00F15538">
              <w:rPr>
                <w:rFonts w:ascii="Times New Roman" w:hAnsi="Times New Roman"/>
                <w:b/>
              </w:rPr>
              <w:t xml:space="preserve"> </w:t>
            </w:r>
            <w:r w:rsidRPr="00F15538">
              <w:rPr>
                <w:rFonts w:ascii="Times New Roman" w:hAnsi="Times New Roman"/>
                <w:color w:val="000000" w:themeColor="text1"/>
              </w:rPr>
              <w:t xml:space="preserve"> (ESB/2013/43), tablica 5.a, kao i </w:t>
            </w:r>
            <w:r w:rsidR="002F645A">
              <w:t xml:space="preserve">podizanje </w:t>
            </w:r>
            <w:r>
              <w:t>gotovin</w:t>
            </w:r>
            <w:r w:rsidR="002F645A">
              <w:t xml:space="preserve">e u poslovnicama </w:t>
            </w:r>
          </w:p>
          <w:p w14:paraId="7FE1BBA0" w14:textId="1143AB3D" w:rsidR="00393915" w:rsidRDefault="00F24D68">
            <w:pPr>
              <w:pStyle w:val="TableParagraph"/>
              <w:spacing w:before="108"/>
              <w:rPr>
                <w:rFonts w:ascii="Times New Roman" w:eastAsia="Cambria" w:hAnsi="Times New Roman" w:cs="Times New Roman"/>
                <w:color w:val="000000" w:themeColor="text1"/>
                <w:sz w:val="20"/>
                <w:szCs w:val="20"/>
              </w:rPr>
            </w:pPr>
            <w:r>
              <w:rPr>
                <w:rFonts w:ascii="Times New Roman" w:eastAsia="Cambria" w:hAnsi="Times New Roman" w:cs="Times New Roman"/>
                <w:color w:val="000000" w:themeColor="text1"/>
                <w:sz w:val="20"/>
                <w:szCs w:val="20"/>
              </w:rPr>
              <w:lastRenderedPageBreak/>
              <w:t xml:space="preserve">izvještajnog subjekta, kako je definirano u </w:t>
            </w:r>
            <w:r w:rsidRPr="00F83F66">
              <w:rPr>
                <w:rFonts w:ascii="Times New Roman" w:hAnsi="Times New Roman"/>
                <w:color w:val="000000" w:themeColor="text1"/>
                <w:sz w:val="20"/>
                <w:highlight w:val="yellow"/>
              </w:rPr>
              <w:t>tablici ESB/2014/15</w:t>
            </w:r>
            <w:r>
              <w:rPr>
                <w:rStyle w:val="FootnoteReference"/>
                <w:rFonts w:eastAsia="Cambria" w:cs="Times New Roman"/>
                <w:color w:val="000000" w:themeColor="text1"/>
              </w:rPr>
              <w:footnoteReference w:id="21"/>
            </w:r>
            <w:r>
              <w:rPr>
                <w:rFonts w:ascii="Times New Roman" w:eastAsia="Cambria" w:hAnsi="Times New Roman" w:cs="Times New Roman"/>
                <w:color w:val="000000" w:themeColor="text1"/>
                <w:sz w:val="20"/>
                <w:szCs w:val="20"/>
              </w:rPr>
              <w:t xml:space="preserve"> </w:t>
            </w:r>
            <w:r w:rsidR="005B5B5C">
              <w:rPr>
                <w:rFonts w:ascii="Times New Roman" w:eastAsia="Cambria" w:hAnsi="Times New Roman" w:cs="Times New Roman"/>
                <w:color w:val="000000" w:themeColor="text1"/>
                <w:sz w:val="20"/>
                <w:szCs w:val="20"/>
              </w:rPr>
              <w:t>.</w:t>
            </w:r>
          </w:p>
          <w:p w14:paraId="7FE1BBA1" w14:textId="48479DEC" w:rsidR="00393915" w:rsidRDefault="00F24D68">
            <w:pPr>
              <w:pStyle w:val="P68B1DB1-TableParagraph17"/>
              <w:spacing w:before="108"/>
            </w:pPr>
            <w:r>
              <w:t>Usluge namire vrijednosnih papira (</w:t>
            </w:r>
            <w:r>
              <w:t>fun</w:t>
            </w:r>
            <w:r w:rsidR="00A41AF0">
              <w:t>kcija</w:t>
            </w:r>
            <w:r>
              <w:t xml:space="preserve"> ID 3.4): Vrijednost prijenosa vrijednosnih papira</w:t>
            </w:r>
            <w:r w:rsidR="00A41AF0">
              <w:t xml:space="preserve"> obrađenih</w:t>
            </w:r>
          </w:p>
          <w:p w14:paraId="7FE1BBA2" w14:textId="7E823AE0" w:rsidR="00393915" w:rsidRDefault="00F24D68">
            <w:pPr>
              <w:pStyle w:val="P68B1DB1-TableParagraph17"/>
              <w:spacing w:before="108"/>
            </w:pPr>
            <w:r>
              <w:t xml:space="preserve">u ime klijenata To uključuje transakcije namirene </w:t>
            </w:r>
            <w:r w:rsidR="00DF1893">
              <w:t xml:space="preserve">u sustavu </w:t>
            </w:r>
            <w:r>
              <w:t>nami</w:t>
            </w:r>
            <w:r w:rsidR="00DF1893">
              <w:t>re</w:t>
            </w:r>
            <w:r>
              <w:t xml:space="preserve"> vrijednosnih papira</w:t>
            </w:r>
          </w:p>
          <w:p w14:paraId="3941D037" w14:textId="0E7A699B" w:rsidR="00DF1893" w:rsidRDefault="00F24D68">
            <w:pPr>
              <w:pStyle w:val="P68B1DB1-TableParagraph17"/>
              <w:spacing w:before="108"/>
            </w:pPr>
            <w:r>
              <w:t xml:space="preserve">ili </w:t>
            </w:r>
            <w:r w:rsidR="00DF1893">
              <w:t xml:space="preserve">koje je namirio </w:t>
            </w:r>
            <w:r>
              <w:t>interno</w:t>
            </w:r>
            <w:r w:rsidR="00DF1893">
              <w:t xml:space="preserve"> </w:t>
            </w:r>
            <w:r>
              <w:t>izvještajn</w:t>
            </w:r>
            <w:r w:rsidR="00DF1893">
              <w:t>i</w:t>
            </w:r>
            <w:r>
              <w:t xml:space="preserve"> subjekt</w:t>
            </w:r>
            <w:r>
              <w:t xml:space="preserve"> </w:t>
            </w:r>
            <w:r>
              <w:t>i</w:t>
            </w:r>
            <w:r w:rsidR="00DF1893">
              <w:t xml:space="preserve"> </w:t>
            </w:r>
            <w:r w:rsidR="00DF1893">
              <w:t>transakcije</w:t>
            </w:r>
            <w:r>
              <w:t xml:space="preserve"> „</w:t>
            </w:r>
            <w:r w:rsidR="00DF1893">
              <w:t xml:space="preserve">bez </w:t>
            </w:r>
            <w:r>
              <w:t>plaćanj</w:t>
            </w:r>
            <w:r w:rsidR="00DF1893">
              <w:t>a</w:t>
            </w:r>
            <w:r>
              <w:t>”</w:t>
            </w:r>
            <w:r w:rsidR="00DF1893">
              <w:t>.</w:t>
            </w:r>
          </w:p>
          <w:p w14:paraId="7FE1BBA4" w14:textId="329BD27A" w:rsidR="00393915" w:rsidRDefault="00F24D68">
            <w:pPr>
              <w:pStyle w:val="P68B1DB1-TableParagraph17"/>
              <w:spacing w:before="108"/>
            </w:pPr>
            <w:r>
              <w:t>Navesti samo vrijednost poslanih transakcija.</w:t>
            </w:r>
          </w:p>
        </w:tc>
      </w:tr>
      <w:tr w:rsidR="00393915" w14:paraId="7FE1BBA9" w14:textId="77777777">
        <w:tc>
          <w:tcPr>
            <w:tcW w:w="1080" w:type="dxa"/>
            <w:tcBorders>
              <w:top w:val="single" w:sz="4" w:space="0" w:color="1A171C"/>
              <w:left w:val="nil"/>
              <w:bottom w:val="single" w:sz="4" w:space="0" w:color="1A171C"/>
              <w:right w:val="single" w:sz="4" w:space="0" w:color="1A171C"/>
            </w:tcBorders>
            <w:vAlign w:val="center"/>
          </w:tcPr>
          <w:p w14:paraId="7FE1BBA6" w14:textId="77777777" w:rsidR="00393915" w:rsidRDefault="00F24D68">
            <w:pPr>
              <w:pStyle w:val="P68B1DB1-TableParagraph17"/>
              <w:spacing w:before="108"/>
              <w:ind w:left="85"/>
              <w:jc w:val="both"/>
            </w:pPr>
            <w:r>
              <w:lastRenderedPageBreak/>
              <w:t>0040</w:t>
            </w:r>
          </w:p>
        </w:tc>
        <w:tc>
          <w:tcPr>
            <w:tcW w:w="8003" w:type="dxa"/>
            <w:tcBorders>
              <w:top w:val="single" w:sz="4" w:space="0" w:color="1A171C"/>
              <w:left w:val="single" w:sz="4" w:space="0" w:color="1A171C"/>
              <w:bottom w:val="single" w:sz="4" w:space="0" w:color="1A171C"/>
              <w:right w:val="nil"/>
            </w:tcBorders>
            <w:vAlign w:val="center"/>
          </w:tcPr>
          <w:p w14:paraId="7FE1BBA7" w14:textId="09320620" w:rsidR="00393915" w:rsidRDefault="00F24D68">
            <w:pPr>
              <w:pStyle w:val="P68B1DB1-TableParagraph14"/>
              <w:spacing w:before="108"/>
              <w:rPr>
                <w:bCs/>
              </w:rPr>
            </w:pPr>
            <w:r>
              <w:t xml:space="preserve">Vrijednost transakcija </w:t>
            </w:r>
            <w:r w:rsidR="00B01C19">
              <w:t>na stalnim računima</w:t>
            </w:r>
          </w:p>
          <w:p w14:paraId="7FE1BBA8" w14:textId="2A7ECA2B" w:rsidR="00393915" w:rsidRDefault="00F24D68">
            <w:pPr>
              <w:pStyle w:val="P68B1DB1-TableParagraph17"/>
              <w:spacing w:before="108"/>
            </w:pPr>
            <w:r>
              <w:t xml:space="preserve">Vrijednost transakcija iskazanih u (c0030) koje se obavljaju s računa za usluge </w:t>
            </w:r>
            <w:r w:rsidR="007A0505">
              <w:t>stalnog</w:t>
            </w:r>
            <w:r w:rsidR="007A0505">
              <w:t xml:space="preserve"> </w:t>
            </w:r>
            <w:r>
              <w:t xml:space="preserve">platnog prometa.  Računi za usluge </w:t>
            </w:r>
            <w:r w:rsidR="007A0505">
              <w:t>stalnog</w:t>
            </w:r>
            <w:r w:rsidR="007A0505">
              <w:t xml:space="preserve"> </w:t>
            </w:r>
            <w:r>
              <w:t>plaćanja računi su za usluge platnog prometa na kojima je račun terećen ili uplaćen u korist najmanje pet mjesečnih transakcija u prosjeku tijekom šest mjeseci prije krajnjeg roka, osim godišnjih naknada, drugih naknada i plaćanja kamata povezanih s računom.</w:t>
            </w:r>
            <w:r>
              <w:tab/>
            </w:r>
            <w:r>
              <w:tab/>
            </w:r>
            <w:r>
              <w:tab/>
            </w:r>
            <w:r>
              <w:tab/>
            </w:r>
            <w:r>
              <w:tab/>
            </w:r>
            <w:r>
              <w:tab/>
            </w:r>
            <w:r>
              <w:tab/>
            </w:r>
            <w:r>
              <w:tab/>
            </w:r>
          </w:p>
        </w:tc>
      </w:tr>
      <w:tr w:rsidR="00393915" w14:paraId="7FE1BBB1" w14:textId="77777777">
        <w:tc>
          <w:tcPr>
            <w:tcW w:w="1080" w:type="dxa"/>
            <w:tcBorders>
              <w:top w:val="single" w:sz="4" w:space="0" w:color="1A171C"/>
              <w:left w:val="nil"/>
              <w:bottom w:val="single" w:sz="4" w:space="0" w:color="1A171C"/>
              <w:right w:val="single" w:sz="4" w:space="0" w:color="1A171C"/>
            </w:tcBorders>
            <w:vAlign w:val="center"/>
          </w:tcPr>
          <w:p w14:paraId="7FE1BBAA" w14:textId="77777777" w:rsidR="00393915" w:rsidRDefault="00F24D68">
            <w:pPr>
              <w:pStyle w:val="P68B1DB1-TableParagraph17"/>
              <w:spacing w:before="108"/>
              <w:ind w:left="85"/>
              <w:jc w:val="both"/>
            </w:pPr>
            <w:r>
              <w:t>0050</w:t>
            </w:r>
          </w:p>
        </w:tc>
        <w:tc>
          <w:tcPr>
            <w:tcW w:w="8003" w:type="dxa"/>
            <w:tcBorders>
              <w:top w:val="single" w:sz="4" w:space="0" w:color="1A171C"/>
              <w:left w:val="single" w:sz="4" w:space="0" w:color="1A171C"/>
              <w:bottom w:val="single" w:sz="4" w:space="0" w:color="1A171C"/>
              <w:right w:val="nil"/>
            </w:tcBorders>
            <w:vAlign w:val="center"/>
          </w:tcPr>
          <w:p w14:paraId="7FE1BBAB" w14:textId="77777777" w:rsidR="00393915" w:rsidRDefault="00F24D68">
            <w:pPr>
              <w:pStyle w:val="P68B1DB1-Normal42"/>
              <w:rPr>
                <w:bCs/>
              </w:rPr>
            </w:pPr>
            <w:r>
              <w:t>Vrijednost otvorenih pozicija</w:t>
            </w:r>
          </w:p>
          <w:p w14:paraId="7FE1BBAD" w14:textId="170176C3" w:rsidR="00393915" w:rsidRDefault="00F24D68">
            <w:pPr>
              <w:pStyle w:val="P68B1DB1-TableParagraph17"/>
              <w:spacing w:before="108"/>
              <w:jc w:val="both"/>
            </w:pPr>
            <w:r>
              <w:t xml:space="preserve">Iskazuje se samo za identifikacijsku oznaku funkcije 3.5. „Usluge poravnanja </w:t>
            </w:r>
            <w:r w:rsidR="00BB340A">
              <w:t>r</w:t>
            </w:r>
            <w:r>
              <w:t>redišnjih</w:t>
            </w:r>
            <w:r>
              <w:t xml:space="preserve"> drugih ugovornih strana</w:t>
            </w:r>
            <w:r w:rsidR="006D0C1E">
              <w:t xml:space="preserve"> (CCP-a)</w:t>
            </w:r>
            <w:r>
              <w:t>”:</w:t>
            </w:r>
            <w:r>
              <w:t xml:space="preserve"> pozicije (izloženost)</w:t>
            </w:r>
            <w:r w:rsidR="00BB340A">
              <w:t xml:space="preserve"> s</w:t>
            </w:r>
            <w:r>
              <w:t>redišnje</w:t>
            </w:r>
            <w:r>
              <w:t xml:space="preserve"> druge ugovorne strane </w:t>
            </w:r>
            <w:r w:rsidR="006D0C1E">
              <w:t xml:space="preserve">(CCP) </w:t>
            </w:r>
            <w:r>
              <w:t>čiji je institucija član s institucijom u ime</w:t>
            </w:r>
            <w:r w:rsidR="00CD4397">
              <w:t xml:space="preserve"> njezinih</w:t>
            </w:r>
          </w:p>
          <w:p w14:paraId="7FE1BBAE" w14:textId="2614DF9C" w:rsidR="00393915" w:rsidRDefault="00F24D68">
            <w:pPr>
              <w:pStyle w:val="P68B1DB1-TableParagraph17"/>
              <w:spacing w:before="108"/>
              <w:jc w:val="both"/>
            </w:pPr>
            <w:r>
              <w:t>klijen</w:t>
            </w:r>
            <w:r w:rsidR="00CD4397">
              <w:t>ata</w:t>
            </w:r>
            <w:r>
              <w:t xml:space="preserve">. </w:t>
            </w:r>
            <w:r w:rsidR="006D0C1E">
              <w:t>Izvijestiti</w:t>
            </w:r>
            <w:r w:rsidR="006D0C1E">
              <w:t xml:space="preserve"> </w:t>
            </w:r>
            <w:r>
              <w:t xml:space="preserve">prosječnu dnevnu vrijednost otvorenih pozicija koje se odnose na aktivnost </w:t>
            </w:r>
            <w:r>
              <w:t>klijenta</w:t>
            </w:r>
            <w:r>
              <w:t xml:space="preserve"> u </w:t>
            </w:r>
            <w:r w:rsidR="00BB340A">
              <w:t>s</w:t>
            </w:r>
            <w:r>
              <w:t>redišnjim</w:t>
            </w:r>
            <w:r>
              <w:t xml:space="preserve"> drugim ugovornim stranama</w:t>
            </w:r>
            <w:r w:rsidR="00F77763">
              <w:t xml:space="preserve"> (CCP</w:t>
            </w:r>
            <w:r w:rsidR="00557F3B">
              <w:t>-u</w:t>
            </w:r>
            <w:r w:rsidR="00F77763">
              <w:t>)</w:t>
            </w:r>
            <w:r>
              <w:t>.</w:t>
            </w:r>
          </w:p>
          <w:p w14:paraId="7FE1BBAF" w14:textId="09D339B1" w:rsidR="00393915" w:rsidRDefault="00F24D68">
            <w:pPr>
              <w:pStyle w:val="P68B1DB1-TableParagraph17"/>
              <w:spacing w:before="108"/>
              <w:jc w:val="both"/>
            </w:pPr>
            <w:r>
              <w:t>Ako ona nije dostupna, mogu se iskazati prosjeci tijekom kraćeg razdoblja (npr. nekoliko mjeseci),</w:t>
            </w:r>
          </w:p>
          <w:p w14:paraId="7FE1BBB0" w14:textId="075902DC" w:rsidR="00393915" w:rsidRDefault="00F24D68">
            <w:pPr>
              <w:pStyle w:val="P68B1DB1-TableParagraph17"/>
              <w:spacing w:before="108"/>
              <w:jc w:val="both"/>
            </w:pPr>
            <w:r>
              <w:t xml:space="preserve">ili </w:t>
            </w:r>
            <w:r>
              <w:t>otvoren</w:t>
            </w:r>
            <w:r w:rsidR="00557F3B">
              <w:t>e pozicije</w:t>
            </w:r>
            <w:r>
              <w:t xml:space="preserve"> na kraju godine.</w:t>
            </w:r>
          </w:p>
        </w:tc>
      </w:tr>
      <w:tr w:rsidR="00393915" w14:paraId="7FE1BBBA" w14:textId="77777777">
        <w:tc>
          <w:tcPr>
            <w:tcW w:w="1080" w:type="dxa"/>
            <w:tcBorders>
              <w:top w:val="single" w:sz="4" w:space="0" w:color="1A171C"/>
              <w:left w:val="nil"/>
              <w:bottom w:val="single" w:sz="4" w:space="0" w:color="1A171C"/>
              <w:right w:val="single" w:sz="4" w:space="0" w:color="1A171C"/>
            </w:tcBorders>
            <w:vAlign w:val="center"/>
          </w:tcPr>
          <w:p w14:paraId="7FE1BBB2" w14:textId="77777777" w:rsidR="00393915" w:rsidRDefault="00F24D68">
            <w:pPr>
              <w:pStyle w:val="P68B1DB1-TableParagraph17"/>
              <w:spacing w:before="108"/>
              <w:jc w:val="both"/>
            </w:pPr>
            <w:r>
              <w:t>0060</w:t>
            </w:r>
          </w:p>
        </w:tc>
        <w:tc>
          <w:tcPr>
            <w:tcW w:w="8003" w:type="dxa"/>
            <w:tcBorders>
              <w:top w:val="single" w:sz="4" w:space="0" w:color="1A171C"/>
              <w:left w:val="single" w:sz="4" w:space="0" w:color="1A171C"/>
              <w:bottom w:val="single" w:sz="4" w:space="0" w:color="1A171C"/>
              <w:right w:val="nil"/>
            </w:tcBorders>
            <w:vAlign w:val="center"/>
          </w:tcPr>
          <w:p w14:paraId="7FE1BBB3" w14:textId="77777777" w:rsidR="00393915" w:rsidRDefault="00F24D68">
            <w:pPr>
              <w:pStyle w:val="P68B1DB1-Normal42"/>
              <w:rPr>
                <w:bCs/>
              </w:rPr>
            </w:pPr>
            <w:r>
              <w:t>Vrijednost imovine pod skrbništvom</w:t>
            </w:r>
          </w:p>
          <w:p w14:paraId="7FE1BBB4" w14:textId="7CCF774D" w:rsidR="00393915" w:rsidRDefault="00F24D68">
            <w:pPr>
              <w:pStyle w:val="P68B1DB1-TableParagraph13"/>
              <w:spacing w:before="108"/>
              <w:jc w:val="both"/>
            </w:pPr>
            <w:r>
              <w:t>Samo za funkciju ID 3.6 „</w:t>
            </w:r>
            <w:r w:rsidR="0069548E">
              <w:t>Usluge skrbništva</w:t>
            </w:r>
            <w:r>
              <w:t xml:space="preserve">”: iznos </w:t>
            </w:r>
            <w:r w:rsidR="0069548E">
              <w:t>vrijednosti</w:t>
            </w:r>
            <w:r>
              <w:t xml:space="preserve"> </w:t>
            </w:r>
            <w:r>
              <w:t>imovine pod skrbništvom,</w:t>
            </w:r>
          </w:p>
          <w:p w14:paraId="7FE1BBB5" w14:textId="77777777" w:rsidR="00393915" w:rsidRDefault="00F24D68">
            <w:pPr>
              <w:pStyle w:val="P68B1DB1-TableParagraph13"/>
              <w:spacing w:before="108"/>
              <w:jc w:val="both"/>
            </w:pPr>
            <w:r>
              <w:t>primjenom fer vrijednosti. Mogu se koristiti druge osnove mjerenja, uključujući nominalnu vrijednost, ako fer vrijednost nije dostupna.</w:t>
            </w:r>
          </w:p>
          <w:p w14:paraId="7FE1BBB6" w14:textId="3E20CCD1" w:rsidR="00393915" w:rsidRDefault="00F24D68">
            <w:pPr>
              <w:pStyle w:val="P68B1DB1-TableParagraph13"/>
              <w:spacing w:before="108"/>
              <w:jc w:val="both"/>
            </w:pPr>
            <w:r>
              <w:t>U slučajevima kada institucija pruža usluge subjektima</w:t>
            </w:r>
          </w:p>
          <w:p w14:paraId="7FE1BBB7" w14:textId="77777777" w:rsidR="00393915" w:rsidRDefault="00F24D68">
            <w:pPr>
              <w:pStyle w:val="P68B1DB1-TableParagraph13"/>
              <w:spacing w:before="108"/>
              <w:jc w:val="both"/>
            </w:pPr>
            <w:r>
              <w:t>kao što su subjekti za zajednička ulaganja ili mirovinski fondovi, predmetna imovina može</w:t>
            </w:r>
          </w:p>
          <w:p w14:paraId="7FE1BBB8" w14:textId="77777777" w:rsidR="00393915" w:rsidRDefault="00F24D68">
            <w:pPr>
              <w:pStyle w:val="P68B1DB1-TableParagraph13"/>
              <w:spacing w:before="108"/>
              <w:jc w:val="both"/>
            </w:pPr>
            <w:r>
              <w:t>iskazuju se po vrijednosti po kojoj ti subjekti iskazuju imovinu u vlastitoj bilanci.</w:t>
            </w:r>
          </w:p>
          <w:p w14:paraId="7FE1BBB9" w14:textId="0B5E53E8" w:rsidR="00393915" w:rsidRDefault="00740D2E">
            <w:pPr>
              <w:pStyle w:val="P68B1DB1-TableParagraph13"/>
              <w:spacing w:before="108"/>
              <w:jc w:val="both"/>
              <w:rPr>
                <w:b/>
                <w:bCs/>
              </w:rPr>
            </w:pPr>
            <w:r>
              <w:t>Izvješteni</w:t>
            </w:r>
            <w:r>
              <w:t xml:space="preserve"> </w:t>
            </w:r>
            <w:r w:rsidR="00F24D68">
              <w:t>iznosi, prema potrebi, uključuju obračunate kamate.</w:t>
            </w:r>
          </w:p>
        </w:tc>
      </w:tr>
      <w:tr w:rsidR="00393915" w14:paraId="7FE1BBBF" w14:textId="77777777">
        <w:tc>
          <w:tcPr>
            <w:tcW w:w="1080" w:type="dxa"/>
            <w:tcBorders>
              <w:top w:val="single" w:sz="4" w:space="0" w:color="1A171C"/>
              <w:left w:val="nil"/>
              <w:bottom w:val="single" w:sz="4" w:space="0" w:color="1A171C"/>
              <w:right w:val="single" w:sz="4" w:space="0" w:color="1A171C"/>
            </w:tcBorders>
            <w:vAlign w:val="center"/>
          </w:tcPr>
          <w:p w14:paraId="7FE1BBBB" w14:textId="77777777" w:rsidR="00393915" w:rsidRDefault="00F24D68">
            <w:pPr>
              <w:pStyle w:val="P68B1DB1-TableParagraph17"/>
              <w:spacing w:before="108"/>
              <w:ind w:left="85"/>
              <w:jc w:val="both"/>
            </w:pPr>
            <w:r>
              <w:t>0070 – 0090</w:t>
            </w:r>
          </w:p>
        </w:tc>
        <w:tc>
          <w:tcPr>
            <w:tcW w:w="8003" w:type="dxa"/>
            <w:tcBorders>
              <w:top w:val="single" w:sz="4" w:space="0" w:color="1A171C"/>
              <w:left w:val="single" w:sz="4" w:space="0" w:color="1A171C"/>
              <w:bottom w:val="single" w:sz="4" w:space="0" w:color="1A171C"/>
              <w:right w:val="nil"/>
            </w:tcBorders>
            <w:vAlign w:val="center"/>
          </w:tcPr>
          <w:p w14:paraId="7FE1BBBC" w14:textId="77777777" w:rsidR="00393915" w:rsidRDefault="00F24D68">
            <w:pPr>
              <w:pStyle w:val="P68B1DB1-TableParagraph14"/>
              <w:spacing w:before="108"/>
              <w:ind w:left="85"/>
              <w:jc w:val="both"/>
              <w:rPr>
                <w:bCs/>
              </w:rPr>
            </w:pPr>
            <w:r>
              <w:t>Prekogranična vrijednost</w:t>
            </w:r>
          </w:p>
          <w:p w14:paraId="7FE1BBBE" w14:textId="43750B7E" w:rsidR="00393915" w:rsidRDefault="00F24D68">
            <w:pPr>
              <w:pStyle w:val="P68B1DB1-TableParagraph13"/>
              <w:spacing w:before="108"/>
              <w:ind w:left="85"/>
              <w:jc w:val="both"/>
              <w:rPr>
                <w:b/>
                <w:bCs/>
              </w:rPr>
            </w:pPr>
            <w:r>
              <w:t>U slučaju poslanih transakcija, kako bi se izbjeglo dvostruko računanje, prekogranične transakcije su</w:t>
            </w:r>
            <w:r w:rsidR="00C91323">
              <w:t xml:space="preserve"> </w:t>
            </w:r>
            <w:r>
              <w:t xml:space="preserve">broje </w:t>
            </w:r>
            <w:r w:rsidR="00C91323">
              <w:t xml:space="preserve">u </w:t>
            </w:r>
            <w:r w:rsidR="00C91323">
              <w:t>državi</w:t>
            </w:r>
            <w:r>
              <w:t xml:space="preserve"> iz koje transakcija potječe.</w:t>
            </w:r>
          </w:p>
        </w:tc>
      </w:tr>
      <w:tr w:rsidR="00393915" w14:paraId="7FE1BBC6" w14:textId="77777777">
        <w:tc>
          <w:tcPr>
            <w:tcW w:w="1080" w:type="dxa"/>
            <w:tcBorders>
              <w:top w:val="single" w:sz="4" w:space="0" w:color="1A171C"/>
              <w:left w:val="nil"/>
              <w:bottom w:val="single" w:sz="4" w:space="0" w:color="1A171C"/>
              <w:right w:val="single" w:sz="4" w:space="0" w:color="1A171C"/>
            </w:tcBorders>
            <w:vAlign w:val="center"/>
          </w:tcPr>
          <w:p w14:paraId="7FE1BBC0" w14:textId="77777777" w:rsidR="00393915" w:rsidRDefault="00F24D68">
            <w:pPr>
              <w:pStyle w:val="P68B1DB1-TableParagraph17"/>
              <w:spacing w:before="108"/>
              <w:ind w:left="85"/>
              <w:jc w:val="both"/>
            </w:pPr>
            <w:r>
              <w:t>0100</w:t>
            </w:r>
          </w:p>
        </w:tc>
        <w:tc>
          <w:tcPr>
            <w:tcW w:w="8003" w:type="dxa"/>
            <w:tcBorders>
              <w:top w:val="single" w:sz="4" w:space="0" w:color="1A171C"/>
              <w:left w:val="single" w:sz="4" w:space="0" w:color="1A171C"/>
              <w:bottom w:val="single" w:sz="4" w:space="0" w:color="1A171C"/>
              <w:right w:val="nil"/>
            </w:tcBorders>
            <w:vAlign w:val="center"/>
          </w:tcPr>
          <w:p w14:paraId="7FE1BBC1" w14:textId="77777777" w:rsidR="00393915" w:rsidRDefault="00F24D68">
            <w:pPr>
              <w:pStyle w:val="P68B1DB1-Normal42"/>
              <w:rPr>
                <w:bCs/>
              </w:rPr>
            </w:pPr>
            <w:r>
              <w:t>Broj transakcija</w:t>
            </w:r>
          </w:p>
          <w:p w14:paraId="7FE1BBC2" w14:textId="7C46AC4C" w:rsidR="00393915" w:rsidRDefault="00F24D68">
            <w:pPr>
              <w:pStyle w:val="P68B1DB1-TableParagraph16"/>
              <w:spacing w:before="108"/>
              <w:jc w:val="both"/>
            </w:pPr>
            <w:r>
              <w:t xml:space="preserve">U pravilu se iskazuje prosječan broj dnevnih transakcija tijekom godine koji odgovara vrijednostima iskazanima pod </w:t>
            </w:r>
            <w:r w:rsidR="00455C12">
              <w:t xml:space="preserve">funkcijama ID 3.1-3.4 </w:t>
            </w:r>
            <w:r>
              <w:t>redcima 0160 – 0190, stupac 0030 funkcija</w:t>
            </w:r>
            <w:r>
              <w:t>.</w:t>
            </w:r>
            <w:r>
              <w:t xml:space="preserve"> Ako oni nisu dostupni, mogu se navesti prosjeci tijekom kraćeg razdoblja (npr. nekoliko mjeseci). Posebno s obzirom na različite funkcije, koriste se sljedeće mjere</w:t>
            </w:r>
            <w:r w:rsidRPr="00F83F66">
              <w:rPr>
                <w:highlight w:val="yellow"/>
              </w:rPr>
              <w:t>13</w:t>
            </w:r>
            <w:r>
              <w:t xml:space="preserve">: </w:t>
            </w:r>
          </w:p>
          <w:p w14:paraId="7FE1BBC3" w14:textId="77777777" w:rsidR="00393915" w:rsidRDefault="00F24D68">
            <w:pPr>
              <w:pStyle w:val="P68B1DB1-TableParagraph16"/>
              <w:spacing w:before="108"/>
              <w:jc w:val="both"/>
            </w:pPr>
            <w:r>
              <w:lastRenderedPageBreak/>
              <w:t xml:space="preserve">Platne usluge (ID 3.1. – 3.2.): Broj poslanih transakcija, Reference: Direktiva EU-a o platnim uslugama na unutarnjem tržištu (2015/2366), članak 4. stavak 5.; Uredba ESB-a o statistici platnog prometa (ESB/2013/43). </w:t>
            </w:r>
          </w:p>
          <w:p w14:paraId="7FE1BBC4" w14:textId="176A1AD0" w:rsidR="00393915" w:rsidRDefault="00F24D68">
            <w:pPr>
              <w:pStyle w:val="P68B1DB1-TableParagraph16"/>
              <w:spacing w:before="108"/>
              <w:jc w:val="both"/>
            </w:pPr>
            <w:r>
              <w:t>Gotovinske usluge (ID 3.3): Broj transakcija preko bankomata, kako su definirane u tablici 5.a Uredbe ESB/2021/16, te broj podizanja gotovine preko šaltera, kako su definirane u tablici 4.</w:t>
            </w:r>
            <w:r w:rsidR="00C905F9">
              <w:t xml:space="preserve"> </w:t>
            </w:r>
            <w:r>
              <w:t xml:space="preserve">Smjernica ESB/2014/15, </w:t>
            </w:r>
          </w:p>
          <w:p w14:paraId="7FE1BBC5" w14:textId="3AD391CF" w:rsidR="00393915" w:rsidRDefault="00F24D68">
            <w:pPr>
              <w:pStyle w:val="P68B1DB1-TableParagraph16"/>
              <w:spacing w:before="108"/>
              <w:jc w:val="both"/>
              <w:rPr>
                <w:b/>
                <w:bCs/>
                <w:color w:val="000000" w:themeColor="text1"/>
                <w:sz w:val="20"/>
                <w:szCs w:val="20"/>
              </w:rPr>
            </w:pPr>
            <w:r>
              <w:t xml:space="preserve">Usluge namire vrijednosnih papira (ID 3.4): Broj transakcija prijenosa vrijednosnih papira obrađenih u ime klijenata. To uključuje transakcije namirene preko sustava za namiru vrijednosnih papira ili koje su </w:t>
            </w:r>
            <w:r w:rsidR="00C905F9">
              <w:t xml:space="preserve">izvještajne </w:t>
            </w:r>
            <w:r w:rsidR="00C905F9">
              <w:t xml:space="preserve">institucije </w:t>
            </w:r>
            <w:r>
              <w:t xml:space="preserve"> namirile </w:t>
            </w:r>
            <w:r w:rsidR="00C905F9">
              <w:t xml:space="preserve">interno </w:t>
            </w:r>
            <w:r>
              <w:t>i</w:t>
            </w:r>
            <w:r>
              <w:t xml:space="preserve"> transakcije</w:t>
            </w:r>
            <w:r w:rsidR="00C905F9">
              <w:t xml:space="preserve"> 'bez plaćanja'.</w:t>
            </w:r>
          </w:p>
        </w:tc>
      </w:tr>
      <w:tr w:rsidR="00393915" w14:paraId="7FE1BBCA" w14:textId="77777777">
        <w:tc>
          <w:tcPr>
            <w:tcW w:w="1080" w:type="dxa"/>
            <w:tcBorders>
              <w:top w:val="single" w:sz="4" w:space="0" w:color="1A171C"/>
              <w:left w:val="nil"/>
              <w:bottom w:val="single" w:sz="4" w:space="0" w:color="1A171C"/>
              <w:right w:val="single" w:sz="4" w:space="0" w:color="1A171C"/>
            </w:tcBorders>
            <w:vAlign w:val="center"/>
          </w:tcPr>
          <w:p w14:paraId="7FE1BBC7" w14:textId="77777777" w:rsidR="00393915" w:rsidRDefault="00F24D68">
            <w:pPr>
              <w:pStyle w:val="P68B1DB1-TableParagraph17"/>
              <w:spacing w:before="108"/>
              <w:jc w:val="both"/>
            </w:pPr>
            <w:r>
              <w:lastRenderedPageBreak/>
              <w:t>0110</w:t>
            </w:r>
          </w:p>
        </w:tc>
        <w:tc>
          <w:tcPr>
            <w:tcW w:w="8003" w:type="dxa"/>
            <w:tcBorders>
              <w:top w:val="single" w:sz="4" w:space="0" w:color="1A171C"/>
              <w:left w:val="single" w:sz="4" w:space="0" w:color="1A171C"/>
              <w:bottom w:val="single" w:sz="4" w:space="0" w:color="1A171C"/>
              <w:right w:val="nil"/>
            </w:tcBorders>
            <w:vAlign w:val="center"/>
          </w:tcPr>
          <w:p w14:paraId="7FE1BBC8" w14:textId="77777777" w:rsidR="00393915" w:rsidRDefault="00F24D68">
            <w:pPr>
              <w:pStyle w:val="P68B1DB1-TableParagraph14"/>
              <w:spacing w:before="108"/>
              <w:ind w:left="85"/>
              <w:jc w:val="both"/>
              <w:rPr>
                <w:bCs/>
              </w:rPr>
            </w:pPr>
            <w:r>
              <w:t>Broj klijenata</w:t>
            </w:r>
          </w:p>
          <w:p w14:paraId="7FE1BBC9" w14:textId="5C934B58" w:rsidR="00393915" w:rsidRDefault="00F24D68">
            <w:pPr>
              <w:pStyle w:val="P68B1DB1-TableParagraph13"/>
              <w:spacing w:before="108"/>
              <w:ind w:left="85"/>
              <w:jc w:val="both"/>
            </w:pPr>
            <w:r>
              <w:t>Broj (rezidentnih i nerezidentnih) klijenata kojima se pruža usluga. Ako jedan klijent više od jedanput koristi uslugu unutar podfunkcije, računa se samo jednom.</w:t>
            </w:r>
          </w:p>
        </w:tc>
      </w:tr>
      <w:tr w:rsidR="00393915" w14:paraId="7FE1BBD6" w14:textId="77777777">
        <w:tc>
          <w:tcPr>
            <w:tcW w:w="1080" w:type="dxa"/>
            <w:tcBorders>
              <w:top w:val="single" w:sz="4" w:space="0" w:color="1A171C"/>
              <w:left w:val="nil"/>
              <w:bottom w:val="single" w:sz="4" w:space="0" w:color="1A171C"/>
              <w:right w:val="single" w:sz="4" w:space="0" w:color="1A171C"/>
            </w:tcBorders>
            <w:vAlign w:val="center"/>
          </w:tcPr>
          <w:p w14:paraId="7FE1BBCE" w14:textId="77777777" w:rsidR="00393915" w:rsidRDefault="00F24D68">
            <w:pPr>
              <w:pStyle w:val="P68B1DB1-TableParagraph17"/>
              <w:spacing w:before="108"/>
              <w:jc w:val="both"/>
            </w:pPr>
            <w:r>
              <w:t>0120 – 0190</w:t>
            </w:r>
          </w:p>
        </w:tc>
        <w:tc>
          <w:tcPr>
            <w:tcW w:w="8003" w:type="dxa"/>
            <w:tcBorders>
              <w:top w:val="single" w:sz="4" w:space="0" w:color="1A171C"/>
              <w:left w:val="single" w:sz="4" w:space="0" w:color="1A171C"/>
              <w:bottom w:val="single" w:sz="4" w:space="0" w:color="1A171C"/>
              <w:right w:val="nil"/>
            </w:tcBorders>
            <w:vAlign w:val="center"/>
          </w:tcPr>
          <w:p w14:paraId="7FE1BBCF" w14:textId="618D8E49" w:rsidR="00393915" w:rsidRDefault="00F24D68">
            <w:pPr>
              <w:pStyle w:val="P68B1DB1-TableParagraph14"/>
              <w:spacing w:before="108"/>
              <w:jc w:val="both"/>
              <w:rPr>
                <w:bCs/>
              </w:rPr>
            </w:pPr>
            <w:r>
              <w:t xml:space="preserve">Analize </w:t>
            </w:r>
            <w:r w:rsidR="00316D66">
              <w:t>utjecaja</w:t>
            </w:r>
            <w:r w:rsidR="00316D66">
              <w:t xml:space="preserve"> </w:t>
            </w:r>
            <w:r>
              <w:t>i zamjenjivosti</w:t>
            </w:r>
          </w:p>
          <w:p w14:paraId="7FE1BBD0" w14:textId="0E98696E" w:rsidR="00393915" w:rsidRDefault="00F24D68">
            <w:pPr>
              <w:pStyle w:val="P68B1DB1-TableParagraph13"/>
              <w:spacing w:before="108"/>
              <w:jc w:val="both"/>
            </w:pPr>
            <w:r>
              <w:t xml:space="preserve">Kriteriji procjene </w:t>
            </w:r>
            <w:r w:rsidR="00316D66">
              <w:t>utjecaja</w:t>
            </w:r>
            <w:r w:rsidR="00316D66">
              <w:t xml:space="preserve"> </w:t>
            </w:r>
            <w:r>
              <w:t>na treće strane uključuju sljedeće elemente u skladu s Delegiranom uredbom Komisije (EU) 2016/778 o ključnim funkcijama:</w:t>
            </w:r>
          </w:p>
          <w:p w14:paraId="7FE1BBD1" w14:textId="1A882DE2" w:rsidR="00393915" w:rsidRDefault="00F24D68">
            <w:pPr>
              <w:pStyle w:val="P68B1DB1-ListParagraph38"/>
              <w:numPr>
                <w:ilvl w:val="0"/>
                <w:numId w:val="131"/>
              </w:numPr>
              <w:spacing w:line="276" w:lineRule="auto"/>
            </w:pPr>
            <w:r>
              <w:t xml:space="preserve">prirodu i doseg aktivnosti, globalni, nacionalni ili regionalni doseg, opseg i broj transakcija; broj </w:t>
            </w:r>
            <w:r w:rsidR="00316D66">
              <w:t>klijenata</w:t>
            </w:r>
            <w:r w:rsidR="00316D66">
              <w:t xml:space="preserve"> </w:t>
            </w:r>
            <w:r>
              <w:t xml:space="preserve">i ugovornih strana; broj </w:t>
            </w:r>
            <w:r w:rsidR="00316D66">
              <w:t>klijenata</w:t>
            </w:r>
            <w:r w:rsidR="00316D66">
              <w:t xml:space="preserve"> </w:t>
            </w:r>
            <w:r>
              <w:t>za koje je institucija jedini ili glavni bankarski partner.</w:t>
            </w:r>
          </w:p>
          <w:p w14:paraId="7FE1BBD2" w14:textId="77777777" w:rsidR="00393915" w:rsidRDefault="00F24D68">
            <w:pPr>
              <w:pStyle w:val="P68B1DB1-ListParagraph38"/>
              <w:numPr>
                <w:ilvl w:val="0"/>
                <w:numId w:val="131"/>
              </w:numPr>
              <w:spacing w:line="276" w:lineRule="auto"/>
            </w:pPr>
            <w:r>
              <w:t>važnost institucije na lokalnoj, regionalnoj, nacionalnoj ili europskoj razini, ovisno o predmetnom tržištu. Važnost institucije može se procijeniti na temelju tržišnog udjela, međusobne povezanosti, složenosti i prekograničnih aktivnosti.</w:t>
            </w:r>
          </w:p>
          <w:p w14:paraId="7FE1BBD3" w14:textId="5A0E59DB" w:rsidR="00393915" w:rsidRDefault="00F24D68">
            <w:pPr>
              <w:pStyle w:val="P68B1DB1-ListParagraph38"/>
              <w:numPr>
                <w:ilvl w:val="0"/>
                <w:numId w:val="131"/>
              </w:numPr>
              <w:spacing w:line="276" w:lineRule="auto"/>
            </w:pPr>
            <w:r>
              <w:t xml:space="preserve">prirodu </w:t>
            </w:r>
            <w:r w:rsidR="00316D66">
              <w:t>klijenata</w:t>
            </w:r>
            <w:r w:rsidR="00316D66">
              <w:t xml:space="preserve"> </w:t>
            </w:r>
            <w:r>
              <w:t xml:space="preserve">i dionika na koje utječe funkcija kao što su, ali ne isključivo, mali </w:t>
            </w:r>
            <w:r w:rsidR="00316D66">
              <w:t>klijenti</w:t>
            </w:r>
            <w:r>
              <w:t xml:space="preserve">, korporativni i međubankovni </w:t>
            </w:r>
            <w:r w:rsidR="00316D66">
              <w:t>klijenti</w:t>
            </w:r>
            <w:r>
              <w:t xml:space="preserve">, središnje klirinške kuće i javna tijela. </w:t>
            </w:r>
          </w:p>
          <w:p w14:paraId="7FE1BBD4" w14:textId="62E63E21" w:rsidR="00393915" w:rsidRDefault="00316D66">
            <w:pPr>
              <w:pStyle w:val="P68B1DB1-ListParagraph38"/>
              <w:numPr>
                <w:ilvl w:val="0"/>
                <w:numId w:val="131"/>
              </w:numPr>
              <w:spacing w:line="276" w:lineRule="auto"/>
            </w:pPr>
            <w:r>
              <w:t>utjecaj</w:t>
            </w:r>
            <w:r w:rsidR="00F24D68">
              <w:t xml:space="preserve"> potencijalnog prekida funkcije na tržišta, infrastrukture, korisnike i javne usluge. Procjena može posebno uključivati </w:t>
            </w:r>
            <w:r>
              <w:t>utjecaj</w:t>
            </w:r>
            <w:r>
              <w:t xml:space="preserve"> </w:t>
            </w:r>
            <w:r w:rsidR="00F24D68">
              <w:t xml:space="preserve">na likvidnost predmetnog tržišta, utjecaj i razmjer prekida na poslovanje </w:t>
            </w:r>
            <w:r>
              <w:t>klijenata</w:t>
            </w:r>
            <w:r>
              <w:t xml:space="preserve"> </w:t>
            </w:r>
            <w:r w:rsidR="00F24D68">
              <w:t xml:space="preserve">i kratkoročne likvidnosne potrebe; </w:t>
            </w:r>
            <w:r>
              <w:t xml:space="preserve">percepciju </w:t>
            </w:r>
            <w:r w:rsidR="00F24D68">
              <w:t>drug</w:t>
            </w:r>
            <w:r>
              <w:t>ih</w:t>
            </w:r>
            <w:r w:rsidR="00F24D68">
              <w:t xml:space="preserve"> ugovorn</w:t>
            </w:r>
            <w:r>
              <w:t>ih</w:t>
            </w:r>
            <w:r w:rsidR="00F24D68">
              <w:t xml:space="preserve"> stran</w:t>
            </w:r>
            <w:r>
              <w:t>a</w:t>
            </w:r>
            <w:r w:rsidR="00F24D68">
              <w:t xml:space="preserve">, </w:t>
            </w:r>
            <w:r>
              <w:t>klijente</w:t>
            </w:r>
            <w:r>
              <w:t xml:space="preserve"> </w:t>
            </w:r>
            <w:r w:rsidR="00F24D68">
              <w:t xml:space="preserve">i javnost; mogućnost i brzinu reakcije </w:t>
            </w:r>
            <w:r>
              <w:t>klijenata</w:t>
            </w:r>
            <w:r w:rsidR="00F24D68">
              <w:t xml:space="preserve">; važnost za funkcioniranje drugih tržišta; učinak na likvidnost, poslovanje, strukturu drugog tržišta; učinak na ugovorne strane povezane s </w:t>
            </w:r>
            <w:r>
              <w:t>najvećim klijentima</w:t>
            </w:r>
            <w:r w:rsidR="00F24D68">
              <w:t xml:space="preserve"> i međusobnu povezanost funkcije s drugim uslugama.</w:t>
            </w:r>
          </w:p>
          <w:p w14:paraId="7FE1BBD5" w14:textId="77777777" w:rsidR="00393915" w:rsidRDefault="00393915">
            <w:pPr>
              <w:pStyle w:val="TableParagraph"/>
              <w:spacing w:before="108"/>
              <w:jc w:val="both"/>
              <w:rPr>
                <w:rFonts w:ascii="Times New Roman" w:hAnsi="Times New Roman" w:cs="Times New Roman"/>
                <w:color w:val="000000" w:themeColor="text1"/>
                <w:sz w:val="20"/>
                <w:szCs w:val="20"/>
              </w:rPr>
            </w:pPr>
          </w:p>
        </w:tc>
      </w:tr>
      <w:tr w:rsidR="00393915" w14:paraId="7FE1BBDA" w14:textId="77777777">
        <w:tc>
          <w:tcPr>
            <w:tcW w:w="1080" w:type="dxa"/>
            <w:tcBorders>
              <w:top w:val="single" w:sz="4" w:space="0" w:color="1A171C"/>
              <w:left w:val="nil"/>
              <w:bottom w:val="single" w:sz="4" w:space="0" w:color="1A171C"/>
              <w:right w:val="single" w:sz="4" w:space="0" w:color="1A171C"/>
            </w:tcBorders>
            <w:vAlign w:val="center"/>
          </w:tcPr>
          <w:p w14:paraId="7FE1BBD7" w14:textId="77777777" w:rsidR="00393915" w:rsidRDefault="00F24D68">
            <w:pPr>
              <w:pStyle w:val="P68B1DB1-TableParagraph17"/>
              <w:spacing w:before="108"/>
              <w:jc w:val="both"/>
            </w:pPr>
            <w:r>
              <w:t>0120 – 0140</w:t>
            </w:r>
          </w:p>
        </w:tc>
        <w:tc>
          <w:tcPr>
            <w:tcW w:w="8003" w:type="dxa"/>
            <w:tcBorders>
              <w:top w:val="single" w:sz="4" w:space="0" w:color="1A171C"/>
              <w:left w:val="single" w:sz="4" w:space="0" w:color="1A171C"/>
              <w:bottom w:val="single" w:sz="4" w:space="0" w:color="1A171C"/>
              <w:right w:val="nil"/>
            </w:tcBorders>
            <w:vAlign w:val="center"/>
          </w:tcPr>
          <w:p w14:paraId="7FE1BBD8" w14:textId="77777777" w:rsidR="00393915" w:rsidRDefault="00F24D68">
            <w:pPr>
              <w:pStyle w:val="P68B1DB1-TableParagraph14"/>
              <w:spacing w:before="108"/>
              <w:jc w:val="both"/>
              <w:rPr>
                <w:bCs/>
              </w:rPr>
            </w:pPr>
            <w:r>
              <w:t xml:space="preserve">Priroda i područje primjene </w:t>
            </w:r>
          </w:p>
          <w:p w14:paraId="7FE1BBD9" w14:textId="7B9C694D" w:rsidR="00393915" w:rsidRDefault="00F24D68">
            <w:pPr>
              <w:pStyle w:val="P68B1DB1-TableParagraph13"/>
              <w:spacing w:before="108"/>
              <w:jc w:val="both"/>
            </w:pPr>
            <w:r>
              <w:t xml:space="preserve">Globalni, nacionalni ili regionalni doseg, obujam i broj transakcija; broj </w:t>
            </w:r>
            <w:r w:rsidR="00BE2F6A">
              <w:t>klijenata</w:t>
            </w:r>
            <w:r w:rsidR="00BE2F6A">
              <w:t xml:space="preserve"> </w:t>
            </w:r>
            <w:r>
              <w:t xml:space="preserve">i ugovornih strana; broj </w:t>
            </w:r>
            <w:r>
              <w:t>k</w:t>
            </w:r>
            <w:r w:rsidR="00BE2F6A">
              <w:t>lijenata</w:t>
            </w:r>
            <w:r>
              <w:t xml:space="preserve"> za koje je institucija jedini ili glavni bankarski partner.</w:t>
            </w:r>
          </w:p>
        </w:tc>
      </w:tr>
      <w:tr w:rsidR="00393915" w14:paraId="7FE1BBE0" w14:textId="77777777">
        <w:tc>
          <w:tcPr>
            <w:tcW w:w="1080" w:type="dxa"/>
            <w:tcBorders>
              <w:top w:val="single" w:sz="4" w:space="0" w:color="1A171C"/>
              <w:left w:val="nil"/>
              <w:bottom w:val="single" w:sz="4" w:space="0" w:color="1A171C"/>
              <w:right w:val="single" w:sz="4" w:space="0" w:color="1A171C"/>
            </w:tcBorders>
            <w:vAlign w:val="center"/>
          </w:tcPr>
          <w:p w14:paraId="7FE1BBDB" w14:textId="77777777" w:rsidR="00393915" w:rsidRDefault="00F24D68">
            <w:pPr>
              <w:pStyle w:val="P68B1DB1-TableParagraph17"/>
              <w:spacing w:before="108"/>
              <w:jc w:val="both"/>
            </w:pPr>
            <w:r>
              <w:t>0120</w:t>
            </w:r>
          </w:p>
        </w:tc>
        <w:tc>
          <w:tcPr>
            <w:tcW w:w="8003" w:type="dxa"/>
            <w:tcBorders>
              <w:top w:val="single" w:sz="4" w:space="0" w:color="1A171C"/>
              <w:left w:val="single" w:sz="4" w:space="0" w:color="1A171C"/>
              <w:bottom w:val="single" w:sz="4" w:space="0" w:color="1A171C"/>
              <w:right w:val="nil"/>
            </w:tcBorders>
            <w:vAlign w:val="center"/>
          </w:tcPr>
          <w:p w14:paraId="7FE1BBDC" w14:textId="77777777" w:rsidR="00393915" w:rsidRDefault="00F24D68">
            <w:pPr>
              <w:pStyle w:val="P68B1DB1-TableParagraph14"/>
              <w:spacing w:before="108"/>
              <w:jc w:val="both"/>
              <w:rPr>
                <w:bCs/>
              </w:rPr>
            </w:pPr>
            <w:r>
              <w:t>Pokazatelj veličine br. 1</w:t>
            </w:r>
          </w:p>
          <w:p w14:paraId="0D530995" w14:textId="6D3D2113" w:rsidR="00393915" w:rsidRDefault="00F24D68">
            <w:pPr>
              <w:pStyle w:val="P68B1DB1-Normal31"/>
              <w:spacing w:line="276" w:lineRule="auto"/>
              <w:jc w:val="both"/>
            </w:pPr>
            <w:r>
              <w:t>Procijeniti koliko je banka važna u tim aktivnostima. Ta se procjena kvalitativno izražava kao „visoka”, „srednja visoka”, „</w:t>
            </w:r>
            <w:r>
              <w:t>srednj</w:t>
            </w:r>
            <w:r w:rsidR="0017397F">
              <w:t>e niska</w:t>
            </w:r>
            <w:r>
              <w:t>” ili „niska”. Navesti „</w:t>
            </w:r>
            <w:r w:rsidR="0017397F">
              <w:t>visoka</w:t>
            </w:r>
            <w:r>
              <w:t>” ako je veličina funkcije velika, „srednje-visoka” ako je srednja, „</w:t>
            </w:r>
            <w:r>
              <w:t>srednj</w:t>
            </w:r>
            <w:r w:rsidR="0017397F">
              <w:t>e niska</w:t>
            </w:r>
            <w:r>
              <w:t>” ako je mala, i „</w:t>
            </w:r>
            <w:r w:rsidR="0017397F">
              <w:t>niska</w:t>
            </w:r>
            <w:r>
              <w:t xml:space="preserve">” ako je zanemariva. Kao referentnu vrijednost za tu kvalitativnu procjenu koristi makroekonomske varijable kao što su BDP, stanovništvo (za depozite, kreditiranje, plaćanja, gotovinu, namiru, usluge poravnanja i skrbništva) ili veličinu tržišta (za tržišta kapitala i veleprodajno financiranje). </w:t>
            </w:r>
          </w:p>
          <w:p w14:paraId="7FE1BBDD" w14:textId="31D8226E" w:rsidR="00393915" w:rsidRDefault="00393915">
            <w:pPr>
              <w:pStyle w:val="TableParagraph"/>
              <w:spacing w:before="108"/>
              <w:jc w:val="both"/>
              <w:rPr>
                <w:rFonts w:ascii="Times New Roman" w:hAnsi="Times New Roman" w:cs="Times New Roman"/>
                <w:color w:val="000000" w:themeColor="text1"/>
                <w:sz w:val="20"/>
                <w:szCs w:val="20"/>
              </w:rPr>
            </w:pPr>
          </w:p>
          <w:p w14:paraId="7FE1BBDE" w14:textId="4A87F3A1" w:rsidR="00393915" w:rsidRDefault="00F24D68">
            <w:pPr>
              <w:pStyle w:val="P68B1DB1-ListParagraph32"/>
              <w:numPr>
                <w:ilvl w:val="0"/>
                <w:numId w:val="300"/>
              </w:numPr>
              <w:spacing w:line="276" w:lineRule="auto"/>
            </w:pPr>
            <w:r>
              <w:lastRenderedPageBreak/>
              <w:t xml:space="preserve">Stručna prosudba o veličini </w:t>
            </w:r>
            <w:r>
              <w:rPr>
                <w:b/>
              </w:rPr>
              <w:t>vrijednosti</w:t>
            </w:r>
            <w:r>
              <w:t xml:space="preserve"> transakcija (c0030 za funkcije ID 3.1, 3.2, 3.3 i 3.4); </w:t>
            </w:r>
            <w:r>
              <w:t>otvoren</w:t>
            </w:r>
            <w:r w:rsidR="0017397F">
              <w:t xml:space="preserve">e pozicije </w:t>
            </w:r>
            <w:r>
              <w:t xml:space="preserve"> (c0050 za ID 3.5); ili ukupna imovina pod skrbništvom (c0060 za ID 3.6) iz perspektive </w:t>
            </w:r>
            <w:r>
              <w:rPr>
                <w:b/>
              </w:rPr>
              <w:t>EU-a</w:t>
            </w:r>
            <w:r>
              <w:t xml:space="preserve"> [</w:t>
            </w:r>
            <w:r>
              <w:rPr>
                <w:i/>
              </w:rPr>
              <w:t xml:space="preserve">jedna razina viša od </w:t>
            </w:r>
            <w:r w:rsidR="00355B54">
              <w:rPr>
                <w:i/>
              </w:rPr>
              <w:t>relevantnog</w:t>
            </w:r>
            <w:r w:rsidR="00355B54">
              <w:rPr>
                <w:i/>
              </w:rPr>
              <w:t xml:space="preserve"> </w:t>
            </w:r>
            <w:r>
              <w:rPr>
                <w:i/>
              </w:rPr>
              <w:t>tržišta]</w:t>
            </w:r>
            <w:r>
              <w:t xml:space="preserve">: </w:t>
            </w:r>
          </w:p>
          <w:p w14:paraId="7FE1BBDF" w14:textId="77777777" w:rsidR="00393915" w:rsidRDefault="00F24D68">
            <w:pPr>
              <w:pStyle w:val="P68B1DB1-ListParagraph32"/>
              <w:numPr>
                <w:ilvl w:val="0"/>
                <w:numId w:val="126"/>
              </w:numPr>
              <w:spacing w:line="276" w:lineRule="auto"/>
            </w:pPr>
            <w:r>
              <w:t xml:space="preserve">Koliko je, prema vašem mišljenju, iz perspektive EU-a velika vrijednost transakcija koje obrađuje vaša banka </w:t>
            </w:r>
            <w:r>
              <w:rPr>
                <w:i/>
              </w:rPr>
              <w:t>ili</w:t>
            </w:r>
            <w:r>
              <w:t xml:space="preserve"> otvorenih pozicija klijenata vaše banke u središnjim drugim ugovornim stranama </w:t>
            </w:r>
            <w:r w:rsidR="00BB340A">
              <w:t>(CCP)</w:t>
            </w:r>
            <w:r>
              <w:t xml:space="preserve"> </w:t>
            </w:r>
            <w:r>
              <w:rPr>
                <w:i/>
              </w:rPr>
              <w:t>ili</w:t>
            </w:r>
            <w:r>
              <w:t xml:space="preserve"> ukupna imovina koju vaša institucija drži pod skrbništvom za svoje klijente?</w:t>
            </w:r>
          </w:p>
        </w:tc>
      </w:tr>
      <w:tr w:rsidR="00393915" w14:paraId="7FE1BBE7" w14:textId="77777777">
        <w:tc>
          <w:tcPr>
            <w:tcW w:w="1080" w:type="dxa"/>
            <w:tcBorders>
              <w:top w:val="single" w:sz="4" w:space="0" w:color="1A171C"/>
              <w:left w:val="nil"/>
              <w:bottom w:val="single" w:sz="4" w:space="0" w:color="1A171C"/>
              <w:right w:val="single" w:sz="4" w:space="0" w:color="1A171C"/>
            </w:tcBorders>
            <w:vAlign w:val="center"/>
          </w:tcPr>
          <w:p w14:paraId="7FE1BBE1" w14:textId="77777777" w:rsidR="00393915" w:rsidRDefault="00F24D68">
            <w:pPr>
              <w:pStyle w:val="P68B1DB1-TableParagraph17"/>
              <w:spacing w:before="108"/>
              <w:jc w:val="both"/>
            </w:pPr>
            <w:r>
              <w:lastRenderedPageBreak/>
              <w:t>0130</w:t>
            </w:r>
          </w:p>
        </w:tc>
        <w:tc>
          <w:tcPr>
            <w:tcW w:w="8003" w:type="dxa"/>
            <w:tcBorders>
              <w:top w:val="single" w:sz="4" w:space="0" w:color="1A171C"/>
              <w:left w:val="single" w:sz="4" w:space="0" w:color="1A171C"/>
              <w:bottom w:val="single" w:sz="4" w:space="0" w:color="1A171C"/>
              <w:right w:val="nil"/>
            </w:tcBorders>
            <w:vAlign w:val="center"/>
          </w:tcPr>
          <w:p w14:paraId="7FE1BBE2" w14:textId="77777777" w:rsidR="00393915" w:rsidRDefault="00F24D68">
            <w:pPr>
              <w:pStyle w:val="P68B1DB1-TableParagraph14"/>
              <w:spacing w:before="108"/>
              <w:jc w:val="both"/>
              <w:rPr>
                <w:bCs/>
              </w:rPr>
            </w:pPr>
            <w:r>
              <w:t>Pokazatelj veličine br. 2</w:t>
            </w:r>
          </w:p>
          <w:p w14:paraId="7D6A05E9" w14:textId="17AC173B" w:rsidR="00393915" w:rsidRDefault="00F24D68">
            <w:pPr>
              <w:pStyle w:val="P68B1DB1-Normal31"/>
              <w:spacing w:line="276" w:lineRule="auto"/>
              <w:jc w:val="both"/>
            </w:pPr>
            <w:r>
              <w:t xml:space="preserve">Procijeniti koliko je </w:t>
            </w:r>
            <w:r w:rsidR="002C2394">
              <w:t xml:space="preserve">važnost </w:t>
            </w:r>
            <w:r>
              <w:t>bank</w:t>
            </w:r>
            <w:r w:rsidR="002C2394">
              <w:t>e</w:t>
            </w:r>
            <w:r w:rsidR="002C2394">
              <w:t xml:space="preserve"> </w:t>
            </w:r>
            <w:r>
              <w:t>u tim aktivnostima. Ta se procjena kvalitativno izražava kao „visoka”, „srednja visoka”, „</w:t>
            </w:r>
            <w:r>
              <w:t>srednj</w:t>
            </w:r>
            <w:r w:rsidR="002C2394">
              <w:t>e niska</w:t>
            </w:r>
            <w:r>
              <w:t>” ili „niska”. Navesti „</w:t>
            </w:r>
            <w:r w:rsidR="002C2394">
              <w:t>visoka</w:t>
            </w:r>
            <w:r>
              <w:t>” ako je veličina funkcije velika, „srednje</w:t>
            </w:r>
            <w:r w:rsidR="002C2394">
              <w:t xml:space="preserve"> </w:t>
            </w:r>
            <w:r>
              <w:t>visoka” ako je srednja, „</w:t>
            </w:r>
            <w:r>
              <w:t>srednj</w:t>
            </w:r>
            <w:r w:rsidR="002C2394">
              <w:t>e niska</w:t>
            </w:r>
            <w:r>
              <w:t>” ako je mala, i „</w:t>
            </w:r>
            <w:r w:rsidR="002C2394">
              <w:t>niska</w:t>
            </w:r>
            <w:r>
              <w:t xml:space="preserve">” ako je zanemariva. Kao referentnu vrijednost za tu kvalitativnu procjenu koristi makroekonomske varijable kao što su BDP, stanovništvo (za depozite, kreditiranje, plaćanja, gotovinu, namiru, usluge poravnanja i skrbništva) ili veličinu tržišta (za tržišta kapitala i veleprodajno financiranje). </w:t>
            </w:r>
          </w:p>
          <w:p w14:paraId="7FE1BBE3" w14:textId="27BCCC99" w:rsidR="00393915" w:rsidRDefault="00F24D68">
            <w:pPr>
              <w:pStyle w:val="P68B1DB1-TableParagraph13"/>
              <w:spacing w:before="108"/>
              <w:jc w:val="both"/>
            </w:pPr>
            <w:r>
              <w:t xml:space="preserve"> </w:t>
            </w:r>
          </w:p>
          <w:p w14:paraId="7FE1BBE4" w14:textId="4003DECB" w:rsidR="00393915" w:rsidRDefault="00F24D68">
            <w:pPr>
              <w:pStyle w:val="P68B1DB1-ListParagraph32"/>
              <w:numPr>
                <w:ilvl w:val="0"/>
                <w:numId w:val="120"/>
              </w:numPr>
              <w:spacing w:line="276" w:lineRule="auto"/>
            </w:pPr>
            <w:r>
              <w:t xml:space="preserve">Stručna prosudba o veličini </w:t>
            </w:r>
            <w:r>
              <w:rPr>
                <w:b/>
              </w:rPr>
              <w:t>broja</w:t>
            </w:r>
            <w:r>
              <w:t xml:space="preserve"> transakcija (c0100 za identifikacijske oznake funkcija 3.1, 3.2., 3.3. i 3.4.); ili broj klijenata (c0110 za identifikacijske oznake 3.5 i 3.6) iz </w:t>
            </w:r>
            <w:r>
              <w:rPr>
                <w:b/>
              </w:rPr>
              <w:t>nacionalne</w:t>
            </w:r>
            <w:r>
              <w:t xml:space="preserve"> perspektive</w:t>
            </w:r>
            <w:r>
              <w:rPr>
                <w:i/>
              </w:rPr>
              <w:t xml:space="preserve">[na razini </w:t>
            </w:r>
            <w:r w:rsidR="002C2394">
              <w:rPr>
                <w:i/>
              </w:rPr>
              <w:t>relevantnog</w:t>
            </w:r>
            <w:r w:rsidR="002C2394">
              <w:rPr>
                <w:i/>
              </w:rPr>
              <w:t xml:space="preserve"> </w:t>
            </w:r>
            <w:r>
              <w:rPr>
                <w:i/>
              </w:rPr>
              <w:t>tržišta</w:t>
            </w:r>
            <w:r>
              <w:t>]:</w:t>
            </w:r>
          </w:p>
          <w:p w14:paraId="7FE1BBE5" w14:textId="77777777" w:rsidR="00393915" w:rsidRDefault="00F24D68">
            <w:pPr>
              <w:pStyle w:val="P68B1DB1-ListParagraph32"/>
              <w:numPr>
                <w:ilvl w:val="1"/>
                <w:numId w:val="124"/>
              </w:numPr>
              <w:spacing w:line="276" w:lineRule="auto"/>
            </w:pPr>
            <w:r>
              <w:t>Koliko je iz nacionalne perspektive velik procijenjeni ukupni broj transakcija</w:t>
            </w:r>
            <w:r>
              <w:rPr>
                <w:i/>
              </w:rPr>
              <w:t xml:space="preserve"> ili</w:t>
            </w:r>
            <w:r>
              <w:t xml:space="preserve"> procijenjeni broj klijenata vaše institucije?</w:t>
            </w:r>
          </w:p>
          <w:p w14:paraId="7FE1BBE6" w14:textId="77777777" w:rsidR="00393915" w:rsidRDefault="00393915">
            <w:pPr>
              <w:spacing w:line="276" w:lineRule="auto"/>
              <w:rPr>
                <w:rFonts w:ascii="Times New Roman" w:hAnsi="Times New Roman"/>
                <w:color w:val="000000" w:themeColor="text1"/>
                <w:sz w:val="20"/>
                <w:szCs w:val="20"/>
              </w:rPr>
            </w:pPr>
          </w:p>
        </w:tc>
      </w:tr>
      <w:tr w:rsidR="00393915" w14:paraId="7FE1BBEE" w14:textId="77777777">
        <w:tc>
          <w:tcPr>
            <w:tcW w:w="1080" w:type="dxa"/>
            <w:tcBorders>
              <w:top w:val="single" w:sz="4" w:space="0" w:color="1A171C"/>
              <w:left w:val="nil"/>
              <w:bottom w:val="single" w:sz="4" w:space="0" w:color="1A171C"/>
              <w:right w:val="single" w:sz="4" w:space="0" w:color="1A171C"/>
            </w:tcBorders>
            <w:vAlign w:val="center"/>
          </w:tcPr>
          <w:p w14:paraId="7FE1BBE8" w14:textId="77777777" w:rsidR="00393915" w:rsidRDefault="00F24D68">
            <w:pPr>
              <w:pStyle w:val="P68B1DB1-TableParagraph17"/>
              <w:spacing w:before="108"/>
              <w:jc w:val="both"/>
            </w:pPr>
            <w:r>
              <w:t>0140</w:t>
            </w:r>
          </w:p>
        </w:tc>
        <w:tc>
          <w:tcPr>
            <w:tcW w:w="8003" w:type="dxa"/>
            <w:tcBorders>
              <w:top w:val="single" w:sz="4" w:space="0" w:color="1A171C"/>
              <w:left w:val="single" w:sz="4" w:space="0" w:color="1A171C"/>
              <w:bottom w:val="single" w:sz="4" w:space="0" w:color="1A171C"/>
              <w:right w:val="nil"/>
            </w:tcBorders>
            <w:vAlign w:val="center"/>
          </w:tcPr>
          <w:p w14:paraId="7FE1BBE9" w14:textId="77777777" w:rsidR="00393915" w:rsidRDefault="00F24D68">
            <w:pPr>
              <w:pStyle w:val="P68B1DB1-TableParagraph14"/>
              <w:spacing w:before="108"/>
              <w:jc w:val="both"/>
              <w:rPr>
                <w:bCs/>
              </w:rPr>
            </w:pPr>
            <w:r>
              <w:t>Prekogranični pokazatelj</w:t>
            </w:r>
          </w:p>
          <w:p w14:paraId="7FE1BBEA" w14:textId="6F86D99A" w:rsidR="00393915" w:rsidRDefault="00F24D68">
            <w:pPr>
              <w:pStyle w:val="P68B1DB1-TableParagraph13"/>
              <w:spacing w:before="108"/>
              <w:jc w:val="both"/>
            </w:pPr>
            <w:r>
              <w:t xml:space="preserve">Procijeniti relativnu važnost prekograničnih aktivnosti za različite </w:t>
            </w:r>
            <w:r w:rsidR="00CD3937">
              <w:t>ekonomske</w:t>
            </w:r>
            <w:r w:rsidR="00CD3937">
              <w:t xml:space="preserve"> </w:t>
            </w:r>
            <w:r>
              <w:t>funkcije.</w:t>
            </w:r>
          </w:p>
          <w:p w14:paraId="7FE1BBEB" w14:textId="2356CA34" w:rsidR="00393915" w:rsidRDefault="00F24D68">
            <w:pPr>
              <w:pStyle w:val="P68B1DB1-TableParagraph13"/>
              <w:spacing w:before="108"/>
              <w:jc w:val="both"/>
            </w:pPr>
            <w:r>
              <w:t xml:space="preserve">To nije potrebno ocjenjivati u slučaju izvješća u kojima se </w:t>
            </w:r>
            <w:r w:rsidR="00CD3937">
              <w:t>relevantno</w:t>
            </w:r>
            <w:r w:rsidR="00CD3937">
              <w:t xml:space="preserve"> </w:t>
            </w:r>
            <w:r>
              <w:t xml:space="preserve">tržište smatra regionalnim. </w:t>
            </w:r>
          </w:p>
          <w:p w14:paraId="31893031" w14:textId="5397FE09" w:rsidR="00393915" w:rsidRDefault="00F24D68">
            <w:pPr>
              <w:pStyle w:val="P68B1DB1-TableParagraph33"/>
              <w:spacing w:before="108"/>
              <w:jc w:val="both"/>
            </w:pPr>
            <w:r>
              <w:t xml:space="preserve">Broj država članica EU-a u kojima izvještajni subjekt ima tržišni udio veći od 2 % (izražen u vrijednosti plaćanja, vrijednosnih papira ili gotovinskih transakcija, otvorenih pozicija klijenata u središnjim drugim ugovornim stranama ili ukupne imovine pod skrbništvom). </w:t>
            </w:r>
            <w:r>
              <w:t>Izv</w:t>
            </w:r>
            <w:r w:rsidR="00CD3937">
              <w:t>i</w:t>
            </w:r>
            <w:r>
              <w:t>je</w:t>
            </w:r>
            <w:r w:rsidR="00CD3937">
              <w:t>stiti</w:t>
            </w:r>
            <w:r>
              <w:t xml:space="preserve">: </w:t>
            </w:r>
          </w:p>
          <w:p w14:paraId="58BCAA6E" w14:textId="08F9949C" w:rsidR="00393915" w:rsidRDefault="00F24D68">
            <w:pPr>
              <w:pStyle w:val="P68B1DB1-TableParagraph33"/>
              <w:numPr>
                <w:ilvl w:val="0"/>
                <w:numId w:val="282"/>
              </w:numPr>
              <w:spacing w:before="108"/>
              <w:jc w:val="both"/>
            </w:pPr>
            <w:r>
              <w:t xml:space="preserve">≤ 1 </w:t>
            </w:r>
            <w:r w:rsidR="00CD3937">
              <w:t>držav</w:t>
            </w:r>
            <w:r w:rsidR="00726AB5">
              <w:t>a</w:t>
            </w:r>
            <w:r>
              <w:t xml:space="preserve">; </w:t>
            </w:r>
          </w:p>
          <w:p w14:paraId="5B55A7F9" w14:textId="0EF41DBC" w:rsidR="00393915" w:rsidRDefault="00F24D68">
            <w:pPr>
              <w:pStyle w:val="P68B1DB1-TableParagraph33"/>
              <w:numPr>
                <w:ilvl w:val="0"/>
                <w:numId w:val="282"/>
              </w:numPr>
              <w:spacing w:before="108"/>
              <w:jc w:val="both"/>
            </w:pPr>
            <w:r>
              <w:t>2 – 3 države</w:t>
            </w:r>
            <w:r w:rsidR="00CD3937">
              <w:t>;</w:t>
            </w:r>
            <w:r>
              <w:t xml:space="preserve"> </w:t>
            </w:r>
          </w:p>
          <w:p w14:paraId="6A334CED" w14:textId="46257390" w:rsidR="00393915" w:rsidRDefault="00F24D68">
            <w:pPr>
              <w:pStyle w:val="P68B1DB1-TableParagraph33"/>
              <w:numPr>
                <w:ilvl w:val="0"/>
                <w:numId w:val="282"/>
              </w:numPr>
              <w:spacing w:before="108"/>
              <w:jc w:val="both"/>
            </w:pPr>
            <w:r>
              <w:t xml:space="preserve">4 – 5 </w:t>
            </w:r>
            <w:r w:rsidR="00CD3937">
              <w:t>država</w:t>
            </w:r>
            <w:r>
              <w:t xml:space="preserve">; </w:t>
            </w:r>
          </w:p>
          <w:p w14:paraId="4D1B0AB8" w14:textId="25CF32FB" w:rsidR="00393915" w:rsidRDefault="00F24D68">
            <w:pPr>
              <w:pStyle w:val="P68B1DB1-TableParagraph33"/>
              <w:numPr>
                <w:ilvl w:val="0"/>
                <w:numId w:val="282"/>
              </w:numPr>
              <w:spacing w:before="108"/>
              <w:jc w:val="both"/>
            </w:pPr>
            <w:r>
              <w:t xml:space="preserve">&gt; 5 </w:t>
            </w:r>
            <w:r w:rsidR="00CD3937">
              <w:t>država</w:t>
            </w:r>
            <w:r>
              <w:t xml:space="preserve">, </w:t>
            </w:r>
          </w:p>
          <w:p w14:paraId="7FE1BBED" w14:textId="6A2A41A1" w:rsidR="00393915" w:rsidRDefault="00F24D68">
            <w:pPr>
              <w:pStyle w:val="P68B1DB1-TableParagraph33"/>
              <w:spacing w:before="108"/>
              <w:jc w:val="both"/>
              <w:rPr>
                <w:rFonts w:cs="Times New Roman"/>
                <w:color w:val="000000" w:themeColor="text1"/>
              </w:rPr>
            </w:pPr>
            <w:r>
              <w:t xml:space="preserve"> </w:t>
            </w:r>
          </w:p>
        </w:tc>
      </w:tr>
      <w:tr w:rsidR="00393915" w14:paraId="7FE1BBFD" w14:textId="77777777">
        <w:tc>
          <w:tcPr>
            <w:tcW w:w="1080" w:type="dxa"/>
            <w:tcBorders>
              <w:top w:val="single" w:sz="4" w:space="0" w:color="1A171C"/>
              <w:left w:val="nil"/>
              <w:bottom w:val="single" w:sz="4" w:space="0" w:color="1A171C"/>
              <w:right w:val="single" w:sz="4" w:space="0" w:color="1A171C"/>
            </w:tcBorders>
            <w:vAlign w:val="center"/>
          </w:tcPr>
          <w:p w14:paraId="7FE1BBEF" w14:textId="77777777" w:rsidR="00393915" w:rsidRDefault="00F24D68">
            <w:pPr>
              <w:pStyle w:val="P68B1DB1-TableParagraph17"/>
              <w:spacing w:before="108"/>
              <w:jc w:val="both"/>
            </w:pPr>
            <w:r>
              <w:t>0150</w:t>
            </w:r>
          </w:p>
        </w:tc>
        <w:tc>
          <w:tcPr>
            <w:tcW w:w="8003" w:type="dxa"/>
            <w:tcBorders>
              <w:top w:val="single" w:sz="4" w:space="0" w:color="1A171C"/>
              <w:left w:val="single" w:sz="4" w:space="0" w:color="1A171C"/>
              <w:bottom w:val="single" w:sz="4" w:space="0" w:color="1A171C"/>
              <w:right w:val="nil"/>
            </w:tcBorders>
            <w:vAlign w:val="center"/>
          </w:tcPr>
          <w:p w14:paraId="7FE1BBF0" w14:textId="77777777" w:rsidR="00393915" w:rsidRDefault="00F24D68">
            <w:pPr>
              <w:pStyle w:val="P68B1DB1-TableParagraph14"/>
              <w:spacing w:before="108"/>
              <w:jc w:val="both"/>
              <w:rPr>
                <w:bCs/>
              </w:rPr>
            </w:pPr>
            <w:r>
              <w:t xml:space="preserve">Važnost — </w:t>
            </w:r>
          </w:p>
          <w:p w14:paraId="7FE1BBF1" w14:textId="77777777" w:rsidR="00393915" w:rsidRDefault="00F24D68">
            <w:pPr>
              <w:pStyle w:val="P68B1DB1-TableParagraph13"/>
              <w:spacing w:before="108"/>
              <w:jc w:val="both"/>
            </w:pPr>
            <w:r>
              <w:t>Na lokalnoj, regionalnoj, nacionalnoj ili europskoj razini, ovisno o predmetnom tržištu. Važnost institucije može se procijeniti na temelju tržišnog udjela, međusobne povezanosti, složenosti i prekograničnih aktivnosti.</w:t>
            </w:r>
          </w:p>
          <w:p w14:paraId="7FE1BBF2" w14:textId="77777777" w:rsidR="00393915" w:rsidRDefault="00F24D68">
            <w:pPr>
              <w:pStyle w:val="P68B1DB1-TableParagraph14"/>
              <w:spacing w:before="108"/>
              <w:jc w:val="both"/>
              <w:rPr>
                <w:bCs/>
              </w:rPr>
            </w:pPr>
            <w:r>
              <w:t>Tržišni udio</w:t>
            </w:r>
          </w:p>
          <w:p w14:paraId="30AC503F" w14:textId="77777777" w:rsidR="00393915" w:rsidRDefault="00F24D68">
            <w:pPr>
              <w:pStyle w:val="P68B1DB1-Normal31"/>
              <w:spacing w:line="276" w:lineRule="auto"/>
              <w:jc w:val="both"/>
            </w:pPr>
            <w:r>
              <w:t xml:space="preserve">Procijeniti koliko je važan tržišni udio subjekta koji izvješćuje, u usporedbi s nacionalnim ili drugim relevantnim tržištem, kako je navedeno u obrascu. Ta je procjena kvalitativno izražena kao </w:t>
            </w:r>
          </w:p>
          <w:p w14:paraId="5D8F45F8" w14:textId="77777777" w:rsidR="00393915" w:rsidRDefault="00F24D68">
            <w:pPr>
              <w:pStyle w:val="P68B1DB1-ListParagraph32"/>
              <w:numPr>
                <w:ilvl w:val="0"/>
                <w:numId w:val="276"/>
              </w:numPr>
              <w:spacing w:line="276" w:lineRule="auto"/>
              <w:jc w:val="both"/>
            </w:pPr>
            <w:r>
              <w:t>Visok, ako je tržišni udio velik</w:t>
            </w:r>
          </w:p>
          <w:p w14:paraId="5C7C2710" w14:textId="77777777" w:rsidR="00393915" w:rsidRDefault="00F24D68">
            <w:pPr>
              <w:pStyle w:val="P68B1DB1-ListParagraph32"/>
              <w:numPr>
                <w:ilvl w:val="0"/>
                <w:numId w:val="276"/>
              </w:numPr>
              <w:spacing w:line="276" w:lineRule="auto"/>
              <w:jc w:val="both"/>
            </w:pPr>
            <w:r>
              <w:t>Srednje visoki, ako je tržišni udio srednje visok</w:t>
            </w:r>
          </w:p>
          <w:p w14:paraId="21F38734" w14:textId="18E38E98" w:rsidR="00393915" w:rsidRDefault="00F24D68">
            <w:pPr>
              <w:pStyle w:val="P68B1DB1-ListParagraph32"/>
              <w:numPr>
                <w:ilvl w:val="0"/>
                <w:numId w:val="276"/>
              </w:numPr>
              <w:spacing w:line="276" w:lineRule="auto"/>
              <w:jc w:val="both"/>
            </w:pPr>
            <w:r>
              <w:t xml:space="preserve">Srednje </w:t>
            </w:r>
            <w:r w:rsidR="00726AB5">
              <w:t>nizak</w:t>
            </w:r>
            <w:r>
              <w:t xml:space="preserve">, ako je tržišni udio malen ili </w:t>
            </w:r>
          </w:p>
          <w:p w14:paraId="16968912" w14:textId="77777777" w:rsidR="00393915" w:rsidRDefault="00F24D68">
            <w:pPr>
              <w:pStyle w:val="P68B1DB1-ListParagraph32"/>
              <w:numPr>
                <w:ilvl w:val="0"/>
                <w:numId w:val="276"/>
              </w:numPr>
              <w:spacing w:line="276" w:lineRule="auto"/>
              <w:jc w:val="both"/>
            </w:pPr>
            <w:r>
              <w:t xml:space="preserve">Nizak, ako je tržišni udio zanemariv. </w:t>
            </w:r>
          </w:p>
          <w:p w14:paraId="7FE1BBF7" w14:textId="3931B1D9" w:rsidR="00393915" w:rsidRDefault="00393915">
            <w:pPr>
              <w:pStyle w:val="ListParagraph"/>
              <w:spacing w:line="276" w:lineRule="auto"/>
              <w:jc w:val="both"/>
              <w:rPr>
                <w:rFonts w:ascii="Times New Roman" w:eastAsiaTheme="minorHAnsi" w:hAnsi="Times New Roman"/>
                <w:color w:val="000000" w:themeColor="text1"/>
                <w:sz w:val="20"/>
                <w:szCs w:val="20"/>
              </w:rPr>
            </w:pPr>
          </w:p>
          <w:p w14:paraId="7FE1BBF8" w14:textId="6CE214AA" w:rsidR="00393915" w:rsidRDefault="00F24D68">
            <w:pPr>
              <w:pStyle w:val="P68B1DB1-TableParagraph13"/>
              <w:spacing w:before="108"/>
              <w:jc w:val="both"/>
            </w:pPr>
            <w:r>
              <w:lastRenderedPageBreak/>
              <w:t xml:space="preserve">Tom se procjenom uzima u obzir tržišna struktura zemlje izvještajnog subjekta (ili drugog </w:t>
            </w:r>
            <w:r w:rsidR="003E048C">
              <w:t>relevantnog</w:t>
            </w:r>
            <w:r w:rsidR="003E048C">
              <w:t xml:space="preserve"> </w:t>
            </w:r>
            <w:r>
              <w:t xml:space="preserve">tržišta) i tržišni udjeli o kojima se izvješćuje djelomično. </w:t>
            </w:r>
          </w:p>
          <w:p w14:paraId="7FE1BBF9" w14:textId="77777777" w:rsidR="00393915" w:rsidRDefault="00F24D68">
            <w:pPr>
              <w:pStyle w:val="P68B1DB1-TableParagraph13"/>
              <w:spacing w:before="108"/>
              <w:jc w:val="both"/>
            </w:pPr>
            <w:r>
              <w:t>2.Kvantitativni podaci:</w:t>
            </w:r>
          </w:p>
          <w:p w14:paraId="7FE1BBFA" w14:textId="383FA77C" w:rsidR="00393915" w:rsidRDefault="00F24D68">
            <w:pPr>
              <w:pStyle w:val="P68B1DB1-ListParagraph32"/>
              <w:numPr>
                <w:ilvl w:val="0"/>
                <w:numId w:val="117"/>
              </w:numPr>
              <w:jc w:val="both"/>
              <w:rPr>
                <w:i/>
                <w:iCs/>
              </w:rPr>
            </w:pPr>
            <w:r>
              <w:t xml:space="preserve">Stručna prosudba o veličini </w:t>
            </w:r>
            <w:r>
              <w:rPr>
                <w:b/>
              </w:rPr>
              <w:t xml:space="preserve">nacionalnog </w:t>
            </w:r>
            <w:r>
              <w:t xml:space="preserve">tržišnog udjela (navedena u c0020, osim u slučajevima kada se izvješće dostavlja za različitu razinu </w:t>
            </w:r>
            <w:r w:rsidR="003E048C">
              <w:t>relevantnog</w:t>
            </w:r>
            <w:r w:rsidR="003E048C">
              <w:t xml:space="preserve"> </w:t>
            </w:r>
            <w:r>
              <w:t>tržišta, u kojem se slučaju očekuje procjena relevantnog tržišnog udjela).</w:t>
            </w:r>
          </w:p>
          <w:p w14:paraId="7FE1BBFB" w14:textId="77777777" w:rsidR="00393915" w:rsidRDefault="00393915">
            <w:pPr>
              <w:pStyle w:val="TableParagraph"/>
              <w:spacing w:before="108"/>
              <w:jc w:val="both"/>
              <w:rPr>
                <w:rFonts w:ascii="Times New Roman" w:hAnsi="Times New Roman" w:cs="Times New Roman"/>
                <w:color w:val="000000" w:themeColor="text1"/>
                <w:sz w:val="20"/>
                <w:szCs w:val="20"/>
              </w:rPr>
            </w:pPr>
          </w:p>
          <w:p w14:paraId="7FE1BBFC" w14:textId="77777777" w:rsidR="00393915" w:rsidRDefault="00393915">
            <w:pPr>
              <w:pStyle w:val="TableParagraph"/>
              <w:spacing w:before="108"/>
              <w:jc w:val="both"/>
              <w:rPr>
                <w:rFonts w:ascii="Times New Roman" w:hAnsi="Times New Roman" w:cs="Times New Roman"/>
                <w:color w:val="000000" w:themeColor="text1"/>
                <w:sz w:val="20"/>
                <w:szCs w:val="20"/>
              </w:rPr>
            </w:pPr>
          </w:p>
        </w:tc>
      </w:tr>
      <w:tr w:rsidR="00393915" w14:paraId="7FE1BC09" w14:textId="77777777">
        <w:tc>
          <w:tcPr>
            <w:tcW w:w="1080" w:type="dxa"/>
            <w:tcBorders>
              <w:top w:val="single" w:sz="4" w:space="0" w:color="1A171C"/>
              <w:left w:val="nil"/>
              <w:bottom w:val="single" w:sz="4" w:space="0" w:color="1A171C"/>
              <w:right w:val="single" w:sz="4" w:space="0" w:color="1A171C"/>
            </w:tcBorders>
            <w:vAlign w:val="center"/>
          </w:tcPr>
          <w:p w14:paraId="7FE1BBFE" w14:textId="77777777" w:rsidR="00393915" w:rsidRDefault="00F24D68">
            <w:pPr>
              <w:pStyle w:val="P68B1DB1-TableParagraph17"/>
              <w:spacing w:before="108"/>
              <w:jc w:val="both"/>
            </w:pPr>
            <w:r>
              <w:lastRenderedPageBreak/>
              <w:t>0160</w:t>
            </w:r>
          </w:p>
        </w:tc>
        <w:tc>
          <w:tcPr>
            <w:tcW w:w="8003" w:type="dxa"/>
            <w:tcBorders>
              <w:top w:val="single" w:sz="4" w:space="0" w:color="1A171C"/>
              <w:left w:val="single" w:sz="4" w:space="0" w:color="1A171C"/>
              <w:bottom w:val="single" w:sz="4" w:space="0" w:color="1A171C"/>
              <w:right w:val="nil"/>
            </w:tcBorders>
            <w:vAlign w:val="center"/>
          </w:tcPr>
          <w:p w14:paraId="7FE1BBFF" w14:textId="77777777" w:rsidR="00393915" w:rsidRDefault="00F24D68">
            <w:pPr>
              <w:pStyle w:val="P68B1DB1-TableParagraph14"/>
              <w:spacing w:before="108"/>
              <w:jc w:val="both"/>
              <w:rPr>
                <w:bCs/>
              </w:rPr>
            </w:pPr>
            <w:r>
              <w:t>Struktura tržišta – koncentracija na tržištu</w:t>
            </w:r>
          </w:p>
          <w:p w14:paraId="7FE1BC00" w14:textId="7D08FEE9" w:rsidR="00393915" w:rsidRDefault="00F24D68">
            <w:pPr>
              <w:pStyle w:val="P68B1DB1-TableParagraph13"/>
              <w:spacing w:before="108"/>
              <w:jc w:val="both"/>
            </w:pPr>
            <w:r>
              <w:t xml:space="preserve">Koncentracija na tržištu, mjerena brojem konkurenata koji trenutačno </w:t>
            </w:r>
            <w:r w:rsidR="003E048C">
              <w:t>pružaju</w:t>
            </w:r>
          </w:p>
          <w:p w14:paraId="7FE1BC01" w14:textId="5D2819B1" w:rsidR="00393915" w:rsidRDefault="00F24D68">
            <w:pPr>
              <w:pStyle w:val="P68B1DB1-TableParagraph13"/>
              <w:spacing w:before="108"/>
              <w:jc w:val="both"/>
            </w:pPr>
            <w:r>
              <w:t xml:space="preserve">slične </w:t>
            </w:r>
            <w:r w:rsidR="003E048C">
              <w:t>ekonomske</w:t>
            </w:r>
            <w:r w:rsidR="003E048C">
              <w:t xml:space="preserve"> </w:t>
            </w:r>
            <w:r>
              <w:t xml:space="preserve">funkcije i/ili pružanje sličnih usluga pod jednakim uvjetima (tj. </w:t>
            </w:r>
            <w:r w:rsidR="003E048C">
              <w:t>u</w:t>
            </w:r>
          </w:p>
          <w:p w14:paraId="7FE1BC02" w14:textId="3A620BC8" w:rsidR="00393915" w:rsidRDefault="00F24D68">
            <w:pPr>
              <w:pStyle w:val="P68B1DB1-TableParagraph13"/>
              <w:spacing w:before="108"/>
              <w:jc w:val="both"/>
            </w:pPr>
            <w:r>
              <w:t>usporediv</w:t>
            </w:r>
            <w:r w:rsidR="003E048C">
              <w:t>om</w:t>
            </w:r>
            <w:r>
              <w:t xml:space="preserve"> opseg</w:t>
            </w:r>
            <w:r w:rsidR="003E048C">
              <w:t>u</w:t>
            </w:r>
            <w:r>
              <w:t xml:space="preserve"> i </w:t>
            </w:r>
            <w:r>
              <w:t>kvalitet</w:t>
            </w:r>
            <w:r w:rsidR="003E048C">
              <w:t>eti</w:t>
            </w:r>
            <w:r>
              <w:t xml:space="preserve"> te uz usporedive troškove) koji bi mogli preuzeti </w:t>
            </w:r>
          </w:p>
          <w:p w14:paraId="7FE1BC03" w14:textId="77777777" w:rsidR="00393915" w:rsidRDefault="00F24D68">
            <w:pPr>
              <w:pStyle w:val="P68B1DB1-TableParagraph13"/>
              <w:spacing w:before="108"/>
              <w:jc w:val="both"/>
            </w:pPr>
            <w:r>
              <w:t xml:space="preserve">(dio) klijenata i/ili poslovanja izvještajnog subjekta u razumnom roku. </w:t>
            </w:r>
          </w:p>
          <w:p w14:paraId="7FE1BC04" w14:textId="77777777" w:rsidR="00393915" w:rsidRDefault="00F24D68">
            <w:pPr>
              <w:pStyle w:val="P68B1DB1-TableParagraph13"/>
              <w:spacing w:before="108"/>
              <w:jc w:val="both"/>
            </w:pPr>
            <w:r>
              <w:t xml:space="preserve">To je potrebno iskazati u razdobljima koja su jednaka za svaku podfunkciju. </w:t>
            </w:r>
          </w:p>
          <w:p w14:paraId="4C2F14CB" w14:textId="77777777" w:rsidR="00393915" w:rsidRDefault="00F24D68">
            <w:pPr>
              <w:pStyle w:val="P68B1DB1-ListParagraph32"/>
              <w:numPr>
                <w:ilvl w:val="0"/>
                <w:numId w:val="277"/>
              </w:numPr>
              <w:jc w:val="both"/>
            </w:pPr>
            <w:r>
              <w:t xml:space="preserve">&gt; 20 konkurenata; </w:t>
            </w:r>
          </w:p>
          <w:p w14:paraId="453D853E" w14:textId="77777777" w:rsidR="00393915" w:rsidRDefault="00F24D68">
            <w:pPr>
              <w:pStyle w:val="P68B1DB1-ListParagraph32"/>
              <w:numPr>
                <w:ilvl w:val="0"/>
                <w:numId w:val="277"/>
              </w:numPr>
              <w:jc w:val="both"/>
            </w:pPr>
            <w:r>
              <w:t xml:space="preserve">11 – 20 konkurenata; </w:t>
            </w:r>
          </w:p>
          <w:p w14:paraId="642D6421" w14:textId="77777777" w:rsidR="00393915" w:rsidRDefault="00F24D68">
            <w:pPr>
              <w:pStyle w:val="P68B1DB1-ListParagraph32"/>
              <w:numPr>
                <w:ilvl w:val="0"/>
                <w:numId w:val="277"/>
              </w:numPr>
              <w:jc w:val="both"/>
            </w:pPr>
            <w:r>
              <w:t xml:space="preserve">5 – 10 konkurenata, </w:t>
            </w:r>
          </w:p>
          <w:p w14:paraId="3C672034" w14:textId="3FE02A3F" w:rsidR="00393915" w:rsidRDefault="003E048C">
            <w:pPr>
              <w:pStyle w:val="P68B1DB1-ListParagraph32"/>
              <w:numPr>
                <w:ilvl w:val="0"/>
                <w:numId w:val="277"/>
              </w:numPr>
              <w:jc w:val="both"/>
              <w:rPr>
                <w:b/>
                <w:bCs/>
                <w:color w:val="000000" w:themeColor="text1"/>
              </w:rPr>
            </w:pPr>
            <w:r>
              <w:t>&lt;</w:t>
            </w:r>
            <w:r w:rsidR="00F24D68">
              <w:t xml:space="preserve">5 </w:t>
            </w:r>
            <w:r w:rsidR="00F24D68">
              <w:t>konkurent</w:t>
            </w:r>
            <w:r>
              <w:t>a</w:t>
            </w:r>
          </w:p>
          <w:p w14:paraId="7FE1BC08" w14:textId="3B09659F" w:rsidR="00393915" w:rsidRDefault="00393915">
            <w:pPr>
              <w:jc w:val="both"/>
              <w:rPr>
                <w:rFonts w:ascii="Times New Roman" w:hAnsi="Times New Roman"/>
                <w:color w:val="000000" w:themeColor="text1"/>
                <w:sz w:val="20"/>
                <w:szCs w:val="20"/>
              </w:rPr>
            </w:pPr>
          </w:p>
        </w:tc>
      </w:tr>
      <w:tr w:rsidR="00393915" w14:paraId="7FE1BC19" w14:textId="77777777">
        <w:tc>
          <w:tcPr>
            <w:tcW w:w="1080" w:type="dxa"/>
            <w:tcBorders>
              <w:top w:val="single" w:sz="4" w:space="0" w:color="1A171C"/>
              <w:left w:val="nil"/>
              <w:bottom w:val="single" w:sz="4" w:space="0" w:color="1A171C"/>
              <w:right w:val="single" w:sz="4" w:space="0" w:color="1A171C"/>
            </w:tcBorders>
            <w:vAlign w:val="center"/>
          </w:tcPr>
          <w:p w14:paraId="7FE1BC0A" w14:textId="77777777" w:rsidR="00393915" w:rsidRDefault="00F24D68">
            <w:pPr>
              <w:pStyle w:val="P68B1DB1-TableParagraph17"/>
              <w:spacing w:before="108"/>
              <w:jc w:val="both"/>
            </w:pPr>
            <w:r>
              <w:t>0170</w:t>
            </w:r>
          </w:p>
        </w:tc>
        <w:tc>
          <w:tcPr>
            <w:tcW w:w="8003" w:type="dxa"/>
            <w:tcBorders>
              <w:top w:val="single" w:sz="4" w:space="0" w:color="1A171C"/>
              <w:left w:val="single" w:sz="4" w:space="0" w:color="1A171C"/>
              <w:bottom w:val="single" w:sz="4" w:space="0" w:color="1A171C"/>
              <w:right w:val="nil"/>
            </w:tcBorders>
            <w:vAlign w:val="center"/>
          </w:tcPr>
          <w:p w14:paraId="7FE1BC0B" w14:textId="15C1768D" w:rsidR="00393915" w:rsidRDefault="00F24D68">
            <w:pPr>
              <w:pStyle w:val="P68B1DB1-TableParagraph14"/>
              <w:spacing w:before="108"/>
              <w:jc w:val="both"/>
              <w:rPr>
                <w:bCs/>
              </w:rPr>
            </w:pPr>
            <w:r>
              <w:t xml:space="preserve">Vrijeme – Očekivano vrijeme </w:t>
            </w:r>
            <w:r w:rsidR="00946688">
              <w:t xml:space="preserve">za </w:t>
            </w:r>
            <w:r>
              <w:t>zamjen</w:t>
            </w:r>
            <w:r w:rsidR="00946688">
              <w:t>u</w:t>
            </w:r>
          </w:p>
          <w:p w14:paraId="7FE1BC0D" w14:textId="4F1278E5" w:rsidR="00393915" w:rsidRDefault="00F24D68">
            <w:pPr>
              <w:pStyle w:val="P68B1DB1-TableParagraph13"/>
              <w:spacing w:before="108"/>
              <w:jc w:val="both"/>
            </w:pPr>
            <w:r>
              <w:t xml:space="preserve">Procijeniti vrijeme potrebno </w:t>
            </w:r>
            <w:r w:rsidR="00946688">
              <w:t>da</w:t>
            </w:r>
            <w:r>
              <w:t xml:space="preserve"> </w:t>
            </w:r>
            <w:r w:rsidR="00946688">
              <w:t xml:space="preserve">ekonomsku </w:t>
            </w:r>
            <w:r>
              <w:t>funkcij</w:t>
            </w:r>
            <w:r w:rsidR="00946688">
              <w:t xml:space="preserve">u koju pruža izvještajni </w:t>
            </w:r>
            <w:r>
              <w:t xml:space="preserve">subjekt </w:t>
            </w:r>
            <w:r>
              <w:t>koji će</w:t>
            </w:r>
            <w:r w:rsidR="00946688">
              <w:t xml:space="preserve"> tržište </w:t>
            </w:r>
            <w:r>
              <w:t xml:space="preserve">u kriznoj situaciji. </w:t>
            </w:r>
            <w:r w:rsidR="00946688">
              <w:t>T</w:t>
            </w:r>
            <w:r>
              <w:t>o</w:t>
            </w:r>
            <w:r>
              <w:t xml:space="preserve"> uključuje: </w:t>
            </w:r>
          </w:p>
          <w:p w14:paraId="7FE1BC0E" w14:textId="77777777" w:rsidR="00393915" w:rsidRDefault="00F24D68">
            <w:pPr>
              <w:pStyle w:val="P68B1DB1-ListParagraph38"/>
              <w:numPr>
                <w:ilvl w:val="0"/>
                <w:numId w:val="274"/>
              </w:numPr>
              <w:jc w:val="both"/>
            </w:pPr>
            <w:r>
              <w:t xml:space="preserve">očekivano vrijeme koje je jednom konkurentu ili više njih potrebno za provedbu pravnih i tehničkih koraka za preuzimanje funkcije; kao i  </w:t>
            </w:r>
          </w:p>
          <w:p w14:paraId="7FE1BC0F" w14:textId="77777777" w:rsidR="00393915" w:rsidRDefault="00F24D68">
            <w:pPr>
              <w:pStyle w:val="P68B1DB1-ListParagraph38"/>
              <w:numPr>
                <w:ilvl w:val="0"/>
                <w:numId w:val="274"/>
              </w:numPr>
              <w:jc w:val="both"/>
            </w:pPr>
            <w:r>
              <w:t xml:space="preserve">vrijeme koje je korisnicima usluge potrebno za prelazak na drugog pružatelja usluga. </w:t>
            </w:r>
          </w:p>
          <w:p w14:paraId="7FE1BC10" w14:textId="77777777" w:rsidR="00393915" w:rsidRDefault="00393915">
            <w:pPr>
              <w:pStyle w:val="TableParagraph"/>
              <w:spacing w:before="108"/>
              <w:jc w:val="both"/>
              <w:rPr>
                <w:rFonts w:ascii="Times New Roman" w:hAnsi="Times New Roman" w:cs="Times New Roman"/>
                <w:color w:val="000000" w:themeColor="text1"/>
                <w:sz w:val="20"/>
                <w:szCs w:val="20"/>
              </w:rPr>
            </w:pPr>
          </w:p>
          <w:p w14:paraId="7FE1BC11" w14:textId="3A23ED2B" w:rsidR="00393915" w:rsidRDefault="00F24D68">
            <w:pPr>
              <w:pStyle w:val="P68B1DB1-TableParagraph13"/>
              <w:spacing w:before="108"/>
              <w:jc w:val="both"/>
            </w:pPr>
            <w:r>
              <w:t xml:space="preserve">Kao </w:t>
            </w:r>
            <w:r w:rsidR="00441ECA">
              <w:t>aproksimativna</w:t>
            </w:r>
            <w:r w:rsidR="00441ECA">
              <w:t xml:space="preserve"> </w:t>
            </w:r>
            <w:r>
              <w:t xml:space="preserve">vrijednost za prethodno navedeno, navedite procjenu vremena koje bi izvještajnom subjektu trebalo da u svoje poslovanje </w:t>
            </w:r>
            <w:r w:rsidR="00441ECA">
              <w:t xml:space="preserve">apsorbira </w:t>
            </w:r>
            <w:r>
              <w:t xml:space="preserve">uslugu </w:t>
            </w:r>
            <w:r w:rsidR="00441ECA">
              <w:t>(ili dio)</w:t>
            </w:r>
            <w:r>
              <w:t xml:space="preserve"> </w:t>
            </w:r>
            <w:r>
              <w:t>koju pruža druga institucija, uz razuman trošak, u kriznoj situaciji. Navodi se procijenjeno vrijeme potrebno za zamjenu u razredima iz predloška:</w:t>
            </w:r>
          </w:p>
          <w:p w14:paraId="7FE1BC12" w14:textId="77777777" w:rsidR="00393915" w:rsidRDefault="00393915">
            <w:pPr>
              <w:jc w:val="both"/>
              <w:rPr>
                <w:rFonts w:ascii="Times New Roman" w:eastAsia="Times New Roman" w:hAnsi="Times New Roman" w:cs="Times New Roman"/>
                <w:sz w:val="20"/>
                <w:szCs w:val="20"/>
              </w:rPr>
            </w:pPr>
          </w:p>
          <w:p w14:paraId="7FE1BC13" w14:textId="77777777" w:rsidR="00393915" w:rsidRDefault="00F24D68">
            <w:pPr>
              <w:pStyle w:val="P68B1DB1-Normal31"/>
              <w:jc w:val="both"/>
            </w:pPr>
            <w:bookmarkStart w:id="119" w:name="_Hlk194476081"/>
            <w:r>
              <w:t xml:space="preserve">Razredi: </w:t>
            </w:r>
          </w:p>
          <w:p w14:paraId="7FE1BC14" w14:textId="0F4E5507" w:rsidR="00393915" w:rsidRDefault="00441ECA">
            <w:pPr>
              <w:pStyle w:val="P68B1DB1-ListParagraph32"/>
              <w:numPr>
                <w:ilvl w:val="0"/>
                <w:numId w:val="284"/>
              </w:numPr>
              <w:jc w:val="both"/>
            </w:pPr>
            <w:r>
              <w:t>&lt;</w:t>
            </w:r>
            <w:r w:rsidR="00F24D68">
              <w:t xml:space="preserve"> 1 dan; </w:t>
            </w:r>
          </w:p>
          <w:p w14:paraId="7FE1BC15" w14:textId="15883A0D" w:rsidR="00393915" w:rsidRDefault="00F24D68">
            <w:pPr>
              <w:pStyle w:val="P68B1DB1-ListParagraph32"/>
              <w:numPr>
                <w:ilvl w:val="0"/>
                <w:numId w:val="284"/>
              </w:numPr>
              <w:jc w:val="both"/>
            </w:pPr>
            <w:r>
              <w:t xml:space="preserve">1 – 2 dana; </w:t>
            </w:r>
          </w:p>
          <w:p w14:paraId="7FE1BC16" w14:textId="0B950876" w:rsidR="00393915" w:rsidRDefault="00F24D68">
            <w:pPr>
              <w:pStyle w:val="P68B1DB1-ListParagraph32"/>
              <w:numPr>
                <w:ilvl w:val="0"/>
                <w:numId w:val="284"/>
              </w:numPr>
              <w:jc w:val="both"/>
            </w:pPr>
            <w:r>
              <w:t xml:space="preserve">&gt; 2 dana ≤ 1 tjedan </w:t>
            </w:r>
          </w:p>
          <w:p w14:paraId="7FE1BC17" w14:textId="0973D87D" w:rsidR="00393915" w:rsidRDefault="00F24D68">
            <w:pPr>
              <w:pStyle w:val="P68B1DB1-ListParagraph32"/>
              <w:numPr>
                <w:ilvl w:val="0"/>
                <w:numId w:val="284"/>
              </w:numPr>
              <w:jc w:val="both"/>
            </w:pPr>
            <w:r>
              <w:t xml:space="preserve">&gt; 1 tjedan </w:t>
            </w:r>
          </w:p>
          <w:bookmarkEnd w:id="119"/>
          <w:p w14:paraId="7FE1BC18" w14:textId="77777777" w:rsidR="00393915" w:rsidRDefault="00393915">
            <w:pPr>
              <w:pStyle w:val="TableParagraph"/>
              <w:spacing w:before="108"/>
              <w:jc w:val="both"/>
              <w:rPr>
                <w:rFonts w:ascii="Times New Roman" w:hAnsi="Times New Roman" w:cs="Times New Roman"/>
                <w:color w:val="000000" w:themeColor="text1"/>
                <w:sz w:val="20"/>
                <w:szCs w:val="20"/>
              </w:rPr>
            </w:pPr>
          </w:p>
        </w:tc>
      </w:tr>
      <w:tr w:rsidR="00393915" w14:paraId="7FE1BC1C" w14:textId="77777777">
        <w:tc>
          <w:tcPr>
            <w:tcW w:w="1080" w:type="dxa"/>
            <w:tcBorders>
              <w:top w:val="single" w:sz="4" w:space="0" w:color="1A171C"/>
              <w:left w:val="nil"/>
              <w:bottom w:val="single" w:sz="4" w:space="0" w:color="1A171C"/>
              <w:right w:val="single" w:sz="4" w:space="0" w:color="1A171C"/>
            </w:tcBorders>
            <w:vAlign w:val="center"/>
          </w:tcPr>
          <w:p w14:paraId="7FE1BC1A" w14:textId="77777777" w:rsidR="00393915" w:rsidRDefault="00F24D68">
            <w:pPr>
              <w:pStyle w:val="P68B1DB1-TableParagraph17"/>
              <w:spacing w:before="108"/>
              <w:jc w:val="both"/>
            </w:pPr>
            <w:r>
              <w:t>0180 – 0190</w:t>
            </w:r>
          </w:p>
        </w:tc>
        <w:tc>
          <w:tcPr>
            <w:tcW w:w="8003" w:type="dxa"/>
            <w:tcBorders>
              <w:top w:val="single" w:sz="4" w:space="0" w:color="1A171C"/>
              <w:left w:val="single" w:sz="4" w:space="0" w:color="1A171C"/>
              <w:bottom w:val="single" w:sz="4" w:space="0" w:color="1A171C"/>
              <w:right w:val="nil"/>
            </w:tcBorders>
            <w:vAlign w:val="center"/>
          </w:tcPr>
          <w:p w14:paraId="7FE1BC1B" w14:textId="77777777" w:rsidR="00393915" w:rsidRDefault="00F24D68">
            <w:pPr>
              <w:pStyle w:val="P68B1DB1-TableParagraph14"/>
              <w:spacing w:before="108"/>
              <w:jc w:val="both"/>
              <w:rPr>
                <w:bCs/>
              </w:rPr>
            </w:pPr>
            <w:r>
              <w:t>Mogućnost zamjene</w:t>
            </w:r>
          </w:p>
        </w:tc>
      </w:tr>
      <w:tr w:rsidR="00393915" w14:paraId="7FE1BC26" w14:textId="77777777">
        <w:tc>
          <w:tcPr>
            <w:tcW w:w="1080" w:type="dxa"/>
            <w:tcBorders>
              <w:top w:val="single" w:sz="4" w:space="0" w:color="1A171C"/>
              <w:left w:val="nil"/>
              <w:bottom w:val="single" w:sz="4" w:space="0" w:color="1A171C"/>
              <w:right w:val="single" w:sz="4" w:space="0" w:color="1A171C"/>
            </w:tcBorders>
            <w:vAlign w:val="center"/>
          </w:tcPr>
          <w:p w14:paraId="7FE1BC1D" w14:textId="77777777" w:rsidR="00393915" w:rsidRDefault="00F24D68">
            <w:pPr>
              <w:pStyle w:val="P68B1DB1-TableParagraph17"/>
              <w:spacing w:before="108"/>
              <w:jc w:val="both"/>
            </w:pPr>
            <w:r>
              <w:t>0180</w:t>
            </w:r>
          </w:p>
        </w:tc>
        <w:tc>
          <w:tcPr>
            <w:tcW w:w="8003" w:type="dxa"/>
            <w:tcBorders>
              <w:top w:val="single" w:sz="4" w:space="0" w:color="1A171C"/>
              <w:left w:val="single" w:sz="4" w:space="0" w:color="1A171C"/>
              <w:bottom w:val="single" w:sz="4" w:space="0" w:color="1A171C"/>
              <w:right w:val="nil"/>
            </w:tcBorders>
            <w:vAlign w:val="center"/>
          </w:tcPr>
          <w:p w14:paraId="7FE1BC1E" w14:textId="77777777" w:rsidR="00393915" w:rsidRDefault="00F24D68">
            <w:pPr>
              <w:pStyle w:val="P68B1DB1-TableParagraph14"/>
              <w:spacing w:before="108"/>
              <w:jc w:val="both"/>
              <w:rPr>
                <w:bCs/>
              </w:rPr>
            </w:pPr>
            <w:r>
              <w:t>Pravne prepreke ulasku na tržište ili širenju</w:t>
            </w:r>
          </w:p>
          <w:p w14:paraId="7FE1BC1F" w14:textId="77777777" w:rsidR="00393915" w:rsidRDefault="00393915">
            <w:pPr>
              <w:pStyle w:val="TableParagraph"/>
              <w:spacing w:before="108"/>
              <w:jc w:val="both"/>
              <w:rPr>
                <w:rFonts w:ascii="Times New Roman" w:hAnsi="Times New Roman" w:cs="Times New Roman"/>
                <w:color w:val="000000" w:themeColor="text1"/>
                <w:sz w:val="20"/>
                <w:szCs w:val="20"/>
              </w:rPr>
            </w:pPr>
          </w:p>
          <w:p w14:paraId="7FE1BC20" w14:textId="65959294" w:rsidR="00393915" w:rsidRDefault="00F24D68">
            <w:pPr>
              <w:pStyle w:val="P68B1DB1-TableParagraph13"/>
              <w:spacing w:before="108"/>
              <w:jc w:val="both"/>
            </w:pPr>
            <w:r>
              <w:t xml:space="preserve">Pravne prepreke za konkurente da ponude uslugu. Pravni zahtjevi za obavljanje djelatnosti kreditnih institucija (npr. bankovne </w:t>
            </w:r>
            <w:r w:rsidR="00143565">
              <w:t>licence</w:t>
            </w:r>
            <w:r w:rsidR="00143565">
              <w:t xml:space="preserve"> </w:t>
            </w:r>
            <w:r>
              <w:t xml:space="preserve">ili kapitalni zahtjevi) ne smatraju se nepremostivim preprekama u prisutnosti alternativnih pružatelja usluga. Ovaj se pokazatelj mora iskazati u razredima koji su isti za svaku podfunkciju: </w:t>
            </w:r>
          </w:p>
          <w:p w14:paraId="7FE1BC21" w14:textId="474C67C3" w:rsidR="00393915" w:rsidRDefault="00F24D68">
            <w:pPr>
              <w:pStyle w:val="P68B1DB1-ListParagraph39"/>
              <w:numPr>
                <w:ilvl w:val="0"/>
                <w:numId w:val="275"/>
              </w:numPr>
              <w:jc w:val="both"/>
            </w:pPr>
            <w:r>
              <w:t xml:space="preserve">nema većih prepreka, </w:t>
            </w:r>
          </w:p>
          <w:p w14:paraId="7FE1BC22" w14:textId="2597009C" w:rsidR="00393915" w:rsidRDefault="00F24D68">
            <w:pPr>
              <w:pStyle w:val="P68B1DB1-ListParagraph39"/>
              <w:numPr>
                <w:ilvl w:val="0"/>
                <w:numId w:val="275"/>
              </w:numPr>
              <w:jc w:val="both"/>
            </w:pPr>
            <w:r>
              <w:lastRenderedPageBreak/>
              <w:t xml:space="preserve">neke prepreke, </w:t>
            </w:r>
          </w:p>
          <w:p w14:paraId="7FE1BC23" w14:textId="362518B9" w:rsidR="00393915" w:rsidRDefault="00F24D68">
            <w:pPr>
              <w:pStyle w:val="P68B1DB1-ListParagraph39"/>
              <w:numPr>
                <w:ilvl w:val="0"/>
                <w:numId w:val="275"/>
              </w:numPr>
              <w:jc w:val="both"/>
            </w:pPr>
            <w:r>
              <w:t xml:space="preserve">znatne (ali </w:t>
            </w:r>
            <w:r>
              <w:t>premostive</w:t>
            </w:r>
            <w:r>
              <w:t xml:space="preserve">) barijere, </w:t>
            </w:r>
          </w:p>
          <w:p w14:paraId="7FE1BC25" w14:textId="48324CB2" w:rsidR="00393915" w:rsidRDefault="00F24D68">
            <w:pPr>
              <w:pStyle w:val="P68B1DB1-ListParagraph8"/>
              <w:numPr>
                <w:ilvl w:val="0"/>
                <w:numId w:val="275"/>
              </w:numPr>
              <w:jc w:val="both"/>
            </w:pPr>
            <w:r>
              <w:t xml:space="preserve">kritične (teško </w:t>
            </w:r>
            <w:r w:rsidR="00143565">
              <w:t>premostive</w:t>
            </w:r>
            <w:r>
              <w:t>) barijere.</w:t>
            </w:r>
          </w:p>
        </w:tc>
      </w:tr>
      <w:tr w:rsidR="00393915" w14:paraId="7FE1BC31" w14:textId="77777777">
        <w:tc>
          <w:tcPr>
            <w:tcW w:w="1080" w:type="dxa"/>
            <w:tcBorders>
              <w:top w:val="single" w:sz="4" w:space="0" w:color="1A171C"/>
              <w:left w:val="nil"/>
              <w:bottom w:val="single" w:sz="4" w:space="0" w:color="1A171C"/>
              <w:right w:val="single" w:sz="4" w:space="0" w:color="1A171C"/>
            </w:tcBorders>
            <w:vAlign w:val="center"/>
          </w:tcPr>
          <w:p w14:paraId="7FE1BC27" w14:textId="77777777" w:rsidR="00393915" w:rsidRDefault="00F24D68">
            <w:pPr>
              <w:pStyle w:val="P68B1DB1-TableParagraph17"/>
              <w:spacing w:before="108"/>
              <w:jc w:val="both"/>
            </w:pPr>
            <w:r>
              <w:lastRenderedPageBreak/>
              <w:t>0190</w:t>
            </w:r>
          </w:p>
        </w:tc>
        <w:tc>
          <w:tcPr>
            <w:tcW w:w="8003" w:type="dxa"/>
            <w:tcBorders>
              <w:top w:val="single" w:sz="4" w:space="0" w:color="1A171C"/>
              <w:left w:val="single" w:sz="4" w:space="0" w:color="1A171C"/>
              <w:bottom w:val="single" w:sz="4" w:space="0" w:color="1A171C"/>
              <w:right w:val="nil"/>
            </w:tcBorders>
            <w:vAlign w:val="center"/>
          </w:tcPr>
          <w:p w14:paraId="7FE1BC28" w14:textId="4CB51A30" w:rsidR="00393915" w:rsidRDefault="00F24D68">
            <w:pPr>
              <w:pStyle w:val="P68B1DB1-TableParagraph14"/>
              <w:spacing w:before="108"/>
              <w:jc w:val="both"/>
              <w:rPr>
                <w:bCs/>
              </w:rPr>
            </w:pPr>
            <w:r>
              <w:t xml:space="preserve">Operativni zahtjevi za ulazak ili </w:t>
            </w:r>
            <w:r>
              <w:t>širenje</w:t>
            </w:r>
          </w:p>
          <w:p w14:paraId="7FE1BC29" w14:textId="77777777" w:rsidR="00393915" w:rsidRDefault="00393915">
            <w:pPr>
              <w:pStyle w:val="TableParagraph"/>
              <w:spacing w:before="108"/>
              <w:jc w:val="both"/>
              <w:rPr>
                <w:rFonts w:ascii="Times New Roman" w:hAnsi="Times New Roman" w:cs="Times New Roman"/>
                <w:color w:val="000000" w:themeColor="text1"/>
                <w:sz w:val="20"/>
                <w:szCs w:val="20"/>
              </w:rPr>
            </w:pPr>
          </w:p>
          <w:p w14:paraId="7FE1BC2A" w14:textId="3D3CF74C" w:rsidR="00393915" w:rsidRDefault="00F24D68">
            <w:pPr>
              <w:pStyle w:val="P68B1DB1-TableParagraph13"/>
              <w:spacing w:before="108"/>
              <w:jc w:val="both"/>
            </w:pPr>
            <w:r>
              <w:t xml:space="preserve">Organizacijski, tehnički i infrastrukturni zahtjevi za konkurente za pružanje usluge. Zbog ponude usluga povezanih s (pod)funkcijom </w:t>
            </w:r>
            <w:r w:rsidR="002D6E63">
              <w:t>zahtjeva ulaganje</w:t>
            </w:r>
            <w:r>
              <w:t xml:space="preserve"> pružatelj</w:t>
            </w:r>
            <w:r w:rsidR="002D6E63">
              <w:t>a</w:t>
            </w:r>
            <w:r>
              <w:t xml:space="preserve"> u (novu ili dodatnu) infrastrukturu ili </w:t>
            </w:r>
            <w:r w:rsidR="002D6E63">
              <w:t>prilagodbu njihove</w:t>
            </w:r>
            <w:r>
              <w:t xml:space="preserve"> organizacije. Procijeniti sposobnost tržišta da apsorbira određeno poslovanje, primjerice u smislu kapitalnih zahtjeva. </w:t>
            </w:r>
          </w:p>
          <w:p w14:paraId="7FE1BC2B" w14:textId="77777777" w:rsidR="00393915" w:rsidRDefault="00F24D68">
            <w:pPr>
              <w:pStyle w:val="P68B1DB1-TableParagraph13"/>
              <w:spacing w:before="108"/>
              <w:jc w:val="both"/>
            </w:pPr>
            <w:r>
              <w:t xml:space="preserve">Ovaj se pokazatelj mora iskazati u razredima koji su isti za svaku podfunkciju: </w:t>
            </w:r>
          </w:p>
          <w:p w14:paraId="7FE1BC2C" w14:textId="59F4E6B2" w:rsidR="00393915" w:rsidRDefault="00F24D68">
            <w:pPr>
              <w:pStyle w:val="P68B1DB1-ListParagraph39"/>
              <w:numPr>
                <w:ilvl w:val="0"/>
                <w:numId w:val="278"/>
              </w:numPr>
              <w:jc w:val="both"/>
            </w:pPr>
            <w:r>
              <w:t xml:space="preserve">nema većih zahtjeva, </w:t>
            </w:r>
          </w:p>
          <w:p w14:paraId="7FE1BC2D" w14:textId="66E7E99C" w:rsidR="00393915" w:rsidRDefault="00F24D68">
            <w:pPr>
              <w:pStyle w:val="P68B1DB1-ListParagraph39"/>
              <w:numPr>
                <w:ilvl w:val="0"/>
                <w:numId w:val="278"/>
              </w:numPr>
              <w:jc w:val="both"/>
            </w:pPr>
            <w:r>
              <w:t>nek</w:t>
            </w:r>
            <w:r w:rsidR="002D6E63">
              <w:t>i</w:t>
            </w:r>
            <w:r>
              <w:t xml:space="preserve"> zahtjeve, </w:t>
            </w:r>
          </w:p>
          <w:p w14:paraId="7FE1BC2E" w14:textId="69F9FF0E" w:rsidR="00393915" w:rsidRDefault="00F24D68">
            <w:pPr>
              <w:pStyle w:val="P68B1DB1-ListParagraph39"/>
              <w:numPr>
                <w:ilvl w:val="0"/>
                <w:numId w:val="278"/>
              </w:numPr>
              <w:jc w:val="both"/>
            </w:pPr>
            <w:r>
              <w:t xml:space="preserve">značajni (ali </w:t>
            </w:r>
            <w:r w:rsidR="002D6E63">
              <w:t>premostivi</w:t>
            </w:r>
            <w:r>
              <w:t xml:space="preserve">) zahtjevi, </w:t>
            </w:r>
          </w:p>
          <w:p w14:paraId="7FE1BC2F" w14:textId="36BA9FD1" w:rsidR="00393915" w:rsidRDefault="00F24D68">
            <w:pPr>
              <w:pStyle w:val="P68B1DB1-ListParagraph39"/>
              <w:numPr>
                <w:ilvl w:val="0"/>
                <w:numId w:val="278"/>
              </w:numPr>
              <w:jc w:val="both"/>
            </w:pPr>
            <w:r>
              <w:t>kritični (</w:t>
            </w:r>
            <w:r>
              <w:t>tešk</w:t>
            </w:r>
            <w:r w:rsidR="002D6E63">
              <w:t>o premostivi</w:t>
            </w:r>
            <w:r>
              <w:t>) zahtjevi.</w:t>
            </w:r>
          </w:p>
          <w:p w14:paraId="7FE1BC30" w14:textId="77777777" w:rsidR="00393915" w:rsidRDefault="00393915">
            <w:pPr>
              <w:pStyle w:val="TableParagraph"/>
              <w:spacing w:before="108"/>
              <w:jc w:val="both"/>
              <w:rPr>
                <w:rFonts w:ascii="Times New Roman" w:hAnsi="Times New Roman" w:cs="Times New Roman"/>
                <w:color w:val="000000" w:themeColor="text1"/>
                <w:sz w:val="20"/>
                <w:szCs w:val="20"/>
              </w:rPr>
            </w:pPr>
          </w:p>
        </w:tc>
      </w:tr>
      <w:tr w:rsidR="00393915" w14:paraId="7FE1BC3C" w14:textId="77777777">
        <w:tc>
          <w:tcPr>
            <w:tcW w:w="1080" w:type="dxa"/>
            <w:tcBorders>
              <w:top w:val="single" w:sz="4" w:space="0" w:color="1A171C"/>
              <w:left w:val="nil"/>
              <w:bottom w:val="single" w:sz="4" w:space="0" w:color="1A171C"/>
              <w:right w:val="single" w:sz="4" w:space="0" w:color="1A171C"/>
            </w:tcBorders>
            <w:vAlign w:val="center"/>
          </w:tcPr>
          <w:p w14:paraId="7FE1BC32" w14:textId="52B11BD9" w:rsidR="00393915" w:rsidRDefault="00F24D68">
            <w:pPr>
              <w:pStyle w:val="P68B1DB1-TableParagraph17"/>
              <w:spacing w:before="108"/>
              <w:jc w:val="both"/>
            </w:pPr>
            <w:r>
              <w:t>0200 – 0210</w:t>
            </w:r>
          </w:p>
        </w:tc>
        <w:tc>
          <w:tcPr>
            <w:tcW w:w="8003" w:type="dxa"/>
            <w:tcBorders>
              <w:top w:val="single" w:sz="4" w:space="0" w:color="1A171C"/>
              <w:left w:val="single" w:sz="4" w:space="0" w:color="1A171C"/>
              <w:bottom w:val="single" w:sz="4" w:space="0" w:color="1A171C"/>
              <w:right w:val="nil"/>
            </w:tcBorders>
            <w:vAlign w:val="center"/>
          </w:tcPr>
          <w:p w14:paraId="7FE1BC3B" w14:textId="3091E5B3" w:rsidR="00393915" w:rsidRDefault="00F24D68">
            <w:pPr>
              <w:pStyle w:val="P68B1DB1-TableParagraph14"/>
              <w:spacing w:before="108"/>
              <w:jc w:val="both"/>
              <w:rPr>
                <w:bCs/>
              </w:rPr>
            </w:pPr>
            <w:r>
              <w:t xml:space="preserve">Kapacitet za </w:t>
            </w:r>
            <w:r w:rsidR="00775205">
              <w:t>preuzimanje poslova</w:t>
            </w:r>
          </w:p>
        </w:tc>
      </w:tr>
      <w:tr w:rsidR="00393915" w14:paraId="0BE6FD10" w14:textId="77777777">
        <w:tc>
          <w:tcPr>
            <w:tcW w:w="1080" w:type="dxa"/>
            <w:tcBorders>
              <w:top w:val="single" w:sz="4" w:space="0" w:color="1A171C"/>
              <w:left w:val="nil"/>
              <w:bottom w:val="single" w:sz="4" w:space="0" w:color="1A171C"/>
              <w:right w:val="single" w:sz="4" w:space="0" w:color="1A171C"/>
            </w:tcBorders>
            <w:vAlign w:val="center"/>
          </w:tcPr>
          <w:p w14:paraId="1AAF59C4" w14:textId="3EB76F52" w:rsidR="00393915" w:rsidRDefault="00F24D68">
            <w:pPr>
              <w:pStyle w:val="P68B1DB1-TableParagraph17"/>
              <w:spacing w:before="108"/>
              <w:jc w:val="both"/>
            </w:pPr>
            <w:r>
              <w:t>0200</w:t>
            </w:r>
          </w:p>
        </w:tc>
        <w:tc>
          <w:tcPr>
            <w:tcW w:w="8003" w:type="dxa"/>
            <w:tcBorders>
              <w:top w:val="single" w:sz="4" w:space="0" w:color="1A171C"/>
              <w:left w:val="single" w:sz="4" w:space="0" w:color="1A171C"/>
              <w:bottom w:val="single" w:sz="4" w:space="0" w:color="1A171C"/>
              <w:right w:val="nil"/>
            </w:tcBorders>
            <w:vAlign w:val="center"/>
          </w:tcPr>
          <w:p w14:paraId="31D48F67" w14:textId="0EA3ABFF" w:rsidR="00393915" w:rsidRDefault="00F24D68">
            <w:pPr>
              <w:pStyle w:val="P68B1DB1-TableParagraph14"/>
              <w:spacing w:before="108"/>
              <w:rPr>
                <w:bCs/>
              </w:rPr>
            </w:pPr>
            <w:r>
              <w:t xml:space="preserve">Kapacitet za </w:t>
            </w:r>
            <w:r w:rsidR="00775205">
              <w:t>preuzimanje poslova</w:t>
            </w:r>
            <w:r>
              <w:t xml:space="preserve"> – broj zahtjeva novih </w:t>
            </w:r>
            <w:r w:rsidR="00994597">
              <w:t>klijenata</w:t>
            </w:r>
            <w:r w:rsidR="00994597">
              <w:t xml:space="preserve"> </w:t>
            </w:r>
            <w:r>
              <w:t>tijekom jednog radnog dana (broj)</w:t>
            </w:r>
          </w:p>
          <w:p w14:paraId="2BBAFCB8" w14:textId="77034D10" w:rsidR="00393915" w:rsidRDefault="00F24D68">
            <w:pPr>
              <w:pStyle w:val="P68B1DB1-TableParagraph13"/>
              <w:spacing w:before="108"/>
            </w:pPr>
            <w:r>
              <w:t xml:space="preserve">Od institucija se traži da </w:t>
            </w:r>
            <w:r w:rsidR="00775205">
              <w:t>izvijeste</w:t>
            </w:r>
            <w:r>
              <w:t xml:space="preserve"> najveći broj zahtjeva </w:t>
            </w:r>
            <w:r w:rsidR="00775205">
              <w:t>gdje</w:t>
            </w:r>
            <w:r w:rsidR="00775205">
              <w:t xml:space="preserve"> </w:t>
            </w:r>
            <w:r>
              <w:t>je institucija potvrdila zahtjev za bankarsku uslugu.</w:t>
            </w:r>
          </w:p>
          <w:p w14:paraId="5AB7F16A" w14:textId="54B050C7" w:rsidR="00393915" w:rsidRDefault="00F24D68">
            <w:pPr>
              <w:pStyle w:val="P68B1DB1-TableParagraph13"/>
              <w:spacing w:before="108"/>
              <w:jc w:val="both"/>
              <w:rPr>
                <w:b/>
                <w:bCs/>
              </w:rPr>
            </w:pPr>
            <w:r>
              <w:t xml:space="preserve">Kapacitet za </w:t>
            </w:r>
            <w:r w:rsidR="00775205">
              <w:t>preuzimanje pružanja</w:t>
            </w:r>
            <w:r w:rsidR="00775205">
              <w:t xml:space="preserve"> </w:t>
            </w:r>
            <w:r>
              <w:t xml:space="preserve">platnih usluga monetarnim financijskim institucijama, platnih usluga nemonetarnim financijskim institucijama i gotovinskih usluga u smislu broja novih računa izražava se tijekom jednog radnog dana. </w:t>
            </w:r>
          </w:p>
          <w:p w14:paraId="10BCF6A2" w14:textId="77777777" w:rsidR="00393915" w:rsidRDefault="00F24D68">
            <w:pPr>
              <w:pStyle w:val="P68B1DB1-TableParagraph13"/>
              <w:spacing w:before="108"/>
              <w:jc w:val="both"/>
              <w:rPr>
                <w:b/>
                <w:bCs/>
              </w:rPr>
            </w:pPr>
            <w:r>
              <w:t>Od institucija se očekuje da uzmu u obzir vremenski okvir za uključivanje novih klijenata s obzirom na to da je novi klijent podnio zahtjev za bankarsku uslugu.</w:t>
            </w:r>
          </w:p>
          <w:p w14:paraId="54138520" w14:textId="77777777" w:rsidR="00393915" w:rsidRDefault="00393915">
            <w:pPr>
              <w:pStyle w:val="TableParagraph"/>
              <w:spacing w:before="108"/>
              <w:rPr>
                <w:rFonts w:ascii="Times New Roman" w:hAnsi="Times New Roman" w:cs="Times New Roman"/>
                <w:b/>
                <w:bCs/>
                <w:color w:val="000000" w:themeColor="text1"/>
                <w:sz w:val="20"/>
                <w:szCs w:val="20"/>
              </w:rPr>
            </w:pPr>
          </w:p>
        </w:tc>
      </w:tr>
      <w:tr w:rsidR="00393915" w14:paraId="2D232CA8" w14:textId="77777777">
        <w:tc>
          <w:tcPr>
            <w:tcW w:w="1080" w:type="dxa"/>
            <w:tcBorders>
              <w:top w:val="single" w:sz="4" w:space="0" w:color="1A171C"/>
              <w:left w:val="nil"/>
              <w:bottom w:val="single" w:sz="4" w:space="0" w:color="1A171C"/>
              <w:right w:val="single" w:sz="4" w:space="0" w:color="1A171C"/>
            </w:tcBorders>
            <w:vAlign w:val="center"/>
          </w:tcPr>
          <w:p w14:paraId="2162C590" w14:textId="3E29DAE4" w:rsidR="00393915" w:rsidRDefault="00F24D68">
            <w:pPr>
              <w:pStyle w:val="P68B1DB1-TableParagraph17"/>
              <w:spacing w:before="108"/>
              <w:jc w:val="both"/>
            </w:pPr>
            <w:r>
              <w:t>0210</w:t>
            </w:r>
          </w:p>
        </w:tc>
        <w:tc>
          <w:tcPr>
            <w:tcW w:w="8003" w:type="dxa"/>
            <w:tcBorders>
              <w:top w:val="single" w:sz="4" w:space="0" w:color="1A171C"/>
              <w:left w:val="single" w:sz="4" w:space="0" w:color="1A171C"/>
              <w:bottom w:val="single" w:sz="4" w:space="0" w:color="1A171C"/>
              <w:right w:val="nil"/>
            </w:tcBorders>
            <w:vAlign w:val="center"/>
          </w:tcPr>
          <w:p w14:paraId="65DBE0BE" w14:textId="2A3163A9" w:rsidR="00393915" w:rsidRDefault="00F24D68">
            <w:pPr>
              <w:pStyle w:val="P68B1DB1-TableParagraph14"/>
              <w:spacing w:before="108"/>
              <w:rPr>
                <w:bCs/>
              </w:rPr>
            </w:pPr>
            <w:r>
              <w:t xml:space="preserve">Kapacitet za </w:t>
            </w:r>
            <w:r w:rsidR="00AB3807">
              <w:t>preuzimanje poslova</w:t>
            </w:r>
            <w:r>
              <w:t xml:space="preserve"> – broj zahtjeva novih </w:t>
            </w:r>
            <w:r>
              <w:t>k</w:t>
            </w:r>
            <w:r w:rsidR="00994597">
              <w:t>lijenat</w:t>
            </w:r>
            <w:r>
              <w:t>a</w:t>
            </w:r>
            <w:r>
              <w:t xml:space="preserve"> u razdoblju od sedam radnih dana (broj)</w:t>
            </w:r>
          </w:p>
          <w:p w14:paraId="6C6045B8" w14:textId="14F8F50F" w:rsidR="00393915" w:rsidRDefault="00F24D68">
            <w:pPr>
              <w:pStyle w:val="P68B1DB1-TableParagraph13"/>
              <w:spacing w:before="108"/>
            </w:pPr>
            <w:r>
              <w:t xml:space="preserve">Od institucija se traži da </w:t>
            </w:r>
            <w:r w:rsidR="00994597">
              <w:t>izvijeste</w:t>
            </w:r>
            <w:r w:rsidR="00994597">
              <w:t xml:space="preserve"> </w:t>
            </w:r>
            <w:r>
              <w:t xml:space="preserve">najveći broj zahtjeva </w:t>
            </w:r>
            <w:r w:rsidR="00994597">
              <w:t>gdje</w:t>
            </w:r>
            <w:r w:rsidR="00994597">
              <w:t xml:space="preserve"> </w:t>
            </w:r>
            <w:r>
              <w:t>je institucija potvrdila zahtjev za bankarsku uslugu.</w:t>
            </w:r>
          </w:p>
          <w:p w14:paraId="59CBAFC9" w14:textId="2DDE0ADB" w:rsidR="00393915" w:rsidRDefault="00F24D68">
            <w:pPr>
              <w:pStyle w:val="P68B1DB1-TableParagraph13"/>
              <w:spacing w:before="108"/>
              <w:jc w:val="both"/>
            </w:pPr>
            <w:r>
              <w:t xml:space="preserve">Kapacitet za </w:t>
            </w:r>
            <w:r w:rsidR="00994597">
              <w:t>preuzimanje pružanja</w:t>
            </w:r>
            <w:r w:rsidR="00994597">
              <w:t xml:space="preserve"> </w:t>
            </w:r>
            <w:r>
              <w:t>usluga namire vrijednosnih papira, usluga poravnanja središnjih drugih ugovornih strana, usluga skrbništva u smislu broja novih računa izražen je tijekom sedam radnih dana.</w:t>
            </w:r>
          </w:p>
          <w:p w14:paraId="7623A7E1" w14:textId="77777777" w:rsidR="00393915" w:rsidRDefault="00F24D68">
            <w:pPr>
              <w:pStyle w:val="P68B1DB1-TableParagraph13"/>
              <w:spacing w:before="108"/>
              <w:jc w:val="both"/>
              <w:rPr>
                <w:b/>
                <w:bCs/>
              </w:rPr>
            </w:pPr>
            <w:r>
              <w:t>Od institucija se očekuje da uzmu u obzir vremenski okvir za uključivanje novih klijenata s obzirom na to da je novi klijent podnio zahtjev za bankarsku uslugu.</w:t>
            </w:r>
          </w:p>
          <w:p w14:paraId="6541ECB8" w14:textId="7269F4A9" w:rsidR="00393915" w:rsidRDefault="00393915">
            <w:pPr>
              <w:pStyle w:val="TableParagraph"/>
              <w:spacing w:before="108"/>
              <w:rPr>
                <w:rFonts w:ascii="Times New Roman" w:hAnsi="Times New Roman" w:cs="Times New Roman"/>
                <w:b/>
                <w:bCs/>
                <w:color w:val="000000" w:themeColor="text1"/>
                <w:sz w:val="20"/>
                <w:szCs w:val="20"/>
              </w:rPr>
            </w:pPr>
          </w:p>
        </w:tc>
      </w:tr>
      <w:tr w:rsidR="00393915" w14:paraId="7FE1BC3F" w14:textId="77777777">
        <w:tc>
          <w:tcPr>
            <w:tcW w:w="1080" w:type="dxa"/>
            <w:tcBorders>
              <w:top w:val="single" w:sz="4" w:space="0" w:color="1A171C"/>
              <w:left w:val="nil"/>
              <w:bottom w:val="single" w:sz="4" w:space="0" w:color="1A171C"/>
              <w:right w:val="single" w:sz="4" w:space="0" w:color="1A171C"/>
            </w:tcBorders>
            <w:vAlign w:val="center"/>
          </w:tcPr>
          <w:p w14:paraId="7FE1BC3D" w14:textId="77777777" w:rsidR="00393915" w:rsidRDefault="00F24D68">
            <w:pPr>
              <w:pStyle w:val="P68B1DB1-TableParagraph17"/>
              <w:spacing w:before="108"/>
              <w:jc w:val="both"/>
            </w:pPr>
            <w:r>
              <w:t>0230 – 0250</w:t>
            </w:r>
          </w:p>
        </w:tc>
        <w:tc>
          <w:tcPr>
            <w:tcW w:w="8003" w:type="dxa"/>
            <w:tcBorders>
              <w:top w:val="single" w:sz="4" w:space="0" w:color="1A171C"/>
              <w:left w:val="single" w:sz="4" w:space="0" w:color="1A171C"/>
              <w:bottom w:val="single" w:sz="4" w:space="0" w:color="1A171C"/>
              <w:right w:val="nil"/>
            </w:tcBorders>
            <w:vAlign w:val="center"/>
          </w:tcPr>
          <w:p w14:paraId="7FE1BC3E" w14:textId="3A533532" w:rsidR="00393915" w:rsidRDefault="00F24D68">
            <w:pPr>
              <w:pStyle w:val="P68B1DB1-TableParagraph14"/>
              <w:spacing w:before="108"/>
              <w:rPr>
                <w:bCs/>
              </w:rPr>
            </w:pPr>
            <w:r>
              <w:t xml:space="preserve">Procjena </w:t>
            </w:r>
            <w:r w:rsidR="004F07FE">
              <w:t>ključnosti</w:t>
            </w:r>
          </w:p>
        </w:tc>
      </w:tr>
      <w:tr w:rsidR="00393915" w14:paraId="7FE1BC45" w14:textId="77777777">
        <w:tc>
          <w:tcPr>
            <w:tcW w:w="1080" w:type="dxa"/>
            <w:tcBorders>
              <w:top w:val="single" w:sz="4" w:space="0" w:color="1A171C"/>
              <w:left w:val="nil"/>
              <w:bottom w:val="single" w:sz="4" w:space="0" w:color="1A171C"/>
              <w:right w:val="single" w:sz="4" w:space="0" w:color="1A171C"/>
            </w:tcBorders>
            <w:vAlign w:val="center"/>
          </w:tcPr>
          <w:p w14:paraId="7FE1BC40" w14:textId="77777777" w:rsidR="00393915" w:rsidRDefault="00F24D68">
            <w:pPr>
              <w:pStyle w:val="P68B1DB1-TableParagraph17"/>
              <w:spacing w:before="108"/>
              <w:jc w:val="both"/>
            </w:pPr>
            <w:r>
              <w:t>0230</w:t>
            </w:r>
          </w:p>
        </w:tc>
        <w:tc>
          <w:tcPr>
            <w:tcW w:w="8003" w:type="dxa"/>
            <w:tcBorders>
              <w:top w:val="single" w:sz="4" w:space="0" w:color="1A171C"/>
              <w:left w:val="single" w:sz="4" w:space="0" w:color="1A171C"/>
              <w:bottom w:val="single" w:sz="4" w:space="0" w:color="1A171C"/>
              <w:right w:val="nil"/>
            </w:tcBorders>
            <w:vAlign w:val="center"/>
          </w:tcPr>
          <w:p w14:paraId="7FE1BC41" w14:textId="252C9D80" w:rsidR="00393915" w:rsidRDefault="004F07FE">
            <w:pPr>
              <w:pStyle w:val="P68B1DB1-TableParagraph13"/>
              <w:spacing w:before="108"/>
            </w:pPr>
            <w:r>
              <w:t>Utjecaj</w:t>
            </w:r>
            <w:r>
              <w:t xml:space="preserve"> </w:t>
            </w:r>
            <w:r w:rsidR="00F24D68">
              <w:t xml:space="preserve">na tržište </w:t>
            </w:r>
          </w:p>
          <w:p w14:paraId="7FE1BC42" w14:textId="3BA30547" w:rsidR="00393915" w:rsidRDefault="00F24D68">
            <w:pPr>
              <w:pStyle w:val="P68B1DB1-TableParagraph13"/>
              <w:spacing w:before="108"/>
            </w:pPr>
            <w:r>
              <w:t xml:space="preserve">Procijenjeni </w:t>
            </w:r>
            <w:r w:rsidR="004F07FE">
              <w:t>utjecaj</w:t>
            </w:r>
            <w:r>
              <w:t xml:space="preserve"> naglog obustavljanja funkcije na treće strane, financijska tržišta i realno gospodarstvo, uzimajući u obzir veličinu, tržišni udio u zemlji, vanjske i unutarnje međusobne povezanosti, složenost i prekograničnu aktivnosti institucije.</w:t>
            </w:r>
          </w:p>
          <w:p w14:paraId="7FE1BC43" w14:textId="46266FB9" w:rsidR="00393915" w:rsidRDefault="00F24D68">
            <w:pPr>
              <w:pStyle w:val="P68B1DB1-TableParagraph13"/>
              <w:spacing w:before="108"/>
            </w:pPr>
            <w:r>
              <w:t>Ta procjena izražava se kvalitativno kao „visok”, „srednje visok”, „srednje nizak” ili „nizak”.</w:t>
            </w:r>
          </w:p>
          <w:p w14:paraId="7FE1BC44" w14:textId="30CDBB90" w:rsidR="00393915" w:rsidRDefault="00F24D68">
            <w:pPr>
              <w:pStyle w:val="P68B1DB1-TableParagraph13"/>
              <w:spacing w:before="108"/>
            </w:pPr>
            <w:r>
              <w:t>„</w:t>
            </w:r>
            <w:r>
              <w:t>V</w:t>
            </w:r>
            <w:r w:rsidR="004F07FE">
              <w:t>isok</w:t>
            </w:r>
            <w:r>
              <w:t xml:space="preserve">” se odabire ako </w:t>
            </w:r>
            <w:r w:rsidR="004F07FE">
              <w:t>bi</w:t>
            </w:r>
            <w:r>
              <w:t xml:space="preserve"> obustavljanje imalo velik </w:t>
            </w:r>
            <w:r w:rsidR="004F07FE">
              <w:t>utjecaj</w:t>
            </w:r>
            <w:r w:rsidR="004F07FE">
              <w:t xml:space="preserve"> </w:t>
            </w:r>
            <w:r>
              <w:t>na nacionalno tržište, „</w:t>
            </w:r>
            <w:r w:rsidR="004F07FE">
              <w:t>srednje velik</w:t>
            </w:r>
            <w:r>
              <w:t xml:space="preserve">” </w:t>
            </w:r>
            <w:r>
              <w:lastRenderedPageBreak/>
              <w:t>ako je u</w:t>
            </w:r>
            <w:r w:rsidR="004F07FE">
              <w:t>tjecaj</w:t>
            </w:r>
            <w:r>
              <w:t xml:space="preserve"> znatan, „</w:t>
            </w:r>
            <w:r w:rsidR="004F07FE">
              <w:t>srednje nizak</w:t>
            </w:r>
            <w:r>
              <w:t xml:space="preserve">” ako je </w:t>
            </w:r>
            <w:r w:rsidR="004F07FE">
              <w:t>utjecaj</w:t>
            </w:r>
            <w:r w:rsidR="004F07FE">
              <w:t xml:space="preserve"> </w:t>
            </w:r>
            <w:r>
              <w:t>znatan, ali ograničen i „</w:t>
            </w:r>
            <w:r w:rsidR="004F07FE">
              <w:t>n</w:t>
            </w:r>
            <w:r>
              <w:t>izak</w:t>
            </w:r>
            <w:r>
              <w:t xml:space="preserve">” ako je </w:t>
            </w:r>
            <w:r>
              <w:t>u</w:t>
            </w:r>
            <w:r w:rsidR="004F07FE">
              <w:t>tjecaj</w:t>
            </w:r>
            <w:r>
              <w:t xml:space="preserve"> </w:t>
            </w:r>
            <w:r w:rsidR="004F07FE">
              <w:t>zanemariv</w:t>
            </w:r>
            <w:r w:rsidR="004F07FE">
              <w:t>.</w:t>
            </w:r>
          </w:p>
        </w:tc>
      </w:tr>
      <w:tr w:rsidR="00393915" w14:paraId="7FE1BC52" w14:textId="77777777">
        <w:tc>
          <w:tcPr>
            <w:tcW w:w="1080" w:type="dxa"/>
            <w:tcBorders>
              <w:top w:val="single" w:sz="4" w:space="0" w:color="1A171C"/>
              <w:left w:val="nil"/>
              <w:bottom w:val="single" w:sz="4" w:space="0" w:color="1A171C"/>
              <w:right w:val="single" w:sz="4" w:space="0" w:color="1A171C"/>
            </w:tcBorders>
            <w:vAlign w:val="center"/>
          </w:tcPr>
          <w:p w14:paraId="7FE1BC46" w14:textId="77777777" w:rsidR="00393915" w:rsidRDefault="00F24D68">
            <w:pPr>
              <w:pStyle w:val="P68B1DB1-TableParagraph17"/>
              <w:spacing w:before="108"/>
              <w:jc w:val="both"/>
            </w:pPr>
            <w:r>
              <w:lastRenderedPageBreak/>
              <w:t>0240</w:t>
            </w:r>
          </w:p>
        </w:tc>
        <w:tc>
          <w:tcPr>
            <w:tcW w:w="8003" w:type="dxa"/>
            <w:tcBorders>
              <w:top w:val="single" w:sz="4" w:space="0" w:color="1A171C"/>
              <w:left w:val="single" w:sz="4" w:space="0" w:color="1A171C"/>
              <w:bottom w:val="single" w:sz="4" w:space="0" w:color="1A171C"/>
              <w:right w:val="nil"/>
            </w:tcBorders>
            <w:vAlign w:val="center"/>
          </w:tcPr>
          <w:p w14:paraId="7FE1BC47" w14:textId="77777777" w:rsidR="00393915" w:rsidRDefault="00F24D68">
            <w:pPr>
              <w:pStyle w:val="P68B1DB1-TableParagraph14"/>
              <w:spacing w:before="108"/>
              <w:rPr>
                <w:bCs/>
              </w:rPr>
            </w:pPr>
            <w:r>
              <w:t>Zamjenjivost</w:t>
            </w:r>
          </w:p>
          <w:p w14:paraId="7FE1BC48" w14:textId="77777777" w:rsidR="00393915" w:rsidRDefault="00F24D68">
            <w:pPr>
              <w:pStyle w:val="P68B1DB1-TableParagraph13"/>
              <w:spacing w:before="108"/>
            </w:pPr>
            <w:r>
              <w:t>Članak 6. stavak 3. Delegirane uredbe (EU) 2016/778.</w:t>
            </w:r>
          </w:p>
          <w:p w14:paraId="7FE1BC49" w14:textId="77777777" w:rsidR="00393915" w:rsidRDefault="00F24D68">
            <w:pPr>
              <w:pStyle w:val="P68B1DB1-TableParagraph13"/>
              <w:spacing w:before="108"/>
            </w:pPr>
            <w:r>
              <w:t>Funkcija se smatra zamjenjivom ako ju je moguće na prihvatljiv način i unutar razumnog roka zamijeniti te time izbjeći sistemske probleme za realno gospodarstvo i financijska tržišta. Pri tom se u obzir uzimaju sljedeći kriteriji:</w:t>
            </w:r>
          </w:p>
          <w:p w14:paraId="7FE1BC4A" w14:textId="77777777" w:rsidR="00393915" w:rsidRDefault="00F24D68">
            <w:pPr>
              <w:pStyle w:val="P68B1DB1-TableParagraph13"/>
              <w:spacing w:before="108"/>
            </w:pPr>
            <w:r>
              <w:t xml:space="preserve">(a) struktura tržišta za tu funkciju i dostupnost zamjenskih pružatelja usluga; </w:t>
            </w:r>
          </w:p>
          <w:p w14:paraId="7FE1BC4B" w14:textId="77777777" w:rsidR="00393915" w:rsidRDefault="00F24D68">
            <w:pPr>
              <w:pStyle w:val="P68B1DB1-TableParagraph13"/>
              <w:spacing w:before="108"/>
            </w:pPr>
            <w:r>
              <w:t xml:space="preserve">(b) sposobnost drugih pružatelja usluga u smislu kapaciteta, zahtjevi za obavljanje funkcije te potencijalne prepreke za ulazak ili širenje; </w:t>
            </w:r>
          </w:p>
          <w:p w14:paraId="7FE1BC4C" w14:textId="77777777" w:rsidR="00393915" w:rsidRDefault="00F24D68">
            <w:pPr>
              <w:pStyle w:val="P68B1DB1-TableParagraph13"/>
              <w:spacing w:before="108"/>
            </w:pPr>
            <w:r>
              <w:t xml:space="preserve">(c) poticaj drugih pružatelja usluga da preuzmu te aktivnosti; </w:t>
            </w:r>
          </w:p>
          <w:p w14:paraId="7FE1BC4D" w14:textId="77777777" w:rsidR="00393915" w:rsidRDefault="00F24D68">
            <w:pPr>
              <w:pStyle w:val="P68B1DB1-TableParagraph13"/>
              <w:spacing w:before="108"/>
            </w:pPr>
            <w:r>
              <w:t>(d) vrijeme koje je korisnicima usluge potrebno da prijeđu na novog pružatelja usluge i troškovi tog prijelaza, vrijeme koje je potrebno da drugi tržišni natjecatelji preuzmu funkcije i je li to vrijeme dovoljno da se spriječi znatan prekid ovisno o vrsti usluge.</w:t>
            </w:r>
          </w:p>
          <w:p w14:paraId="7FE1BC4E" w14:textId="7A2D07BC" w:rsidR="00393915" w:rsidRDefault="00F24D68">
            <w:pPr>
              <w:pStyle w:val="P68B1DB1-TableParagraph13"/>
              <w:spacing w:before="108"/>
            </w:pPr>
            <w:r>
              <w:t>Navesti ukupnu procjenu očekivanog stupnja zamjenjivosti za svaku funkciju, uzimajući u obzir prethodno procijenjene različite dimenzije (tržišni udio, tržišna koncentracija, vrijeme potrebno za zamjenu, pravne prepreke i operativni zahtjevi za ulazak na tržište ili širenje). Ta procjena izražava se kvalitativno kao „</w:t>
            </w:r>
            <w:r>
              <w:t>visok</w:t>
            </w:r>
            <w:r w:rsidR="00C01C89">
              <w:t>a</w:t>
            </w:r>
            <w:r>
              <w:t xml:space="preserve">”, „srednje </w:t>
            </w:r>
            <w:r>
              <w:t>visok</w:t>
            </w:r>
            <w:r w:rsidR="00C01C89">
              <w:t>a</w:t>
            </w:r>
            <w:r>
              <w:t xml:space="preserve">”, „srednje </w:t>
            </w:r>
            <w:r>
              <w:t>ni</w:t>
            </w:r>
            <w:r w:rsidR="00C01C89">
              <w:t>ska</w:t>
            </w:r>
            <w:r>
              <w:t>” ili „</w:t>
            </w:r>
            <w:r>
              <w:t>ni</w:t>
            </w:r>
            <w:r w:rsidR="00C01C89">
              <w:t>ska</w:t>
            </w:r>
            <w:r>
              <w:t xml:space="preserve">”. </w:t>
            </w:r>
          </w:p>
          <w:p w14:paraId="7FE1BC4F" w14:textId="2C8EC284" w:rsidR="00393915" w:rsidRDefault="00F24D68">
            <w:pPr>
              <w:pStyle w:val="P68B1DB1-TableParagraph13"/>
              <w:spacing w:before="108"/>
            </w:pPr>
            <w:r>
              <w:t>„</w:t>
            </w:r>
            <w:r>
              <w:t>V</w:t>
            </w:r>
            <w:r w:rsidR="00C01C89">
              <w:t>isoka</w:t>
            </w:r>
            <w:r>
              <w:t>” se odabire ako funkciju može lako pružati druga banka pod usporedivim uvjetima u razumnom roku,</w:t>
            </w:r>
          </w:p>
          <w:p w14:paraId="7FE1BC50" w14:textId="7BC9084F" w:rsidR="00393915" w:rsidRDefault="00F24D68">
            <w:pPr>
              <w:pStyle w:val="P68B1DB1-TableParagraph13"/>
              <w:spacing w:before="108"/>
            </w:pPr>
            <w:r>
              <w:t>„</w:t>
            </w:r>
            <w:r>
              <w:t>N</w:t>
            </w:r>
            <w:r w:rsidR="00C01C89">
              <w:t>iska</w:t>
            </w:r>
            <w:r>
              <w:t xml:space="preserve">” ako funkciju nije moguće lako ili brzo zamijeniti, </w:t>
            </w:r>
          </w:p>
          <w:p w14:paraId="7FE1BC51" w14:textId="3431B2D7" w:rsidR="00393915" w:rsidRDefault="00F24D68">
            <w:pPr>
              <w:pStyle w:val="P68B1DB1-TableParagraph13"/>
              <w:spacing w:before="108"/>
            </w:pPr>
            <w:r>
              <w:t>„</w:t>
            </w:r>
            <w:r>
              <w:t>S</w:t>
            </w:r>
            <w:r w:rsidR="00C01C89">
              <w:t>rednje visoka</w:t>
            </w:r>
            <w:r>
              <w:t>” i „</w:t>
            </w:r>
            <w:r w:rsidR="00C01C89">
              <w:t>srednje niska</w:t>
            </w:r>
            <w:r>
              <w:t>” za prijelazne slučajeve, uzimajući u obzir različite dimenzije (npr. tržišni udio, tržišnu koncentraciju, vrijeme potrebno za zamjenu te pravne prepreke i operativne zahtjeve za ulazak ili širenje).</w:t>
            </w:r>
          </w:p>
        </w:tc>
      </w:tr>
      <w:tr w:rsidR="00393915" w14:paraId="7FE1BC57" w14:textId="77777777">
        <w:tc>
          <w:tcPr>
            <w:tcW w:w="1080" w:type="dxa"/>
            <w:tcBorders>
              <w:top w:val="single" w:sz="4" w:space="0" w:color="1A171C"/>
              <w:left w:val="nil"/>
              <w:bottom w:val="single" w:sz="4" w:space="0" w:color="1A171C"/>
              <w:right w:val="single" w:sz="4" w:space="0" w:color="1A171C"/>
            </w:tcBorders>
            <w:vAlign w:val="center"/>
          </w:tcPr>
          <w:p w14:paraId="7FE1BC53" w14:textId="77777777" w:rsidR="00393915" w:rsidRDefault="00F24D68">
            <w:pPr>
              <w:pStyle w:val="P68B1DB1-TableParagraph17"/>
              <w:spacing w:before="108"/>
              <w:jc w:val="both"/>
            </w:pPr>
            <w:r>
              <w:t>0250</w:t>
            </w:r>
          </w:p>
        </w:tc>
        <w:tc>
          <w:tcPr>
            <w:tcW w:w="8003" w:type="dxa"/>
            <w:tcBorders>
              <w:top w:val="single" w:sz="4" w:space="0" w:color="1A171C"/>
              <w:left w:val="single" w:sz="4" w:space="0" w:color="1A171C"/>
              <w:bottom w:val="single" w:sz="4" w:space="0" w:color="1A171C"/>
              <w:right w:val="nil"/>
            </w:tcBorders>
            <w:vAlign w:val="center"/>
          </w:tcPr>
          <w:p w14:paraId="7FE1BC54" w14:textId="77777777" w:rsidR="00393915" w:rsidRDefault="00F24D68">
            <w:pPr>
              <w:pStyle w:val="P68B1DB1-TableParagraph14"/>
              <w:spacing w:before="108"/>
              <w:rPr>
                <w:bCs/>
              </w:rPr>
            </w:pPr>
            <w:r>
              <w:t>Ključna funkcija</w:t>
            </w:r>
          </w:p>
          <w:p w14:paraId="7FE1BC55" w14:textId="14AA70BF" w:rsidR="00393915" w:rsidRDefault="00F24D68">
            <w:pPr>
              <w:pStyle w:val="P68B1DB1-TableParagraph13"/>
              <w:spacing w:before="108"/>
            </w:pPr>
            <w:r>
              <w:t xml:space="preserve">U ovom stupcu iskazuje se smatra li se, uzimajući u obzir </w:t>
            </w:r>
            <w:r w:rsidR="00883E0C">
              <w:t>rezultate</w:t>
            </w:r>
            <w:r w:rsidR="00883E0C">
              <w:t xml:space="preserve"> analize </w:t>
            </w:r>
            <w:r>
              <w:t>utjecaj</w:t>
            </w:r>
            <w:r w:rsidR="00883E0C">
              <w:t>a</w:t>
            </w:r>
            <w:r>
              <w:t xml:space="preserve"> i zamjenjivost</w:t>
            </w:r>
            <w:r w:rsidR="00883E0C">
              <w:t>i</w:t>
            </w:r>
            <w:r>
              <w:t xml:space="preserve"> </w:t>
            </w:r>
            <w:r>
              <w:t xml:space="preserve">provedene od strane institucije, da </w:t>
            </w:r>
            <w:r w:rsidR="00883E0C">
              <w:t xml:space="preserve">li </w:t>
            </w:r>
            <w:r>
              <w:t xml:space="preserve">je </w:t>
            </w:r>
            <w:r w:rsidR="00883E0C">
              <w:t>ekonomska</w:t>
            </w:r>
            <w:r w:rsidR="00883E0C">
              <w:t xml:space="preserve"> </w:t>
            </w:r>
            <w:r>
              <w:t xml:space="preserve">funkcija ključna na tržištu za </w:t>
            </w:r>
            <w:r w:rsidR="00CE1B77">
              <w:t>relevantnu državu</w:t>
            </w:r>
            <w:r w:rsidR="00CE1B77">
              <w:t>.</w:t>
            </w:r>
          </w:p>
          <w:p w14:paraId="7FE1BC56" w14:textId="69B41584" w:rsidR="00393915" w:rsidRDefault="00F24D68">
            <w:pPr>
              <w:pStyle w:val="P68B1DB1-TableParagraph13"/>
              <w:spacing w:before="108"/>
            </w:pPr>
            <w:r>
              <w:t>I</w:t>
            </w:r>
            <w:r w:rsidR="00CE1B77">
              <w:t>zvijestiti</w:t>
            </w:r>
            <w:r>
              <w:t xml:space="preserve"> „da” ili „ne”.</w:t>
            </w:r>
          </w:p>
        </w:tc>
      </w:tr>
      <w:tr w:rsidR="00393915" w14:paraId="7FE1BC5B" w14:textId="77777777">
        <w:tc>
          <w:tcPr>
            <w:tcW w:w="1080" w:type="dxa"/>
            <w:tcBorders>
              <w:top w:val="single" w:sz="4" w:space="0" w:color="1A171C"/>
              <w:left w:val="nil"/>
              <w:bottom w:val="single" w:sz="4" w:space="0" w:color="1A171C"/>
              <w:right w:val="single" w:sz="4" w:space="0" w:color="1A171C"/>
            </w:tcBorders>
            <w:vAlign w:val="center"/>
          </w:tcPr>
          <w:p w14:paraId="7FE1BC58" w14:textId="77777777" w:rsidR="00393915" w:rsidRDefault="00F24D68">
            <w:pPr>
              <w:pStyle w:val="P68B1DB1-TableParagraph17"/>
              <w:spacing w:before="108"/>
              <w:jc w:val="both"/>
            </w:pPr>
            <w:r>
              <w:t>0260</w:t>
            </w:r>
          </w:p>
        </w:tc>
        <w:tc>
          <w:tcPr>
            <w:tcW w:w="8003" w:type="dxa"/>
            <w:tcBorders>
              <w:top w:val="single" w:sz="4" w:space="0" w:color="1A171C"/>
              <w:left w:val="single" w:sz="4" w:space="0" w:color="1A171C"/>
              <w:bottom w:val="single" w:sz="4" w:space="0" w:color="1A171C"/>
              <w:right w:val="nil"/>
            </w:tcBorders>
            <w:vAlign w:val="center"/>
          </w:tcPr>
          <w:p w14:paraId="7FE1BC59" w14:textId="77777777" w:rsidR="00393915" w:rsidRDefault="00F24D68">
            <w:pPr>
              <w:pStyle w:val="P68B1DB1-TableParagraph14"/>
              <w:spacing w:before="108"/>
              <w:rPr>
                <w:bCs/>
              </w:rPr>
            </w:pPr>
            <w:r>
              <w:t>Primjedbe grupe</w:t>
            </w:r>
          </w:p>
          <w:p w14:paraId="7FE1BC5A" w14:textId="77777777" w:rsidR="00393915" w:rsidRDefault="00F24D68">
            <w:pPr>
              <w:pStyle w:val="P68B1DB1-TableParagraph13"/>
              <w:spacing w:before="108"/>
            </w:pPr>
            <w:r>
              <w:t>Ovo polje omogućuje izvještajnom subjektu da objasni sve pretpostavke primijenjene pri procjeni kritičnosti funkcija o kojima se izvješćuje.</w:t>
            </w:r>
          </w:p>
        </w:tc>
      </w:tr>
    </w:tbl>
    <w:p w14:paraId="7FE1BC5C" w14:textId="77777777" w:rsidR="00393915" w:rsidRDefault="00393915">
      <w:pPr>
        <w:pStyle w:val="Instructionsberschrift2"/>
        <w:rPr>
          <w:rFonts w:ascii="Times New Roman" w:hAnsi="Times New Roman" w:cs="Times New Roman"/>
        </w:rPr>
      </w:pPr>
    </w:p>
    <w:p w14:paraId="7FE1BC5D" w14:textId="5C971E12" w:rsidR="00393915" w:rsidRDefault="00F24D68">
      <w:pPr>
        <w:pStyle w:val="P68B1DB1-Instructionsberschrift25"/>
      </w:pPr>
      <w:bookmarkStart w:id="120" w:name="_Toc208244811"/>
      <w:r>
        <w:t>II.13.</w:t>
      </w:r>
      <w:r>
        <w:tab/>
        <w:t>Z 07.01.4 FUNC 1 CM</w:t>
      </w:r>
      <w:bookmarkEnd w:id="120"/>
    </w:p>
    <w:p w14:paraId="7FE1BC65" w14:textId="77777777" w:rsidR="00393915" w:rsidRDefault="00393915">
      <w:pPr>
        <w:rPr>
          <w:rFonts w:ascii="Times New Roman" w:hAnsi="Times New Roman" w:cs="Times New Roman"/>
          <w:color w:val="000000" w:themeColor="text1"/>
          <w:sz w:val="20"/>
          <w:szCs w:val="20"/>
        </w:rPr>
      </w:pPr>
    </w:p>
    <w:tbl>
      <w:tblPr>
        <w:tblW w:w="9083" w:type="dxa"/>
        <w:tblLayout w:type="fixed"/>
        <w:tblCellMar>
          <w:top w:w="57" w:type="dxa"/>
          <w:left w:w="57" w:type="dxa"/>
          <w:bottom w:w="57" w:type="dxa"/>
          <w:right w:w="0" w:type="dxa"/>
        </w:tblCellMar>
        <w:tblLook w:val="01E0" w:firstRow="1" w:lastRow="1" w:firstColumn="1" w:lastColumn="1" w:noHBand="0" w:noVBand="0"/>
      </w:tblPr>
      <w:tblGrid>
        <w:gridCol w:w="1080"/>
        <w:gridCol w:w="8003"/>
      </w:tblGrid>
      <w:tr w:rsidR="00393915" w14:paraId="7FE1BC68" w14:textId="77777777">
        <w:trPr>
          <w:tblHeader/>
        </w:trPr>
        <w:tc>
          <w:tcPr>
            <w:tcW w:w="1080" w:type="dxa"/>
            <w:tcBorders>
              <w:top w:val="single" w:sz="4" w:space="0" w:color="1A171C"/>
              <w:left w:val="nil"/>
              <w:bottom w:val="single" w:sz="4" w:space="0" w:color="1A171C"/>
              <w:right w:val="single" w:sz="4" w:space="0" w:color="1A171C"/>
            </w:tcBorders>
            <w:shd w:val="clear" w:color="auto" w:fill="E4E5E5"/>
          </w:tcPr>
          <w:p w14:paraId="7FE1BC66" w14:textId="77777777" w:rsidR="00393915" w:rsidRDefault="00F24D68">
            <w:pPr>
              <w:pStyle w:val="P68B1DB1-TableParagraph17"/>
              <w:spacing w:before="108"/>
              <w:ind w:left="85"/>
              <w:jc w:val="both"/>
            </w:pPr>
            <w:r>
              <w:t>Stupci</w:t>
            </w:r>
          </w:p>
        </w:tc>
        <w:tc>
          <w:tcPr>
            <w:tcW w:w="8003" w:type="dxa"/>
            <w:tcBorders>
              <w:top w:val="single" w:sz="4" w:space="0" w:color="1A171C"/>
              <w:left w:val="single" w:sz="4" w:space="0" w:color="1A171C"/>
              <w:bottom w:val="single" w:sz="4" w:space="0" w:color="1A171C"/>
              <w:right w:val="nil"/>
            </w:tcBorders>
            <w:shd w:val="clear" w:color="auto" w:fill="E4E5E5"/>
          </w:tcPr>
          <w:p w14:paraId="7FE1BC67" w14:textId="77777777" w:rsidR="00393915" w:rsidRDefault="00F24D68">
            <w:pPr>
              <w:pStyle w:val="P68B1DB1-TableParagraph17"/>
              <w:spacing w:before="108"/>
              <w:ind w:left="85" w:right="1"/>
              <w:jc w:val="both"/>
            </w:pPr>
            <w:r>
              <w:t>Upute</w:t>
            </w:r>
          </w:p>
        </w:tc>
      </w:tr>
      <w:tr w:rsidR="00393915" w14:paraId="7FE1BC6C" w14:textId="77777777">
        <w:tc>
          <w:tcPr>
            <w:tcW w:w="1080" w:type="dxa"/>
            <w:tcBorders>
              <w:top w:val="single" w:sz="4" w:space="0" w:color="1A171C"/>
              <w:left w:val="nil"/>
              <w:bottom w:val="single" w:sz="4" w:space="0" w:color="1A171C"/>
              <w:right w:val="single" w:sz="4" w:space="0" w:color="1A171C"/>
            </w:tcBorders>
            <w:vAlign w:val="center"/>
          </w:tcPr>
          <w:p w14:paraId="7FE1BC69" w14:textId="77777777" w:rsidR="00393915" w:rsidRDefault="00F24D68">
            <w:pPr>
              <w:pStyle w:val="P68B1DB1-TableParagraph17"/>
              <w:spacing w:before="108"/>
              <w:ind w:left="85"/>
              <w:jc w:val="both"/>
            </w:pPr>
            <w:r>
              <w:t>0010</w:t>
            </w:r>
          </w:p>
        </w:tc>
        <w:tc>
          <w:tcPr>
            <w:tcW w:w="8003" w:type="dxa"/>
            <w:tcBorders>
              <w:top w:val="single" w:sz="4" w:space="0" w:color="1A171C"/>
              <w:left w:val="single" w:sz="4" w:space="0" w:color="1A171C"/>
              <w:bottom w:val="single" w:sz="4" w:space="0" w:color="1A171C"/>
              <w:right w:val="nil"/>
            </w:tcBorders>
            <w:vAlign w:val="center"/>
          </w:tcPr>
          <w:p w14:paraId="7FE1BC6A" w14:textId="3CAA69C1" w:rsidR="00393915" w:rsidRDefault="00F24D68">
            <w:pPr>
              <w:pStyle w:val="P68B1DB1-TableParagraph14"/>
              <w:spacing w:before="108"/>
              <w:ind w:left="85"/>
              <w:jc w:val="both"/>
              <w:rPr>
                <w:bCs/>
              </w:rPr>
            </w:pPr>
            <w:r>
              <w:t xml:space="preserve">Opis </w:t>
            </w:r>
            <w:r w:rsidR="000A158E">
              <w:t xml:space="preserve">ekonomske </w:t>
            </w:r>
            <w:r>
              <w:t>funkcije</w:t>
            </w:r>
          </w:p>
          <w:p w14:paraId="7FE1BC6B" w14:textId="673475F1" w:rsidR="00393915" w:rsidRDefault="00F24D68">
            <w:pPr>
              <w:pStyle w:val="TableParagraph"/>
              <w:spacing w:before="108"/>
              <w:ind w:left="85"/>
              <w:rPr>
                <w:rFonts w:ascii="Times New Roman" w:eastAsia="Cambria" w:hAnsi="Times New Roman" w:cs="Times New Roman"/>
                <w:color w:val="000000" w:themeColor="text1"/>
                <w:sz w:val="20"/>
                <w:szCs w:val="20"/>
              </w:rPr>
            </w:pPr>
            <w:r>
              <w:rPr>
                <w:rFonts w:ascii="Times New Roman" w:eastAsia="Cambria" w:hAnsi="Times New Roman" w:cs="Times New Roman"/>
                <w:color w:val="000000" w:themeColor="text1"/>
                <w:sz w:val="20"/>
                <w:szCs w:val="20"/>
              </w:rPr>
              <w:t>Ako je ekonomska funkcija vrste „Ostalo” (Z</w:t>
            </w:r>
            <w:r>
              <w:t xml:space="preserve">07.01.4 FUNC 1 CM </w:t>
            </w:r>
            <w:r>
              <w:rPr>
                <w:rFonts w:ascii="Times New Roman" w:eastAsia="Cambria" w:hAnsi="Times New Roman" w:cs="Times New Roman"/>
                <w:color w:val="000000" w:themeColor="text1"/>
                <w:sz w:val="20"/>
                <w:szCs w:val="20"/>
              </w:rPr>
              <w:t xml:space="preserve">r0290 do r0310), navodi se opis te funkcije. </w:t>
            </w:r>
          </w:p>
        </w:tc>
      </w:tr>
      <w:tr w:rsidR="00393915" w14:paraId="7FE1BC70" w14:textId="77777777">
        <w:tc>
          <w:tcPr>
            <w:tcW w:w="1080" w:type="dxa"/>
            <w:tcBorders>
              <w:top w:val="single" w:sz="4" w:space="0" w:color="1A171C"/>
              <w:left w:val="nil"/>
              <w:bottom w:val="single" w:sz="4" w:space="0" w:color="1A171C"/>
              <w:right w:val="single" w:sz="4" w:space="0" w:color="1A171C"/>
            </w:tcBorders>
            <w:vAlign w:val="center"/>
          </w:tcPr>
          <w:p w14:paraId="7FE1BC6D" w14:textId="77777777" w:rsidR="00393915" w:rsidRDefault="00F24D68">
            <w:pPr>
              <w:pStyle w:val="P68B1DB1-TableParagraph17"/>
              <w:spacing w:before="108"/>
              <w:ind w:left="85"/>
              <w:jc w:val="both"/>
            </w:pPr>
            <w:r>
              <w:t>0020</w:t>
            </w:r>
          </w:p>
        </w:tc>
        <w:tc>
          <w:tcPr>
            <w:tcW w:w="8003" w:type="dxa"/>
            <w:tcBorders>
              <w:top w:val="single" w:sz="4" w:space="0" w:color="1A171C"/>
              <w:left w:val="single" w:sz="4" w:space="0" w:color="1A171C"/>
              <w:bottom w:val="single" w:sz="4" w:space="0" w:color="1A171C"/>
              <w:right w:val="nil"/>
            </w:tcBorders>
            <w:vAlign w:val="center"/>
          </w:tcPr>
          <w:p w14:paraId="7FE1BC6E" w14:textId="77777777" w:rsidR="00393915" w:rsidRDefault="00F24D68">
            <w:pPr>
              <w:pStyle w:val="P68B1DB1-TableParagraph14"/>
              <w:spacing w:before="108"/>
              <w:ind w:left="85"/>
              <w:jc w:val="both"/>
              <w:rPr>
                <w:bCs/>
              </w:rPr>
            </w:pPr>
            <w:r>
              <w:t xml:space="preserve">Tržišni udio </w:t>
            </w:r>
          </w:p>
          <w:p w14:paraId="7FE1BC6F" w14:textId="70A7F42A" w:rsidR="00393915" w:rsidRDefault="00F24D68">
            <w:pPr>
              <w:pStyle w:val="P68B1DB1-TableParagraph17"/>
              <w:spacing w:before="108"/>
              <w:ind w:left="85"/>
            </w:pPr>
            <w:r>
              <w:lastRenderedPageBreak/>
              <w:t xml:space="preserve">Procjena tržišnog udjela institucije ili grupe za predmetnu gospodarsku funkciju u odgovarajućoj zemlji ili geografskoj regiji. Postotak ukupnog tržišta u smislu </w:t>
            </w:r>
            <w:r w:rsidR="00A352DB">
              <w:t>nominalne</w:t>
            </w:r>
            <w:r w:rsidR="00A352DB">
              <w:t>nominalne</w:t>
            </w:r>
            <w:r w:rsidR="00A352DB">
              <w:t xml:space="preserve"> vrijednosti</w:t>
            </w:r>
            <w:r>
              <w:t xml:space="preserve"> za izvedenice; knjigovodstvena vrijednost za sekundarna tržišta i prihod od naknada za primarna tržišta.</w:t>
            </w:r>
          </w:p>
        </w:tc>
      </w:tr>
      <w:tr w:rsidR="00393915" w14:paraId="7FE1BC77" w14:textId="77777777">
        <w:tc>
          <w:tcPr>
            <w:tcW w:w="1080" w:type="dxa"/>
            <w:tcBorders>
              <w:top w:val="single" w:sz="4" w:space="0" w:color="1A171C"/>
              <w:left w:val="nil"/>
              <w:bottom w:val="single" w:sz="4" w:space="0" w:color="1A171C"/>
              <w:right w:val="single" w:sz="4" w:space="0" w:color="1A171C"/>
            </w:tcBorders>
            <w:vAlign w:val="center"/>
          </w:tcPr>
          <w:p w14:paraId="7FE1BC71" w14:textId="77777777" w:rsidR="00393915" w:rsidRDefault="00F24D68">
            <w:pPr>
              <w:pStyle w:val="P68B1DB1-TableParagraph17"/>
              <w:spacing w:before="108"/>
              <w:ind w:left="85"/>
              <w:jc w:val="both"/>
            </w:pPr>
            <w:r>
              <w:lastRenderedPageBreak/>
              <w:t>0030</w:t>
            </w:r>
          </w:p>
        </w:tc>
        <w:tc>
          <w:tcPr>
            <w:tcW w:w="8003" w:type="dxa"/>
            <w:tcBorders>
              <w:top w:val="single" w:sz="4" w:space="0" w:color="1A171C"/>
              <w:left w:val="single" w:sz="4" w:space="0" w:color="1A171C"/>
              <w:bottom w:val="single" w:sz="4" w:space="0" w:color="1A171C"/>
              <w:right w:val="nil"/>
            </w:tcBorders>
            <w:vAlign w:val="center"/>
          </w:tcPr>
          <w:p w14:paraId="7FE1BC72" w14:textId="764EF467" w:rsidR="00393915" w:rsidRDefault="00A352DB">
            <w:pPr>
              <w:pStyle w:val="P68B1DB1-TableParagraph14"/>
              <w:spacing w:before="108"/>
              <w:rPr>
                <w:bCs/>
              </w:rPr>
            </w:pPr>
            <w:r>
              <w:t>Nominalna</w:t>
            </w:r>
            <w:r>
              <w:t>Nominalna</w:t>
            </w:r>
            <w:r>
              <w:t xml:space="preserve"> vrijednost</w:t>
            </w:r>
          </w:p>
          <w:p w14:paraId="7FE1BC73" w14:textId="59E8887B" w:rsidR="00393915" w:rsidRDefault="00F24D68">
            <w:pPr>
              <w:pStyle w:val="P68B1DB1-TableParagraph17"/>
              <w:spacing w:before="108"/>
            </w:pPr>
            <w:r>
              <w:t xml:space="preserve">bruto </w:t>
            </w:r>
            <w:r w:rsidR="00EE3E55">
              <w:t>avrijednost</w:t>
            </w:r>
            <w:r>
              <w:t>nominaln</w:t>
            </w:r>
            <w:r w:rsidR="00EE3E55">
              <w:t>a</w:t>
            </w:r>
            <w:r>
              <w:t xml:space="preserve"> </w:t>
            </w:r>
            <w:r w:rsidR="00EE3E55">
              <w:t>vrijednost</w:t>
            </w:r>
            <w:r>
              <w:t xml:space="preserve"> svih zaključenih i još nenamirenih transakcija na referentni datum. </w:t>
            </w:r>
          </w:p>
          <w:p w14:paraId="7FE1BC74" w14:textId="171B3DF7" w:rsidR="00393915" w:rsidRDefault="00F24D68">
            <w:pPr>
              <w:pStyle w:val="P68B1DB1-TableParagraph17"/>
              <w:spacing w:before="108"/>
            </w:pPr>
            <w:r>
              <w:t xml:space="preserve">Referentni dokumenti: FINREP, Prilog V. dio 2. točka 133. za definiciju; za podatke FINREP, prilozi III., </w:t>
            </w:r>
            <w:r>
              <w:t>IV</w:t>
            </w:r>
            <w:r w:rsidR="0022401B">
              <w:t>. i V</w:t>
            </w:r>
            <w:r>
              <w:t>.:</w:t>
            </w:r>
          </w:p>
          <w:p w14:paraId="7FE1BC75" w14:textId="222172C3" w:rsidR="00393915" w:rsidRDefault="00F24D68">
            <w:pPr>
              <w:pStyle w:val="P68B1DB1-TableParagraph17"/>
              <w:spacing w:before="108"/>
            </w:pPr>
            <w:r>
              <w:t>— Izvedenice ukupno (4.1. – 4.2.): Predložak F 10.00 stupac 030 redak 290,</w:t>
            </w:r>
          </w:p>
          <w:p w14:paraId="7FE1BC76" w14:textId="654DD62A" w:rsidR="00393915" w:rsidRDefault="00F24D68">
            <w:pPr>
              <w:pStyle w:val="P68B1DB1-TableParagraph17"/>
              <w:spacing w:before="108"/>
            </w:pPr>
            <w:r>
              <w:t>— Izvedenice OTC (4.1.): Predložak F 10.00 stupac 030 redci 300 + 310 + 320</w:t>
            </w:r>
            <w:r w:rsidR="00E95E5D">
              <w:t>.</w:t>
            </w:r>
            <w:r w:rsidR="00E95E5D">
              <w:t>.</w:t>
            </w:r>
          </w:p>
        </w:tc>
      </w:tr>
      <w:tr w:rsidR="00393915" w14:paraId="7FE1BC7C" w14:textId="77777777">
        <w:tc>
          <w:tcPr>
            <w:tcW w:w="1080" w:type="dxa"/>
            <w:tcBorders>
              <w:top w:val="single" w:sz="4" w:space="0" w:color="1A171C"/>
              <w:left w:val="nil"/>
              <w:bottom w:val="single" w:sz="4" w:space="0" w:color="1A171C"/>
              <w:right w:val="single" w:sz="4" w:space="0" w:color="1A171C"/>
            </w:tcBorders>
            <w:vAlign w:val="center"/>
          </w:tcPr>
          <w:p w14:paraId="7FE1BC78" w14:textId="77777777" w:rsidR="00393915" w:rsidRDefault="00F24D68">
            <w:pPr>
              <w:pStyle w:val="P68B1DB1-TableParagraph17"/>
              <w:spacing w:before="108"/>
              <w:ind w:left="85"/>
              <w:jc w:val="both"/>
            </w:pPr>
            <w:r>
              <w:t>0040</w:t>
            </w:r>
          </w:p>
        </w:tc>
        <w:tc>
          <w:tcPr>
            <w:tcW w:w="8003" w:type="dxa"/>
            <w:tcBorders>
              <w:top w:val="single" w:sz="4" w:space="0" w:color="1A171C"/>
              <w:left w:val="single" w:sz="4" w:space="0" w:color="1A171C"/>
              <w:bottom w:val="single" w:sz="4" w:space="0" w:color="1A171C"/>
              <w:right w:val="nil"/>
            </w:tcBorders>
            <w:vAlign w:val="center"/>
          </w:tcPr>
          <w:p w14:paraId="7FE1BC79" w14:textId="77777777" w:rsidR="00393915" w:rsidRDefault="00F24D68">
            <w:pPr>
              <w:pStyle w:val="P68B1DB1-TableParagraph14"/>
              <w:spacing w:before="108"/>
              <w:rPr>
                <w:bCs/>
              </w:rPr>
            </w:pPr>
            <w:r>
              <w:t>Knjigovodstvena vrijednost</w:t>
            </w:r>
          </w:p>
          <w:p w14:paraId="7FE1BC7A" w14:textId="669AAC6B" w:rsidR="00393915" w:rsidRDefault="00F24D68">
            <w:pPr>
              <w:pStyle w:val="P68B1DB1-TableParagraph17"/>
              <w:spacing w:before="108"/>
            </w:pPr>
            <w:r>
              <w:t xml:space="preserve">Knjigovodstvena vrijednost </w:t>
            </w:r>
            <w:r w:rsidR="00E95E5D">
              <w:t xml:space="preserve">koja se izvještava </w:t>
            </w:r>
            <w:r>
              <w:t xml:space="preserve">na strani imovine bilance, uključujući </w:t>
            </w:r>
            <w:r w:rsidR="00E95E5D">
              <w:t xml:space="preserve">obračunate </w:t>
            </w:r>
            <w:r>
              <w:t>kamate [FINREP: Prilog V. dio 1. točka 27.] za vlasničke instrumente i dužničke vrijednosne papire [FINREP: Prilog V. dio 1. točka 31.], klasificirano kao „drži se radi trgovanja” [FINREP: Prilog V. dio 1. točka 15. podtočka (a) i točka 16. podtočka (a)].</w:t>
            </w:r>
          </w:p>
          <w:p w14:paraId="7FE1BC7B" w14:textId="56D569CC" w:rsidR="00393915" w:rsidRDefault="00F24D68">
            <w:pPr>
              <w:pStyle w:val="P68B1DB1-TableParagraph17"/>
              <w:spacing w:before="108"/>
            </w:pPr>
            <w:r>
              <w:t>Referentni broj: FINREP: Prilog III. predložak F 04.01 stupac 010 redci 010 + 060 + 120</w:t>
            </w:r>
            <w:r w:rsidR="00E95E5D">
              <w:t>.</w:t>
            </w:r>
            <w:r w:rsidR="00E95E5D">
              <w:t>.</w:t>
            </w:r>
          </w:p>
        </w:tc>
      </w:tr>
      <w:tr w:rsidR="00393915" w14:paraId="7FE1BC81" w14:textId="77777777">
        <w:tc>
          <w:tcPr>
            <w:tcW w:w="1080" w:type="dxa"/>
            <w:tcBorders>
              <w:top w:val="single" w:sz="4" w:space="0" w:color="1A171C"/>
              <w:left w:val="nil"/>
              <w:bottom w:val="single" w:sz="4" w:space="0" w:color="1A171C"/>
              <w:right w:val="single" w:sz="4" w:space="0" w:color="1A171C"/>
            </w:tcBorders>
            <w:vAlign w:val="center"/>
          </w:tcPr>
          <w:p w14:paraId="7FE1BC7D" w14:textId="77777777" w:rsidR="00393915" w:rsidRDefault="00F24D68">
            <w:pPr>
              <w:pStyle w:val="P68B1DB1-TableParagraph17"/>
              <w:spacing w:before="108"/>
              <w:ind w:left="85"/>
              <w:jc w:val="both"/>
            </w:pPr>
            <w:r>
              <w:t>0050</w:t>
            </w:r>
          </w:p>
        </w:tc>
        <w:tc>
          <w:tcPr>
            <w:tcW w:w="8003" w:type="dxa"/>
            <w:tcBorders>
              <w:top w:val="single" w:sz="4" w:space="0" w:color="1A171C"/>
              <w:left w:val="single" w:sz="4" w:space="0" w:color="1A171C"/>
              <w:bottom w:val="single" w:sz="4" w:space="0" w:color="1A171C"/>
              <w:right w:val="nil"/>
            </w:tcBorders>
            <w:vAlign w:val="center"/>
          </w:tcPr>
          <w:p w14:paraId="7FE1BC7E" w14:textId="77777777" w:rsidR="00393915" w:rsidRDefault="00F24D68">
            <w:pPr>
              <w:pStyle w:val="P68B1DB1-TableParagraph14"/>
              <w:spacing w:before="108"/>
              <w:jc w:val="both"/>
              <w:rPr>
                <w:bCs/>
              </w:rPr>
            </w:pPr>
            <w:r>
              <w:t>Prihodi od naknada</w:t>
            </w:r>
          </w:p>
          <w:p w14:paraId="7FE1BC7F" w14:textId="02C77F98" w:rsidR="00393915" w:rsidRDefault="00F24D68">
            <w:pPr>
              <w:pStyle w:val="P68B1DB1-TableParagraph13"/>
              <w:spacing w:before="108"/>
              <w:jc w:val="both"/>
            </w:pPr>
            <w:r>
              <w:t xml:space="preserve">Naknade i provizije od sudjelovanja u </w:t>
            </w:r>
            <w:r w:rsidR="00572256">
              <w:t xml:space="preserve">stvaranju </w:t>
            </w:r>
            <w:r>
              <w:t xml:space="preserve">ili izdavanju vrijednosnih papira koje institucija nije </w:t>
            </w:r>
            <w:r w:rsidR="00572256">
              <w:t xml:space="preserve">stvorila </w:t>
            </w:r>
            <w:r>
              <w:t>niti izdala.</w:t>
            </w:r>
          </w:p>
          <w:p w14:paraId="7FE1BC80" w14:textId="634510A7" w:rsidR="00393915" w:rsidRDefault="00F24D68">
            <w:pPr>
              <w:pStyle w:val="P68B1DB1-TableParagraph13"/>
              <w:spacing w:before="108"/>
              <w:jc w:val="both"/>
            </w:pPr>
            <w:r>
              <w:t>Referentni broj: FINREP: Prilozi III</w:t>
            </w:r>
            <w:r>
              <w:t>.</w:t>
            </w:r>
            <w:r w:rsidR="00AC747D">
              <w:t>,</w:t>
            </w:r>
            <w:r>
              <w:t>IV. predložak F 22.01 stupac 010 redci 030 + 180.</w:t>
            </w:r>
          </w:p>
        </w:tc>
      </w:tr>
      <w:tr w:rsidR="00393915" w14:paraId="7FE1BC87" w14:textId="77777777">
        <w:tc>
          <w:tcPr>
            <w:tcW w:w="1080" w:type="dxa"/>
            <w:tcBorders>
              <w:top w:val="single" w:sz="4" w:space="0" w:color="1A171C"/>
              <w:left w:val="nil"/>
              <w:bottom w:val="single" w:sz="4" w:space="0" w:color="1A171C"/>
              <w:right w:val="single" w:sz="4" w:space="0" w:color="1A171C"/>
            </w:tcBorders>
            <w:vAlign w:val="center"/>
          </w:tcPr>
          <w:p w14:paraId="7FE1BC82" w14:textId="6B9CB740" w:rsidR="00393915" w:rsidRDefault="00F24D68">
            <w:pPr>
              <w:pStyle w:val="P68B1DB1-TableParagraph17"/>
              <w:spacing w:before="108"/>
              <w:jc w:val="both"/>
            </w:pPr>
            <w:r>
              <w:t xml:space="preserve">0060 </w:t>
            </w:r>
            <w:r w:rsidR="004642E2">
              <w:t xml:space="preserve">- </w:t>
            </w:r>
            <w:r>
              <w:t>0080</w:t>
            </w:r>
          </w:p>
        </w:tc>
        <w:tc>
          <w:tcPr>
            <w:tcW w:w="8003" w:type="dxa"/>
            <w:tcBorders>
              <w:top w:val="single" w:sz="4" w:space="0" w:color="1A171C"/>
              <w:left w:val="single" w:sz="4" w:space="0" w:color="1A171C"/>
              <w:bottom w:val="single" w:sz="4" w:space="0" w:color="1A171C"/>
              <w:right w:val="nil"/>
            </w:tcBorders>
            <w:vAlign w:val="center"/>
          </w:tcPr>
          <w:p w14:paraId="7FE1BC83" w14:textId="77777777" w:rsidR="00393915" w:rsidRDefault="00F24D68">
            <w:pPr>
              <w:pStyle w:val="P68B1DB1-TableParagraph14"/>
              <w:spacing w:before="108"/>
              <w:jc w:val="both"/>
              <w:rPr>
                <w:bCs/>
              </w:rPr>
            </w:pPr>
            <w:r>
              <w:t>Prekogranična vrijednost</w:t>
            </w:r>
          </w:p>
          <w:p w14:paraId="7FE1BC84" w14:textId="762EF142" w:rsidR="00393915" w:rsidRDefault="00F24D68">
            <w:pPr>
              <w:pStyle w:val="P68B1DB1-TableParagraph13"/>
              <w:spacing w:before="108"/>
              <w:jc w:val="both"/>
            </w:pPr>
            <w:r>
              <w:t xml:space="preserve">Izvedenice: </w:t>
            </w:r>
            <w:r w:rsidR="006749F5">
              <w:t>nepodmirena</w:t>
            </w:r>
            <w:r w:rsidR="006749F5">
              <w:t>nepodmirena</w:t>
            </w:r>
            <w:r w:rsidR="006749F5">
              <w:t xml:space="preserve"> nominalna vrijednost</w:t>
            </w:r>
            <w:r>
              <w:t xml:space="preserve"> izvan matične ili relevantne zemlje. </w:t>
            </w:r>
          </w:p>
          <w:p w14:paraId="7FE1BC85" w14:textId="77777777" w:rsidR="00393915" w:rsidRDefault="00F24D68">
            <w:pPr>
              <w:pStyle w:val="P68B1DB1-TableParagraph13"/>
              <w:spacing w:before="108"/>
              <w:jc w:val="both"/>
            </w:pPr>
            <w:r>
              <w:t>Sekundarna tržišta: bruto knjigovodstvena vrijednost neotplaćena izvan matične ili relevantne države. Upućivanje na osnovne informacije: FINREP u Prilogu III. tablici 20.04. stupac 011 redci 040 + 080, sve zemlje osim matične ili relevantne zemlje.</w:t>
            </w:r>
          </w:p>
          <w:p w14:paraId="7FE1BC86" w14:textId="68837303" w:rsidR="00393915" w:rsidRDefault="00F24D68">
            <w:pPr>
              <w:pStyle w:val="P68B1DB1-TableParagraph13"/>
              <w:spacing w:before="108"/>
              <w:jc w:val="both"/>
            </w:pPr>
            <w:r>
              <w:t>Primarna tržišta: prihod od naknada ostvaren izvan matične ili relevantne zemlje.</w:t>
            </w:r>
          </w:p>
        </w:tc>
      </w:tr>
      <w:tr w:rsidR="00393915" w14:paraId="7FE1BC8B" w14:textId="77777777">
        <w:tc>
          <w:tcPr>
            <w:tcW w:w="1080" w:type="dxa"/>
            <w:tcBorders>
              <w:top w:val="single" w:sz="4" w:space="0" w:color="1A171C"/>
              <w:left w:val="nil"/>
              <w:bottom w:val="single" w:sz="4" w:space="0" w:color="1A171C"/>
              <w:right w:val="single" w:sz="4" w:space="0" w:color="1A171C"/>
            </w:tcBorders>
            <w:vAlign w:val="center"/>
          </w:tcPr>
          <w:p w14:paraId="7FE1BC88" w14:textId="161C7077" w:rsidR="00393915" w:rsidRDefault="00F24D68">
            <w:pPr>
              <w:pStyle w:val="P68B1DB1-TableParagraph17"/>
              <w:spacing w:before="108"/>
              <w:ind w:left="85"/>
              <w:jc w:val="both"/>
            </w:pPr>
            <w:r>
              <w:t xml:space="preserve">0090 </w:t>
            </w:r>
            <w:r w:rsidR="004642E2">
              <w:t>-</w:t>
            </w:r>
            <w:r>
              <w:t xml:space="preserve"> 0100</w:t>
            </w:r>
          </w:p>
        </w:tc>
        <w:tc>
          <w:tcPr>
            <w:tcW w:w="8003" w:type="dxa"/>
            <w:tcBorders>
              <w:top w:val="single" w:sz="4" w:space="0" w:color="1A171C"/>
              <w:left w:val="single" w:sz="4" w:space="0" w:color="1A171C"/>
              <w:bottom w:val="single" w:sz="4" w:space="0" w:color="1A171C"/>
              <w:right w:val="nil"/>
            </w:tcBorders>
            <w:vAlign w:val="center"/>
          </w:tcPr>
          <w:p w14:paraId="7FE1BC89" w14:textId="5C134DE9" w:rsidR="00393915" w:rsidRDefault="00F24D68">
            <w:pPr>
              <w:pStyle w:val="P68B1DB1-TableParagraph14"/>
              <w:spacing w:before="108"/>
              <w:jc w:val="both"/>
              <w:rPr>
                <w:bCs/>
              </w:rPr>
            </w:pPr>
            <w:r>
              <w:t>Broj drugih ugovornih strana ili transakcija</w:t>
            </w:r>
          </w:p>
          <w:p w14:paraId="7FE1BC8A" w14:textId="6BA0DBD4" w:rsidR="00393915" w:rsidRDefault="00F24D68">
            <w:pPr>
              <w:pStyle w:val="P68B1DB1-TableParagraph13"/>
              <w:spacing w:before="108"/>
              <w:jc w:val="both"/>
              <w:rPr>
                <w:b/>
                <w:bCs/>
              </w:rPr>
            </w:pPr>
            <w:r>
              <w:t xml:space="preserve">Za izvedenice i sekundarna tržišta, ukupan broj drugih ugovornih strana. Za primarna tržišta, ukupan broj </w:t>
            </w:r>
            <w:r w:rsidR="005209B1">
              <w:t xml:space="preserve">ugovorenih </w:t>
            </w:r>
            <w:r>
              <w:t>transakcija.</w:t>
            </w:r>
          </w:p>
        </w:tc>
      </w:tr>
      <w:tr w:rsidR="00393915" w14:paraId="7FE1BC94" w14:textId="77777777">
        <w:tc>
          <w:tcPr>
            <w:tcW w:w="1080" w:type="dxa"/>
            <w:tcBorders>
              <w:top w:val="single" w:sz="4" w:space="0" w:color="1A171C"/>
              <w:left w:val="nil"/>
              <w:bottom w:val="single" w:sz="4" w:space="0" w:color="1A171C"/>
              <w:right w:val="single" w:sz="4" w:space="0" w:color="1A171C"/>
            </w:tcBorders>
            <w:vAlign w:val="center"/>
          </w:tcPr>
          <w:p w14:paraId="7FE1BC8C" w14:textId="43D76507" w:rsidR="00393915" w:rsidRDefault="00F24D68">
            <w:pPr>
              <w:pStyle w:val="P68B1DB1-TableParagraph17"/>
              <w:spacing w:before="108"/>
              <w:ind w:left="85"/>
              <w:jc w:val="both"/>
            </w:pPr>
            <w:r>
              <w:t xml:space="preserve">0110 </w:t>
            </w:r>
            <w:r w:rsidR="004642E2">
              <w:t>-</w:t>
            </w:r>
            <w:r w:rsidR="004642E2">
              <w:t>-</w:t>
            </w:r>
            <w:r>
              <w:t xml:space="preserve"> 0180</w:t>
            </w:r>
          </w:p>
        </w:tc>
        <w:tc>
          <w:tcPr>
            <w:tcW w:w="8003" w:type="dxa"/>
            <w:tcBorders>
              <w:top w:val="single" w:sz="4" w:space="0" w:color="1A171C"/>
              <w:left w:val="single" w:sz="4" w:space="0" w:color="1A171C"/>
              <w:bottom w:val="single" w:sz="4" w:space="0" w:color="1A171C"/>
              <w:right w:val="nil"/>
            </w:tcBorders>
            <w:vAlign w:val="center"/>
          </w:tcPr>
          <w:p w14:paraId="7FE1BC8D" w14:textId="77777777" w:rsidR="00393915" w:rsidRDefault="00F24D68">
            <w:pPr>
              <w:pStyle w:val="P68B1DB1-TableParagraph14"/>
              <w:spacing w:before="108"/>
              <w:jc w:val="both"/>
              <w:rPr>
                <w:bCs/>
              </w:rPr>
            </w:pPr>
            <w:r>
              <w:t>Analize učinka i zamjenjivosti</w:t>
            </w:r>
          </w:p>
          <w:p w14:paraId="7FE1BC8E" w14:textId="77777777" w:rsidR="00393915" w:rsidRDefault="00F24D68">
            <w:pPr>
              <w:pStyle w:val="P68B1DB1-TableParagraph13"/>
              <w:spacing w:before="108"/>
              <w:jc w:val="both"/>
            </w:pPr>
            <w:r>
              <w:t>Kriteriji procjene učinka na treće strane uključuju sljedeće elemente u skladu s Delegiranom uredbom Komisije (EU) 2016/778 o ključnim funkcijama:</w:t>
            </w:r>
          </w:p>
          <w:p w14:paraId="7FE1BC8F" w14:textId="77777777" w:rsidR="00393915" w:rsidRDefault="00F24D68">
            <w:pPr>
              <w:pStyle w:val="P68B1DB1-ListParagraph38"/>
              <w:numPr>
                <w:ilvl w:val="0"/>
                <w:numId w:val="131"/>
              </w:numPr>
              <w:spacing w:line="276" w:lineRule="auto"/>
            </w:pPr>
            <w:r>
              <w:t>prirodu i doseg aktivnosti, globalni, nacionalni ili regionalni doseg, opseg i broj transakcija; broj korisnika i ugovornih strana; broj korisnika za koje je institucija jedini ili glavni bankarski partner.</w:t>
            </w:r>
          </w:p>
          <w:p w14:paraId="7FE1BC90" w14:textId="77777777" w:rsidR="00393915" w:rsidRDefault="00F24D68">
            <w:pPr>
              <w:pStyle w:val="P68B1DB1-ListParagraph38"/>
              <w:numPr>
                <w:ilvl w:val="0"/>
                <w:numId w:val="131"/>
              </w:numPr>
              <w:spacing w:line="276" w:lineRule="auto"/>
            </w:pPr>
            <w:r>
              <w:t>važnost institucije na lokalnoj, regionalnoj, nacionalnoj ili europskoj razini, ovisno o predmetnom tržištu. Važnost institucije može se procijeniti na temelju tržišnog udjela, međusobne povezanosti, složenosti i prekograničnih aktivnosti.</w:t>
            </w:r>
          </w:p>
          <w:p w14:paraId="7FE1BC91" w14:textId="77777777" w:rsidR="00393915" w:rsidRDefault="00F24D68">
            <w:pPr>
              <w:pStyle w:val="P68B1DB1-ListParagraph38"/>
              <w:numPr>
                <w:ilvl w:val="0"/>
                <w:numId w:val="131"/>
              </w:numPr>
              <w:spacing w:line="276" w:lineRule="auto"/>
            </w:pPr>
            <w:r>
              <w:t xml:space="preserve">prirodu korisnika i dionika na koje utječe funkcija kao što su, ali ne isključivo, mali korisnici, korporativni i međubankovni korisnici, središnje klirinške kuće i javna tijela. </w:t>
            </w:r>
          </w:p>
          <w:p w14:paraId="7FE1BC92" w14:textId="77777777" w:rsidR="00393915" w:rsidRDefault="00F24D68">
            <w:pPr>
              <w:pStyle w:val="P68B1DB1-ListParagraph38"/>
              <w:numPr>
                <w:ilvl w:val="0"/>
                <w:numId w:val="131"/>
              </w:numPr>
              <w:spacing w:line="276" w:lineRule="auto"/>
            </w:pPr>
            <w:r>
              <w:lastRenderedPageBreak/>
              <w:t>učinak potencijalnog prekida funkcije na tržišta, infrastrukture, korisnike i javne usluge. Procjena može posebno uključivati učinak na likvidnost predmetnog tržišta, utjecaj i razmjer prekida na poslovanje korisnika i kratkoročne likvidnosne potrebe; zamjetljivost za druge ugovorne strane, korisnike i javnost; mogućnost i brzinu reakcije korisnika; važnost za funkcioniranje drugih tržišta; učinak na likvidnost, poslovanje, strukturu drugog tržišta; učinak na ugovorne strane povezane s glavnim korisnicima i međusobnu povezanost funkcije s drugim uslugama.</w:t>
            </w:r>
          </w:p>
          <w:p w14:paraId="7FE1BC93" w14:textId="77777777" w:rsidR="00393915" w:rsidRDefault="00393915">
            <w:pPr>
              <w:pStyle w:val="TableParagraph"/>
              <w:spacing w:before="108"/>
              <w:jc w:val="both"/>
              <w:rPr>
                <w:rFonts w:ascii="Times New Roman" w:hAnsi="Times New Roman" w:cs="Times New Roman"/>
                <w:color w:val="000000" w:themeColor="text1"/>
                <w:sz w:val="20"/>
                <w:szCs w:val="20"/>
              </w:rPr>
            </w:pPr>
          </w:p>
        </w:tc>
      </w:tr>
      <w:tr w:rsidR="00393915" w14:paraId="7FE1BC98" w14:textId="77777777">
        <w:tc>
          <w:tcPr>
            <w:tcW w:w="1080" w:type="dxa"/>
            <w:tcBorders>
              <w:top w:val="single" w:sz="4" w:space="0" w:color="1A171C"/>
              <w:left w:val="nil"/>
              <w:bottom w:val="single" w:sz="4" w:space="0" w:color="1A171C"/>
              <w:right w:val="single" w:sz="4" w:space="0" w:color="1A171C"/>
            </w:tcBorders>
            <w:vAlign w:val="center"/>
          </w:tcPr>
          <w:p w14:paraId="7FE1BC95" w14:textId="394B9104" w:rsidR="00393915" w:rsidRDefault="00F24D68">
            <w:pPr>
              <w:pStyle w:val="P68B1DB1-TableParagraph17"/>
              <w:spacing w:before="108"/>
              <w:ind w:left="85"/>
              <w:jc w:val="both"/>
            </w:pPr>
            <w:r>
              <w:lastRenderedPageBreak/>
              <w:t xml:space="preserve">0110 </w:t>
            </w:r>
            <w:r w:rsidR="00D0767B">
              <w:t xml:space="preserve">- </w:t>
            </w:r>
            <w:r>
              <w:t>0130</w:t>
            </w:r>
          </w:p>
        </w:tc>
        <w:tc>
          <w:tcPr>
            <w:tcW w:w="8003" w:type="dxa"/>
            <w:tcBorders>
              <w:top w:val="single" w:sz="4" w:space="0" w:color="1A171C"/>
              <w:left w:val="single" w:sz="4" w:space="0" w:color="1A171C"/>
              <w:bottom w:val="single" w:sz="4" w:space="0" w:color="1A171C"/>
              <w:right w:val="nil"/>
            </w:tcBorders>
            <w:vAlign w:val="center"/>
          </w:tcPr>
          <w:p w14:paraId="7FE1BC96" w14:textId="77777777" w:rsidR="00393915" w:rsidRDefault="00F24D68">
            <w:pPr>
              <w:pStyle w:val="P68B1DB1-TableParagraph14"/>
              <w:spacing w:before="108"/>
              <w:jc w:val="both"/>
              <w:rPr>
                <w:bCs/>
              </w:rPr>
            </w:pPr>
            <w:r>
              <w:t xml:space="preserve">Priroda i područje primjene </w:t>
            </w:r>
          </w:p>
          <w:p w14:paraId="7FE1BC97" w14:textId="77777777" w:rsidR="00393915" w:rsidRDefault="00F24D68">
            <w:pPr>
              <w:pStyle w:val="P68B1DB1-TableParagraph13"/>
              <w:spacing w:before="108"/>
              <w:jc w:val="both"/>
            </w:pPr>
            <w:r>
              <w:t>Globalni, nacionalni ili regionalni doseg, obujam i broj transakcija; broj korisnika i ugovornih strana; broj korisnika za koje je institucija jedini ili glavni bankarski partner.</w:t>
            </w:r>
          </w:p>
        </w:tc>
      </w:tr>
      <w:tr w:rsidR="00393915" w14:paraId="7FE1BC9E" w14:textId="77777777">
        <w:tc>
          <w:tcPr>
            <w:tcW w:w="1080" w:type="dxa"/>
            <w:tcBorders>
              <w:top w:val="single" w:sz="4" w:space="0" w:color="1A171C"/>
              <w:left w:val="nil"/>
              <w:bottom w:val="single" w:sz="4" w:space="0" w:color="1A171C"/>
              <w:right w:val="single" w:sz="4" w:space="0" w:color="1A171C"/>
            </w:tcBorders>
            <w:vAlign w:val="center"/>
          </w:tcPr>
          <w:p w14:paraId="7FE1BC99" w14:textId="77777777" w:rsidR="00393915" w:rsidRDefault="00F24D68">
            <w:pPr>
              <w:pStyle w:val="P68B1DB1-TableParagraph17"/>
              <w:spacing w:before="108"/>
              <w:ind w:left="85"/>
              <w:jc w:val="both"/>
            </w:pPr>
            <w:r>
              <w:t>0110</w:t>
            </w:r>
          </w:p>
        </w:tc>
        <w:tc>
          <w:tcPr>
            <w:tcW w:w="8003" w:type="dxa"/>
            <w:tcBorders>
              <w:top w:val="single" w:sz="4" w:space="0" w:color="1A171C"/>
              <w:left w:val="single" w:sz="4" w:space="0" w:color="1A171C"/>
              <w:bottom w:val="single" w:sz="4" w:space="0" w:color="1A171C"/>
              <w:right w:val="nil"/>
            </w:tcBorders>
            <w:vAlign w:val="center"/>
          </w:tcPr>
          <w:p w14:paraId="7FE1BC9A" w14:textId="77777777" w:rsidR="00393915" w:rsidRDefault="00F24D68">
            <w:pPr>
              <w:pStyle w:val="P68B1DB1-TableParagraph14"/>
              <w:spacing w:before="108"/>
              <w:jc w:val="both"/>
              <w:rPr>
                <w:bCs/>
              </w:rPr>
            </w:pPr>
            <w:r>
              <w:t>Pokazatelj veličine br. 1</w:t>
            </w:r>
          </w:p>
          <w:p w14:paraId="4965F0DF" w14:textId="01F0DB53" w:rsidR="00393915" w:rsidRDefault="00F24D68">
            <w:pPr>
              <w:pStyle w:val="P68B1DB1-Normal31"/>
              <w:spacing w:line="276" w:lineRule="auto"/>
              <w:jc w:val="both"/>
            </w:pPr>
            <w:r>
              <w:t>Procijeniti koliko je banka važna u tim aktivnostima. Ta se procjena kvalitativno izražava kao „visoka”, „</w:t>
            </w:r>
            <w:r w:rsidR="00E10E0A">
              <w:t xml:space="preserve">srednje </w:t>
            </w:r>
            <w:r>
              <w:t>visoka”, „</w:t>
            </w:r>
            <w:r w:rsidR="00E10E0A">
              <w:t>srednje niska</w:t>
            </w:r>
            <w:r w:rsidR="00E10E0A">
              <w:t>niska</w:t>
            </w:r>
            <w:r>
              <w:t>” ili „niska”. Navesti „</w:t>
            </w:r>
            <w:r w:rsidR="00B11C05">
              <w:t>visoka</w:t>
            </w:r>
            <w:r w:rsidR="00B11C05">
              <w:t>visoka</w:t>
            </w:r>
            <w:r>
              <w:t>” ako je veličina funkcije velika, „srednje</w:t>
            </w:r>
            <w:r w:rsidR="00E10E0A">
              <w:t xml:space="preserve"> </w:t>
            </w:r>
            <w:r>
              <w:t>visoka” ako je srednja, „</w:t>
            </w:r>
            <w:r w:rsidR="00E10E0A">
              <w:t>srednje</w:t>
            </w:r>
            <w:r w:rsidR="00E10E0A">
              <w:t>srednje</w:t>
            </w:r>
            <w:r w:rsidR="00E10E0A">
              <w:t xml:space="preserve"> niska</w:t>
            </w:r>
            <w:r>
              <w:t>” ako je mala, i „</w:t>
            </w:r>
            <w:r w:rsidR="00B11C05">
              <w:t>niska</w:t>
            </w:r>
            <w:r w:rsidR="00B11C05">
              <w:t>niska</w:t>
            </w:r>
            <w:r>
              <w:t xml:space="preserve">” ako je zanemariva. Kao referentnu vrijednost za tu kvalitativnu procjenu </w:t>
            </w:r>
            <w:r>
              <w:t>koristi</w:t>
            </w:r>
            <w:r w:rsidR="00A278A1">
              <w:t>ti</w:t>
            </w:r>
            <w:r>
              <w:t xml:space="preserve"> makroekonomske varijable kao što su BDP, stanovništvo (za depozite, kreditiranje, plaćanja, gotovinu, namiru, usluge poravnanja i skrbništva) ili veličinu tržišta (za tržišta kapitala i financiranje</w:t>
            </w:r>
            <w:r w:rsidR="000130A7">
              <w:t xml:space="preserve"> </w:t>
            </w:r>
            <w:r w:rsidR="00A44E32">
              <w:t>institucionalnih ulagača</w:t>
            </w:r>
            <w:r w:rsidR="00A44E32">
              <w:t>ulagača</w:t>
            </w:r>
            <w:r>
              <w:t xml:space="preserve">). </w:t>
            </w:r>
          </w:p>
          <w:p w14:paraId="7FE1BC9B" w14:textId="478A7B58" w:rsidR="00393915" w:rsidRDefault="00F24D68">
            <w:pPr>
              <w:pStyle w:val="P68B1DB1-TableParagraph13"/>
              <w:spacing w:before="108"/>
              <w:jc w:val="both"/>
            </w:pPr>
            <w:r>
              <w:t xml:space="preserve"> </w:t>
            </w:r>
          </w:p>
          <w:p w14:paraId="7FE1BC9C" w14:textId="2B6AD72A" w:rsidR="00393915" w:rsidRDefault="00F24D68">
            <w:pPr>
              <w:pStyle w:val="P68B1DB1-ListParagraph32"/>
              <w:numPr>
                <w:ilvl w:val="0"/>
                <w:numId w:val="126"/>
              </w:numPr>
              <w:spacing w:line="276" w:lineRule="auto"/>
            </w:pPr>
            <w:r>
              <w:t xml:space="preserve">Stručna prosudba iznosa </w:t>
            </w:r>
            <w:r w:rsidR="00D96E5A">
              <w:t>neotplaćene</w:t>
            </w:r>
            <w:r w:rsidR="00D96E5A">
              <w:t>neotplaćene</w:t>
            </w:r>
            <w:r w:rsidR="00D96E5A">
              <w:t xml:space="preserve"> nominalne vrijednosti</w:t>
            </w:r>
            <w:r w:rsidR="00D96E5A">
              <w:t>vrijednosti</w:t>
            </w:r>
            <w:r>
              <w:t xml:space="preserve"> (c0030 za identifikacijske oznake funkcije 4.1 i 4.2); knjigovodstvena vrijednost (c0040 za ID 4.3); ili ostvareni prihod od naknada (c0050 za ID 4.4) iz </w:t>
            </w:r>
            <w:r>
              <w:rPr>
                <w:b/>
              </w:rPr>
              <w:t>globalne</w:t>
            </w:r>
            <w:r>
              <w:t xml:space="preserve"> perspektive [</w:t>
            </w:r>
            <w:r>
              <w:rPr>
                <w:i/>
              </w:rPr>
              <w:t>jedna razina viša od mjerodavnog tržišta. Ako je mjerodavno tržište globalno, veličina 1 postaje suvišna i o njoj se ne mora izvješćivati</w:t>
            </w:r>
            <w:r>
              <w:t>]</w:t>
            </w:r>
            <w:r w:rsidR="009D2087">
              <w:t>:</w:t>
            </w:r>
          </w:p>
          <w:p w14:paraId="7FE1BC9D" w14:textId="61D324AA" w:rsidR="00393915" w:rsidRDefault="009D2087">
            <w:pPr>
              <w:pStyle w:val="P68B1DB1-TableParagraph33"/>
              <w:spacing w:before="108"/>
              <w:jc w:val="both"/>
              <w:rPr>
                <w:rFonts w:cs="Times New Roman"/>
                <w:color w:val="000000" w:themeColor="text1"/>
              </w:rPr>
            </w:pPr>
            <w:r>
              <w:t>Iz</w:t>
            </w:r>
            <w:r w:rsidR="00C14691">
              <w:t xml:space="preserve"> globalne perspektive, ko</w:t>
            </w:r>
            <w:r w:rsidR="0032183C">
              <w:t>su</w:t>
            </w:r>
            <w:r w:rsidR="00C14691">
              <w:t>k</w:t>
            </w:r>
            <w:r w:rsidR="00F24D68">
              <w:t>olik</w:t>
            </w:r>
            <w:r w:rsidR="00C14691">
              <w:t>o</w:t>
            </w:r>
            <w:r w:rsidR="00F24D68">
              <w:t xml:space="preserve"> </w:t>
            </w:r>
            <w:r w:rsidR="0032183C">
              <w:t>su</w:t>
            </w:r>
            <w:r w:rsidR="00F24D68">
              <w:t xml:space="preserve">, prema vašem mišljenju, </w:t>
            </w:r>
            <w:r w:rsidR="00C14691">
              <w:t>velik</w:t>
            </w:r>
            <w:r w:rsidR="0032183C">
              <w:t>i</w:t>
            </w:r>
            <w:r w:rsidR="00F24D68">
              <w:t xml:space="preserve"> </w:t>
            </w:r>
            <w:r w:rsidR="00F24D68">
              <w:t xml:space="preserve">ukupni </w:t>
            </w:r>
            <w:r w:rsidR="00C14691">
              <w:t>nepodmireni nominalni iznos</w:t>
            </w:r>
            <w:r w:rsidR="0032183C">
              <w:t>,</w:t>
            </w:r>
            <w:r w:rsidR="00C14691">
              <w:t xml:space="preserve"> i</w:t>
            </w:r>
            <w:r w:rsidR="00F24D68">
              <w:t>prihod</w:t>
            </w:r>
            <w:r w:rsidR="00F24D68">
              <w:t xml:space="preserve"> od naknada?</w:t>
            </w:r>
          </w:p>
        </w:tc>
      </w:tr>
      <w:tr w:rsidR="00393915" w14:paraId="7FE1BCA5" w14:textId="77777777">
        <w:tc>
          <w:tcPr>
            <w:tcW w:w="1080" w:type="dxa"/>
            <w:tcBorders>
              <w:top w:val="single" w:sz="4" w:space="0" w:color="1A171C"/>
              <w:left w:val="nil"/>
              <w:bottom w:val="single" w:sz="4" w:space="0" w:color="1A171C"/>
              <w:right w:val="single" w:sz="4" w:space="0" w:color="1A171C"/>
            </w:tcBorders>
            <w:vAlign w:val="center"/>
          </w:tcPr>
          <w:p w14:paraId="7FE1BC9F" w14:textId="77777777" w:rsidR="00393915" w:rsidRDefault="00F24D68">
            <w:pPr>
              <w:pStyle w:val="P68B1DB1-TableParagraph17"/>
              <w:spacing w:before="108"/>
              <w:ind w:left="85"/>
              <w:jc w:val="both"/>
            </w:pPr>
            <w:r>
              <w:t>0120</w:t>
            </w:r>
          </w:p>
        </w:tc>
        <w:tc>
          <w:tcPr>
            <w:tcW w:w="8003" w:type="dxa"/>
            <w:tcBorders>
              <w:top w:val="single" w:sz="4" w:space="0" w:color="1A171C"/>
              <w:left w:val="single" w:sz="4" w:space="0" w:color="1A171C"/>
              <w:bottom w:val="single" w:sz="4" w:space="0" w:color="1A171C"/>
              <w:right w:val="nil"/>
            </w:tcBorders>
            <w:vAlign w:val="center"/>
          </w:tcPr>
          <w:p w14:paraId="7FE1BCA0" w14:textId="77777777" w:rsidR="00393915" w:rsidRDefault="00F24D68">
            <w:pPr>
              <w:pStyle w:val="P68B1DB1-TableParagraph14"/>
              <w:spacing w:before="108"/>
              <w:jc w:val="both"/>
              <w:rPr>
                <w:bCs/>
              </w:rPr>
            </w:pPr>
            <w:r>
              <w:t>Pokazatelj veličine br. 2</w:t>
            </w:r>
          </w:p>
          <w:p w14:paraId="419C7762" w14:textId="0C377A73" w:rsidR="00393915" w:rsidRDefault="00F24D68">
            <w:pPr>
              <w:pStyle w:val="P68B1DB1-Normal31"/>
              <w:spacing w:line="276" w:lineRule="auto"/>
              <w:jc w:val="both"/>
            </w:pPr>
            <w:r>
              <w:t>Procijeniti koliko je banka važna u tim aktivnostima. Ta se procjena kvalitativno izražava kao „visoka”, „srednja visoka”, „</w:t>
            </w:r>
            <w:r w:rsidR="00222D63">
              <w:t>e</w:t>
            </w:r>
            <w:r>
              <w:t>srednj</w:t>
            </w:r>
            <w:r w:rsidR="00222D63">
              <w:t>e</w:t>
            </w:r>
            <w:r w:rsidR="00222D63">
              <w:t xml:space="preserve"> niska</w:t>
            </w:r>
            <w:r>
              <w:t xml:space="preserve">” ili „niska”. </w:t>
            </w:r>
            <w:r w:rsidR="00222D63">
              <w:t>Navesti „visoka” ako je veličina funkcije velika, „srednje visoka” ako je srednja, „srednje niska” ako je mala, i „niska” ako je zanemariva</w:t>
            </w:r>
            <w:r w:rsidR="00222D63">
              <w:t>zanemariva</w:t>
            </w:r>
            <w:r>
              <w:t>.</w:t>
            </w:r>
            <w:r>
              <w:t xml:space="preserve"> Kao referentnu vrijednost za tu kvalitativnu procjenu </w:t>
            </w:r>
            <w:r>
              <w:t>koristi</w:t>
            </w:r>
            <w:r w:rsidR="008928A0">
              <w:t>ti</w:t>
            </w:r>
            <w:r>
              <w:t xml:space="preserve"> makroekonomske varijable kao što su BDP, stanovništvo (za depozite, kreditiranje, plaćanja, gotovinu, namiru, usluge poravnanja i skrbništva) ili veličinu tržišta (za tržišta kapitala i </w:t>
            </w:r>
            <w:r w:rsidR="000130A7">
              <w:t>financiranje institucionalnih ulagača</w:t>
            </w:r>
            <w:r w:rsidR="000130A7">
              <w:t>ulagača</w:t>
            </w:r>
            <w:r>
              <w:t xml:space="preserve">). </w:t>
            </w:r>
          </w:p>
          <w:p w14:paraId="7FE1BCA1" w14:textId="7FB998B3" w:rsidR="00393915" w:rsidRDefault="00F24D68">
            <w:pPr>
              <w:pStyle w:val="P68B1DB1-TableParagraph13"/>
              <w:spacing w:before="108"/>
              <w:jc w:val="both"/>
            </w:pPr>
            <w:r>
              <w:t xml:space="preserve"> </w:t>
            </w:r>
          </w:p>
          <w:p w14:paraId="3C42A32E" w14:textId="47613FC1" w:rsidR="00393915" w:rsidRDefault="00F24D68">
            <w:pPr>
              <w:pStyle w:val="P68B1DB1-ListParagraph32"/>
              <w:numPr>
                <w:ilvl w:val="0"/>
                <w:numId w:val="124"/>
              </w:numPr>
              <w:spacing w:line="276" w:lineRule="auto"/>
            </w:pPr>
            <w:r>
              <w:t>Stručna prosudba o veličini broja drugih ugovornih strana (c0090 za identifikacijske oznake funkcije 4</w:t>
            </w:r>
            <w:r w:rsidR="00073E20">
              <w:t>.</w:t>
            </w:r>
            <w:r w:rsidR="00073E20">
              <w:t>.</w:t>
            </w:r>
            <w:r>
              <w:t xml:space="preserve">1, 4.2, 4.3) ili </w:t>
            </w:r>
            <w:r>
              <w:rPr>
                <w:b/>
              </w:rPr>
              <w:t>broja</w:t>
            </w:r>
            <w:r>
              <w:t xml:space="preserve"> ugovorenih transakcija (c0100 za identifikacijsku oznaku 4.4) iz </w:t>
            </w:r>
            <w:r>
              <w:rPr>
                <w:b/>
              </w:rPr>
              <w:t>nacionalne</w:t>
            </w:r>
            <w:r>
              <w:t xml:space="preserve"> perspektive</w:t>
            </w:r>
            <w:r w:rsidR="000A4A17">
              <w:t xml:space="preserve"> </w:t>
            </w:r>
            <w:r>
              <w:rPr>
                <w:i/>
              </w:rPr>
              <w:t>[na razini mjerodavnog tržišta</w:t>
            </w:r>
            <w:r>
              <w:t>]:</w:t>
            </w:r>
          </w:p>
          <w:p w14:paraId="7FE1BCA3" w14:textId="77777777" w:rsidR="00393915" w:rsidRDefault="00F24D68">
            <w:pPr>
              <w:pStyle w:val="P68B1DB1-ListParagraph32"/>
              <w:numPr>
                <w:ilvl w:val="1"/>
                <w:numId w:val="124"/>
              </w:numPr>
              <w:spacing w:line="276" w:lineRule="auto"/>
            </w:pPr>
            <w:r>
              <w:t>Koliko je iz nacionalne perspektive velik procijenjeni broj drugih ugovornih strana</w:t>
            </w:r>
            <w:r>
              <w:rPr>
                <w:i/>
              </w:rPr>
              <w:t xml:space="preserve"> ili</w:t>
            </w:r>
            <w:r>
              <w:t xml:space="preserve"> ugovorenih transakcija vaše institucije?</w:t>
            </w:r>
          </w:p>
          <w:p w14:paraId="7FE1BCA4" w14:textId="77777777" w:rsidR="00393915" w:rsidRDefault="00393915">
            <w:pPr>
              <w:pStyle w:val="TableParagraph"/>
              <w:spacing w:before="108"/>
              <w:jc w:val="both"/>
              <w:rPr>
                <w:rFonts w:ascii="Times New Roman" w:hAnsi="Times New Roman" w:cs="Times New Roman"/>
                <w:color w:val="000000" w:themeColor="text1"/>
                <w:sz w:val="20"/>
                <w:szCs w:val="20"/>
              </w:rPr>
            </w:pPr>
          </w:p>
        </w:tc>
      </w:tr>
      <w:tr w:rsidR="00393915" w14:paraId="7FE1BCB0" w14:textId="77777777">
        <w:tc>
          <w:tcPr>
            <w:tcW w:w="1080" w:type="dxa"/>
            <w:tcBorders>
              <w:top w:val="single" w:sz="4" w:space="0" w:color="1A171C"/>
              <w:left w:val="nil"/>
              <w:bottom w:val="single" w:sz="4" w:space="0" w:color="1A171C"/>
              <w:right w:val="single" w:sz="4" w:space="0" w:color="1A171C"/>
            </w:tcBorders>
            <w:vAlign w:val="center"/>
          </w:tcPr>
          <w:p w14:paraId="7FE1BCA6" w14:textId="77777777" w:rsidR="00393915" w:rsidRDefault="00F24D68">
            <w:pPr>
              <w:pStyle w:val="P68B1DB1-TableParagraph17"/>
              <w:spacing w:before="108"/>
              <w:ind w:left="85"/>
              <w:jc w:val="both"/>
            </w:pPr>
            <w:r>
              <w:t>0130</w:t>
            </w:r>
          </w:p>
        </w:tc>
        <w:tc>
          <w:tcPr>
            <w:tcW w:w="8003" w:type="dxa"/>
            <w:tcBorders>
              <w:top w:val="single" w:sz="4" w:space="0" w:color="1A171C"/>
              <w:left w:val="single" w:sz="4" w:space="0" w:color="1A171C"/>
              <w:bottom w:val="single" w:sz="4" w:space="0" w:color="1A171C"/>
              <w:right w:val="nil"/>
            </w:tcBorders>
            <w:vAlign w:val="center"/>
          </w:tcPr>
          <w:p w14:paraId="7FE1BCA7" w14:textId="77777777" w:rsidR="00393915" w:rsidRDefault="00F24D68">
            <w:pPr>
              <w:pStyle w:val="P68B1DB1-TableParagraph14"/>
              <w:spacing w:before="108"/>
              <w:jc w:val="both"/>
              <w:rPr>
                <w:bCs/>
              </w:rPr>
            </w:pPr>
            <w:r>
              <w:t>Prekogranični pokazatelj</w:t>
            </w:r>
          </w:p>
          <w:p w14:paraId="7FE1BCA8" w14:textId="77777777" w:rsidR="00393915" w:rsidRDefault="00F24D68">
            <w:pPr>
              <w:pStyle w:val="P68B1DB1-TableParagraph13"/>
              <w:spacing w:before="108"/>
              <w:jc w:val="both"/>
            </w:pPr>
            <w:r>
              <w:t>Procijeniti relativnu važnost prekograničnih aktivnosti za različite gospodarske funkcije.</w:t>
            </w:r>
          </w:p>
          <w:p w14:paraId="7FE1BCA9" w14:textId="77777777" w:rsidR="00393915" w:rsidRDefault="00F24D68">
            <w:pPr>
              <w:pStyle w:val="P68B1DB1-TableParagraph13"/>
              <w:spacing w:before="108"/>
              <w:jc w:val="both"/>
            </w:pPr>
            <w:r>
              <w:lastRenderedPageBreak/>
              <w:t xml:space="preserve">To nije potrebno ocjenjivati u slučaju izvješća u kojima se mjerodavno tržište smatra regionalnim. </w:t>
            </w:r>
          </w:p>
          <w:p w14:paraId="7FE1BCAA" w14:textId="78D7AEDE" w:rsidR="00393915" w:rsidRDefault="00F24D68">
            <w:pPr>
              <w:pStyle w:val="P68B1DB1-ListParagraph32"/>
              <w:numPr>
                <w:ilvl w:val="0"/>
                <w:numId w:val="118"/>
              </w:numPr>
              <w:rPr>
                <w:i/>
                <w:iCs/>
              </w:rPr>
            </w:pPr>
            <w:r>
              <w:t xml:space="preserve">Udio u međudržavnoj aktivnosti izvještajnog subjekta kao postotak ukupne vrijednosti, izražen u </w:t>
            </w:r>
            <w:r w:rsidR="000A4A17">
              <w:t>nominalnoj</w:t>
            </w:r>
            <w:r w:rsidR="000A4A17">
              <w:t>nominalnoj</w:t>
            </w:r>
            <w:r w:rsidR="000A4A17">
              <w:t xml:space="preserve"> vrijednosti</w:t>
            </w:r>
            <w:r>
              <w:t xml:space="preserve"> (izvedenicama), knjigovodstvenoj vrijednosti (sekundarna tržišta), prihodu od naknada od stranih klijenata (primarna tržišta). Izvješće: </w:t>
            </w:r>
          </w:p>
          <w:p w14:paraId="7FE1BCAB" w14:textId="055C801A" w:rsidR="00393915" w:rsidRDefault="000A4A17">
            <w:pPr>
              <w:pStyle w:val="P68B1DB1-ListParagraph32"/>
              <w:numPr>
                <w:ilvl w:val="1"/>
                <w:numId w:val="118"/>
              </w:numPr>
              <w:rPr>
                <w:i/>
                <w:iCs/>
              </w:rPr>
            </w:pPr>
            <w:bookmarkStart w:id="121" w:name="_Hlk194476322"/>
            <w:r>
              <w:t>&lt;</w:t>
            </w:r>
            <w:r>
              <w:t>&lt;</w:t>
            </w:r>
            <w:r w:rsidR="00F24D68">
              <w:t xml:space="preserve">5 %; </w:t>
            </w:r>
          </w:p>
          <w:p w14:paraId="7FE1BCAC" w14:textId="35A9186D" w:rsidR="00393915" w:rsidRDefault="00F24D68">
            <w:pPr>
              <w:pStyle w:val="P68B1DB1-ListParagraph32"/>
              <w:numPr>
                <w:ilvl w:val="1"/>
                <w:numId w:val="118"/>
              </w:numPr>
              <w:rPr>
                <w:i/>
                <w:iCs/>
              </w:rPr>
            </w:pPr>
            <w:r>
              <w:t xml:space="preserve">5 – 15 %; </w:t>
            </w:r>
          </w:p>
          <w:p w14:paraId="7FE1BCAD" w14:textId="54C07240" w:rsidR="00393915" w:rsidRDefault="00F24D68">
            <w:pPr>
              <w:pStyle w:val="P68B1DB1-ListParagraph32"/>
              <w:numPr>
                <w:ilvl w:val="1"/>
                <w:numId w:val="118"/>
              </w:numPr>
              <w:rPr>
                <w:i/>
                <w:iCs/>
              </w:rPr>
            </w:pPr>
            <w:r>
              <w:t xml:space="preserve">16 – 25 %, </w:t>
            </w:r>
          </w:p>
          <w:p w14:paraId="7FE1BCAE" w14:textId="34AC2F5B" w:rsidR="00393915" w:rsidRDefault="00F24D68">
            <w:pPr>
              <w:pStyle w:val="P68B1DB1-ListParagraph32"/>
              <w:numPr>
                <w:ilvl w:val="1"/>
                <w:numId w:val="118"/>
              </w:numPr>
              <w:rPr>
                <w:i/>
                <w:iCs/>
              </w:rPr>
            </w:pPr>
            <w:r>
              <w:t xml:space="preserve">&gt; 25 %. </w:t>
            </w:r>
          </w:p>
          <w:bookmarkEnd w:id="121"/>
          <w:p w14:paraId="7FE1BCAF" w14:textId="77777777" w:rsidR="00393915" w:rsidRDefault="00393915">
            <w:pPr>
              <w:pStyle w:val="TableParagraph"/>
              <w:spacing w:before="108"/>
              <w:jc w:val="both"/>
              <w:rPr>
                <w:rFonts w:ascii="Times New Roman" w:hAnsi="Times New Roman" w:cs="Times New Roman"/>
                <w:color w:val="000000" w:themeColor="text1"/>
                <w:sz w:val="20"/>
                <w:szCs w:val="20"/>
              </w:rPr>
            </w:pPr>
          </w:p>
        </w:tc>
      </w:tr>
      <w:tr w:rsidR="00393915" w14:paraId="7FE1BCBF" w14:textId="77777777">
        <w:tc>
          <w:tcPr>
            <w:tcW w:w="1080" w:type="dxa"/>
            <w:tcBorders>
              <w:top w:val="single" w:sz="4" w:space="0" w:color="1A171C"/>
              <w:left w:val="nil"/>
              <w:bottom w:val="single" w:sz="4" w:space="0" w:color="1A171C"/>
              <w:right w:val="single" w:sz="4" w:space="0" w:color="1A171C"/>
            </w:tcBorders>
            <w:vAlign w:val="center"/>
          </w:tcPr>
          <w:p w14:paraId="7FE1BCB1" w14:textId="77777777" w:rsidR="00393915" w:rsidRDefault="00F24D68">
            <w:pPr>
              <w:pStyle w:val="P68B1DB1-TableParagraph17"/>
              <w:spacing w:before="108"/>
              <w:ind w:left="85"/>
              <w:jc w:val="both"/>
            </w:pPr>
            <w:r>
              <w:lastRenderedPageBreak/>
              <w:t>0140</w:t>
            </w:r>
          </w:p>
        </w:tc>
        <w:tc>
          <w:tcPr>
            <w:tcW w:w="8003" w:type="dxa"/>
            <w:tcBorders>
              <w:top w:val="single" w:sz="4" w:space="0" w:color="1A171C"/>
              <w:left w:val="single" w:sz="4" w:space="0" w:color="1A171C"/>
              <w:bottom w:val="single" w:sz="4" w:space="0" w:color="1A171C"/>
              <w:right w:val="nil"/>
            </w:tcBorders>
            <w:vAlign w:val="center"/>
          </w:tcPr>
          <w:p w14:paraId="7FE1BCB2" w14:textId="77777777" w:rsidR="00393915" w:rsidRDefault="00F24D68">
            <w:pPr>
              <w:pStyle w:val="P68B1DB1-TableParagraph14"/>
              <w:spacing w:before="108"/>
              <w:jc w:val="both"/>
              <w:rPr>
                <w:bCs/>
              </w:rPr>
            </w:pPr>
            <w:r>
              <w:t xml:space="preserve">Važnost — </w:t>
            </w:r>
          </w:p>
          <w:p w14:paraId="7FE1BCB3" w14:textId="77777777" w:rsidR="00393915" w:rsidRDefault="00F24D68">
            <w:pPr>
              <w:pStyle w:val="P68B1DB1-TableParagraph13"/>
              <w:spacing w:before="108"/>
              <w:jc w:val="both"/>
            </w:pPr>
            <w:r>
              <w:t>Na lokalnoj, regionalnoj, nacionalnoj ili europskoj razini, ovisno o predmetnom tržištu. Važnost institucije može se procijeniti na temelju tržišnog udjela, međusobne povezanosti, složenosti i prekograničnih aktivnosti.</w:t>
            </w:r>
          </w:p>
          <w:p w14:paraId="7FE1BCB4" w14:textId="77777777" w:rsidR="00393915" w:rsidRDefault="00F24D68">
            <w:pPr>
              <w:pStyle w:val="P68B1DB1-TableParagraph14"/>
              <w:spacing w:before="108"/>
              <w:jc w:val="both"/>
              <w:rPr>
                <w:bCs/>
              </w:rPr>
            </w:pPr>
            <w:r>
              <w:t>Tržišni udio</w:t>
            </w:r>
          </w:p>
          <w:p w14:paraId="7FE1BCB5" w14:textId="77777777" w:rsidR="00393915" w:rsidRDefault="00F24D68">
            <w:pPr>
              <w:pStyle w:val="P68B1DB1-TableParagraph13"/>
              <w:spacing w:before="108"/>
              <w:jc w:val="both"/>
            </w:pPr>
            <w:r>
              <w:t>Procijeniti koliko je važan tržišni udio subjekta koji izvješćuje, u usporedbi s nacionalnim ili drugim relevantnim tržištem, kako je navedeno u obrascu. Ta je procjena kvalitativno izražena kao</w:t>
            </w:r>
            <w:r w:rsidR="00632080">
              <w:t>:</w:t>
            </w:r>
            <w:r>
              <w:t xml:space="preserve"> </w:t>
            </w:r>
          </w:p>
          <w:p w14:paraId="7FE1BCB6" w14:textId="090EB23B" w:rsidR="00393915" w:rsidRDefault="00632080">
            <w:pPr>
              <w:pStyle w:val="P68B1DB1-ListParagraph38"/>
              <w:numPr>
                <w:ilvl w:val="0"/>
                <w:numId w:val="276"/>
              </w:numPr>
              <w:spacing w:line="276" w:lineRule="auto"/>
              <w:jc w:val="both"/>
            </w:pPr>
            <w:r>
              <w:t>v</w:t>
            </w:r>
            <w:r>
              <w:t>v</w:t>
            </w:r>
            <w:r w:rsidR="00F24D68">
              <w:t>isok</w:t>
            </w:r>
            <w:r w:rsidR="00F24D68">
              <w:t>, ako je tržišni udio velik</w:t>
            </w:r>
          </w:p>
          <w:p w14:paraId="7FE1BCB7" w14:textId="746746A3" w:rsidR="00393915" w:rsidRDefault="00632080">
            <w:pPr>
              <w:pStyle w:val="P68B1DB1-ListParagraph38"/>
              <w:numPr>
                <w:ilvl w:val="0"/>
                <w:numId w:val="276"/>
              </w:numPr>
              <w:spacing w:line="276" w:lineRule="auto"/>
              <w:jc w:val="both"/>
            </w:pPr>
            <w:r>
              <w:t>s</w:t>
            </w:r>
            <w:r>
              <w:t>s</w:t>
            </w:r>
            <w:r w:rsidR="00F24D68">
              <w:t>rednje</w:t>
            </w:r>
            <w:r w:rsidR="00F24D68">
              <w:t xml:space="preserve"> visoki, ako je tržišni udio </w:t>
            </w:r>
            <w:r>
              <w:t>srednji</w:t>
            </w:r>
            <w:r>
              <w:t>srednji</w:t>
            </w:r>
          </w:p>
          <w:p w14:paraId="7FE1BCB8" w14:textId="602C51B5" w:rsidR="00393915" w:rsidRDefault="00632080">
            <w:pPr>
              <w:pStyle w:val="P68B1DB1-ListParagraph38"/>
              <w:numPr>
                <w:ilvl w:val="0"/>
                <w:numId w:val="276"/>
              </w:numPr>
              <w:spacing w:line="276" w:lineRule="auto"/>
              <w:jc w:val="both"/>
            </w:pPr>
            <w:r>
              <w:t xml:space="preserve">srednje nizak </w:t>
            </w:r>
            <w:r w:rsidR="00F24D68">
              <w:t xml:space="preserve">ako je tržišni udio malen ili </w:t>
            </w:r>
          </w:p>
          <w:p w14:paraId="7FE1BCB9" w14:textId="6F5401DD" w:rsidR="00393915" w:rsidRDefault="00632080">
            <w:pPr>
              <w:pStyle w:val="P68B1DB1-ListParagraph38"/>
              <w:numPr>
                <w:ilvl w:val="0"/>
                <w:numId w:val="276"/>
              </w:numPr>
              <w:spacing w:line="276" w:lineRule="auto"/>
              <w:jc w:val="both"/>
            </w:pPr>
            <w:r>
              <w:t>n</w:t>
            </w:r>
            <w:r>
              <w:t>n</w:t>
            </w:r>
            <w:r w:rsidR="00F24D68">
              <w:t>izak</w:t>
            </w:r>
            <w:r w:rsidR="00F24D68">
              <w:t xml:space="preserve"> ako je tržišni udio zanemariv. </w:t>
            </w:r>
          </w:p>
          <w:p w14:paraId="7FE1BCBA" w14:textId="77777777" w:rsidR="00393915" w:rsidRDefault="00F24D68">
            <w:pPr>
              <w:pStyle w:val="P68B1DB1-TableParagraph13"/>
              <w:spacing w:before="108"/>
              <w:jc w:val="both"/>
            </w:pPr>
            <w:r>
              <w:t xml:space="preserve">Tom se procjenom uzima u obzir tržišna struktura zemlje izvještajnog subjekta (ili drugog mjerodavnog tržišta) i tržišni udjeli o kojima se izvješćuje djelomično. </w:t>
            </w:r>
          </w:p>
          <w:p w14:paraId="7FE1BCBB" w14:textId="77777777" w:rsidR="00393915" w:rsidRDefault="00F24D68">
            <w:pPr>
              <w:pStyle w:val="P68B1DB1-TableParagraph13"/>
              <w:spacing w:before="108"/>
              <w:jc w:val="both"/>
            </w:pPr>
            <w:r>
              <w:t>2.</w:t>
            </w:r>
            <w:r w:rsidR="00DB4E05">
              <w:t xml:space="preserve"> </w:t>
            </w:r>
            <w:r>
              <w:t>Kvantitativni podaci:</w:t>
            </w:r>
          </w:p>
          <w:p w14:paraId="7FE1BCBC" w14:textId="77777777" w:rsidR="00393915" w:rsidRDefault="00F24D68">
            <w:pPr>
              <w:pStyle w:val="P68B1DB1-ListParagraph32"/>
              <w:numPr>
                <w:ilvl w:val="0"/>
                <w:numId w:val="117"/>
              </w:numPr>
              <w:jc w:val="both"/>
              <w:rPr>
                <w:i/>
                <w:iCs/>
              </w:rPr>
            </w:pPr>
            <w:r>
              <w:t xml:space="preserve">Stručna prosudba o veličini </w:t>
            </w:r>
            <w:r>
              <w:rPr>
                <w:b/>
              </w:rPr>
              <w:t xml:space="preserve">nacionalnog </w:t>
            </w:r>
            <w:r>
              <w:t>tržišnog udjela (navedena u c0020, osim u slučajevima kada se izvješće dostavlja za različitu razinu mjerodavnog tržišta, u kojem se slučaju očekuje procjena relevantnog tržišnog udjela).</w:t>
            </w:r>
          </w:p>
          <w:p w14:paraId="7FE1BCBD" w14:textId="77777777" w:rsidR="00393915" w:rsidRDefault="00393915">
            <w:pPr>
              <w:pStyle w:val="TableParagraph"/>
              <w:spacing w:before="108"/>
              <w:jc w:val="both"/>
              <w:rPr>
                <w:rFonts w:ascii="Times New Roman" w:hAnsi="Times New Roman" w:cs="Times New Roman"/>
                <w:color w:val="000000" w:themeColor="text1"/>
                <w:sz w:val="20"/>
                <w:szCs w:val="20"/>
              </w:rPr>
            </w:pPr>
          </w:p>
          <w:p w14:paraId="7FE1BCBE" w14:textId="77777777" w:rsidR="00393915" w:rsidRDefault="00393915">
            <w:pPr>
              <w:pStyle w:val="TableParagraph"/>
              <w:spacing w:before="108"/>
              <w:jc w:val="both"/>
              <w:rPr>
                <w:rFonts w:ascii="Times New Roman" w:hAnsi="Times New Roman" w:cs="Times New Roman"/>
                <w:color w:val="000000" w:themeColor="text1"/>
                <w:sz w:val="20"/>
                <w:szCs w:val="20"/>
              </w:rPr>
            </w:pPr>
          </w:p>
        </w:tc>
      </w:tr>
      <w:tr w:rsidR="00393915" w14:paraId="7FE1BCCB" w14:textId="77777777">
        <w:tc>
          <w:tcPr>
            <w:tcW w:w="1080" w:type="dxa"/>
            <w:tcBorders>
              <w:top w:val="single" w:sz="4" w:space="0" w:color="1A171C"/>
              <w:left w:val="nil"/>
              <w:bottom w:val="single" w:sz="4" w:space="0" w:color="1A171C"/>
              <w:right w:val="single" w:sz="4" w:space="0" w:color="1A171C"/>
            </w:tcBorders>
            <w:vAlign w:val="center"/>
          </w:tcPr>
          <w:p w14:paraId="7FE1BCC0" w14:textId="77777777" w:rsidR="00393915" w:rsidRDefault="00F24D68">
            <w:pPr>
              <w:pStyle w:val="P68B1DB1-TableParagraph17"/>
              <w:spacing w:before="108"/>
              <w:ind w:left="85"/>
              <w:jc w:val="both"/>
            </w:pPr>
            <w:r>
              <w:t>0150</w:t>
            </w:r>
          </w:p>
        </w:tc>
        <w:tc>
          <w:tcPr>
            <w:tcW w:w="8003" w:type="dxa"/>
            <w:tcBorders>
              <w:top w:val="single" w:sz="4" w:space="0" w:color="1A171C"/>
              <w:left w:val="single" w:sz="4" w:space="0" w:color="1A171C"/>
              <w:bottom w:val="single" w:sz="4" w:space="0" w:color="1A171C"/>
              <w:right w:val="nil"/>
            </w:tcBorders>
            <w:vAlign w:val="center"/>
          </w:tcPr>
          <w:p w14:paraId="7FE1BCC1" w14:textId="77777777" w:rsidR="00393915" w:rsidRDefault="00F24D68">
            <w:pPr>
              <w:pStyle w:val="P68B1DB1-TableParagraph14"/>
              <w:spacing w:before="108"/>
              <w:jc w:val="both"/>
              <w:rPr>
                <w:bCs/>
              </w:rPr>
            </w:pPr>
            <w:r>
              <w:t>Struktura tržišta – koncentracija na tržištu</w:t>
            </w:r>
          </w:p>
          <w:p w14:paraId="7FE1BCC2" w14:textId="77777777" w:rsidR="00393915" w:rsidRDefault="00F24D68">
            <w:pPr>
              <w:pStyle w:val="P68B1DB1-TableParagraph13"/>
              <w:spacing w:before="108"/>
              <w:jc w:val="both"/>
            </w:pPr>
            <w:r>
              <w:t xml:space="preserve">Koncentracija na tržištu, mjerena brojem konkurenata koji trenutačno posluju </w:t>
            </w:r>
          </w:p>
          <w:p w14:paraId="7FE1BCC3" w14:textId="77777777" w:rsidR="00393915" w:rsidRDefault="00F24D68">
            <w:pPr>
              <w:pStyle w:val="P68B1DB1-TableParagraph13"/>
              <w:spacing w:before="108"/>
              <w:jc w:val="both"/>
            </w:pPr>
            <w:r>
              <w:t xml:space="preserve">slične gospodarske funkcije i/ili pružanje sličnih usluga pod jednakim uvjetima (tj. </w:t>
            </w:r>
          </w:p>
          <w:p w14:paraId="7FE1BCC4" w14:textId="77777777" w:rsidR="00393915" w:rsidRDefault="00F24D68">
            <w:pPr>
              <w:pStyle w:val="P68B1DB1-TableParagraph13"/>
              <w:spacing w:before="108"/>
              <w:jc w:val="both"/>
            </w:pPr>
            <w:r>
              <w:t xml:space="preserve">usporediv opseg i kvaliteta te uz usporedive troškove) koji bi mogli preuzeti </w:t>
            </w:r>
          </w:p>
          <w:p w14:paraId="7FE1BCC5" w14:textId="77777777" w:rsidR="00393915" w:rsidRDefault="00F24D68">
            <w:pPr>
              <w:pStyle w:val="P68B1DB1-TableParagraph13"/>
              <w:spacing w:before="108"/>
              <w:jc w:val="both"/>
            </w:pPr>
            <w:r>
              <w:t xml:space="preserve">(dio) klijenata i/ili poslovanja izvještajnog subjekta u razumnom roku. </w:t>
            </w:r>
          </w:p>
          <w:p w14:paraId="7FE1BCC6" w14:textId="04D87D71" w:rsidR="00393915" w:rsidRDefault="00F24D68">
            <w:pPr>
              <w:pStyle w:val="P68B1DB1-TableParagraph13"/>
              <w:spacing w:before="108"/>
              <w:jc w:val="both"/>
            </w:pPr>
            <w:r>
              <w:t>To je potrebno iskazati u razdobljima koja su jednaka za svaku podfunkciju</w:t>
            </w:r>
            <w:r w:rsidR="00943ED9">
              <w:t>:</w:t>
            </w:r>
            <w:r w:rsidR="00943ED9">
              <w:t>:</w:t>
            </w:r>
            <w:r>
              <w:t xml:space="preserve"> </w:t>
            </w:r>
          </w:p>
          <w:p w14:paraId="6E6D19F8" w14:textId="77777777" w:rsidR="00393915" w:rsidRDefault="00F24D68">
            <w:pPr>
              <w:pStyle w:val="P68B1DB1-ListParagraph32"/>
              <w:numPr>
                <w:ilvl w:val="0"/>
                <w:numId w:val="277"/>
              </w:numPr>
              <w:jc w:val="both"/>
            </w:pPr>
            <w:r>
              <w:t xml:space="preserve">&gt; 20 konkurenata; </w:t>
            </w:r>
          </w:p>
          <w:p w14:paraId="6A8A3C5F" w14:textId="77777777" w:rsidR="00393915" w:rsidRDefault="00F24D68">
            <w:pPr>
              <w:pStyle w:val="P68B1DB1-ListParagraph32"/>
              <w:numPr>
                <w:ilvl w:val="0"/>
                <w:numId w:val="277"/>
              </w:numPr>
              <w:jc w:val="both"/>
            </w:pPr>
            <w:r>
              <w:t xml:space="preserve">11 – 20 konkurenata; </w:t>
            </w:r>
          </w:p>
          <w:p w14:paraId="543AFD53" w14:textId="0050F8CC" w:rsidR="00393915" w:rsidRDefault="00F24D68">
            <w:pPr>
              <w:pStyle w:val="P68B1DB1-ListParagraph32"/>
              <w:numPr>
                <w:ilvl w:val="0"/>
                <w:numId w:val="277"/>
              </w:numPr>
              <w:jc w:val="both"/>
            </w:pPr>
            <w:r>
              <w:t>5 – 10 konkurenata</w:t>
            </w:r>
            <w:r w:rsidR="00C274FE">
              <w:t>;</w:t>
            </w:r>
            <w:r w:rsidR="00C274FE">
              <w:t>;</w:t>
            </w:r>
            <w:r>
              <w:t xml:space="preserve"> </w:t>
            </w:r>
          </w:p>
          <w:p w14:paraId="761539CF" w14:textId="76EEDC34" w:rsidR="00393915" w:rsidRDefault="00C274FE">
            <w:pPr>
              <w:pStyle w:val="P68B1DB1-ListParagraph32"/>
              <w:numPr>
                <w:ilvl w:val="0"/>
                <w:numId w:val="277"/>
              </w:numPr>
              <w:jc w:val="both"/>
              <w:rPr>
                <w:b/>
                <w:bCs/>
                <w:color w:val="000000" w:themeColor="text1"/>
              </w:rPr>
            </w:pPr>
            <w:r>
              <w:t>&lt;</w:t>
            </w:r>
            <w:r>
              <w:t>&lt;</w:t>
            </w:r>
            <w:r w:rsidR="00220158">
              <w:t xml:space="preserve"> </w:t>
            </w:r>
            <w:r w:rsidR="00F24D68">
              <w:t xml:space="preserve">5 </w:t>
            </w:r>
            <w:r w:rsidR="00F24D68">
              <w:t>konkuren</w:t>
            </w:r>
            <w:r>
              <w:t>ata</w:t>
            </w:r>
            <w:r w:rsidR="003C2768">
              <w:t>.</w:t>
            </w:r>
          </w:p>
          <w:p w14:paraId="7FE1BCCA" w14:textId="06EC2320" w:rsidR="00393915" w:rsidRDefault="00393915">
            <w:pPr>
              <w:jc w:val="both"/>
              <w:rPr>
                <w:rFonts w:ascii="Times New Roman" w:hAnsi="Times New Roman"/>
                <w:color w:val="000000" w:themeColor="text1"/>
                <w:sz w:val="20"/>
                <w:szCs w:val="20"/>
              </w:rPr>
            </w:pPr>
          </w:p>
        </w:tc>
      </w:tr>
      <w:tr w:rsidR="00393915" w14:paraId="7FE1BCDA" w14:textId="77777777">
        <w:tc>
          <w:tcPr>
            <w:tcW w:w="1080" w:type="dxa"/>
            <w:tcBorders>
              <w:top w:val="single" w:sz="4" w:space="0" w:color="1A171C"/>
              <w:left w:val="nil"/>
              <w:bottom w:val="single" w:sz="4" w:space="0" w:color="1A171C"/>
              <w:right w:val="single" w:sz="4" w:space="0" w:color="1A171C"/>
            </w:tcBorders>
            <w:vAlign w:val="center"/>
          </w:tcPr>
          <w:p w14:paraId="7FE1BCCC" w14:textId="77777777" w:rsidR="00393915" w:rsidRDefault="00F24D68">
            <w:pPr>
              <w:pStyle w:val="P68B1DB1-TableParagraph17"/>
              <w:spacing w:before="108"/>
              <w:ind w:left="85"/>
              <w:jc w:val="both"/>
            </w:pPr>
            <w:r>
              <w:t>0160</w:t>
            </w:r>
          </w:p>
        </w:tc>
        <w:tc>
          <w:tcPr>
            <w:tcW w:w="8003" w:type="dxa"/>
            <w:tcBorders>
              <w:top w:val="single" w:sz="4" w:space="0" w:color="1A171C"/>
              <w:left w:val="single" w:sz="4" w:space="0" w:color="1A171C"/>
              <w:bottom w:val="single" w:sz="4" w:space="0" w:color="1A171C"/>
              <w:right w:val="nil"/>
            </w:tcBorders>
            <w:vAlign w:val="center"/>
          </w:tcPr>
          <w:p w14:paraId="7FE1BCCD" w14:textId="4A949920" w:rsidR="00393915" w:rsidRDefault="007142BD">
            <w:pPr>
              <w:pStyle w:val="P68B1DB1-TableParagraph14"/>
              <w:spacing w:before="108"/>
              <w:jc w:val="both"/>
              <w:rPr>
                <w:bCs/>
              </w:rPr>
            </w:pPr>
            <w:r>
              <w:t xml:space="preserve">Vremenski okvir </w:t>
            </w:r>
            <w:r w:rsidR="00F24D68">
              <w:t xml:space="preserve">– </w:t>
            </w:r>
            <w:r w:rsidR="00A50025">
              <w:t>o</w:t>
            </w:r>
            <w:r w:rsidR="00A50025">
              <w:t>o</w:t>
            </w:r>
            <w:r w:rsidR="00F24D68">
              <w:t>čekivano</w:t>
            </w:r>
            <w:r w:rsidR="00F24D68">
              <w:t xml:space="preserve"> vrijeme zamjene</w:t>
            </w:r>
          </w:p>
          <w:p w14:paraId="7FE1BCCF" w14:textId="19DBACC1" w:rsidR="00393915" w:rsidRDefault="00F24D68">
            <w:pPr>
              <w:pStyle w:val="P68B1DB1-TableParagraph13"/>
              <w:spacing w:before="108"/>
              <w:jc w:val="both"/>
            </w:pPr>
            <w:r>
              <w:t xml:space="preserve">Procijeniti vrijeme potrebno za obavljanje gospodarske funkcije </w:t>
            </w:r>
            <w:r w:rsidR="0014559C">
              <w:t>štajnog</w:t>
            </w:r>
            <w:r>
              <w:t>izvje</w:t>
            </w:r>
            <w:r w:rsidR="0014559C">
              <w:t>štajnog</w:t>
            </w:r>
            <w:r w:rsidR="0014559C">
              <w:t xml:space="preserve"> </w:t>
            </w:r>
            <w:r>
              <w:t>subjekt</w:t>
            </w:r>
            <w:r w:rsidR="0014559C">
              <w:t>a</w:t>
            </w:r>
            <w:r>
              <w:t xml:space="preserve"> </w:t>
            </w:r>
            <w:r w:rsidR="0014559C">
              <w:t>ju</w:t>
            </w:r>
            <w:r>
              <w:t>ko</w:t>
            </w:r>
            <w:r w:rsidR="0014559C">
              <w:t>ju</w:t>
            </w:r>
            <w:r>
              <w:t xml:space="preserve"> će tržište apsorbirati u kriznoj situaciji</w:t>
            </w:r>
            <w:r w:rsidR="0014559C">
              <w:t>,š</w:t>
            </w:r>
            <w:r w:rsidR="0014559C">
              <w:t>,</w:t>
            </w:r>
            <w:r>
              <w:t xml:space="preserve"> </w:t>
            </w:r>
            <w:r w:rsidR="0014559C">
              <w:t>š</w:t>
            </w:r>
            <w:r>
              <w:t>to</w:t>
            </w:r>
            <w:r>
              <w:t xml:space="preserve"> uključuje: </w:t>
            </w:r>
          </w:p>
          <w:p w14:paraId="7FE1BCD0" w14:textId="77777777" w:rsidR="00393915" w:rsidRDefault="00F24D68">
            <w:pPr>
              <w:pStyle w:val="P68B1DB1-ListParagraph38"/>
              <w:numPr>
                <w:ilvl w:val="0"/>
                <w:numId w:val="274"/>
              </w:numPr>
              <w:jc w:val="both"/>
            </w:pPr>
            <w:r>
              <w:t xml:space="preserve">očekivano vrijeme koje je jednom konkurentu ili više njih potrebno za provedbu pravnih i tehničkih koraka za preuzimanje funkcije; kao i  </w:t>
            </w:r>
          </w:p>
          <w:p w14:paraId="7FE1BCD1" w14:textId="77777777" w:rsidR="00393915" w:rsidRDefault="00F24D68">
            <w:pPr>
              <w:pStyle w:val="P68B1DB1-ListParagraph38"/>
              <w:numPr>
                <w:ilvl w:val="0"/>
                <w:numId w:val="274"/>
              </w:numPr>
              <w:jc w:val="both"/>
            </w:pPr>
            <w:r>
              <w:t xml:space="preserve">vrijeme koje je korisnicima usluge potrebno za prelazak na drugog pružatelja usluga. </w:t>
            </w:r>
          </w:p>
          <w:p w14:paraId="7FE1BCD2" w14:textId="77777777" w:rsidR="00393915" w:rsidRDefault="00393915">
            <w:pPr>
              <w:pStyle w:val="TableParagraph"/>
              <w:spacing w:before="108"/>
              <w:jc w:val="both"/>
              <w:rPr>
                <w:rFonts w:ascii="Times New Roman" w:hAnsi="Times New Roman" w:cs="Times New Roman"/>
                <w:color w:val="000000" w:themeColor="text1"/>
                <w:sz w:val="20"/>
                <w:szCs w:val="20"/>
              </w:rPr>
            </w:pPr>
          </w:p>
          <w:p w14:paraId="7FE1BCD3" w14:textId="0D8E4A7A" w:rsidR="00393915" w:rsidRDefault="005F4282">
            <w:pPr>
              <w:pStyle w:val="P68B1DB1-TableParagraph13"/>
              <w:spacing w:before="108"/>
              <w:jc w:val="both"/>
            </w:pPr>
            <w:r w:rsidRPr="005F4282">
              <w:t>Kao zamjenu za prethodno navedeno</w:t>
            </w:r>
            <w:r w:rsidR="00F24D68">
              <w:t>,</w:t>
            </w:r>
            <w:r w:rsidR="009C5C53">
              <w:t xml:space="preserve">navesti </w:t>
            </w:r>
            <w:r w:rsidR="00F24D68">
              <w:t>procjenu vremena koje bi izvještajnom subjektu trebalo da u svoje poslovanje (</w:t>
            </w:r>
            <w:r w:rsidR="009C5C53">
              <w:t xml:space="preserve">njegov </w:t>
            </w:r>
            <w:r w:rsidR="00F24D68">
              <w:t xml:space="preserve">dio) apsorbira uslugu koju pruža druga institucija, uz razuman trošak, u kriznoj situaciji. </w:t>
            </w:r>
            <w:r>
              <w:t>Navesti</w:t>
            </w:r>
            <w:r>
              <w:t>Navesti</w:t>
            </w:r>
            <w:r w:rsidR="00F24D68">
              <w:t xml:space="preserve"> procijenjeno vrijeme potrebno za zamjenu u </w:t>
            </w:r>
            <w:r w:rsidR="00B30BC7">
              <w:t xml:space="preserve">vremenskim kategorijama </w:t>
            </w:r>
            <w:r w:rsidR="00F24D68">
              <w:t>iz predloška:</w:t>
            </w:r>
          </w:p>
          <w:p w14:paraId="7FE1BCD4" w14:textId="26CBF40D" w:rsidR="00393915" w:rsidRDefault="009A502D">
            <w:pPr>
              <w:pStyle w:val="P68B1DB1-Normal31"/>
              <w:jc w:val="both"/>
            </w:pPr>
            <w:r>
              <w:t>Vremenske kategorije</w:t>
            </w:r>
            <w:r>
              <w:t>kategorije</w:t>
            </w:r>
            <w:r w:rsidR="00F24D68">
              <w:t xml:space="preserve">: </w:t>
            </w:r>
          </w:p>
          <w:p w14:paraId="7FE1BCD5" w14:textId="358A2793" w:rsidR="00393915" w:rsidRDefault="009A502D">
            <w:pPr>
              <w:pStyle w:val="P68B1DB1-ListParagraph32"/>
              <w:numPr>
                <w:ilvl w:val="0"/>
                <w:numId w:val="286"/>
              </w:numPr>
              <w:jc w:val="both"/>
            </w:pPr>
            <w:r>
              <w:t>&lt;</w:t>
            </w:r>
            <w:r>
              <w:t>&lt;</w:t>
            </w:r>
            <w:r w:rsidR="00F24D68">
              <w:t xml:space="preserve"> 1 tjedan</w:t>
            </w:r>
            <w:r w:rsidR="004968F3">
              <w:t>,</w:t>
            </w:r>
            <w:r w:rsidR="004968F3">
              <w:t>,</w:t>
            </w:r>
            <w:r w:rsidR="00F24D68">
              <w:t xml:space="preserve"> </w:t>
            </w:r>
          </w:p>
          <w:p w14:paraId="7FE1BCD6" w14:textId="101CFCF6" w:rsidR="00393915" w:rsidRDefault="00F24D68">
            <w:pPr>
              <w:pStyle w:val="P68B1DB1-ListParagraph32"/>
              <w:numPr>
                <w:ilvl w:val="0"/>
                <w:numId w:val="286"/>
              </w:numPr>
              <w:jc w:val="both"/>
            </w:pPr>
            <w:r>
              <w:t>1 tjedan – 1 mjesec</w:t>
            </w:r>
            <w:r w:rsidR="004968F3">
              <w:t>,</w:t>
            </w:r>
            <w:r w:rsidR="004968F3">
              <w:t>,</w:t>
            </w:r>
            <w:r>
              <w:t xml:space="preserve"> </w:t>
            </w:r>
          </w:p>
          <w:p w14:paraId="7FE1BCD7" w14:textId="5ECCCD1B" w:rsidR="00393915" w:rsidRDefault="00F24D68">
            <w:pPr>
              <w:pStyle w:val="P68B1DB1-ListParagraph32"/>
              <w:numPr>
                <w:ilvl w:val="0"/>
                <w:numId w:val="286"/>
              </w:numPr>
              <w:jc w:val="both"/>
            </w:pPr>
            <w:r>
              <w:t xml:space="preserve">&gt; 1 mjesec – 6 mjeseci, </w:t>
            </w:r>
          </w:p>
          <w:p w14:paraId="7FE1BCD8" w14:textId="66817B18" w:rsidR="00393915" w:rsidRDefault="00F24D68">
            <w:pPr>
              <w:pStyle w:val="P68B1DB1-ListParagraph32"/>
              <w:numPr>
                <w:ilvl w:val="0"/>
                <w:numId w:val="286"/>
              </w:numPr>
              <w:jc w:val="both"/>
            </w:pPr>
            <w:r>
              <w:t>&gt; 6 mjeseci</w:t>
            </w:r>
            <w:r w:rsidR="004968F3">
              <w:t>.</w:t>
            </w:r>
            <w:r>
              <w:t xml:space="preserve">  </w:t>
            </w:r>
          </w:p>
          <w:p w14:paraId="7FE1BCD9" w14:textId="77777777" w:rsidR="00393915" w:rsidRDefault="00393915">
            <w:pPr>
              <w:pStyle w:val="TableParagraph"/>
              <w:spacing w:before="108"/>
              <w:jc w:val="both"/>
              <w:rPr>
                <w:rFonts w:ascii="Times New Roman" w:hAnsi="Times New Roman" w:cs="Times New Roman"/>
                <w:color w:val="000000" w:themeColor="text1"/>
                <w:sz w:val="20"/>
                <w:szCs w:val="20"/>
              </w:rPr>
            </w:pPr>
          </w:p>
        </w:tc>
      </w:tr>
      <w:tr w:rsidR="00393915" w14:paraId="7FE1BCDD" w14:textId="77777777">
        <w:tc>
          <w:tcPr>
            <w:tcW w:w="1080" w:type="dxa"/>
            <w:tcBorders>
              <w:top w:val="single" w:sz="4" w:space="0" w:color="1A171C"/>
              <w:left w:val="nil"/>
              <w:bottom w:val="single" w:sz="4" w:space="0" w:color="1A171C"/>
              <w:right w:val="single" w:sz="4" w:space="0" w:color="1A171C"/>
            </w:tcBorders>
            <w:vAlign w:val="center"/>
          </w:tcPr>
          <w:p w14:paraId="7FE1BCDB" w14:textId="77777777" w:rsidR="00393915" w:rsidRDefault="00F24D68">
            <w:pPr>
              <w:pStyle w:val="P68B1DB1-TableParagraph17"/>
              <w:spacing w:before="108"/>
              <w:ind w:left="85"/>
              <w:jc w:val="both"/>
            </w:pPr>
            <w:r>
              <w:lastRenderedPageBreak/>
              <w:t>0170 – 0180</w:t>
            </w:r>
          </w:p>
        </w:tc>
        <w:tc>
          <w:tcPr>
            <w:tcW w:w="8003" w:type="dxa"/>
            <w:tcBorders>
              <w:top w:val="single" w:sz="4" w:space="0" w:color="1A171C"/>
              <w:left w:val="single" w:sz="4" w:space="0" w:color="1A171C"/>
              <w:bottom w:val="single" w:sz="4" w:space="0" w:color="1A171C"/>
              <w:right w:val="nil"/>
            </w:tcBorders>
            <w:vAlign w:val="center"/>
          </w:tcPr>
          <w:p w14:paraId="7FE1BCDC" w14:textId="77777777" w:rsidR="00393915" w:rsidRDefault="00F24D68">
            <w:pPr>
              <w:pStyle w:val="P68B1DB1-TableParagraph14"/>
              <w:spacing w:before="108"/>
              <w:jc w:val="both"/>
              <w:rPr>
                <w:bCs/>
              </w:rPr>
            </w:pPr>
            <w:r>
              <w:t>Mogućnost zamjene</w:t>
            </w:r>
          </w:p>
        </w:tc>
      </w:tr>
      <w:tr w:rsidR="00393915" w14:paraId="7FE1BCE7" w14:textId="77777777">
        <w:tc>
          <w:tcPr>
            <w:tcW w:w="1080" w:type="dxa"/>
            <w:tcBorders>
              <w:top w:val="single" w:sz="4" w:space="0" w:color="1A171C"/>
              <w:left w:val="nil"/>
              <w:bottom w:val="single" w:sz="4" w:space="0" w:color="1A171C"/>
              <w:right w:val="single" w:sz="4" w:space="0" w:color="1A171C"/>
            </w:tcBorders>
            <w:vAlign w:val="center"/>
          </w:tcPr>
          <w:p w14:paraId="7FE1BCDE" w14:textId="77777777" w:rsidR="00393915" w:rsidRDefault="00F24D68">
            <w:pPr>
              <w:pStyle w:val="P68B1DB1-TableParagraph17"/>
              <w:spacing w:before="108"/>
              <w:ind w:left="85"/>
              <w:jc w:val="both"/>
            </w:pPr>
            <w:r>
              <w:t>0170</w:t>
            </w:r>
          </w:p>
        </w:tc>
        <w:tc>
          <w:tcPr>
            <w:tcW w:w="8003" w:type="dxa"/>
            <w:tcBorders>
              <w:top w:val="single" w:sz="4" w:space="0" w:color="1A171C"/>
              <w:left w:val="single" w:sz="4" w:space="0" w:color="1A171C"/>
              <w:bottom w:val="single" w:sz="4" w:space="0" w:color="1A171C"/>
              <w:right w:val="nil"/>
            </w:tcBorders>
            <w:vAlign w:val="center"/>
          </w:tcPr>
          <w:p w14:paraId="7FE1BCDF" w14:textId="77777777" w:rsidR="00393915" w:rsidRDefault="00F24D68">
            <w:pPr>
              <w:pStyle w:val="P68B1DB1-TableParagraph14"/>
              <w:spacing w:before="108"/>
              <w:jc w:val="both"/>
              <w:rPr>
                <w:bCs/>
              </w:rPr>
            </w:pPr>
            <w:r>
              <w:t>Pravne prepreke ulasku na tržište ili širenju</w:t>
            </w:r>
          </w:p>
          <w:p w14:paraId="7FE1BCE0" w14:textId="77777777" w:rsidR="00393915" w:rsidRDefault="00393915">
            <w:pPr>
              <w:pStyle w:val="TableParagraph"/>
              <w:spacing w:before="108"/>
              <w:jc w:val="both"/>
              <w:rPr>
                <w:rFonts w:ascii="Times New Roman" w:hAnsi="Times New Roman" w:cs="Times New Roman"/>
                <w:color w:val="000000" w:themeColor="text1"/>
                <w:sz w:val="20"/>
                <w:szCs w:val="20"/>
              </w:rPr>
            </w:pPr>
          </w:p>
          <w:p w14:paraId="7FE1BCE1" w14:textId="7BE4817C" w:rsidR="00393915" w:rsidRDefault="00F24D68">
            <w:pPr>
              <w:pStyle w:val="P68B1DB1-TableParagraph13"/>
              <w:spacing w:before="108"/>
              <w:jc w:val="both"/>
            </w:pPr>
            <w:r>
              <w:t xml:space="preserve">Pravne prepreke za konkurente da ponude uslugu. Pravni zahtjevi za obavljanje djelatnosti kreditnih institucija (npr. bankovne dozvole ili kapitalni zahtjevi) ne smatraju se nepremostivim preprekama u prisutnosti alternativnih pružatelja usluga. Ovaj se pokazatelj mora iskazati u </w:t>
            </w:r>
            <w:r w:rsidR="00E123C4">
              <w:t>kategorijama e</w:t>
            </w:r>
            <w:r>
              <w:t>koj</w:t>
            </w:r>
            <w:r w:rsidR="00E123C4">
              <w:t>e</w:t>
            </w:r>
            <w:r>
              <w:t xml:space="preserve"> su </w:t>
            </w:r>
            <w:r w:rsidR="00E123C4">
              <w:t>e</w:t>
            </w:r>
            <w:r>
              <w:t>ist</w:t>
            </w:r>
            <w:r w:rsidR="00E123C4">
              <w:t>e</w:t>
            </w:r>
            <w:r>
              <w:t xml:space="preserve"> za svaku podfunkciju: </w:t>
            </w:r>
          </w:p>
          <w:p w14:paraId="7FE1BCE2" w14:textId="67FD7AF2" w:rsidR="00393915" w:rsidRDefault="00F24D68">
            <w:pPr>
              <w:pStyle w:val="P68B1DB1-ListParagraph39"/>
              <w:numPr>
                <w:ilvl w:val="0"/>
                <w:numId w:val="275"/>
              </w:numPr>
              <w:jc w:val="both"/>
            </w:pPr>
            <w:r>
              <w:t xml:space="preserve">nema većih prepreka, </w:t>
            </w:r>
          </w:p>
          <w:p w14:paraId="7FE1BCE3" w14:textId="6C8F8F76" w:rsidR="00393915" w:rsidRDefault="00F24D68">
            <w:pPr>
              <w:pStyle w:val="P68B1DB1-ListParagraph39"/>
              <w:numPr>
                <w:ilvl w:val="0"/>
                <w:numId w:val="275"/>
              </w:numPr>
              <w:jc w:val="both"/>
            </w:pPr>
            <w:r>
              <w:t xml:space="preserve">neke prepreke, </w:t>
            </w:r>
          </w:p>
          <w:p w14:paraId="7FE1BCE4" w14:textId="6C2D8887" w:rsidR="00393915" w:rsidRDefault="00F24D68">
            <w:pPr>
              <w:pStyle w:val="P68B1DB1-ListParagraph39"/>
              <w:numPr>
                <w:ilvl w:val="0"/>
                <w:numId w:val="275"/>
              </w:numPr>
              <w:jc w:val="both"/>
            </w:pPr>
            <w:r>
              <w:t xml:space="preserve">znatne (ali </w:t>
            </w:r>
            <w:r w:rsidR="003F7CEA">
              <w:t>prepreke</w:t>
            </w:r>
            <w:r>
              <w:t xml:space="preserve">premostive) </w:t>
            </w:r>
            <w:r w:rsidR="003F7CEA">
              <w:t>prepreke</w:t>
            </w:r>
            <w:r>
              <w:t xml:space="preserve">, </w:t>
            </w:r>
          </w:p>
          <w:p w14:paraId="7FE1BCE6" w14:textId="68023CD4" w:rsidR="00393915" w:rsidRDefault="00F24D68">
            <w:pPr>
              <w:pStyle w:val="P68B1DB1-ListParagraph8"/>
              <w:numPr>
                <w:ilvl w:val="0"/>
                <w:numId w:val="275"/>
              </w:numPr>
              <w:jc w:val="both"/>
            </w:pPr>
            <w:r>
              <w:t xml:space="preserve">kritične (teško </w:t>
            </w:r>
            <w:r w:rsidR="00D63D03">
              <w:t>premostive</w:t>
            </w:r>
            <w:r w:rsidR="003F7CEA">
              <w:t>prepreke</w:t>
            </w:r>
            <w:r w:rsidR="00D63D03">
              <w:t>premostive</w:t>
            </w:r>
            <w:r>
              <w:t xml:space="preserve">) </w:t>
            </w:r>
            <w:r w:rsidR="003F7CEA">
              <w:t>prepreke</w:t>
            </w:r>
            <w:r>
              <w:t>.</w:t>
            </w:r>
          </w:p>
        </w:tc>
      </w:tr>
      <w:tr w:rsidR="00393915" w14:paraId="7FE1BCF2" w14:textId="77777777">
        <w:tc>
          <w:tcPr>
            <w:tcW w:w="1080" w:type="dxa"/>
            <w:tcBorders>
              <w:top w:val="single" w:sz="4" w:space="0" w:color="1A171C"/>
              <w:left w:val="nil"/>
              <w:bottom w:val="single" w:sz="4" w:space="0" w:color="1A171C"/>
              <w:right w:val="single" w:sz="4" w:space="0" w:color="1A171C"/>
            </w:tcBorders>
            <w:vAlign w:val="center"/>
          </w:tcPr>
          <w:p w14:paraId="7FE1BCE8" w14:textId="77777777" w:rsidR="00393915" w:rsidRDefault="00F24D68">
            <w:pPr>
              <w:pStyle w:val="P68B1DB1-TableParagraph17"/>
              <w:spacing w:before="108"/>
              <w:ind w:left="85"/>
              <w:jc w:val="both"/>
            </w:pPr>
            <w:r>
              <w:t>0180</w:t>
            </w:r>
          </w:p>
        </w:tc>
        <w:tc>
          <w:tcPr>
            <w:tcW w:w="8003" w:type="dxa"/>
            <w:tcBorders>
              <w:top w:val="single" w:sz="4" w:space="0" w:color="1A171C"/>
              <w:left w:val="single" w:sz="4" w:space="0" w:color="1A171C"/>
              <w:bottom w:val="single" w:sz="4" w:space="0" w:color="1A171C"/>
              <w:right w:val="nil"/>
            </w:tcBorders>
            <w:vAlign w:val="center"/>
          </w:tcPr>
          <w:p w14:paraId="7FE1BCE9" w14:textId="2E7F5E40" w:rsidR="00393915" w:rsidRDefault="00F24D68">
            <w:pPr>
              <w:pStyle w:val="P68B1DB1-TableParagraph14"/>
              <w:spacing w:before="108"/>
              <w:jc w:val="both"/>
              <w:rPr>
                <w:bCs/>
              </w:rPr>
            </w:pPr>
            <w:r>
              <w:t xml:space="preserve">Operativni zahtjevi za ulazak </w:t>
            </w:r>
            <w:r w:rsidR="00B736A3">
              <w:t>na tržište</w:t>
            </w:r>
            <w:r>
              <w:t xml:space="preserve"> </w:t>
            </w:r>
            <w:r>
              <w:t xml:space="preserve">ili </w:t>
            </w:r>
            <w:r>
              <w:t>širenje</w:t>
            </w:r>
          </w:p>
          <w:p w14:paraId="7FE1BCEA" w14:textId="77777777" w:rsidR="00393915" w:rsidRDefault="00393915">
            <w:pPr>
              <w:pStyle w:val="TableParagraph"/>
              <w:spacing w:before="108"/>
              <w:jc w:val="both"/>
              <w:rPr>
                <w:rFonts w:ascii="Times New Roman" w:hAnsi="Times New Roman" w:cs="Times New Roman"/>
                <w:color w:val="000000" w:themeColor="text1"/>
                <w:sz w:val="20"/>
                <w:szCs w:val="20"/>
              </w:rPr>
            </w:pPr>
          </w:p>
          <w:p w14:paraId="7FE1BCEB" w14:textId="31044453" w:rsidR="00393915" w:rsidRDefault="00F24D68">
            <w:pPr>
              <w:pStyle w:val="P68B1DB1-TableParagraph13"/>
              <w:spacing w:before="108"/>
              <w:jc w:val="both"/>
            </w:pPr>
            <w:r>
              <w:t xml:space="preserve">Organizacijski, tehnički i infrastrukturni zahtjevi za konkurente za pružanje usluge. Zbog ponude usluga povezanih s (pod)funkcijom pružatelji moraju ulagati u (novu ili dodatnu) infrastrukturu ili izmijeniti svoje organizacije. Procijeniti sposobnost tržišta da apsorbira određeno poslovanje, primjerice u smislu kapitalnih zahtjeva. </w:t>
            </w:r>
          </w:p>
          <w:p w14:paraId="7FE1BCEC" w14:textId="4F1DCFD8" w:rsidR="00393915" w:rsidRDefault="00F24D68">
            <w:pPr>
              <w:pStyle w:val="P68B1DB1-TableParagraph13"/>
              <w:spacing w:before="108"/>
              <w:jc w:val="both"/>
            </w:pPr>
            <w:r>
              <w:t xml:space="preserve">Ovaj se pokazatelj mora iskazati u </w:t>
            </w:r>
            <w:r w:rsidR="00C91D81">
              <w:t>kategorijama e</w:t>
            </w:r>
            <w:r>
              <w:t>koj</w:t>
            </w:r>
            <w:r w:rsidR="00C91D81">
              <w:t>e</w:t>
            </w:r>
            <w:r>
              <w:t xml:space="preserve"> su </w:t>
            </w:r>
            <w:r w:rsidR="00C91D81">
              <w:t>e</w:t>
            </w:r>
            <w:r>
              <w:t>ist</w:t>
            </w:r>
            <w:r w:rsidR="00C91D81">
              <w:t>e</w:t>
            </w:r>
            <w:r>
              <w:t xml:space="preserve"> za svaku podfunkciju: </w:t>
            </w:r>
          </w:p>
          <w:p w14:paraId="7FE1BCED" w14:textId="5283E021" w:rsidR="00393915" w:rsidRDefault="00F24D68">
            <w:pPr>
              <w:pStyle w:val="P68B1DB1-ListParagraph39"/>
              <w:numPr>
                <w:ilvl w:val="0"/>
                <w:numId w:val="278"/>
              </w:numPr>
              <w:jc w:val="both"/>
            </w:pPr>
            <w:r>
              <w:t xml:space="preserve">nema većih zahtjeva, </w:t>
            </w:r>
          </w:p>
          <w:p w14:paraId="7FE1BCEE" w14:textId="100408E7" w:rsidR="00393915" w:rsidRDefault="002D0105">
            <w:pPr>
              <w:pStyle w:val="P68B1DB1-ListParagraph39"/>
              <w:numPr>
                <w:ilvl w:val="0"/>
                <w:numId w:val="278"/>
              </w:numPr>
              <w:jc w:val="both"/>
            </w:pPr>
            <w:r>
              <w:t>i</w:t>
            </w:r>
            <w:r w:rsidR="00E14CE2">
              <w:t>i</w:t>
            </w:r>
            <w:r w:rsidR="00F24D68">
              <w:t>nek</w:t>
            </w:r>
            <w:r>
              <w:t>i</w:t>
            </w:r>
            <w:r w:rsidR="00F24D68">
              <w:t xml:space="preserve"> zahtjev</w:t>
            </w:r>
            <w:r w:rsidR="00E14CE2">
              <w:t>i</w:t>
            </w:r>
            <w:r w:rsidR="00F24D68">
              <w:t xml:space="preserve">, </w:t>
            </w:r>
          </w:p>
          <w:p w14:paraId="7FE1BCEF" w14:textId="05D63D4B" w:rsidR="00393915" w:rsidRDefault="00F24D68">
            <w:pPr>
              <w:pStyle w:val="P68B1DB1-ListParagraph39"/>
              <w:numPr>
                <w:ilvl w:val="0"/>
                <w:numId w:val="278"/>
              </w:numPr>
              <w:jc w:val="both"/>
            </w:pPr>
            <w:r>
              <w:t xml:space="preserve">značajni (ali </w:t>
            </w:r>
            <w:r w:rsidR="002F50D4">
              <w:t>premostivi</w:t>
            </w:r>
            <w:r w:rsidR="002F50D4">
              <w:t>premostivi</w:t>
            </w:r>
            <w:r>
              <w:t xml:space="preserve">) zahtjevi, </w:t>
            </w:r>
          </w:p>
          <w:p w14:paraId="7FE1BCF0" w14:textId="450FB07D" w:rsidR="00393915" w:rsidRDefault="00F24D68">
            <w:pPr>
              <w:pStyle w:val="P68B1DB1-ListParagraph39"/>
              <w:numPr>
                <w:ilvl w:val="0"/>
                <w:numId w:val="278"/>
              </w:numPr>
              <w:jc w:val="both"/>
            </w:pPr>
            <w:r>
              <w:t>kritični (</w:t>
            </w:r>
            <w:r w:rsidR="002F50D4">
              <w:t>o</w:t>
            </w:r>
            <w:r>
              <w:t>tešk</w:t>
            </w:r>
            <w:r w:rsidR="002F50D4">
              <w:t>o</w:t>
            </w:r>
            <w:r w:rsidR="002F50D4">
              <w:t xml:space="preserve"> premostivi</w:t>
            </w:r>
            <w:r>
              <w:t>) zahtjevi.</w:t>
            </w:r>
          </w:p>
          <w:p w14:paraId="7FE1BCF1" w14:textId="77777777" w:rsidR="00393915" w:rsidRDefault="00393915">
            <w:pPr>
              <w:pStyle w:val="TableParagraph"/>
              <w:spacing w:before="108"/>
              <w:jc w:val="both"/>
              <w:rPr>
                <w:rFonts w:ascii="Times New Roman" w:hAnsi="Times New Roman" w:cs="Times New Roman"/>
                <w:color w:val="000000" w:themeColor="text1"/>
                <w:sz w:val="20"/>
                <w:szCs w:val="20"/>
              </w:rPr>
            </w:pPr>
          </w:p>
        </w:tc>
      </w:tr>
      <w:tr w:rsidR="00393915" w14:paraId="7FE1BCF5" w14:textId="77777777">
        <w:tc>
          <w:tcPr>
            <w:tcW w:w="1080" w:type="dxa"/>
            <w:tcBorders>
              <w:top w:val="single" w:sz="4" w:space="0" w:color="1A171C"/>
              <w:left w:val="nil"/>
              <w:bottom w:val="single" w:sz="4" w:space="0" w:color="1A171C"/>
              <w:right w:val="single" w:sz="4" w:space="0" w:color="1A171C"/>
            </w:tcBorders>
            <w:vAlign w:val="center"/>
          </w:tcPr>
          <w:p w14:paraId="7FE1BCF3" w14:textId="77777777" w:rsidR="00393915" w:rsidRDefault="00F24D68">
            <w:pPr>
              <w:pStyle w:val="P68B1DB1-TableParagraph17"/>
              <w:spacing w:before="108"/>
              <w:ind w:left="85"/>
              <w:jc w:val="both"/>
            </w:pPr>
            <w:r>
              <w:t>0190 – 0210</w:t>
            </w:r>
          </w:p>
        </w:tc>
        <w:tc>
          <w:tcPr>
            <w:tcW w:w="8003" w:type="dxa"/>
            <w:tcBorders>
              <w:top w:val="single" w:sz="4" w:space="0" w:color="1A171C"/>
              <w:left w:val="single" w:sz="4" w:space="0" w:color="1A171C"/>
              <w:bottom w:val="single" w:sz="4" w:space="0" w:color="1A171C"/>
              <w:right w:val="nil"/>
            </w:tcBorders>
            <w:vAlign w:val="center"/>
          </w:tcPr>
          <w:p w14:paraId="7FE1BCF4" w14:textId="77777777" w:rsidR="00393915" w:rsidRDefault="00F24D68">
            <w:pPr>
              <w:pStyle w:val="P68B1DB1-TableParagraph14"/>
              <w:spacing w:before="108"/>
              <w:jc w:val="both"/>
              <w:rPr>
                <w:bCs/>
              </w:rPr>
            </w:pPr>
            <w:r>
              <w:t>Procjena ključnog statusa</w:t>
            </w:r>
          </w:p>
        </w:tc>
      </w:tr>
      <w:tr w:rsidR="00393915" w14:paraId="7FE1BCFB" w14:textId="77777777">
        <w:tc>
          <w:tcPr>
            <w:tcW w:w="1080" w:type="dxa"/>
            <w:tcBorders>
              <w:top w:val="single" w:sz="4" w:space="0" w:color="1A171C"/>
              <w:left w:val="nil"/>
              <w:bottom w:val="single" w:sz="4" w:space="0" w:color="1A171C"/>
              <w:right w:val="single" w:sz="4" w:space="0" w:color="1A171C"/>
            </w:tcBorders>
            <w:vAlign w:val="center"/>
          </w:tcPr>
          <w:p w14:paraId="7FE1BCF6" w14:textId="77777777" w:rsidR="00393915" w:rsidRDefault="00F24D68">
            <w:pPr>
              <w:pStyle w:val="P68B1DB1-TableParagraph17"/>
              <w:spacing w:before="108"/>
              <w:ind w:left="85"/>
              <w:jc w:val="both"/>
            </w:pPr>
            <w:r>
              <w:t>0190</w:t>
            </w:r>
          </w:p>
        </w:tc>
        <w:tc>
          <w:tcPr>
            <w:tcW w:w="8003" w:type="dxa"/>
            <w:tcBorders>
              <w:top w:val="single" w:sz="4" w:space="0" w:color="1A171C"/>
              <w:left w:val="single" w:sz="4" w:space="0" w:color="1A171C"/>
              <w:bottom w:val="single" w:sz="4" w:space="0" w:color="1A171C"/>
              <w:right w:val="nil"/>
            </w:tcBorders>
            <w:vAlign w:val="center"/>
          </w:tcPr>
          <w:p w14:paraId="7FE1BCF7" w14:textId="77777777" w:rsidR="00393915" w:rsidRDefault="00F24D68">
            <w:pPr>
              <w:pStyle w:val="P68B1DB1-TableParagraph14"/>
              <w:spacing w:before="108"/>
              <w:jc w:val="both"/>
              <w:rPr>
                <w:bCs/>
              </w:rPr>
            </w:pPr>
            <w:r>
              <w:t xml:space="preserve">Učinak na tržište </w:t>
            </w:r>
          </w:p>
          <w:p w14:paraId="7FE1BCF8" w14:textId="77777777" w:rsidR="00393915" w:rsidRDefault="00F24D68">
            <w:pPr>
              <w:pStyle w:val="P68B1DB1-TableParagraph13"/>
              <w:spacing w:before="108"/>
              <w:jc w:val="both"/>
            </w:pPr>
            <w:r>
              <w:t>Procijenjeni učinak naglog obustavljanja funkcije na treće strane, financijska tržišta i realno gospodarstvo, uzimajući u obzir veličinu, tržišni udio u zemlji, vanjske i unutarnje međusobne povezanosti, složenost i prekograničnu aktivnosti institucije.</w:t>
            </w:r>
          </w:p>
          <w:p w14:paraId="7FE1BCF9" w14:textId="22534111" w:rsidR="00393915" w:rsidRDefault="00F24D68">
            <w:pPr>
              <w:pStyle w:val="P68B1DB1-TableParagraph13"/>
              <w:spacing w:before="108"/>
              <w:jc w:val="both"/>
            </w:pPr>
            <w:r>
              <w:t>Ta procjena izražava se kvalitativno kao „visok”, „srednje visok”, „srednje nizak” ili „nizak”.</w:t>
            </w:r>
          </w:p>
          <w:p w14:paraId="7FE1BCFA" w14:textId="1A10BB25" w:rsidR="00393915" w:rsidRDefault="00F24D68">
            <w:pPr>
              <w:pStyle w:val="P68B1DB1-TableParagraph13"/>
              <w:spacing w:before="108"/>
              <w:jc w:val="both"/>
            </w:pPr>
            <w:r>
              <w:t>„</w:t>
            </w:r>
            <w:r>
              <w:t>V</w:t>
            </w:r>
            <w:r w:rsidR="006C7512">
              <w:t>isok</w:t>
            </w:r>
            <w:r>
              <w:t>” se odabire ako je obustavljanje imalo velik učinak na nacionalno tržište, „</w:t>
            </w:r>
            <w:r w:rsidR="006C7512">
              <w:t>srednje</w:t>
            </w:r>
            <w:r w:rsidR="006C7512">
              <w:t>srednje</w:t>
            </w:r>
            <w:r w:rsidR="006C7512">
              <w:t xml:space="preserve"> visok</w:t>
            </w:r>
            <w:r>
              <w:t>” ako je učinak znatan, „</w:t>
            </w:r>
            <w:r w:rsidR="006C7512">
              <w:t>srednje</w:t>
            </w:r>
            <w:r w:rsidR="006C7512">
              <w:t>srednje</w:t>
            </w:r>
            <w:r w:rsidR="006C7512">
              <w:t xml:space="preserve"> nizak</w:t>
            </w:r>
            <w:r>
              <w:t>” ako je učinak znatan, ali ograničen i „</w:t>
            </w:r>
            <w:r w:rsidR="006C7512">
              <w:t>n</w:t>
            </w:r>
            <w:r w:rsidR="006C7512">
              <w:t>n</w:t>
            </w:r>
            <w:r>
              <w:t>izak</w:t>
            </w:r>
            <w:r>
              <w:t>” ako je učinak nizak.</w:t>
            </w:r>
          </w:p>
        </w:tc>
      </w:tr>
      <w:tr w:rsidR="00393915" w14:paraId="7FE1BD08" w14:textId="77777777">
        <w:tc>
          <w:tcPr>
            <w:tcW w:w="1080" w:type="dxa"/>
            <w:tcBorders>
              <w:top w:val="single" w:sz="4" w:space="0" w:color="1A171C"/>
              <w:left w:val="nil"/>
              <w:bottom w:val="single" w:sz="4" w:space="0" w:color="1A171C"/>
              <w:right w:val="single" w:sz="4" w:space="0" w:color="1A171C"/>
            </w:tcBorders>
            <w:vAlign w:val="center"/>
          </w:tcPr>
          <w:p w14:paraId="7FE1BCFC" w14:textId="77777777" w:rsidR="00393915" w:rsidRDefault="00F24D68">
            <w:pPr>
              <w:pStyle w:val="P68B1DB1-TableParagraph17"/>
              <w:spacing w:before="108"/>
              <w:ind w:left="85"/>
              <w:jc w:val="both"/>
            </w:pPr>
            <w:r>
              <w:lastRenderedPageBreak/>
              <w:t>0200</w:t>
            </w:r>
          </w:p>
        </w:tc>
        <w:tc>
          <w:tcPr>
            <w:tcW w:w="8003" w:type="dxa"/>
            <w:tcBorders>
              <w:top w:val="single" w:sz="4" w:space="0" w:color="1A171C"/>
              <w:left w:val="single" w:sz="4" w:space="0" w:color="1A171C"/>
              <w:bottom w:val="single" w:sz="4" w:space="0" w:color="1A171C"/>
              <w:right w:val="nil"/>
            </w:tcBorders>
            <w:vAlign w:val="center"/>
          </w:tcPr>
          <w:p w14:paraId="7FE1BCFD" w14:textId="77777777" w:rsidR="00393915" w:rsidRDefault="00F24D68">
            <w:pPr>
              <w:pStyle w:val="P68B1DB1-TableParagraph14"/>
              <w:spacing w:before="108"/>
              <w:jc w:val="both"/>
              <w:rPr>
                <w:bCs/>
              </w:rPr>
            </w:pPr>
            <w:r>
              <w:t>Zamjenjivost</w:t>
            </w:r>
          </w:p>
          <w:p w14:paraId="7FE1BCFE" w14:textId="77777777" w:rsidR="00393915" w:rsidRDefault="00F24D68">
            <w:pPr>
              <w:pStyle w:val="P68B1DB1-TableParagraph13"/>
              <w:spacing w:before="108"/>
              <w:jc w:val="both"/>
            </w:pPr>
            <w:r>
              <w:t>Članak 6. stavak 3. Delegirane uredbe (EU) 2016/778.</w:t>
            </w:r>
          </w:p>
          <w:p w14:paraId="7FE1BCFF" w14:textId="77777777" w:rsidR="00393915" w:rsidRDefault="00F24D68">
            <w:pPr>
              <w:pStyle w:val="P68B1DB1-TableParagraph13"/>
              <w:spacing w:before="108"/>
              <w:jc w:val="both"/>
            </w:pPr>
            <w:r>
              <w:t>Funkcija se smatra zamjenjivom ako ju je moguće na prihvatljiv način i unutar razumnog roka zamijeniti te time izbjeći sistemske probleme za realno gospodarstvo i financijska tržišta. Pri tom se u obzir uzimaju sljedeći kriteriji:</w:t>
            </w:r>
          </w:p>
          <w:p w14:paraId="7FE1BD00" w14:textId="77777777" w:rsidR="00393915" w:rsidRDefault="00F24D68">
            <w:pPr>
              <w:pStyle w:val="P68B1DB1-TableParagraph13"/>
              <w:spacing w:before="108"/>
              <w:jc w:val="both"/>
            </w:pPr>
            <w:r>
              <w:t xml:space="preserve">(a) struktura tržišta za tu funkciju i dostupnost zamjenskih pružatelja usluga; </w:t>
            </w:r>
          </w:p>
          <w:p w14:paraId="7FE1BD01" w14:textId="6A3DCF82" w:rsidR="00393915" w:rsidRDefault="00F24D68">
            <w:pPr>
              <w:pStyle w:val="P68B1DB1-TableParagraph13"/>
              <w:spacing w:before="108"/>
              <w:jc w:val="both"/>
            </w:pPr>
            <w:r>
              <w:t xml:space="preserve">(b) sposobnost drugih pružatelja usluga u smislu kapaciteta, </w:t>
            </w:r>
            <w:r w:rsidR="006F3115">
              <w:t>a</w:t>
            </w:r>
            <w:r>
              <w:t>zahtjev</w:t>
            </w:r>
            <w:r w:rsidR="006F3115">
              <w:t>a</w:t>
            </w:r>
            <w:r>
              <w:t xml:space="preserve"> za obavljanje funkcije te </w:t>
            </w:r>
            <w:r w:rsidR="006F3115">
              <w:t>iha</w:t>
            </w:r>
            <w:r>
              <w:t>potencijaln</w:t>
            </w:r>
            <w:r w:rsidR="006F3115">
              <w:t>ih</w:t>
            </w:r>
            <w:r>
              <w:t xml:space="preserve"> preprek</w:t>
            </w:r>
            <w:r w:rsidR="006F3115">
              <w:t>a</w:t>
            </w:r>
            <w:r>
              <w:t xml:space="preserve"> za ulazak </w:t>
            </w:r>
            <w:r w:rsidR="001F6193">
              <w:t>na tržište</w:t>
            </w:r>
            <w:r>
              <w:t xml:space="preserve"> </w:t>
            </w:r>
            <w:r>
              <w:t xml:space="preserve">ili širenje; </w:t>
            </w:r>
          </w:p>
          <w:p w14:paraId="7FE1BD02" w14:textId="77777777" w:rsidR="00393915" w:rsidRDefault="00F24D68">
            <w:pPr>
              <w:pStyle w:val="P68B1DB1-TableParagraph13"/>
              <w:spacing w:before="108"/>
              <w:jc w:val="both"/>
            </w:pPr>
            <w:r>
              <w:t xml:space="preserve">(c) poticaj drugih pružatelja usluga da preuzmu te aktivnosti; </w:t>
            </w:r>
          </w:p>
          <w:p w14:paraId="7FE1BD03" w14:textId="77777777" w:rsidR="00393915" w:rsidRDefault="00F24D68">
            <w:pPr>
              <w:pStyle w:val="P68B1DB1-TableParagraph13"/>
              <w:spacing w:before="108"/>
              <w:jc w:val="both"/>
            </w:pPr>
            <w:r>
              <w:t>(d) vrijeme koje je korisnicima usluge potrebno da prijeđu na novog pružatelja usluge i troškovi tog prijelaza, vrijeme koje je potrebno da drugi tržišni natjecatelji preuzmu funkcije i je li to vrijeme dovoljno da se spriječi znatan prekid ovisno o vrsti usluge.</w:t>
            </w:r>
          </w:p>
          <w:p w14:paraId="7FE1BD04" w14:textId="1ADA60E5" w:rsidR="00393915" w:rsidRDefault="00F24D68">
            <w:pPr>
              <w:pStyle w:val="P68B1DB1-TableParagraph13"/>
              <w:spacing w:before="108"/>
              <w:jc w:val="both"/>
            </w:pPr>
            <w:r>
              <w:t>Navesti ukupnu procjenu očekivanog stupnja zamjenjivosti za svaku funkciju, uzimajući u obzir prethodno procijenjene različite dimenzije (tržišni udio, tržišna koncentracija, vrijeme potrebno za zamjenu, pravne prepreke i operativni zahtjevi za ulazak na tržište ili širenje). Ta procjena izražava se kvalitativno kao „visok</w:t>
            </w:r>
            <w:r>
              <w:t>”,</w:t>
            </w:r>
            <w:r>
              <w:t xml:space="preserve"> „srednje visok</w:t>
            </w:r>
            <w:r>
              <w:t>”,</w:t>
            </w:r>
            <w:r>
              <w:t xml:space="preserve"> „srednje nizak</w:t>
            </w:r>
            <w:r>
              <w:t>”</w:t>
            </w:r>
            <w:r>
              <w:t xml:space="preserve"> ili „nizak</w:t>
            </w:r>
            <w:r>
              <w:t>”.</w:t>
            </w:r>
            <w:r>
              <w:t xml:space="preserve"> </w:t>
            </w:r>
          </w:p>
          <w:p w14:paraId="7FE1BD05" w14:textId="46C3E4D1" w:rsidR="00393915" w:rsidRDefault="00F24D68">
            <w:pPr>
              <w:pStyle w:val="P68B1DB1-TableParagraph13"/>
              <w:spacing w:before="108"/>
              <w:jc w:val="both"/>
            </w:pPr>
            <w:r>
              <w:t>„</w:t>
            </w:r>
            <w:r w:rsidR="0047123D">
              <w:t>Visok</w:t>
            </w:r>
            <w:r w:rsidR="0047123D">
              <w:t>Visok</w:t>
            </w:r>
            <w:r>
              <w:t>” se odabire ako funkciju može lako pružati druga banka pod usporedivim uvjetima u razumnom roku,</w:t>
            </w:r>
          </w:p>
          <w:p w14:paraId="7FE1BD06" w14:textId="642E0588" w:rsidR="00393915" w:rsidRDefault="00F24D68">
            <w:pPr>
              <w:pStyle w:val="P68B1DB1-TableParagraph13"/>
              <w:spacing w:before="108"/>
              <w:jc w:val="both"/>
            </w:pPr>
            <w:r>
              <w:t>„</w:t>
            </w:r>
            <w:r w:rsidR="00B12035" w:rsidRPr="00B12035">
              <w:t>nizak</w:t>
            </w:r>
            <w:r w:rsidR="00B12035" w:rsidRPr="00B12035">
              <w:t>nizak</w:t>
            </w:r>
            <w:r>
              <w:t xml:space="preserve">” ako funkciju nije moguće lako ili brzo zamijeniti, </w:t>
            </w:r>
          </w:p>
          <w:p w14:paraId="7FE1BD07" w14:textId="462FEB58" w:rsidR="00393915" w:rsidRDefault="00F24D68">
            <w:pPr>
              <w:pStyle w:val="P68B1DB1-TableParagraph13"/>
              <w:spacing w:before="108"/>
              <w:jc w:val="both"/>
            </w:pPr>
            <w:r>
              <w:t>„</w:t>
            </w:r>
            <w:r w:rsidR="0047123D">
              <w:t>srednje visok</w:t>
            </w:r>
            <w:r w:rsidR="0047123D">
              <w:t>visok</w:t>
            </w:r>
            <w:r>
              <w:t>” i „</w:t>
            </w:r>
            <w:r w:rsidR="0047123D">
              <w:t>srednje nizak</w:t>
            </w:r>
            <w:r w:rsidR="0047123D">
              <w:t>nizak</w:t>
            </w:r>
            <w:r>
              <w:t xml:space="preserve">” za prijelazne slučajeve, uzimajući u obzir različite dimenzije (npr. tržišni udio, tržišnu koncentraciju, vrijeme potrebno za zamjenu te pravne prepreke i operativne zahtjeve za ulazak </w:t>
            </w:r>
            <w:r w:rsidR="00C41B25">
              <w:t>na tržište</w:t>
            </w:r>
            <w:r>
              <w:t xml:space="preserve"> </w:t>
            </w:r>
            <w:r>
              <w:t>ili širenje).</w:t>
            </w:r>
          </w:p>
        </w:tc>
      </w:tr>
      <w:tr w:rsidR="00393915" w14:paraId="7FE1BD0D" w14:textId="77777777">
        <w:tc>
          <w:tcPr>
            <w:tcW w:w="1080" w:type="dxa"/>
            <w:tcBorders>
              <w:top w:val="single" w:sz="4" w:space="0" w:color="1A171C"/>
              <w:left w:val="nil"/>
              <w:bottom w:val="single" w:sz="4" w:space="0" w:color="1A171C"/>
              <w:right w:val="single" w:sz="4" w:space="0" w:color="1A171C"/>
            </w:tcBorders>
            <w:vAlign w:val="center"/>
          </w:tcPr>
          <w:p w14:paraId="7FE1BD09" w14:textId="77777777" w:rsidR="00393915" w:rsidRDefault="00F24D68">
            <w:pPr>
              <w:pStyle w:val="P68B1DB1-TableParagraph17"/>
              <w:spacing w:before="108"/>
              <w:ind w:left="85"/>
              <w:jc w:val="both"/>
            </w:pPr>
            <w:r>
              <w:t>0210</w:t>
            </w:r>
          </w:p>
        </w:tc>
        <w:tc>
          <w:tcPr>
            <w:tcW w:w="8003" w:type="dxa"/>
            <w:tcBorders>
              <w:top w:val="single" w:sz="4" w:space="0" w:color="1A171C"/>
              <w:left w:val="single" w:sz="4" w:space="0" w:color="1A171C"/>
              <w:bottom w:val="single" w:sz="4" w:space="0" w:color="1A171C"/>
              <w:right w:val="nil"/>
            </w:tcBorders>
            <w:vAlign w:val="center"/>
          </w:tcPr>
          <w:p w14:paraId="7FE1BD0A" w14:textId="77777777" w:rsidR="00393915" w:rsidRDefault="00F24D68">
            <w:pPr>
              <w:pStyle w:val="P68B1DB1-TableParagraph14"/>
              <w:spacing w:before="108"/>
              <w:jc w:val="both"/>
              <w:rPr>
                <w:bCs/>
              </w:rPr>
            </w:pPr>
            <w:r>
              <w:t>Ključna funkcija</w:t>
            </w:r>
          </w:p>
          <w:p w14:paraId="7FE1BD0B" w14:textId="45BFCD41" w:rsidR="00393915" w:rsidRDefault="00F24D68">
            <w:pPr>
              <w:pStyle w:val="P68B1DB1-TableParagraph13"/>
              <w:spacing w:before="108"/>
              <w:jc w:val="both"/>
            </w:pPr>
            <w:r>
              <w:t xml:space="preserve">U ovom stupcu iskazuje se smatra li se, uzimajući u obzir </w:t>
            </w:r>
            <w:r w:rsidR="00272E67">
              <w:t>rezultate</w:t>
            </w:r>
            <w:r w:rsidR="00272E67">
              <w:t xml:space="preserve"> analize</w:t>
            </w:r>
            <w:r>
              <w:t xml:space="preserve"> utjecaj</w:t>
            </w:r>
            <w:r w:rsidR="00272E67">
              <w:t>a</w:t>
            </w:r>
            <w:r>
              <w:t xml:space="preserve"> i zamjenjivost</w:t>
            </w:r>
            <w:r w:rsidR="00272E67">
              <w:t>i</w:t>
            </w:r>
            <w:r>
              <w:t xml:space="preserve"> </w:t>
            </w:r>
            <w:r>
              <w:t xml:space="preserve">provedene od strane institucije, da je </w:t>
            </w:r>
            <w:r w:rsidR="00272E67">
              <w:t>ekonomska</w:t>
            </w:r>
            <w:r w:rsidR="00272E67">
              <w:t xml:space="preserve"> </w:t>
            </w:r>
            <w:r>
              <w:t xml:space="preserve">funkcija ključna na tržištu za </w:t>
            </w:r>
            <w:r w:rsidR="00CE1B77">
              <w:t>relevantnu državu</w:t>
            </w:r>
            <w:r>
              <w:t>.</w:t>
            </w:r>
          </w:p>
          <w:p w14:paraId="7FE1BD0C" w14:textId="6A320E47" w:rsidR="00393915" w:rsidRDefault="00F24D68">
            <w:pPr>
              <w:pStyle w:val="P68B1DB1-TableParagraph13"/>
              <w:spacing w:before="108"/>
              <w:jc w:val="both"/>
            </w:pPr>
            <w:r>
              <w:t>I</w:t>
            </w:r>
            <w:r w:rsidR="00CE1B77">
              <w:t>zvijestiti</w:t>
            </w:r>
            <w:r>
              <w:t xml:space="preserve"> </w:t>
            </w:r>
            <w:r w:rsidR="00FA377D">
              <w:t>s</w:t>
            </w:r>
            <w:r>
              <w:t xml:space="preserve"> „da” ili „ne”.</w:t>
            </w:r>
          </w:p>
        </w:tc>
      </w:tr>
      <w:tr w:rsidR="00393915" w14:paraId="7FE1BD11" w14:textId="77777777">
        <w:tc>
          <w:tcPr>
            <w:tcW w:w="1080" w:type="dxa"/>
            <w:tcBorders>
              <w:top w:val="single" w:sz="4" w:space="0" w:color="1A171C"/>
              <w:left w:val="nil"/>
              <w:bottom w:val="single" w:sz="4" w:space="0" w:color="1A171C"/>
              <w:right w:val="single" w:sz="4" w:space="0" w:color="1A171C"/>
            </w:tcBorders>
            <w:vAlign w:val="center"/>
          </w:tcPr>
          <w:p w14:paraId="7FE1BD0E" w14:textId="77777777" w:rsidR="00393915" w:rsidRDefault="00F24D68">
            <w:pPr>
              <w:pStyle w:val="P68B1DB1-TableParagraph17"/>
              <w:spacing w:before="108"/>
              <w:ind w:left="85"/>
              <w:jc w:val="both"/>
            </w:pPr>
            <w:r>
              <w:t>0220</w:t>
            </w:r>
          </w:p>
        </w:tc>
        <w:tc>
          <w:tcPr>
            <w:tcW w:w="8003" w:type="dxa"/>
            <w:tcBorders>
              <w:top w:val="single" w:sz="4" w:space="0" w:color="1A171C"/>
              <w:left w:val="single" w:sz="4" w:space="0" w:color="1A171C"/>
              <w:bottom w:val="single" w:sz="4" w:space="0" w:color="1A171C"/>
              <w:right w:val="nil"/>
            </w:tcBorders>
            <w:vAlign w:val="center"/>
          </w:tcPr>
          <w:p w14:paraId="7FE1BD0F" w14:textId="1D5AA791" w:rsidR="00393915" w:rsidRDefault="00375F10">
            <w:pPr>
              <w:pStyle w:val="P68B1DB1-TableParagraph14"/>
              <w:spacing w:before="108"/>
              <w:jc w:val="both"/>
              <w:rPr>
                <w:bCs/>
              </w:rPr>
            </w:pPr>
            <w:r>
              <w:t xml:space="preserve">Komentari </w:t>
            </w:r>
            <w:r w:rsidR="00F24D68">
              <w:t>grupe</w:t>
            </w:r>
          </w:p>
          <w:p w14:paraId="7FE1BD10" w14:textId="77777777" w:rsidR="00393915" w:rsidRDefault="00F24D68">
            <w:pPr>
              <w:pStyle w:val="P68B1DB1-TableParagraph13"/>
              <w:spacing w:before="108"/>
              <w:jc w:val="both"/>
            </w:pPr>
            <w:r>
              <w:t>Ovo polje omogućuje izvještajnom subjektu da objasni sve pretpostavke primijenjene pri procjeni kritičnosti funkcija o kojima se izvješćuje.</w:t>
            </w:r>
          </w:p>
        </w:tc>
      </w:tr>
    </w:tbl>
    <w:p w14:paraId="7FE1BD12" w14:textId="77777777" w:rsidR="00393915" w:rsidRDefault="00393915">
      <w:pPr>
        <w:rPr>
          <w:rFonts w:ascii="Times New Roman" w:hAnsi="Times New Roman" w:cs="Times New Roman"/>
          <w:color w:val="000000" w:themeColor="text1"/>
          <w:sz w:val="20"/>
          <w:szCs w:val="20"/>
        </w:rPr>
      </w:pPr>
    </w:p>
    <w:p w14:paraId="7FE1BD13" w14:textId="77777777" w:rsidR="00393915" w:rsidRDefault="00393915">
      <w:pPr>
        <w:rPr>
          <w:rFonts w:ascii="Times New Roman" w:hAnsi="Times New Roman" w:cs="Times New Roman"/>
          <w:color w:val="000000" w:themeColor="text1"/>
          <w:sz w:val="20"/>
          <w:szCs w:val="20"/>
        </w:rPr>
      </w:pPr>
    </w:p>
    <w:p w14:paraId="7FE1BD14" w14:textId="168C612B" w:rsidR="00393915" w:rsidRDefault="00F24D68">
      <w:pPr>
        <w:pStyle w:val="P68B1DB1-Instructionsberschrift25"/>
      </w:pPr>
      <w:bookmarkStart w:id="122" w:name="_Toc208244812"/>
      <w:r>
        <w:t>II.13.</w:t>
      </w:r>
      <w:r>
        <w:tab/>
        <w:t>Z 07.01.5 FUNC 1 WF</w:t>
      </w:r>
      <w:bookmarkEnd w:id="122"/>
    </w:p>
    <w:p w14:paraId="7FE1BD1C" w14:textId="77777777" w:rsidR="00393915" w:rsidRDefault="00393915">
      <w:pPr>
        <w:rPr>
          <w:rFonts w:ascii="Times New Roman" w:hAnsi="Times New Roman" w:cs="Times New Roman"/>
          <w:color w:val="000000" w:themeColor="text1"/>
          <w:sz w:val="20"/>
          <w:szCs w:val="20"/>
        </w:rPr>
      </w:pPr>
    </w:p>
    <w:tbl>
      <w:tblPr>
        <w:tblW w:w="9083" w:type="dxa"/>
        <w:tblLayout w:type="fixed"/>
        <w:tblCellMar>
          <w:top w:w="57" w:type="dxa"/>
          <w:left w:w="57" w:type="dxa"/>
          <w:bottom w:w="57" w:type="dxa"/>
          <w:right w:w="0" w:type="dxa"/>
        </w:tblCellMar>
        <w:tblLook w:val="01E0" w:firstRow="1" w:lastRow="1" w:firstColumn="1" w:lastColumn="1" w:noHBand="0" w:noVBand="0"/>
      </w:tblPr>
      <w:tblGrid>
        <w:gridCol w:w="1080"/>
        <w:gridCol w:w="8003"/>
      </w:tblGrid>
      <w:tr w:rsidR="00393915" w14:paraId="7FE1BD1F" w14:textId="77777777">
        <w:trPr>
          <w:tblHeader/>
        </w:trPr>
        <w:tc>
          <w:tcPr>
            <w:tcW w:w="1080" w:type="dxa"/>
            <w:tcBorders>
              <w:top w:val="single" w:sz="4" w:space="0" w:color="1A171C"/>
              <w:left w:val="nil"/>
              <w:bottom w:val="single" w:sz="4" w:space="0" w:color="1A171C"/>
              <w:right w:val="single" w:sz="4" w:space="0" w:color="1A171C"/>
            </w:tcBorders>
            <w:shd w:val="clear" w:color="auto" w:fill="E4E5E5"/>
          </w:tcPr>
          <w:p w14:paraId="7FE1BD1D" w14:textId="77777777" w:rsidR="00393915" w:rsidRDefault="00F24D68">
            <w:pPr>
              <w:pStyle w:val="P68B1DB1-TableParagraph17"/>
              <w:spacing w:before="108"/>
              <w:ind w:left="85"/>
              <w:jc w:val="both"/>
            </w:pPr>
            <w:r>
              <w:t>Stupci</w:t>
            </w:r>
          </w:p>
        </w:tc>
        <w:tc>
          <w:tcPr>
            <w:tcW w:w="8003" w:type="dxa"/>
            <w:tcBorders>
              <w:top w:val="single" w:sz="4" w:space="0" w:color="1A171C"/>
              <w:left w:val="single" w:sz="4" w:space="0" w:color="1A171C"/>
              <w:bottom w:val="single" w:sz="4" w:space="0" w:color="1A171C"/>
              <w:right w:val="nil"/>
            </w:tcBorders>
            <w:shd w:val="clear" w:color="auto" w:fill="E4E5E5"/>
          </w:tcPr>
          <w:p w14:paraId="7FE1BD1E" w14:textId="77777777" w:rsidR="00393915" w:rsidRDefault="00F24D68">
            <w:pPr>
              <w:pStyle w:val="P68B1DB1-TableParagraph17"/>
              <w:spacing w:before="108"/>
              <w:ind w:left="85" w:right="1"/>
              <w:jc w:val="both"/>
            </w:pPr>
            <w:r>
              <w:t>Upute</w:t>
            </w:r>
          </w:p>
        </w:tc>
      </w:tr>
      <w:tr w:rsidR="00393915" w14:paraId="7FE1BD23" w14:textId="77777777">
        <w:tc>
          <w:tcPr>
            <w:tcW w:w="1080" w:type="dxa"/>
            <w:tcBorders>
              <w:top w:val="single" w:sz="4" w:space="0" w:color="1A171C"/>
              <w:left w:val="nil"/>
              <w:bottom w:val="single" w:sz="4" w:space="0" w:color="1A171C"/>
              <w:right w:val="single" w:sz="4" w:space="0" w:color="1A171C"/>
            </w:tcBorders>
            <w:vAlign w:val="center"/>
          </w:tcPr>
          <w:p w14:paraId="7FE1BD20" w14:textId="77777777" w:rsidR="00393915" w:rsidRDefault="00F24D68">
            <w:pPr>
              <w:pStyle w:val="P68B1DB1-TableParagraph17"/>
              <w:spacing w:before="108"/>
              <w:ind w:left="85"/>
              <w:jc w:val="both"/>
            </w:pPr>
            <w:r>
              <w:t>0010</w:t>
            </w:r>
          </w:p>
        </w:tc>
        <w:tc>
          <w:tcPr>
            <w:tcW w:w="8003" w:type="dxa"/>
            <w:tcBorders>
              <w:top w:val="single" w:sz="4" w:space="0" w:color="1A171C"/>
              <w:left w:val="single" w:sz="4" w:space="0" w:color="1A171C"/>
              <w:bottom w:val="single" w:sz="4" w:space="0" w:color="1A171C"/>
              <w:right w:val="nil"/>
            </w:tcBorders>
            <w:vAlign w:val="center"/>
          </w:tcPr>
          <w:p w14:paraId="7FE1BD21" w14:textId="77777777" w:rsidR="00393915" w:rsidRDefault="00F24D68">
            <w:pPr>
              <w:pStyle w:val="P68B1DB1-TableParagraph14"/>
              <w:spacing w:before="108"/>
              <w:ind w:left="85"/>
              <w:jc w:val="both"/>
              <w:rPr>
                <w:bCs/>
              </w:rPr>
            </w:pPr>
            <w:r>
              <w:t>Opis gospodarske funkcije</w:t>
            </w:r>
          </w:p>
          <w:p w14:paraId="7FE1BD22" w14:textId="25F917FD" w:rsidR="00393915" w:rsidRDefault="00F24D68">
            <w:pPr>
              <w:pStyle w:val="P68B1DB1-TableParagraph17"/>
              <w:spacing w:before="108"/>
              <w:ind w:left="85"/>
            </w:pPr>
            <w:r>
              <w:t>Ako je ekonomska funkcija vrste „</w:t>
            </w:r>
            <w:r w:rsidR="00A73CDF">
              <w:t>o</w:t>
            </w:r>
            <w:r w:rsidR="00A73CDF">
              <w:t>o</w:t>
            </w:r>
            <w:r>
              <w:t>stalo</w:t>
            </w:r>
            <w:r>
              <w:t xml:space="preserve">” (Z 07.01.5 FUNC 1 WF r0360 do r0380), navodi se opis te funkcije. </w:t>
            </w:r>
          </w:p>
        </w:tc>
      </w:tr>
      <w:tr w:rsidR="00393915" w14:paraId="7FE1BD27" w14:textId="77777777">
        <w:tc>
          <w:tcPr>
            <w:tcW w:w="1080" w:type="dxa"/>
            <w:tcBorders>
              <w:top w:val="single" w:sz="4" w:space="0" w:color="1A171C"/>
              <w:left w:val="nil"/>
              <w:bottom w:val="single" w:sz="4" w:space="0" w:color="1A171C"/>
              <w:right w:val="single" w:sz="4" w:space="0" w:color="1A171C"/>
            </w:tcBorders>
            <w:vAlign w:val="center"/>
          </w:tcPr>
          <w:p w14:paraId="7FE1BD24" w14:textId="77777777" w:rsidR="00393915" w:rsidRDefault="00F24D68">
            <w:pPr>
              <w:pStyle w:val="P68B1DB1-TableParagraph17"/>
              <w:spacing w:before="108"/>
              <w:ind w:left="85"/>
              <w:jc w:val="both"/>
            </w:pPr>
            <w:r>
              <w:t>0020</w:t>
            </w:r>
          </w:p>
        </w:tc>
        <w:tc>
          <w:tcPr>
            <w:tcW w:w="8003" w:type="dxa"/>
            <w:tcBorders>
              <w:top w:val="single" w:sz="4" w:space="0" w:color="1A171C"/>
              <w:left w:val="single" w:sz="4" w:space="0" w:color="1A171C"/>
              <w:bottom w:val="single" w:sz="4" w:space="0" w:color="1A171C"/>
              <w:right w:val="nil"/>
            </w:tcBorders>
            <w:vAlign w:val="center"/>
          </w:tcPr>
          <w:p w14:paraId="7FE1BD25" w14:textId="77777777" w:rsidR="00393915" w:rsidRDefault="00F24D68">
            <w:pPr>
              <w:pStyle w:val="P68B1DB1-TableParagraph14"/>
              <w:spacing w:before="108"/>
              <w:ind w:left="85"/>
              <w:jc w:val="both"/>
              <w:rPr>
                <w:bCs/>
              </w:rPr>
            </w:pPr>
            <w:r>
              <w:t xml:space="preserve">Tržišni udio </w:t>
            </w:r>
          </w:p>
          <w:p w14:paraId="7FE1BD26" w14:textId="601A03B3" w:rsidR="00393915" w:rsidRDefault="00F24D68">
            <w:pPr>
              <w:pStyle w:val="P68B1DB1-TableParagraph17"/>
              <w:spacing w:before="108"/>
              <w:ind w:left="85"/>
            </w:pPr>
            <w:r>
              <w:t xml:space="preserve">Procjena tržišnog udjela institucije ili grupe za predmetnu gospodarsku funkciju u odgovarajućoj zemlji ili geografskoj regiji. Postotak ukupnog tržišta u </w:t>
            </w:r>
            <w:r w:rsidR="001723FA">
              <w:t>bruto</w:t>
            </w:r>
            <w:r w:rsidR="001723FA">
              <w:t>bruto</w:t>
            </w:r>
            <w:r w:rsidR="001723FA">
              <w:t xml:space="preserve"> knjigovodstvenom iznosu</w:t>
            </w:r>
            <w:r>
              <w:t>.</w:t>
            </w:r>
          </w:p>
        </w:tc>
      </w:tr>
      <w:tr w:rsidR="00393915" w14:paraId="7FE1BD31" w14:textId="77777777">
        <w:tc>
          <w:tcPr>
            <w:tcW w:w="1080" w:type="dxa"/>
            <w:tcBorders>
              <w:top w:val="single" w:sz="4" w:space="0" w:color="1A171C"/>
              <w:left w:val="nil"/>
              <w:bottom w:val="single" w:sz="4" w:space="0" w:color="1A171C"/>
              <w:right w:val="single" w:sz="4" w:space="0" w:color="1A171C"/>
            </w:tcBorders>
            <w:vAlign w:val="center"/>
          </w:tcPr>
          <w:p w14:paraId="7FE1BD28" w14:textId="77777777" w:rsidR="00393915" w:rsidRDefault="00F24D68">
            <w:pPr>
              <w:pStyle w:val="P68B1DB1-TableParagraph17"/>
              <w:spacing w:before="108"/>
              <w:ind w:left="85"/>
              <w:jc w:val="both"/>
            </w:pPr>
            <w:r>
              <w:t>0030</w:t>
            </w:r>
          </w:p>
        </w:tc>
        <w:tc>
          <w:tcPr>
            <w:tcW w:w="8003" w:type="dxa"/>
            <w:tcBorders>
              <w:top w:val="single" w:sz="4" w:space="0" w:color="1A171C"/>
              <w:left w:val="single" w:sz="4" w:space="0" w:color="1A171C"/>
              <w:bottom w:val="single" w:sz="4" w:space="0" w:color="1A171C"/>
              <w:right w:val="nil"/>
            </w:tcBorders>
            <w:vAlign w:val="center"/>
          </w:tcPr>
          <w:p w14:paraId="7FE1BD29" w14:textId="7736F53D" w:rsidR="00393915" w:rsidRDefault="00F24D68">
            <w:pPr>
              <w:pStyle w:val="P68B1DB1-Normal42"/>
              <w:rPr>
                <w:bCs/>
              </w:rPr>
            </w:pPr>
            <w:r>
              <w:t xml:space="preserve">Bruto </w:t>
            </w:r>
            <w:r w:rsidR="00D73AA0">
              <w:t>iiznos</w:t>
            </w:r>
            <w:r>
              <w:t>knjigovodstven</w:t>
            </w:r>
            <w:r w:rsidR="00D73AA0">
              <w:t>i</w:t>
            </w:r>
            <w:r>
              <w:t xml:space="preserve"> </w:t>
            </w:r>
            <w:r w:rsidR="00D73AA0">
              <w:t>iznos</w:t>
            </w:r>
          </w:p>
          <w:p w14:paraId="7FE1BD2A" w14:textId="6C70780C" w:rsidR="00393915" w:rsidRDefault="00F24D68">
            <w:pPr>
              <w:pStyle w:val="P68B1DB1-TableParagraph17"/>
              <w:spacing w:before="108"/>
            </w:pPr>
            <w:r>
              <w:lastRenderedPageBreak/>
              <w:t xml:space="preserve">Koristiti bruto </w:t>
            </w:r>
            <w:r>
              <w:t>knjigovodstven</w:t>
            </w:r>
            <w:r w:rsidR="0082507D">
              <w:t>i iznos</w:t>
            </w:r>
            <w:r w:rsidR="0082507D">
              <w:t>iznos</w:t>
            </w:r>
            <w:r>
              <w:t xml:space="preserve">kako je definirano u FINREP-u. </w:t>
            </w:r>
          </w:p>
          <w:p w14:paraId="7FE1BD2B" w14:textId="77777777" w:rsidR="00393915" w:rsidRDefault="00F24D68">
            <w:pPr>
              <w:pStyle w:val="P68B1DB1-TableParagraph17"/>
              <w:spacing w:before="108"/>
            </w:pPr>
            <w:r>
              <w:t xml:space="preserve">Referentni dokumenti: FINREP: Prilog V. dio 1. točka 34., FINREP: Prilozi III. i IV., predlošci: </w:t>
            </w:r>
          </w:p>
          <w:p w14:paraId="7FE1BD2C" w14:textId="77777777" w:rsidR="00393915" w:rsidRDefault="00F24D68">
            <w:pPr>
              <w:pStyle w:val="P68B1DB1-TableParagraph17"/>
              <w:spacing w:before="108"/>
            </w:pPr>
            <w:r>
              <w:t>— Pozajmljivanje (5.1.): Predložak F 20.06 stupac 010 redci 100 + 110, sve zemlje,</w:t>
            </w:r>
          </w:p>
          <w:p w14:paraId="7FE1BD2D" w14:textId="77777777" w:rsidR="00393915" w:rsidRDefault="00F24D68">
            <w:pPr>
              <w:pStyle w:val="P68B1DB1-TableParagraph17"/>
              <w:spacing w:before="108"/>
            </w:pPr>
            <w:r>
              <w:t>— Izvedenice (imovina) (5.2.): Predložak F 20.04 stupac 010 redak 010, sve zemlje,</w:t>
            </w:r>
          </w:p>
          <w:p w14:paraId="7FE1BD2E" w14:textId="77777777" w:rsidR="00393915" w:rsidRDefault="00F24D68">
            <w:pPr>
              <w:pStyle w:val="P68B1DB1-TableParagraph17"/>
              <w:spacing w:before="108"/>
            </w:pPr>
            <w:r>
              <w:t xml:space="preserve">— Kreditiranje (5.3.): Predložak F 20.04 stupac 010 redci 170 + 180, sve zemlje, </w:t>
            </w:r>
          </w:p>
          <w:p w14:paraId="7FE1BD30" w14:textId="58CF223C" w:rsidR="00393915" w:rsidRDefault="00F24D68">
            <w:pPr>
              <w:pStyle w:val="P68B1DB1-TableParagraph17"/>
              <w:spacing w:before="108"/>
            </w:pPr>
            <w:r>
              <w:t>— Izvedenice (obveze) (5.4.): Obrazac F 20.06, stupac 010 redak 010, sve zemlje.</w:t>
            </w:r>
          </w:p>
        </w:tc>
      </w:tr>
      <w:tr w:rsidR="00393915" w14:paraId="7FE1BD35" w14:textId="77777777">
        <w:tc>
          <w:tcPr>
            <w:tcW w:w="1080" w:type="dxa"/>
            <w:tcBorders>
              <w:top w:val="single" w:sz="4" w:space="0" w:color="1A171C"/>
              <w:left w:val="nil"/>
              <w:bottom w:val="single" w:sz="4" w:space="0" w:color="1A171C"/>
              <w:right w:val="single" w:sz="4" w:space="0" w:color="1A171C"/>
            </w:tcBorders>
            <w:vAlign w:val="center"/>
          </w:tcPr>
          <w:p w14:paraId="7FE1BD32" w14:textId="77777777" w:rsidR="00393915" w:rsidRDefault="00F24D68">
            <w:pPr>
              <w:pStyle w:val="P68B1DB1-TableParagraph17"/>
              <w:spacing w:before="108"/>
              <w:ind w:left="85"/>
              <w:jc w:val="both"/>
            </w:pPr>
            <w:r>
              <w:lastRenderedPageBreak/>
              <w:t>0040</w:t>
            </w:r>
          </w:p>
        </w:tc>
        <w:tc>
          <w:tcPr>
            <w:tcW w:w="8003" w:type="dxa"/>
            <w:tcBorders>
              <w:top w:val="single" w:sz="4" w:space="0" w:color="1A171C"/>
              <w:left w:val="single" w:sz="4" w:space="0" w:color="1A171C"/>
              <w:bottom w:val="single" w:sz="4" w:space="0" w:color="1A171C"/>
              <w:right w:val="nil"/>
            </w:tcBorders>
            <w:vAlign w:val="center"/>
          </w:tcPr>
          <w:p w14:paraId="7FE1BD33" w14:textId="77777777" w:rsidR="00393915" w:rsidRDefault="00F24D68">
            <w:pPr>
              <w:pStyle w:val="P68B1DB1-Normal42"/>
              <w:rPr>
                <w:bCs/>
              </w:rPr>
            </w:pPr>
            <w:r>
              <w:t>Broj drugih ugovornih strana</w:t>
            </w:r>
          </w:p>
          <w:p w14:paraId="7FE1BD34" w14:textId="53C27BE3" w:rsidR="00393915" w:rsidRDefault="00F24D68">
            <w:pPr>
              <w:pStyle w:val="P68B1DB1-TableParagraph17"/>
              <w:spacing w:before="108"/>
            </w:pPr>
            <w:r>
              <w:t>Ukupni broj drugih ugovornih strana. Ako jedna ugovorna strana ima više od jednog računa i/ili više od jedne transakcije, ta ugovorna strana računa se samo jednom.</w:t>
            </w:r>
          </w:p>
        </w:tc>
      </w:tr>
      <w:tr w:rsidR="00393915" w14:paraId="7FE1BD43" w14:textId="77777777">
        <w:tc>
          <w:tcPr>
            <w:tcW w:w="1080" w:type="dxa"/>
            <w:tcBorders>
              <w:top w:val="single" w:sz="4" w:space="0" w:color="1A171C"/>
              <w:left w:val="nil"/>
              <w:bottom w:val="single" w:sz="4" w:space="0" w:color="1A171C"/>
              <w:right w:val="single" w:sz="4" w:space="0" w:color="1A171C"/>
            </w:tcBorders>
            <w:vAlign w:val="center"/>
          </w:tcPr>
          <w:p w14:paraId="7FE1BD36" w14:textId="77777777" w:rsidR="00393915" w:rsidRDefault="00F24D68">
            <w:pPr>
              <w:pStyle w:val="P68B1DB1-TableParagraph17"/>
              <w:spacing w:before="108"/>
              <w:ind w:left="85"/>
              <w:jc w:val="both"/>
            </w:pPr>
            <w:r>
              <w:t>0050</w:t>
            </w:r>
          </w:p>
        </w:tc>
        <w:tc>
          <w:tcPr>
            <w:tcW w:w="8003" w:type="dxa"/>
            <w:tcBorders>
              <w:top w:val="single" w:sz="4" w:space="0" w:color="1A171C"/>
              <w:left w:val="single" w:sz="4" w:space="0" w:color="1A171C"/>
              <w:bottom w:val="single" w:sz="4" w:space="0" w:color="1A171C"/>
              <w:right w:val="nil"/>
            </w:tcBorders>
            <w:vAlign w:val="center"/>
          </w:tcPr>
          <w:p w14:paraId="7FE1BD37" w14:textId="77777777" w:rsidR="00393915" w:rsidRDefault="00F24D68">
            <w:pPr>
              <w:pStyle w:val="P68B1DB1-TableParagraph14"/>
              <w:spacing w:before="108"/>
              <w:jc w:val="both"/>
              <w:rPr>
                <w:bCs/>
              </w:rPr>
            </w:pPr>
            <w:r>
              <w:t>(Obrnuti) repo ugovori</w:t>
            </w:r>
          </w:p>
          <w:p w14:paraId="7FE1BD3B" w14:textId="4FCF5A2D" w:rsidR="00393915" w:rsidRDefault="00F24D68">
            <w:pPr>
              <w:pStyle w:val="P68B1DB1-TableParagraph13"/>
              <w:spacing w:before="108"/>
              <w:jc w:val="both"/>
            </w:pPr>
            <w:r>
              <w:t xml:space="preserve">Iskazati repo ugovore u okviru </w:t>
            </w:r>
            <w:r w:rsidR="00E068C8">
              <w:t>z</w:t>
            </w:r>
            <w:r w:rsidR="00E068C8" w:rsidRPr="00E068C8">
              <w:t>aduživanj</w:t>
            </w:r>
            <w:r w:rsidR="00E068C8">
              <w:t>a</w:t>
            </w:r>
            <w:r w:rsidR="00E068C8" w:rsidRPr="00E068C8">
              <w:t xml:space="preserve"> kod institucionalnih ulagača</w:t>
            </w:r>
            <w:r w:rsidR="00506075">
              <w:t>Repo</w:t>
            </w:r>
            <w:r w:rsidR="00E068C8" w:rsidRPr="00E068C8">
              <w:t>ulagača</w:t>
            </w:r>
            <w:r>
              <w:t xml:space="preserve">. </w:t>
            </w:r>
            <w:r w:rsidR="00506075">
              <w:t>Repo</w:t>
            </w:r>
            <w:r w:rsidR="0061312F">
              <w:t xml:space="preserve"> </w:t>
            </w:r>
            <w:r>
              <w:t xml:space="preserve">ugovori </w:t>
            </w:r>
            <w:r w:rsidR="00506075">
              <w:t>podrazumijevaju uu</w:t>
            </w:r>
            <w:r>
              <w:t>gotovin</w:t>
            </w:r>
            <w:r w:rsidR="00506075">
              <w:t>u</w:t>
            </w:r>
            <w:r>
              <w:t xml:space="preserve"> primljen</w:t>
            </w:r>
            <w:r w:rsidR="00506075">
              <w:t>u</w:t>
            </w:r>
            <w:r>
              <w:t xml:space="preserve"> u zamjenu za vrijednosne papire prodane po određenoj cijeni </w:t>
            </w:r>
            <w:r w:rsidR="00506075">
              <w:t>na temelju ee</w:t>
            </w:r>
            <w:r w:rsidR="00506075">
              <w:t xml:space="preserve">temelju </w:t>
            </w:r>
            <w:r>
              <w:t>čvrst</w:t>
            </w:r>
            <w:r w:rsidR="00506075">
              <w:t>e</w:t>
            </w:r>
            <w:r>
              <w:t xml:space="preserve"> obvez</w:t>
            </w:r>
            <w:r w:rsidR="00506075">
              <w:t>e</w:t>
            </w:r>
            <w:r>
              <w:t xml:space="preserve"> otkupa istih (ili sličnih) vrijednosnih papira po fiksnoj cijeni</w:t>
            </w:r>
            <w:r w:rsidR="00306A5E">
              <w:t xml:space="preserve"> na </w:t>
            </w:r>
            <w:r>
              <w:t xml:space="preserve">određeni budući datum. </w:t>
            </w:r>
          </w:p>
          <w:p w14:paraId="7FE1BD3D" w14:textId="38F915EB" w:rsidR="00393915" w:rsidRDefault="00F24D68">
            <w:pPr>
              <w:pStyle w:val="P68B1DB1-TableParagraph13"/>
              <w:spacing w:before="108"/>
              <w:jc w:val="both"/>
            </w:pPr>
            <w:r>
              <w:t xml:space="preserve">Iskazati </w:t>
            </w:r>
            <w:r w:rsidR="00306A5E">
              <w:t xml:space="preserve">obrnute </w:t>
            </w:r>
            <w:r>
              <w:t xml:space="preserve">repo kredite u okviru </w:t>
            </w:r>
            <w:r w:rsidR="0061312F">
              <w:t>pozajmljivanja</w:t>
            </w:r>
            <w:r w:rsidR="0061312F" w:rsidRPr="0061312F">
              <w:t xml:space="preserve"> institucionalni</w:t>
            </w:r>
            <w:r w:rsidR="0061312F">
              <w:t>m</w:t>
            </w:r>
            <w:r w:rsidR="0061312F" w:rsidRPr="0061312F">
              <w:t xml:space="preserve"> ulagač</w:t>
            </w:r>
            <w:r w:rsidR="0061312F">
              <w:t>im</w:t>
            </w:r>
            <w:r w:rsidR="0061312F" w:rsidRPr="0061312F">
              <w:t>a</w:t>
            </w:r>
            <w:r w:rsidR="0061312F" w:rsidRPr="0061312F">
              <w:t>ulagač</w:t>
            </w:r>
            <w:r w:rsidR="0061312F">
              <w:t>im</w:t>
            </w:r>
            <w:r w:rsidR="0061312F" w:rsidRPr="0061312F">
              <w:t>a</w:t>
            </w:r>
            <w:r>
              <w:t>.</w:t>
            </w:r>
            <w:r w:rsidR="00486758">
              <w:t xml:space="preserve">Obrnuti </w:t>
            </w:r>
            <w:r>
              <w:t xml:space="preserve">repo krediti </w:t>
            </w:r>
            <w:r w:rsidR="00AF6CD3">
              <w:t xml:space="preserve">podrazumijevaju </w:t>
            </w:r>
            <w:r>
              <w:t>financiranje odobreno u zamjenu za kupljene vrijednosne papire</w:t>
            </w:r>
            <w:r w:rsidR="005A08CA">
              <w:t xml:space="preserve"> </w:t>
            </w:r>
            <w:r>
              <w:t>na temelju repo ugovora ili pozajmljenih na temelju ugovora o pozajmljivanju vrijednosnih papira.</w:t>
            </w:r>
          </w:p>
          <w:p w14:paraId="7FE1BD3F" w14:textId="5B42BAEB" w:rsidR="00393915" w:rsidRDefault="00F24D68">
            <w:pPr>
              <w:pStyle w:val="P68B1DB1-TableParagraph13"/>
              <w:spacing w:before="108"/>
              <w:jc w:val="both"/>
            </w:pPr>
            <w:r>
              <w:t xml:space="preserve">Reference: Uredba (2015/2365) o transparentnosti </w:t>
            </w:r>
            <w:r w:rsidR="00AF2E0D" w:rsidRPr="00AF2E0D">
              <w:t>poslova financiranja vrijednosnim papirima i o ponovnoj uporabi</w:t>
            </w:r>
            <w:r w:rsidR="007C776A">
              <w:t>,</w:t>
            </w:r>
            <w:r w:rsidR="00AF2E0D" w:rsidRPr="00AF2E0D">
              <w:t xml:space="preserve"> </w:t>
            </w:r>
            <w:r w:rsidR="007C776A">
              <w:t>ak</w:t>
            </w:r>
            <w:r>
              <w:t>član</w:t>
            </w:r>
            <w:r w:rsidR="007C776A">
              <w:t>ak</w:t>
            </w:r>
            <w:r>
              <w:t xml:space="preserve"> 3. </w:t>
            </w:r>
            <w:r w:rsidR="007C776A">
              <w:t>k</w:t>
            </w:r>
            <w:r>
              <w:t>stava</w:t>
            </w:r>
            <w:r w:rsidR="007C776A">
              <w:t>k</w:t>
            </w:r>
            <w:r>
              <w:t xml:space="preserve"> 9.; FINREP: Prilog V. dio 2. Poglavlje 5., stavak 85. točka (e)</w:t>
            </w:r>
          </w:p>
          <w:p w14:paraId="7FE1BD40" w14:textId="77777777" w:rsidR="00393915" w:rsidRDefault="00F24D68">
            <w:pPr>
              <w:pStyle w:val="P68B1DB1-TableParagraph13"/>
              <w:spacing w:before="108"/>
              <w:jc w:val="both"/>
            </w:pPr>
            <w:r>
              <w:t xml:space="preserve">i poglavlje 14. stavak 183.; </w:t>
            </w:r>
            <w:r w:rsidR="005A08CA">
              <w:t xml:space="preserve">FINREP </w:t>
            </w:r>
            <w:r>
              <w:t>Prilog III.:</w:t>
            </w:r>
          </w:p>
          <w:p w14:paraId="7FE1BD41" w14:textId="5372EA7D" w:rsidR="00393915" w:rsidRDefault="000617A2">
            <w:pPr>
              <w:pStyle w:val="P68B1DB1-TableParagraph13"/>
              <w:numPr>
                <w:ilvl w:val="0"/>
                <w:numId w:val="153"/>
              </w:numPr>
              <w:spacing w:before="108"/>
              <w:jc w:val="both"/>
            </w:pPr>
            <w:r>
              <w:t>r</w:t>
            </w:r>
            <w:r>
              <w:t>r</w:t>
            </w:r>
            <w:r w:rsidR="00F24D68">
              <w:t>epo</w:t>
            </w:r>
            <w:r w:rsidR="00F24D68">
              <w:t xml:space="preserve"> ugovori: Tablica 08.01 stupci 010 + 020 + 030 redci 200 + 250.</w:t>
            </w:r>
          </w:p>
          <w:p w14:paraId="7FE1BD42" w14:textId="7A9AA2C9" w:rsidR="00393915" w:rsidRDefault="000617A2">
            <w:pPr>
              <w:pStyle w:val="P68B1DB1-TableParagraph13"/>
              <w:numPr>
                <w:ilvl w:val="0"/>
                <w:numId w:val="153"/>
              </w:numPr>
              <w:spacing w:before="108"/>
              <w:jc w:val="both"/>
            </w:pPr>
            <w:r>
              <w:t>obrnuti</w:t>
            </w:r>
            <w:r>
              <w:t>obrnuti</w:t>
            </w:r>
            <w:r w:rsidR="00F24D68">
              <w:t xml:space="preserve"> repo </w:t>
            </w:r>
            <w:r w:rsidR="00F24D68">
              <w:t>ugovor</w:t>
            </w:r>
            <w:r w:rsidR="00D85E9B">
              <w:t>i</w:t>
            </w:r>
            <w:r w:rsidR="00F24D68">
              <w:t>: Tablica 05.00 stupci 030 + 040 redak 050.</w:t>
            </w:r>
          </w:p>
        </w:tc>
      </w:tr>
      <w:tr w:rsidR="00393915" w14:paraId="7FE1BD47" w14:textId="77777777">
        <w:tc>
          <w:tcPr>
            <w:tcW w:w="1080" w:type="dxa"/>
            <w:tcBorders>
              <w:top w:val="single" w:sz="4" w:space="0" w:color="1A171C"/>
              <w:left w:val="nil"/>
              <w:bottom w:val="single" w:sz="4" w:space="0" w:color="1A171C"/>
              <w:right w:val="single" w:sz="4" w:space="0" w:color="1A171C"/>
            </w:tcBorders>
            <w:vAlign w:val="center"/>
          </w:tcPr>
          <w:p w14:paraId="7FE1BD44" w14:textId="1D61499E" w:rsidR="00393915" w:rsidRDefault="00F24D68">
            <w:pPr>
              <w:pStyle w:val="P68B1DB1-TableParagraph17"/>
              <w:spacing w:before="108"/>
              <w:jc w:val="both"/>
            </w:pPr>
            <w:r>
              <w:t>0060</w:t>
            </w:r>
          </w:p>
        </w:tc>
        <w:tc>
          <w:tcPr>
            <w:tcW w:w="8003" w:type="dxa"/>
            <w:tcBorders>
              <w:top w:val="single" w:sz="4" w:space="0" w:color="1A171C"/>
              <w:left w:val="single" w:sz="4" w:space="0" w:color="1A171C"/>
              <w:bottom w:val="single" w:sz="4" w:space="0" w:color="1A171C"/>
              <w:right w:val="nil"/>
            </w:tcBorders>
            <w:vAlign w:val="center"/>
          </w:tcPr>
          <w:p w14:paraId="7FE1BD45" w14:textId="77777777" w:rsidR="00393915" w:rsidRDefault="00F24D68">
            <w:pPr>
              <w:pStyle w:val="P68B1DB1-TableParagraph14"/>
              <w:spacing w:before="108"/>
              <w:jc w:val="both"/>
              <w:rPr>
                <w:bCs/>
              </w:rPr>
            </w:pPr>
            <w:r>
              <w:t>Prekogranična vrijednost</w:t>
            </w:r>
          </w:p>
          <w:p w14:paraId="7FE1BD46" w14:textId="77777777" w:rsidR="00393915" w:rsidRDefault="00F24D68">
            <w:pPr>
              <w:pStyle w:val="P68B1DB1-TableParagraph13"/>
              <w:spacing w:before="108"/>
              <w:jc w:val="both"/>
            </w:pPr>
            <w:r>
              <w:t>Dodati bruto knjigovodstvene vrijednosti svih država, osim matične ili relevantne zemlje.</w:t>
            </w:r>
          </w:p>
        </w:tc>
      </w:tr>
      <w:tr w:rsidR="00393915" w14:paraId="7FE1BD51" w14:textId="77777777">
        <w:tc>
          <w:tcPr>
            <w:tcW w:w="1080" w:type="dxa"/>
            <w:tcBorders>
              <w:top w:val="single" w:sz="4" w:space="0" w:color="1A171C"/>
              <w:left w:val="nil"/>
              <w:bottom w:val="single" w:sz="4" w:space="0" w:color="1A171C"/>
              <w:right w:val="single" w:sz="4" w:space="0" w:color="1A171C"/>
            </w:tcBorders>
            <w:vAlign w:val="center"/>
          </w:tcPr>
          <w:p w14:paraId="7FE1BD48" w14:textId="77777777" w:rsidR="00393915" w:rsidRDefault="00F24D68">
            <w:pPr>
              <w:pStyle w:val="P68B1DB1-TableParagraph17"/>
              <w:spacing w:before="108"/>
              <w:ind w:left="85"/>
              <w:jc w:val="both"/>
            </w:pPr>
            <w:r>
              <w:t>0070</w:t>
            </w:r>
          </w:p>
        </w:tc>
        <w:tc>
          <w:tcPr>
            <w:tcW w:w="8003" w:type="dxa"/>
            <w:tcBorders>
              <w:top w:val="single" w:sz="4" w:space="0" w:color="1A171C"/>
              <w:left w:val="single" w:sz="4" w:space="0" w:color="1A171C"/>
              <w:bottom w:val="single" w:sz="4" w:space="0" w:color="1A171C"/>
              <w:right w:val="nil"/>
            </w:tcBorders>
            <w:vAlign w:val="center"/>
          </w:tcPr>
          <w:p w14:paraId="7FE1BD49" w14:textId="77777777" w:rsidR="00393915" w:rsidRDefault="00F24D68">
            <w:pPr>
              <w:pStyle w:val="P68B1DB1-Normal42"/>
              <w:rPr>
                <w:bCs/>
              </w:rPr>
            </w:pPr>
            <w:r>
              <w:t>Vrijednost po kreditnim institucijama</w:t>
            </w:r>
          </w:p>
          <w:p w14:paraId="7FE1BD4B" w14:textId="27046F14" w:rsidR="00393915" w:rsidRDefault="00F24D68">
            <w:pPr>
              <w:pStyle w:val="P68B1DB1-TableParagraph13"/>
              <w:spacing w:before="108"/>
              <w:jc w:val="both"/>
            </w:pPr>
            <w:r>
              <w:t xml:space="preserve">Bruto neotplaćena knjigovodstvena vrijednost u kreditnim institucijama. Definicija sektora u skladu </w:t>
            </w:r>
            <w:r>
              <w:t>sFINREP</w:t>
            </w:r>
            <w:r>
              <w:t xml:space="preserve"> (Prilog V.). </w:t>
            </w:r>
          </w:p>
          <w:p w14:paraId="7FE1BD4C" w14:textId="77777777" w:rsidR="00393915" w:rsidRDefault="00F24D68">
            <w:pPr>
              <w:pStyle w:val="P68B1DB1-TableParagraph13"/>
              <w:spacing w:before="108"/>
              <w:jc w:val="both"/>
            </w:pPr>
            <w:r>
              <w:t>Reference: FINREP: Prilog III.:</w:t>
            </w:r>
          </w:p>
          <w:p w14:paraId="7FE1BD4D" w14:textId="702618C5" w:rsidR="00393915" w:rsidRDefault="00F24D68">
            <w:pPr>
              <w:pStyle w:val="P68B1DB1-TableParagraph13"/>
              <w:numPr>
                <w:ilvl w:val="0"/>
                <w:numId w:val="153"/>
              </w:numPr>
              <w:spacing w:before="108"/>
              <w:jc w:val="both"/>
            </w:pPr>
            <w:r>
              <w:t xml:space="preserve">Zaduživanje: </w:t>
            </w:r>
            <w:r w:rsidR="00CF6E4D">
              <w:t xml:space="preserve">Tablica </w:t>
            </w:r>
            <w:r>
              <w:t>20.06, stupac 010 redak 100, sve zemlje.</w:t>
            </w:r>
          </w:p>
          <w:p w14:paraId="7FE1BD4E" w14:textId="00913ADA" w:rsidR="00393915" w:rsidRDefault="00F24D68">
            <w:pPr>
              <w:pStyle w:val="P68B1DB1-TableParagraph13"/>
              <w:numPr>
                <w:ilvl w:val="0"/>
                <w:numId w:val="153"/>
              </w:numPr>
              <w:spacing w:before="108"/>
              <w:jc w:val="both"/>
            </w:pPr>
            <w:r>
              <w:t xml:space="preserve">Izvedenice (imovina): </w:t>
            </w:r>
            <w:r w:rsidR="005E0D6F">
              <w:t xml:space="preserve">Tablica </w:t>
            </w:r>
            <w:r>
              <w:t>20.04, stupac 010 redak 020, sve zemlje,</w:t>
            </w:r>
          </w:p>
          <w:p w14:paraId="7FE1BD4F" w14:textId="5E8B6548" w:rsidR="00393915" w:rsidRDefault="00F24D68">
            <w:pPr>
              <w:pStyle w:val="P68B1DB1-TableParagraph13"/>
              <w:numPr>
                <w:ilvl w:val="0"/>
                <w:numId w:val="153"/>
              </w:numPr>
              <w:spacing w:before="108"/>
              <w:jc w:val="both"/>
            </w:pPr>
            <w:r>
              <w:t xml:space="preserve">Pozajmljivanje: </w:t>
            </w:r>
            <w:r w:rsidR="005E0D6F">
              <w:t xml:space="preserve">Tablica </w:t>
            </w:r>
            <w:r>
              <w:t>20.04, stupac 010 redak 170, sve zemlje,</w:t>
            </w:r>
          </w:p>
          <w:p w14:paraId="7FE1BD50" w14:textId="24B95BD1" w:rsidR="00393915" w:rsidRDefault="00F24D68">
            <w:pPr>
              <w:pStyle w:val="P68B1DB1-TableParagraph13"/>
              <w:numPr>
                <w:ilvl w:val="0"/>
                <w:numId w:val="153"/>
              </w:numPr>
              <w:spacing w:before="108"/>
              <w:jc w:val="both"/>
            </w:pPr>
            <w:r>
              <w:t xml:space="preserve">Obveze iz izvedenica: </w:t>
            </w:r>
            <w:r w:rsidR="005E0D6F">
              <w:t xml:space="preserve">Tablica </w:t>
            </w:r>
            <w:r>
              <w:t>20.06, stupac 010 redak 020, sve zemlje.</w:t>
            </w:r>
          </w:p>
        </w:tc>
      </w:tr>
      <w:tr w:rsidR="00393915" w14:paraId="7FE1BD5A" w14:textId="77777777">
        <w:tc>
          <w:tcPr>
            <w:tcW w:w="1080" w:type="dxa"/>
            <w:tcBorders>
              <w:top w:val="single" w:sz="4" w:space="0" w:color="1A171C"/>
              <w:left w:val="nil"/>
              <w:bottom w:val="single" w:sz="4" w:space="0" w:color="1A171C"/>
              <w:right w:val="single" w:sz="4" w:space="0" w:color="1A171C"/>
            </w:tcBorders>
            <w:vAlign w:val="center"/>
          </w:tcPr>
          <w:p w14:paraId="7FE1BD52" w14:textId="77777777" w:rsidR="00393915" w:rsidRDefault="00F24D68">
            <w:pPr>
              <w:pStyle w:val="P68B1DB1-TableParagraph17"/>
              <w:spacing w:before="108"/>
              <w:ind w:left="85"/>
              <w:jc w:val="both"/>
            </w:pPr>
            <w:r>
              <w:t>0080 – 0150</w:t>
            </w:r>
          </w:p>
        </w:tc>
        <w:tc>
          <w:tcPr>
            <w:tcW w:w="8003" w:type="dxa"/>
            <w:tcBorders>
              <w:top w:val="single" w:sz="4" w:space="0" w:color="1A171C"/>
              <w:left w:val="single" w:sz="4" w:space="0" w:color="1A171C"/>
              <w:bottom w:val="single" w:sz="4" w:space="0" w:color="1A171C"/>
              <w:right w:val="nil"/>
            </w:tcBorders>
            <w:vAlign w:val="center"/>
          </w:tcPr>
          <w:p w14:paraId="7FE1BD53" w14:textId="77777777" w:rsidR="00393915" w:rsidRDefault="00F24D68">
            <w:pPr>
              <w:pStyle w:val="P68B1DB1-Normal42"/>
              <w:rPr>
                <w:bCs/>
              </w:rPr>
            </w:pPr>
            <w:r>
              <w:t>Analize učinka i zamjenjivosti</w:t>
            </w:r>
          </w:p>
          <w:p w14:paraId="7FE1BD54" w14:textId="77777777" w:rsidR="00393915" w:rsidRDefault="00F24D68">
            <w:pPr>
              <w:pStyle w:val="P68B1DB1-Normal43"/>
            </w:pPr>
            <w:r>
              <w:t>Kriteriji procjene učinka na treće strane uključuju sljedeće elemente u skladu s Delegiranom uredbom Komisije (EU) 2016/778 o ključnim funkcijama:</w:t>
            </w:r>
          </w:p>
          <w:p w14:paraId="7FE1BD55" w14:textId="77777777" w:rsidR="00393915" w:rsidRDefault="00F24D68">
            <w:pPr>
              <w:pStyle w:val="P68B1DB1-ListParagraph38"/>
              <w:numPr>
                <w:ilvl w:val="0"/>
                <w:numId w:val="131"/>
              </w:numPr>
              <w:spacing w:line="276" w:lineRule="auto"/>
            </w:pPr>
            <w:r>
              <w:t>prirodu i doseg aktivnosti, globalni, nacionalni ili regionalni doseg, opseg i broj transakcija; broj korisnika i ugovornih strana; broj korisnika za koje je institucija jedini ili glavni bankarski partner.</w:t>
            </w:r>
          </w:p>
          <w:p w14:paraId="7FE1BD56" w14:textId="77777777" w:rsidR="00393915" w:rsidRDefault="00F24D68">
            <w:pPr>
              <w:pStyle w:val="P68B1DB1-ListParagraph38"/>
              <w:numPr>
                <w:ilvl w:val="0"/>
                <w:numId w:val="131"/>
              </w:numPr>
              <w:spacing w:line="276" w:lineRule="auto"/>
            </w:pPr>
            <w:r>
              <w:t>važnost institucije na lokalnoj, regionalnoj, nacionalnoj ili europskoj razini, ovisno o predmetnom tržištu. Važnost institucije može se procijeniti na temelju tržišnog udjela, međusobne povezanosti, složenosti i prekograničnih aktivnosti.</w:t>
            </w:r>
          </w:p>
          <w:p w14:paraId="7FE1BD57" w14:textId="77777777" w:rsidR="00393915" w:rsidRDefault="00F24D68">
            <w:pPr>
              <w:pStyle w:val="P68B1DB1-ListParagraph38"/>
              <w:numPr>
                <w:ilvl w:val="0"/>
                <w:numId w:val="131"/>
              </w:numPr>
              <w:spacing w:line="276" w:lineRule="auto"/>
            </w:pPr>
            <w:r>
              <w:lastRenderedPageBreak/>
              <w:t xml:space="preserve">prirodu korisnika i dionika na koje utječe funkcija kao što su, ali ne isključivo, mali korisnici, korporativni i međubankovni korisnici, središnje klirinške kuće i javna tijela. </w:t>
            </w:r>
          </w:p>
          <w:p w14:paraId="7FE1BD58" w14:textId="77777777" w:rsidR="00393915" w:rsidRDefault="00F24D68">
            <w:pPr>
              <w:pStyle w:val="P68B1DB1-ListParagraph38"/>
              <w:numPr>
                <w:ilvl w:val="0"/>
                <w:numId w:val="131"/>
              </w:numPr>
              <w:spacing w:line="276" w:lineRule="auto"/>
            </w:pPr>
            <w:r>
              <w:t>učinak potencijalnog prekida funkcije na tržišta, infrastrukture, korisnike i javne usluge. Procjena može posebno uključivati učinak na likvidnost predmetnog tržišta, utjecaj i razmjer prekida na poslovanje korisnika i kratkoročne likvidnosne potrebe; zamjetljivost za druge ugovorne strane, korisnike i javnost; mogućnost i brzinu reakcije korisnika; važnost za funkcioniranje drugih tržišta; učinak na likvidnost, poslovanje, strukturu drugog tržišta; učinak na ugovorne strane povezane s glavnim korisnicima i međusobnu povezanost funkcije s drugim uslugama.</w:t>
            </w:r>
          </w:p>
          <w:p w14:paraId="7FE1BD59" w14:textId="77777777" w:rsidR="00393915" w:rsidRDefault="00393915">
            <w:pPr>
              <w:rPr>
                <w:rFonts w:ascii="Times New Roman" w:eastAsiaTheme="minorHAnsi" w:hAnsi="Times New Roman" w:cs="Times New Roman"/>
                <w:color w:val="000000" w:themeColor="text1"/>
                <w:sz w:val="20"/>
                <w:szCs w:val="20"/>
              </w:rPr>
            </w:pPr>
          </w:p>
        </w:tc>
      </w:tr>
      <w:tr w:rsidR="00393915" w14:paraId="7FE1BD5E" w14:textId="77777777">
        <w:tc>
          <w:tcPr>
            <w:tcW w:w="1080" w:type="dxa"/>
            <w:tcBorders>
              <w:top w:val="single" w:sz="4" w:space="0" w:color="1A171C"/>
              <w:left w:val="nil"/>
              <w:bottom w:val="single" w:sz="4" w:space="0" w:color="1A171C"/>
              <w:right w:val="single" w:sz="4" w:space="0" w:color="1A171C"/>
            </w:tcBorders>
            <w:vAlign w:val="center"/>
          </w:tcPr>
          <w:p w14:paraId="7FE1BD5B" w14:textId="77777777" w:rsidR="00393915" w:rsidRDefault="00F24D68">
            <w:pPr>
              <w:pStyle w:val="P68B1DB1-TableParagraph17"/>
              <w:spacing w:before="108"/>
              <w:ind w:left="85"/>
              <w:jc w:val="both"/>
            </w:pPr>
            <w:r>
              <w:lastRenderedPageBreak/>
              <w:t>0080 – 0100</w:t>
            </w:r>
          </w:p>
        </w:tc>
        <w:tc>
          <w:tcPr>
            <w:tcW w:w="8003" w:type="dxa"/>
            <w:tcBorders>
              <w:top w:val="single" w:sz="4" w:space="0" w:color="1A171C"/>
              <w:left w:val="single" w:sz="4" w:space="0" w:color="1A171C"/>
              <w:bottom w:val="single" w:sz="4" w:space="0" w:color="1A171C"/>
              <w:right w:val="nil"/>
            </w:tcBorders>
            <w:vAlign w:val="center"/>
          </w:tcPr>
          <w:p w14:paraId="7FE1BD5C" w14:textId="77777777" w:rsidR="00393915" w:rsidRDefault="00F24D68">
            <w:pPr>
              <w:pStyle w:val="P68B1DB1-Normal42"/>
              <w:rPr>
                <w:bCs/>
              </w:rPr>
            </w:pPr>
            <w:r>
              <w:t xml:space="preserve">Priroda i područje primjene </w:t>
            </w:r>
          </w:p>
          <w:p w14:paraId="7FE1BD5D" w14:textId="77777777" w:rsidR="00393915" w:rsidRDefault="00F24D68">
            <w:pPr>
              <w:pStyle w:val="P68B1DB1-Normal43"/>
            </w:pPr>
            <w:r>
              <w:t>Globalni, nacionalni ili regionalni doseg, obujam i broj transakcija; broj korisnika i ugovornih strana; broj korisnika za koje je institucija jedini ili glavni bankarski partner.</w:t>
            </w:r>
          </w:p>
        </w:tc>
      </w:tr>
      <w:tr w:rsidR="00393915" w14:paraId="7FE1BD65" w14:textId="77777777">
        <w:tc>
          <w:tcPr>
            <w:tcW w:w="1080" w:type="dxa"/>
            <w:tcBorders>
              <w:top w:val="single" w:sz="4" w:space="0" w:color="1A171C"/>
              <w:left w:val="nil"/>
              <w:bottom w:val="single" w:sz="4" w:space="0" w:color="1A171C"/>
              <w:right w:val="single" w:sz="4" w:space="0" w:color="1A171C"/>
            </w:tcBorders>
            <w:vAlign w:val="center"/>
          </w:tcPr>
          <w:p w14:paraId="7FE1BD5F" w14:textId="77777777" w:rsidR="00393915" w:rsidRDefault="00F24D68">
            <w:pPr>
              <w:pStyle w:val="P68B1DB1-TableParagraph17"/>
              <w:spacing w:before="108"/>
              <w:ind w:left="85"/>
              <w:jc w:val="both"/>
            </w:pPr>
            <w:r>
              <w:t>0080</w:t>
            </w:r>
          </w:p>
        </w:tc>
        <w:tc>
          <w:tcPr>
            <w:tcW w:w="8003" w:type="dxa"/>
            <w:tcBorders>
              <w:top w:val="single" w:sz="4" w:space="0" w:color="1A171C"/>
              <w:left w:val="single" w:sz="4" w:space="0" w:color="1A171C"/>
              <w:bottom w:val="single" w:sz="4" w:space="0" w:color="1A171C"/>
              <w:right w:val="nil"/>
            </w:tcBorders>
            <w:vAlign w:val="center"/>
          </w:tcPr>
          <w:p w14:paraId="7FE1BD60" w14:textId="77777777" w:rsidR="00393915" w:rsidRDefault="00F24D68">
            <w:pPr>
              <w:pStyle w:val="P68B1DB1-Normal42"/>
              <w:rPr>
                <w:bCs/>
              </w:rPr>
            </w:pPr>
            <w:r>
              <w:t>Pokazatelj veličine br. 1</w:t>
            </w:r>
          </w:p>
          <w:p w14:paraId="611DAB08" w14:textId="1E0503AD" w:rsidR="00393915" w:rsidRDefault="00F24D68">
            <w:pPr>
              <w:pStyle w:val="P68B1DB1-Normal31"/>
              <w:spacing w:line="276" w:lineRule="auto"/>
              <w:jc w:val="both"/>
            </w:pPr>
            <w:r>
              <w:t>Procijeniti koliko je banka važna u tim aktivnostima. Ta se procjena kvalitativno izražava kao „visoka”, „</w:t>
            </w:r>
            <w:r w:rsidR="005C10BD">
              <w:t>e</w:t>
            </w:r>
            <w:r>
              <w:t>srednj</w:t>
            </w:r>
            <w:r w:rsidR="005C10BD">
              <w:t>e</w:t>
            </w:r>
            <w:r>
              <w:t xml:space="preserve"> visoka”, „</w:t>
            </w:r>
            <w:r>
              <w:t>srednj</w:t>
            </w:r>
            <w:r w:rsidR="00296731">
              <w:t>e niska</w:t>
            </w:r>
            <w:r w:rsidR="00296731">
              <w:t>niska</w:t>
            </w:r>
            <w:r>
              <w:t xml:space="preserve"> </w:t>
            </w:r>
            <w:r>
              <w:t xml:space="preserve">” ili „niska”. </w:t>
            </w:r>
            <w:r w:rsidR="00C06D73">
              <w:t>Navesti „visoka” ako je veličina funkcije velika, „srednje visoka” ako je srednja, „srednje niska” ako je mala, i „niska” ako je zanemariva.</w:t>
            </w:r>
            <w:r>
              <w:t xml:space="preserve"> Kao referentnu vrijednost za tu kvalitativnu procjenu </w:t>
            </w:r>
            <w:r w:rsidR="009A0760" w:rsidRPr="009A0760">
              <w:t>koristiti makroekonomske varijable kao što su BDP, stanovništvo (za depozite, kreditiranje, plaćanja, gotovinu, namiru, usluge poravnanja i skrbništva) ili veličinu tržišta (za tržišta kapitala i financiranje institucionalnih ulagač</w:t>
            </w:r>
            <w:r w:rsidR="009A0760">
              <w:t>a</w:t>
            </w:r>
            <w:r w:rsidR="009A0760" w:rsidRPr="009A0760">
              <w:t>).</w:t>
            </w:r>
          </w:p>
          <w:p w14:paraId="7FE1BD61" w14:textId="0497CCAC" w:rsidR="00393915" w:rsidRDefault="00F24D68">
            <w:pPr>
              <w:pStyle w:val="P68B1DB1-Normal43"/>
            </w:pPr>
            <w:r>
              <w:t xml:space="preserve"> </w:t>
            </w:r>
          </w:p>
          <w:p w14:paraId="7FE1BD62" w14:textId="77777777" w:rsidR="00393915" w:rsidRDefault="00F24D68">
            <w:pPr>
              <w:pStyle w:val="P68B1DB1-ListParagraph32"/>
              <w:numPr>
                <w:ilvl w:val="0"/>
                <w:numId w:val="125"/>
              </w:numPr>
              <w:spacing w:line="276" w:lineRule="auto"/>
            </w:pPr>
            <w:r>
              <w:t xml:space="preserve">Stručna prosudba veličine vrijednosti bruto knjigovodstvene </w:t>
            </w:r>
            <w:r>
              <w:rPr>
                <w:b/>
              </w:rPr>
              <w:t>vrijednosti</w:t>
            </w:r>
            <w:r>
              <w:t xml:space="preserve"> institucije koja izvješćuje (c0030) iz </w:t>
            </w:r>
            <w:r>
              <w:rPr>
                <w:b/>
              </w:rPr>
              <w:t>globalne</w:t>
            </w:r>
            <w:r>
              <w:t xml:space="preserve"> perspektive [</w:t>
            </w:r>
            <w:r>
              <w:rPr>
                <w:i/>
              </w:rPr>
              <w:t>jedna razina viša od mjerodavnog tržišta. Ako je mjerodavno tržište globalno, veličina 1 postaje suvišna i o njoj se ne mora izvješćivati</w:t>
            </w:r>
            <w:r>
              <w:t>]</w:t>
            </w:r>
          </w:p>
          <w:p w14:paraId="7FE1BD63" w14:textId="3C6A96A7" w:rsidR="00393915" w:rsidRDefault="00653FE5">
            <w:pPr>
              <w:pStyle w:val="P68B1DB1-ListParagraph32"/>
              <w:numPr>
                <w:ilvl w:val="1"/>
                <w:numId w:val="125"/>
              </w:numPr>
              <w:spacing w:line="276" w:lineRule="auto"/>
            </w:pPr>
            <w:r>
              <w:t>Iz globalne perspektive, k</w:t>
            </w:r>
            <w:r>
              <w:t>k</w:t>
            </w:r>
            <w:r w:rsidR="00F24D68">
              <w:t>oliko</w:t>
            </w:r>
            <w:r w:rsidR="00F24D68">
              <w:t xml:space="preserve"> je, prema vašem mišljenju, </w:t>
            </w:r>
            <w:r w:rsidR="000D5A4F">
              <w:t xml:space="preserve">velika </w:t>
            </w:r>
            <w:r w:rsidR="00F24D68">
              <w:t>bruto knjigovodstvena vrijednost izvještajnog subjekta?</w:t>
            </w:r>
          </w:p>
          <w:p w14:paraId="7FE1BD64" w14:textId="77777777" w:rsidR="00393915" w:rsidRDefault="00393915">
            <w:pPr>
              <w:rPr>
                <w:rFonts w:ascii="Times New Roman" w:eastAsiaTheme="minorHAnsi" w:hAnsi="Times New Roman" w:cs="Times New Roman"/>
                <w:color w:val="000000" w:themeColor="text1"/>
                <w:sz w:val="20"/>
                <w:szCs w:val="20"/>
              </w:rPr>
            </w:pPr>
          </w:p>
        </w:tc>
      </w:tr>
      <w:tr w:rsidR="00393915" w14:paraId="7FE1BD6C" w14:textId="77777777">
        <w:tc>
          <w:tcPr>
            <w:tcW w:w="1080" w:type="dxa"/>
            <w:tcBorders>
              <w:top w:val="single" w:sz="4" w:space="0" w:color="1A171C"/>
              <w:left w:val="nil"/>
              <w:bottom w:val="single" w:sz="4" w:space="0" w:color="1A171C"/>
              <w:right w:val="single" w:sz="4" w:space="0" w:color="1A171C"/>
            </w:tcBorders>
            <w:vAlign w:val="center"/>
          </w:tcPr>
          <w:p w14:paraId="7FE1BD66" w14:textId="77777777" w:rsidR="00393915" w:rsidRDefault="00F24D68">
            <w:pPr>
              <w:pStyle w:val="P68B1DB1-TableParagraph17"/>
              <w:spacing w:before="108"/>
              <w:ind w:left="85"/>
              <w:jc w:val="both"/>
            </w:pPr>
            <w:r>
              <w:t>0090</w:t>
            </w:r>
          </w:p>
        </w:tc>
        <w:tc>
          <w:tcPr>
            <w:tcW w:w="8003" w:type="dxa"/>
            <w:tcBorders>
              <w:top w:val="single" w:sz="4" w:space="0" w:color="1A171C"/>
              <w:left w:val="single" w:sz="4" w:space="0" w:color="1A171C"/>
              <w:bottom w:val="single" w:sz="4" w:space="0" w:color="1A171C"/>
              <w:right w:val="nil"/>
            </w:tcBorders>
            <w:vAlign w:val="center"/>
          </w:tcPr>
          <w:p w14:paraId="7FE1BD67" w14:textId="77777777" w:rsidR="00393915" w:rsidRDefault="00F24D68">
            <w:pPr>
              <w:pStyle w:val="P68B1DB1-Normal42"/>
              <w:rPr>
                <w:bCs/>
              </w:rPr>
            </w:pPr>
            <w:r>
              <w:t>Pokazatelj veličine br. 2</w:t>
            </w:r>
          </w:p>
          <w:p w14:paraId="75C87AE7" w14:textId="2D81E2F1" w:rsidR="00393915" w:rsidRDefault="00F24D68">
            <w:pPr>
              <w:pStyle w:val="P68B1DB1-Normal31"/>
              <w:spacing w:line="276" w:lineRule="auto"/>
              <w:jc w:val="both"/>
            </w:pPr>
            <w:r>
              <w:t>Procijeniti koliko je banka važna u tim aktivnostima. Ta se procjena kvalitativno izražava kao „visoka”, „</w:t>
            </w:r>
            <w:r w:rsidR="005C10BD">
              <w:t>e</w:t>
            </w:r>
            <w:r w:rsidR="00C32E95">
              <w:t>„</w:t>
            </w:r>
            <w:r>
              <w:t>srednj</w:t>
            </w:r>
            <w:r w:rsidR="005C10BD">
              <w:t>e</w:t>
            </w:r>
            <w:r>
              <w:t xml:space="preserve"> </w:t>
            </w:r>
            <w:r w:rsidR="00C32E95">
              <w:t xml:space="preserve">niska ” ili „niska”. Navesti „visoka” ako je veličina funkcije velika, „srednje visoka” ako je srednja, „srednje niska” ako je mala, i „niska” ako je zanemariva. </w:t>
            </w:r>
            <w:r w:rsidR="00C32E95" w:rsidRPr="009A0760">
              <w:t>Kao referentnu vrijednost za tu kvalitativnu procjenu koristiti makroekonomske varijable kao što su BDP, stanovništvo (za depozite, kreditiranje, plaćanja, gotovinu, namiru, usluge poravnanja i skrbništva) ili veličinu tržišta (za tržišta kapitala i financiranje institucionalnih ulagač</w:t>
            </w:r>
            <w:r w:rsidR="00C32E95">
              <w:t>a</w:t>
            </w:r>
            <w:r w:rsidR="00C32E95" w:rsidRPr="009A0760">
              <w:t>).</w:t>
            </w:r>
            <w:r w:rsidR="00C32E95" w:rsidRPr="009A0760">
              <w:t>).</w:t>
            </w:r>
          </w:p>
          <w:p w14:paraId="7FE1BD68" w14:textId="10683EF9" w:rsidR="00393915" w:rsidRDefault="00F24D68">
            <w:pPr>
              <w:pStyle w:val="P68B1DB1-Normal43"/>
            </w:pPr>
            <w:r>
              <w:t xml:space="preserve"> </w:t>
            </w:r>
          </w:p>
          <w:p w14:paraId="7FE1BD69" w14:textId="77777777" w:rsidR="00393915" w:rsidRDefault="00F24D68">
            <w:pPr>
              <w:pStyle w:val="P68B1DB1-ListParagraph32"/>
              <w:numPr>
                <w:ilvl w:val="0"/>
                <w:numId w:val="119"/>
              </w:numPr>
              <w:spacing w:line="276" w:lineRule="auto"/>
            </w:pPr>
            <w:r>
              <w:t xml:space="preserve">Stručna prosudba o veličini </w:t>
            </w:r>
            <w:r>
              <w:rPr>
                <w:b/>
              </w:rPr>
              <w:t>broja</w:t>
            </w:r>
            <w:r>
              <w:t xml:space="preserve"> drugih ugovornih strana ili transakcija (c0040) iz </w:t>
            </w:r>
            <w:r>
              <w:rPr>
                <w:b/>
              </w:rPr>
              <w:t>nacionalne</w:t>
            </w:r>
            <w:r>
              <w:t xml:space="preserve"> perspektive</w:t>
            </w:r>
            <w:r>
              <w:rPr>
                <w:i/>
              </w:rPr>
              <w:t>[na razini mjerodavnog tržišta</w:t>
            </w:r>
            <w:r>
              <w:t>]:</w:t>
            </w:r>
          </w:p>
          <w:p w14:paraId="7FE1BD6A" w14:textId="6AEC0C11" w:rsidR="00393915" w:rsidRDefault="00F24D68">
            <w:pPr>
              <w:pStyle w:val="P68B1DB1-ListParagraph32"/>
              <w:numPr>
                <w:ilvl w:val="1"/>
                <w:numId w:val="119"/>
              </w:numPr>
              <w:spacing w:line="276" w:lineRule="auto"/>
            </w:pPr>
            <w:r>
              <w:t>Koliko je</w:t>
            </w:r>
            <w:r w:rsidR="00B634DB">
              <w:t>,</w:t>
            </w:r>
            <w:r>
              <w:t xml:space="preserve"> iz nacionalne perspektive</w:t>
            </w:r>
            <w:r w:rsidR="00B634DB">
              <w:t>,</w:t>
            </w:r>
            <w:r>
              <w:t xml:space="preserve"> </w:t>
            </w:r>
            <w:r w:rsidR="00B634DB">
              <w:t xml:space="preserve">velik </w:t>
            </w:r>
            <w:r>
              <w:t>broj drugih ugovornih strana u vašim institucijama?</w:t>
            </w:r>
          </w:p>
          <w:p w14:paraId="7FE1BD6B" w14:textId="77777777" w:rsidR="00393915" w:rsidRDefault="00393915">
            <w:pPr>
              <w:rPr>
                <w:rFonts w:ascii="Times New Roman" w:eastAsiaTheme="minorHAnsi" w:hAnsi="Times New Roman" w:cs="Times New Roman"/>
                <w:color w:val="000000" w:themeColor="text1"/>
                <w:sz w:val="20"/>
                <w:szCs w:val="20"/>
              </w:rPr>
            </w:pPr>
          </w:p>
        </w:tc>
      </w:tr>
      <w:tr w:rsidR="00393915" w14:paraId="7FE1BD73" w14:textId="77777777">
        <w:tc>
          <w:tcPr>
            <w:tcW w:w="1080" w:type="dxa"/>
            <w:tcBorders>
              <w:top w:val="single" w:sz="4" w:space="0" w:color="1A171C"/>
              <w:left w:val="nil"/>
              <w:bottom w:val="single" w:sz="4" w:space="0" w:color="1A171C"/>
              <w:right w:val="single" w:sz="4" w:space="0" w:color="1A171C"/>
            </w:tcBorders>
            <w:vAlign w:val="center"/>
          </w:tcPr>
          <w:p w14:paraId="7FE1BD6D" w14:textId="77777777" w:rsidR="00393915" w:rsidRDefault="00F24D68">
            <w:pPr>
              <w:pStyle w:val="P68B1DB1-TableParagraph17"/>
              <w:spacing w:before="108"/>
              <w:ind w:left="85"/>
              <w:jc w:val="both"/>
            </w:pPr>
            <w:r>
              <w:t>0100</w:t>
            </w:r>
          </w:p>
        </w:tc>
        <w:tc>
          <w:tcPr>
            <w:tcW w:w="8003" w:type="dxa"/>
            <w:tcBorders>
              <w:top w:val="single" w:sz="4" w:space="0" w:color="1A171C"/>
              <w:left w:val="single" w:sz="4" w:space="0" w:color="1A171C"/>
              <w:bottom w:val="single" w:sz="4" w:space="0" w:color="1A171C"/>
              <w:right w:val="nil"/>
            </w:tcBorders>
            <w:vAlign w:val="center"/>
          </w:tcPr>
          <w:p w14:paraId="7FE1BD6E" w14:textId="77777777" w:rsidR="00393915" w:rsidRDefault="00F24D68">
            <w:pPr>
              <w:pStyle w:val="P68B1DB1-Normal42"/>
              <w:rPr>
                <w:bCs/>
              </w:rPr>
            </w:pPr>
            <w:r>
              <w:t>Prekogranični pokazatelj</w:t>
            </w:r>
          </w:p>
          <w:p w14:paraId="7FE1BD6F" w14:textId="77777777" w:rsidR="00393915" w:rsidRDefault="00F24D68">
            <w:pPr>
              <w:pStyle w:val="P68B1DB1-Normal43"/>
            </w:pPr>
            <w:r>
              <w:t>Procijeniti relativnu važnost prekograničnih aktivnosti za različite gospodarske funkcije.</w:t>
            </w:r>
          </w:p>
          <w:p w14:paraId="7FE1BD70" w14:textId="77777777" w:rsidR="00393915" w:rsidRDefault="00F24D68">
            <w:pPr>
              <w:pStyle w:val="P68B1DB1-Normal43"/>
            </w:pPr>
            <w:r>
              <w:t xml:space="preserve">To nije potrebno ocjenjivati u slučaju izvješća u kojima se mjerodavno tržište smatra regionalnim. </w:t>
            </w:r>
          </w:p>
          <w:p w14:paraId="482F1D03" w14:textId="77777777" w:rsidR="00393915" w:rsidRDefault="00F24D68">
            <w:pPr>
              <w:pStyle w:val="P68B1DB1-ListParagraph32"/>
              <w:numPr>
                <w:ilvl w:val="0"/>
                <w:numId w:val="118"/>
              </w:numPr>
              <w:rPr>
                <w:i/>
                <w:iCs/>
              </w:rPr>
            </w:pPr>
            <w:r>
              <w:t>Udio u međudržavnoj aktivnosti izvještajnog subjekta kao postotak ukupne vrijednosti, izražen u bruto knjigovodstvenoj vrijednosti. Izvješće:</w:t>
            </w:r>
          </w:p>
          <w:p w14:paraId="7E6697A4" w14:textId="6A19AA3A" w:rsidR="00393915" w:rsidRDefault="00B634DB">
            <w:pPr>
              <w:pStyle w:val="P68B1DB1-ListParagraph32"/>
              <w:numPr>
                <w:ilvl w:val="1"/>
                <w:numId w:val="118"/>
              </w:numPr>
              <w:rPr>
                <w:i/>
                <w:iCs/>
              </w:rPr>
            </w:pPr>
            <w:r>
              <w:t xml:space="preserve">&lt; </w:t>
            </w:r>
            <w:r>
              <w:t>&lt;</w:t>
            </w:r>
            <w:r w:rsidR="00F24D68">
              <w:t xml:space="preserve"> </w:t>
            </w:r>
            <w:r w:rsidR="00F24D68">
              <w:t xml:space="preserve">5 %; </w:t>
            </w:r>
          </w:p>
          <w:p w14:paraId="30B91FAF" w14:textId="5CD6C33D" w:rsidR="00393915" w:rsidRDefault="00F24D68">
            <w:pPr>
              <w:pStyle w:val="P68B1DB1-ListParagraph32"/>
              <w:numPr>
                <w:ilvl w:val="1"/>
                <w:numId w:val="118"/>
              </w:numPr>
              <w:rPr>
                <w:i/>
                <w:iCs/>
              </w:rPr>
            </w:pPr>
            <w:r>
              <w:t xml:space="preserve">5 – 15 %; </w:t>
            </w:r>
          </w:p>
          <w:p w14:paraId="50353685" w14:textId="2995AD20" w:rsidR="00393915" w:rsidRDefault="00F24D68">
            <w:pPr>
              <w:pStyle w:val="P68B1DB1-ListParagraph32"/>
              <w:numPr>
                <w:ilvl w:val="1"/>
                <w:numId w:val="118"/>
              </w:numPr>
              <w:rPr>
                <w:i/>
                <w:iCs/>
              </w:rPr>
            </w:pPr>
            <w:r>
              <w:t xml:space="preserve">15 – 25 %, </w:t>
            </w:r>
          </w:p>
          <w:p w14:paraId="7FE1BD71" w14:textId="6E1F5AA5" w:rsidR="00393915" w:rsidRDefault="00F24D68">
            <w:pPr>
              <w:pStyle w:val="P68B1DB1-ListParagraph32"/>
              <w:numPr>
                <w:ilvl w:val="1"/>
                <w:numId w:val="118"/>
              </w:numPr>
              <w:rPr>
                <w:i/>
                <w:iCs/>
              </w:rPr>
            </w:pPr>
            <w:r>
              <w:t>&gt; 25 %.</w:t>
            </w:r>
          </w:p>
          <w:p w14:paraId="7FE1BD72" w14:textId="77777777" w:rsidR="00393915" w:rsidRDefault="00393915">
            <w:pPr>
              <w:rPr>
                <w:rFonts w:ascii="Times New Roman" w:eastAsiaTheme="minorHAnsi" w:hAnsi="Times New Roman" w:cs="Times New Roman"/>
                <w:color w:val="000000" w:themeColor="text1"/>
                <w:sz w:val="20"/>
                <w:szCs w:val="20"/>
              </w:rPr>
            </w:pPr>
          </w:p>
        </w:tc>
      </w:tr>
      <w:tr w:rsidR="00393915" w14:paraId="7FE1BD82" w14:textId="77777777">
        <w:tc>
          <w:tcPr>
            <w:tcW w:w="1080" w:type="dxa"/>
            <w:tcBorders>
              <w:top w:val="single" w:sz="4" w:space="0" w:color="1A171C"/>
              <w:left w:val="nil"/>
              <w:bottom w:val="single" w:sz="4" w:space="0" w:color="1A171C"/>
              <w:right w:val="single" w:sz="4" w:space="0" w:color="1A171C"/>
            </w:tcBorders>
            <w:vAlign w:val="center"/>
          </w:tcPr>
          <w:p w14:paraId="7FE1BD74" w14:textId="77777777" w:rsidR="00393915" w:rsidRDefault="00F24D68">
            <w:pPr>
              <w:pStyle w:val="P68B1DB1-TableParagraph17"/>
              <w:spacing w:before="108"/>
              <w:ind w:left="85"/>
              <w:jc w:val="both"/>
            </w:pPr>
            <w:r>
              <w:lastRenderedPageBreak/>
              <w:t>0110</w:t>
            </w:r>
          </w:p>
        </w:tc>
        <w:tc>
          <w:tcPr>
            <w:tcW w:w="8003" w:type="dxa"/>
            <w:tcBorders>
              <w:top w:val="single" w:sz="4" w:space="0" w:color="1A171C"/>
              <w:left w:val="single" w:sz="4" w:space="0" w:color="1A171C"/>
              <w:bottom w:val="single" w:sz="4" w:space="0" w:color="1A171C"/>
              <w:right w:val="nil"/>
            </w:tcBorders>
            <w:vAlign w:val="center"/>
          </w:tcPr>
          <w:p w14:paraId="7FE1BD75" w14:textId="77777777" w:rsidR="00393915" w:rsidRDefault="00F24D68">
            <w:pPr>
              <w:pStyle w:val="P68B1DB1-Normal42"/>
              <w:rPr>
                <w:bCs/>
              </w:rPr>
            </w:pPr>
            <w:r>
              <w:t xml:space="preserve">Važnost — </w:t>
            </w:r>
          </w:p>
          <w:p w14:paraId="7FE1BD76" w14:textId="77777777" w:rsidR="00393915" w:rsidRDefault="00F24D68">
            <w:pPr>
              <w:pStyle w:val="P68B1DB1-Normal43"/>
            </w:pPr>
            <w:r>
              <w:t>Na lokalnoj, regionalnoj, nacionalnoj ili europskoj razini, ovisno o predmetnom tržištu. Važnost institucije može se procijeniti na temelju tržišnog udjela, međusobne povezanosti, složenosti i prekograničnih aktivnosti.</w:t>
            </w:r>
          </w:p>
          <w:p w14:paraId="7FE1BD77" w14:textId="77777777" w:rsidR="00393915" w:rsidRDefault="00F24D68">
            <w:pPr>
              <w:pStyle w:val="P68B1DB1-Normal42"/>
              <w:rPr>
                <w:bCs/>
              </w:rPr>
            </w:pPr>
            <w:r>
              <w:t>Tržišni udio</w:t>
            </w:r>
          </w:p>
          <w:p w14:paraId="7FE1BD78" w14:textId="77777777" w:rsidR="00393915" w:rsidRDefault="00F24D68">
            <w:pPr>
              <w:pStyle w:val="P68B1DB1-Normal43"/>
            </w:pPr>
            <w:r>
              <w:t xml:space="preserve">Procijeniti koliko je važan tržišni udio subjekta koji izvješćuje, u usporedbi s nacionalnim ili drugim relevantnim tržištem, kako je navedeno u obrascu. Ta je procjena kvalitativno izražena kao </w:t>
            </w:r>
          </w:p>
          <w:p w14:paraId="7FE1BD79" w14:textId="49DBAA78" w:rsidR="00393915" w:rsidRDefault="003F40F6">
            <w:pPr>
              <w:pStyle w:val="P68B1DB1-ListParagraph38"/>
              <w:numPr>
                <w:ilvl w:val="0"/>
                <w:numId w:val="276"/>
              </w:numPr>
              <w:spacing w:line="276" w:lineRule="auto"/>
              <w:jc w:val="both"/>
            </w:pPr>
            <w:r>
              <w:t>v</w:t>
            </w:r>
            <w:r w:rsidR="00037CD9">
              <w:t>a</w:t>
            </w:r>
            <w:r>
              <w:t>v</w:t>
            </w:r>
            <w:r w:rsidR="00F24D68">
              <w:t>isok</w:t>
            </w:r>
            <w:r w:rsidR="00037CD9">
              <w:t>a</w:t>
            </w:r>
            <w:r w:rsidR="00F24D68">
              <w:t xml:space="preserve"> ako je tržišni udio velik</w:t>
            </w:r>
          </w:p>
          <w:p w14:paraId="7FE1BD7A" w14:textId="7D729890" w:rsidR="00393915" w:rsidRDefault="003F40F6">
            <w:pPr>
              <w:pStyle w:val="P68B1DB1-ListParagraph38"/>
              <w:numPr>
                <w:ilvl w:val="0"/>
                <w:numId w:val="276"/>
              </w:numPr>
              <w:spacing w:line="276" w:lineRule="auto"/>
              <w:jc w:val="both"/>
            </w:pPr>
            <w:r>
              <w:t>s</w:t>
            </w:r>
            <w:r w:rsidR="00037CD9">
              <w:t>a</w:t>
            </w:r>
            <w:r>
              <w:t>s</w:t>
            </w:r>
            <w:r w:rsidR="00F24D68">
              <w:t>rednje visok</w:t>
            </w:r>
            <w:r w:rsidR="00037CD9">
              <w:t>a</w:t>
            </w:r>
            <w:r w:rsidR="00F24D68">
              <w:t xml:space="preserve"> ako je tržišni udio srednje visok</w:t>
            </w:r>
          </w:p>
          <w:p w14:paraId="7FE1BD7B" w14:textId="18446803" w:rsidR="00393915" w:rsidRDefault="003F40F6">
            <w:pPr>
              <w:pStyle w:val="P68B1DB1-ListParagraph38"/>
              <w:numPr>
                <w:ilvl w:val="0"/>
                <w:numId w:val="276"/>
              </w:numPr>
              <w:spacing w:line="276" w:lineRule="auto"/>
              <w:jc w:val="both"/>
            </w:pPr>
            <w:r>
              <w:t>s</w:t>
            </w:r>
            <w:r w:rsidR="00037CD9">
              <w:t xml:space="preserve">rednje niska </w:t>
            </w:r>
            <w:r w:rsidR="00F24D68">
              <w:t xml:space="preserve">ako je tržišni udio malen ili </w:t>
            </w:r>
          </w:p>
          <w:p w14:paraId="7FE1BD7C" w14:textId="135701AD" w:rsidR="00393915" w:rsidRDefault="003F40F6">
            <w:pPr>
              <w:pStyle w:val="P68B1DB1-ListParagraph38"/>
              <w:numPr>
                <w:ilvl w:val="0"/>
                <w:numId w:val="276"/>
              </w:numPr>
              <w:spacing w:line="276" w:lineRule="auto"/>
              <w:jc w:val="both"/>
            </w:pPr>
            <w:r>
              <w:t>n</w:t>
            </w:r>
            <w:r w:rsidR="00A63838">
              <w:t xml:space="preserve">iska </w:t>
            </w:r>
            <w:r w:rsidR="00F24D68">
              <w:t xml:space="preserve">ako je tržišni udio zanemariv. </w:t>
            </w:r>
          </w:p>
          <w:p w14:paraId="7FE1BD7D" w14:textId="77777777" w:rsidR="00393915" w:rsidRDefault="00F24D68">
            <w:pPr>
              <w:pStyle w:val="P68B1DB1-Normal43"/>
            </w:pPr>
            <w:r>
              <w:t xml:space="preserve">Tom se procjenom uzima u obzir tržišna struktura zemlje izvještajnog subjekta (ili drugog mjerodavnog tržišta) i tržišni udjeli o kojima se izvješćuje djelomično. </w:t>
            </w:r>
          </w:p>
          <w:p w14:paraId="7FE1BD7E" w14:textId="77777777" w:rsidR="00393915" w:rsidRDefault="00F24D68">
            <w:pPr>
              <w:pStyle w:val="P68B1DB1-Normal43"/>
            </w:pPr>
            <w:r>
              <w:t>2.Kvantitativni podaci:</w:t>
            </w:r>
          </w:p>
          <w:p w14:paraId="7FE1BD7F" w14:textId="77777777" w:rsidR="00393915" w:rsidRDefault="00F24D68">
            <w:pPr>
              <w:pStyle w:val="P68B1DB1-ListParagraph32"/>
              <w:numPr>
                <w:ilvl w:val="0"/>
                <w:numId w:val="116"/>
              </w:numPr>
              <w:jc w:val="both"/>
              <w:rPr>
                <w:i/>
                <w:iCs/>
              </w:rPr>
            </w:pPr>
            <w:r>
              <w:t xml:space="preserve">Stručna prosudba o veličini </w:t>
            </w:r>
            <w:r>
              <w:rPr>
                <w:b/>
              </w:rPr>
              <w:t xml:space="preserve">nacionalnog </w:t>
            </w:r>
            <w:r>
              <w:t>tržišnog udjela (navedena u c0020, osim u slučajevima kada se izvješće dostavlja za različitu razinu mjerodavnog tržišta, u kojem se slučaju očekuje procjena relevantnog tržišnog udjela).</w:t>
            </w:r>
          </w:p>
          <w:p w14:paraId="7FE1BD80" w14:textId="77777777" w:rsidR="00393915" w:rsidRDefault="00393915">
            <w:pPr>
              <w:rPr>
                <w:rFonts w:ascii="Times New Roman" w:eastAsiaTheme="minorHAnsi" w:hAnsi="Times New Roman" w:cs="Times New Roman"/>
                <w:color w:val="000000" w:themeColor="text1"/>
                <w:sz w:val="20"/>
                <w:szCs w:val="20"/>
              </w:rPr>
            </w:pPr>
          </w:p>
          <w:p w14:paraId="7FE1BD81" w14:textId="77777777" w:rsidR="00393915" w:rsidRDefault="00393915">
            <w:pPr>
              <w:rPr>
                <w:rFonts w:ascii="Times New Roman" w:eastAsiaTheme="minorHAnsi" w:hAnsi="Times New Roman" w:cs="Times New Roman"/>
                <w:color w:val="000000" w:themeColor="text1"/>
                <w:sz w:val="20"/>
                <w:szCs w:val="20"/>
              </w:rPr>
            </w:pPr>
          </w:p>
        </w:tc>
      </w:tr>
      <w:tr w:rsidR="00393915" w14:paraId="7FE1BD8E" w14:textId="77777777">
        <w:tc>
          <w:tcPr>
            <w:tcW w:w="1080" w:type="dxa"/>
            <w:tcBorders>
              <w:top w:val="single" w:sz="4" w:space="0" w:color="1A171C"/>
              <w:left w:val="nil"/>
              <w:bottom w:val="single" w:sz="4" w:space="0" w:color="1A171C"/>
              <w:right w:val="single" w:sz="4" w:space="0" w:color="1A171C"/>
            </w:tcBorders>
            <w:vAlign w:val="center"/>
          </w:tcPr>
          <w:p w14:paraId="7FE1BD83" w14:textId="77777777" w:rsidR="00393915" w:rsidRDefault="00F24D68">
            <w:pPr>
              <w:pStyle w:val="P68B1DB1-TableParagraph17"/>
              <w:spacing w:before="108"/>
              <w:ind w:left="85"/>
              <w:jc w:val="both"/>
            </w:pPr>
            <w:r>
              <w:t>0120</w:t>
            </w:r>
          </w:p>
        </w:tc>
        <w:tc>
          <w:tcPr>
            <w:tcW w:w="8003" w:type="dxa"/>
            <w:tcBorders>
              <w:top w:val="single" w:sz="4" w:space="0" w:color="1A171C"/>
              <w:left w:val="single" w:sz="4" w:space="0" w:color="1A171C"/>
              <w:bottom w:val="single" w:sz="4" w:space="0" w:color="1A171C"/>
              <w:right w:val="nil"/>
            </w:tcBorders>
            <w:vAlign w:val="center"/>
          </w:tcPr>
          <w:p w14:paraId="7FE1BD84" w14:textId="77777777" w:rsidR="00393915" w:rsidRDefault="00F24D68">
            <w:pPr>
              <w:pStyle w:val="P68B1DB1-Normal42"/>
              <w:rPr>
                <w:bCs/>
              </w:rPr>
            </w:pPr>
            <w:r>
              <w:t>Struktura tržišta – koncentracija na tržištu</w:t>
            </w:r>
          </w:p>
          <w:p w14:paraId="7FE1BD85" w14:textId="77777777" w:rsidR="00393915" w:rsidRDefault="00F24D68">
            <w:pPr>
              <w:pStyle w:val="P68B1DB1-Normal43"/>
            </w:pPr>
            <w:r>
              <w:t xml:space="preserve">Koncentracija na tržištu, mjerena brojem konkurenata koji trenutačno posluju </w:t>
            </w:r>
          </w:p>
          <w:p w14:paraId="7FE1BD86" w14:textId="77777777" w:rsidR="00393915" w:rsidRDefault="00F24D68">
            <w:pPr>
              <w:pStyle w:val="P68B1DB1-Normal43"/>
            </w:pPr>
            <w:r>
              <w:t xml:space="preserve">slične gospodarske funkcije i/ili pružanje sličnih usluga pod jednakim uvjetima (tj. </w:t>
            </w:r>
          </w:p>
          <w:p w14:paraId="7FE1BD87" w14:textId="77777777" w:rsidR="00393915" w:rsidRDefault="00F24D68">
            <w:pPr>
              <w:pStyle w:val="P68B1DB1-Normal43"/>
            </w:pPr>
            <w:r>
              <w:t xml:space="preserve">usporediv opseg i kvaliteta te uz usporedive troškove) koji bi mogli preuzeti </w:t>
            </w:r>
          </w:p>
          <w:p w14:paraId="7FE1BD88" w14:textId="77777777" w:rsidR="00393915" w:rsidRDefault="00F24D68">
            <w:pPr>
              <w:pStyle w:val="P68B1DB1-Normal43"/>
            </w:pPr>
            <w:r>
              <w:t xml:space="preserve">(dio) klijenata i/ili poslovanja izvještajnog subjekta u razumnom roku. </w:t>
            </w:r>
          </w:p>
          <w:p w14:paraId="7FE1BD89" w14:textId="48268BCB" w:rsidR="00393915" w:rsidRDefault="00F24D68">
            <w:pPr>
              <w:pStyle w:val="P68B1DB1-Normal43"/>
            </w:pPr>
            <w:r>
              <w:t xml:space="preserve">To je potrebno iskazati u </w:t>
            </w:r>
            <w:r w:rsidR="008E1578">
              <w:t>kategorijama e</w:t>
            </w:r>
            <w:r>
              <w:t>koj</w:t>
            </w:r>
            <w:r w:rsidR="008E1578">
              <w:t>e</w:t>
            </w:r>
            <w:r>
              <w:t xml:space="preserve"> su </w:t>
            </w:r>
            <w:r w:rsidR="008E1578">
              <w:t>e</w:t>
            </w:r>
            <w:r>
              <w:t>jednak</w:t>
            </w:r>
            <w:r w:rsidR="008E1578">
              <w:t>e</w:t>
            </w:r>
            <w:r>
              <w:t xml:space="preserve"> za svaku podfunkciju</w:t>
            </w:r>
            <w:r w:rsidR="009310E9">
              <w:t>:</w:t>
            </w:r>
            <w:r w:rsidR="009310E9">
              <w:t>:</w:t>
            </w:r>
            <w:r>
              <w:t xml:space="preserve"> </w:t>
            </w:r>
          </w:p>
          <w:p w14:paraId="5A8DDF15" w14:textId="09CDBDB2" w:rsidR="00393915" w:rsidRDefault="00F24D68">
            <w:pPr>
              <w:pStyle w:val="P68B1DB1-ListParagraph32"/>
              <w:numPr>
                <w:ilvl w:val="0"/>
                <w:numId w:val="277"/>
              </w:numPr>
              <w:jc w:val="both"/>
            </w:pPr>
            <w:r>
              <w:t>&gt; 20 konkurenata</w:t>
            </w:r>
            <w:r w:rsidR="003922BD">
              <w:t>,</w:t>
            </w:r>
            <w:r w:rsidR="003922BD">
              <w:t>,</w:t>
            </w:r>
            <w:r>
              <w:t xml:space="preserve"> </w:t>
            </w:r>
          </w:p>
          <w:p w14:paraId="0FB3FECD" w14:textId="34F30C10" w:rsidR="00393915" w:rsidRDefault="00F24D68">
            <w:pPr>
              <w:pStyle w:val="P68B1DB1-ListParagraph32"/>
              <w:numPr>
                <w:ilvl w:val="0"/>
                <w:numId w:val="277"/>
              </w:numPr>
              <w:jc w:val="both"/>
            </w:pPr>
            <w:r>
              <w:t>11 – 20 konkurenata</w:t>
            </w:r>
            <w:r w:rsidR="003922BD">
              <w:t>,</w:t>
            </w:r>
            <w:r w:rsidR="003922BD">
              <w:t>,</w:t>
            </w:r>
            <w:r>
              <w:t xml:space="preserve"> </w:t>
            </w:r>
          </w:p>
          <w:p w14:paraId="0742AD9B" w14:textId="77777777" w:rsidR="00393915" w:rsidRDefault="00F24D68">
            <w:pPr>
              <w:pStyle w:val="P68B1DB1-ListParagraph32"/>
              <w:numPr>
                <w:ilvl w:val="0"/>
                <w:numId w:val="277"/>
              </w:numPr>
              <w:jc w:val="both"/>
            </w:pPr>
            <w:r>
              <w:t xml:space="preserve">5 – 10 konkurenata, </w:t>
            </w:r>
          </w:p>
          <w:p w14:paraId="240AD074" w14:textId="6B2296B4" w:rsidR="00393915" w:rsidRDefault="009310E9">
            <w:pPr>
              <w:pStyle w:val="P68B1DB1-ListParagraph32"/>
              <w:numPr>
                <w:ilvl w:val="0"/>
                <w:numId w:val="277"/>
              </w:numPr>
              <w:jc w:val="both"/>
              <w:rPr>
                <w:b/>
                <w:bCs/>
                <w:color w:val="000000" w:themeColor="text1"/>
              </w:rPr>
            </w:pPr>
            <w:r>
              <w:t>&lt;</w:t>
            </w:r>
            <w:r>
              <w:t>&lt;</w:t>
            </w:r>
            <w:r w:rsidR="00DD173D">
              <w:t xml:space="preserve"> </w:t>
            </w:r>
            <w:r w:rsidR="00F24D68">
              <w:t>5 konkurenti</w:t>
            </w:r>
            <w:r>
              <w:t>.</w:t>
            </w:r>
          </w:p>
          <w:p w14:paraId="7FE1BD8D" w14:textId="2F17E01A" w:rsidR="00393915" w:rsidRDefault="00393915">
            <w:pPr>
              <w:jc w:val="both"/>
              <w:rPr>
                <w:rFonts w:ascii="Times New Roman" w:hAnsi="Times New Roman"/>
                <w:color w:val="000000" w:themeColor="text1"/>
                <w:sz w:val="20"/>
                <w:szCs w:val="20"/>
              </w:rPr>
            </w:pPr>
          </w:p>
        </w:tc>
      </w:tr>
      <w:tr w:rsidR="00393915" w14:paraId="7FE1BD9C" w14:textId="77777777">
        <w:tc>
          <w:tcPr>
            <w:tcW w:w="1080" w:type="dxa"/>
            <w:tcBorders>
              <w:top w:val="single" w:sz="4" w:space="0" w:color="1A171C"/>
              <w:left w:val="nil"/>
              <w:bottom w:val="single" w:sz="4" w:space="0" w:color="1A171C"/>
              <w:right w:val="single" w:sz="4" w:space="0" w:color="1A171C"/>
            </w:tcBorders>
            <w:vAlign w:val="center"/>
          </w:tcPr>
          <w:p w14:paraId="7FE1BD8F" w14:textId="77777777" w:rsidR="00393915" w:rsidRDefault="00F24D68">
            <w:pPr>
              <w:pStyle w:val="P68B1DB1-TableParagraph17"/>
              <w:spacing w:before="108"/>
              <w:ind w:left="85"/>
              <w:jc w:val="both"/>
            </w:pPr>
            <w:r>
              <w:t>0130</w:t>
            </w:r>
          </w:p>
        </w:tc>
        <w:tc>
          <w:tcPr>
            <w:tcW w:w="8003" w:type="dxa"/>
            <w:tcBorders>
              <w:top w:val="single" w:sz="4" w:space="0" w:color="1A171C"/>
              <w:left w:val="single" w:sz="4" w:space="0" w:color="1A171C"/>
              <w:bottom w:val="single" w:sz="4" w:space="0" w:color="1A171C"/>
              <w:right w:val="nil"/>
            </w:tcBorders>
            <w:vAlign w:val="center"/>
          </w:tcPr>
          <w:p w14:paraId="7FE1BD90" w14:textId="3C6D107B" w:rsidR="00393915" w:rsidRDefault="004B6659">
            <w:pPr>
              <w:pStyle w:val="P68B1DB1-Normal42"/>
              <w:rPr>
                <w:bCs/>
              </w:rPr>
            </w:pPr>
            <w:r>
              <w:t xml:space="preserve">Vremenski okvir </w:t>
            </w:r>
            <w:r w:rsidR="00F24D68">
              <w:t xml:space="preserve">– </w:t>
            </w:r>
            <w:r w:rsidR="003625DA">
              <w:t>o</w:t>
            </w:r>
            <w:r w:rsidR="003625DA">
              <w:t>o</w:t>
            </w:r>
            <w:r w:rsidR="00F24D68">
              <w:t>čekivano</w:t>
            </w:r>
            <w:r w:rsidR="00F24D68">
              <w:t xml:space="preserve"> vrijeme zamjene</w:t>
            </w:r>
          </w:p>
          <w:p w14:paraId="7FE1BD91" w14:textId="3F1E0CD6" w:rsidR="00393915" w:rsidRDefault="00F24D68">
            <w:pPr>
              <w:pStyle w:val="P68B1DB1-Normal43"/>
            </w:pPr>
            <w:r>
              <w:t xml:space="preserve">Procijeniti vrijeme potrebno za obavljanje gospodarske funkcije </w:t>
            </w:r>
            <w:r w:rsidR="00626AC8">
              <w:t>izvještajnog</w:t>
            </w:r>
            <w:r w:rsidR="00626AC8">
              <w:t>izvještajnog</w:t>
            </w:r>
          </w:p>
          <w:p w14:paraId="7FE1BD92" w14:textId="51F58570" w:rsidR="00393915" w:rsidRDefault="00F24D68">
            <w:pPr>
              <w:pStyle w:val="P68B1DB1-Normal43"/>
            </w:pPr>
            <w:r>
              <w:t>subjekt</w:t>
            </w:r>
            <w:r w:rsidR="004B6659">
              <w:t>a</w:t>
            </w:r>
            <w:r>
              <w:t xml:space="preserve"> </w:t>
            </w:r>
            <w:r w:rsidR="00626AC8">
              <w:t>u</w:t>
            </w:r>
            <w:r>
              <w:t>koj</w:t>
            </w:r>
            <w:r w:rsidR="00626AC8">
              <w:t>u</w:t>
            </w:r>
            <w:r>
              <w:t xml:space="preserve"> će tržište apsorbirati u kriznoj situaciji</w:t>
            </w:r>
            <w:r w:rsidR="00CC2B4B">
              <w:t>,š</w:t>
            </w:r>
            <w:r w:rsidR="00CC2B4B">
              <w:t>,</w:t>
            </w:r>
            <w:r>
              <w:t xml:space="preserve"> </w:t>
            </w:r>
            <w:r w:rsidR="00CC2B4B">
              <w:t>š</w:t>
            </w:r>
            <w:r>
              <w:t>to</w:t>
            </w:r>
            <w:r>
              <w:t xml:space="preserve"> uključuje: </w:t>
            </w:r>
          </w:p>
          <w:p w14:paraId="7FE1BD93" w14:textId="77777777" w:rsidR="00393915" w:rsidRDefault="00F24D68">
            <w:pPr>
              <w:pStyle w:val="P68B1DB1-ListParagraph38"/>
              <w:numPr>
                <w:ilvl w:val="0"/>
                <w:numId w:val="274"/>
              </w:numPr>
              <w:jc w:val="both"/>
            </w:pPr>
            <w:r>
              <w:t xml:space="preserve">očekivano vrijeme koje je jednom konkurentu ili više njih potrebno za provedbu pravnih i tehničkih koraka za preuzimanje funkcije; kao i  </w:t>
            </w:r>
          </w:p>
          <w:p w14:paraId="7FE1BD94" w14:textId="77777777" w:rsidR="00393915" w:rsidRDefault="00F24D68">
            <w:pPr>
              <w:pStyle w:val="P68B1DB1-ListParagraph38"/>
              <w:numPr>
                <w:ilvl w:val="0"/>
                <w:numId w:val="274"/>
              </w:numPr>
              <w:jc w:val="both"/>
            </w:pPr>
            <w:r>
              <w:t xml:space="preserve">vrijeme koje je korisnicima usluge potrebno za prelazak na drugog pružatelja usluga. </w:t>
            </w:r>
          </w:p>
          <w:p w14:paraId="7FE1BD95" w14:textId="77777777" w:rsidR="00393915" w:rsidRDefault="00393915">
            <w:pPr>
              <w:rPr>
                <w:rFonts w:ascii="Times New Roman" w:eastAsiaTheme="minorHAnsi" w:hAnsi="Times New Roman" w:cs="Times New Roman"/>
                <w:color w:val="000000" w:themeColor="text1"/>
                <w:sz w:val="20"/>
                <w:szCs w:val="20"/>
              </w:rPr>
            </w:pPr>
          </w:p>
          <w:p w14:paraId="7FE1BD96" w14:textId="407E1DC7" w:rsidR="00393915" w:rsidRDefault="00F24D68">
            <w:pPr>
              <w:pStyle w:val="P68B1DB1-Normal43"/>
            </w:pPr>
            <w:r>
              <w:t xml:space="preserve">Kao </w:t>
            </w:r>
            <w:r w:rsidR="001C6FCC">
              <w:t>u</w:t>
            </w:r>
            <w:r>
              <w:t>zamjen</w:t>
            </w:r>
            <w:r w:rsidR="001C6FCC">
              <w:t>u</w:t>
            </w:r>
            <w:r>
              <w:t xml:space="preserve"> </w:t>
            </w:r>
            <w:r>
              <w:t xml:space="preserve">za prethodno navedeno, </w:t>
            </w:r>
            <w:r w:rsidR="001C6FCC">
              <w:t xml:space="preserve">navesti </w:t>
            </w:r>
            <w:r>
              <w:t>procjenu vremena koje bi izvještajnom subjektu trebalo da u svoje poslovanje (</w:t>
            </w:r>
            <w:r w:rsidR="00656B15">
              <w:t xml:space="preserve">njegov </w:t>
            </w:r>
            <w:r>
              <w:t xml:space="preserve">dio) apsorbira uslugu koju pruža druga institucija, uz razuman trošak, u kriznoj situaciji. </w:t>
            </w:r>
            <w:r w:rsidR="00656B15">
              <w:t>Navesti</w:t>
            </w:r>
            <w:r w:rsidR="00656B15">
              <w:t>Navesti</w:t>
            </w:r>
            <w:r>
              <w:t xml:space="preserve"> procijenjeno vrijeme potrebno za zamjenu u </w:t>
            </w:r>
            <w:r w:rsidR="00656B15">
              <w:t>vremenskim kategorijama</w:t>
            </w:r>
            <w:r w:rsidR="00656B15" w:rsidRPr="00656B15" w:rsidDel="00656B15">
              <w:t xml:space="preserve"> </w:t>
            </w:r>
            <w:r>
              <w:t>iz predloška:</w:t>
            </w:r>
          </w:p>
          <w:p w14:paraId="7FE1BD97" w14:textId="414927DF" w:rsidR="00393915" w:rsidRDefault="00656B15">
            <w:pPr>
              <w:pStyle w:val="P68B1DB1-Normal31"/>
            </w:pPr>
            <w:r w:rsidRPr="00656B15">
              <w:t>Vremenske kategorije</w:t>
            </w:r>
            <w:r w:rsidRPr="00656B15">
              <w:t>kategorije</w:t>
            </w:r>
            <w:r w:rsidR="00F24D68">
              <w:t xml:space="preserve">: </w:t>
            </w:r>
          </w:p>
          <w:p w14:paraId="7FE1BD98" w14:textId="2E8B61EA" w:rsidR="00393915" w:rsidRDefault="00F24D68">
            <w:pPr>
              <w:pStyle w:val="P68B1DB1-ListParagraph32"/>
              <w:numPr>
                <w:ilvl w:val="0"/>
                <w:numId w:val="287"/>
              </w:numPr>
            </w:pPr>
            <w:r>
              <w:t>≤ 1 dan</w:t>
            </w:r>
            <w:r w:rsidR="001E06A7">
              <w:t>,</w:t>
            </w:r>
            <w:r w:rsidR="001E06A7">
              <w:t>,</w:t>
            </w:r>
            <w:r>
              <w:t xml:space="preserve"> </w:t>
            </w:r>
          </w:p>
          <w:p w14:paraId="7FE1BD99" w14:textId="07CCFE77" w:rsidR="00393915" w:rsidRDefault="00F24D68">
            <w:pPr>
              <w:pStyle w:val="P68B1DB1-ListParagraph32"/>
              <w:numPr>
                <w:ilvl w:val="0"/>
                <w:numId w:val="287"/>
              </w:numPr>
            </w:pPr>
            <w:r>
              <w:t>1 dan – 1 tjedan</w:t>
            </w:r>
            <w:r w:rsidR="001E06A7">
              <w:t>,</w:t>
            </w:r>
            <w:r>
              <w:t xml:space="preserve"> </w:t>
            </w:r>
          </w:p>
          <w:p w14:paraId="7FE1BD9A" w14:textId="343827EC" w:rsidR="00393915" w:rsidRDefault="00F24D68">
            <w:pPr>
              <w:pStyle w:val="P68B1DB1-ListParagraph32"/>
              <w:numPr>
                <w:ilvl w:val="0"/>
                <w:numId w:val="287"/>
              </w:numPr>
            </w:pPr>
            <w:r>
              <w:t>&gt; 1 tjedan – 1 mjesec</w:t>
            </w:r>
            <w:r w:rsidR="001E06A7">
              <w:t>,</w:t>
            </w:r>
            <w:r w:rsidR="001E06A7">
              <w:t>,</w:t>
            </w:r>
            <w:r>
              <w:t xml:space="preserve"> </w:t>
            </w:r>
          </w:p>
          <w:p w14:paraId="7FE1BD9B" w14:textId="3CEE3934" w:rsidR="00393915" w:rsidRDefault="00F24D68">
            <w:pPr>
              <w:pStyle w:val="P68B1DB1-ListParagraph32"/>
              <w:numPr>
                <w:ilvl w:val="0"/>
                <w:numId w:val="287"/>
              </w:numPr>
              <w:rPr>
                <w:color w:val="000000" w:themeColor="text1"/>
              </w:rPr>
            </w:pPr>
            <w:r>
              <w:t>&gt; 1 mjesec</w:t>
            </w:r>
            <w:r w:rsidR="001E06A7">
              <w:t>.</w:t>
            </w:r>
          </w:p>
        </w:tc>
      </w:tr>
      <w:tr w:rsidR="00393915" w14:paraId="7FE1BD9F" w14:textId="77777777">
        <w:tc>
          <w:tcPr>
            <w:tcW w:w="1080" w:type="dxa"/>
            <w:tcBorders>
              <w:top w:val="single" w:sz="4" w:space="0" w:color="1A171C"/>
              <w:left w:val="nil"/>
              <w:bottom w:val="single" w:sz="4" w:space="0" w:color="1A171C"/>
              <w:right w:val="single" w:sz="4" w:space="0" w:color="1A171C"/>
            </w:tcBorders>
            <w:vAlign w:val="center"/>
          </w:tcPr>
          <w:p w14:paraId="7FE1BD9D" w14:textId="77777777" w:rsidR="00393915" w:rsidRDefault="00F24D68">
            <w:pPr>
              <w:pStyle w:val="P68B1DB1-TableParagraph17"/>
              <w:spacing w:before="108"/>
              <w:ind w:left="85"/>
              <w:jc w:val="both"/>
            </w:pPr>
            <w:r>
              <w:t>0140 – 0150</w:t>
            </w:r>
          </w:p>
        </w:tc>
        <w:tc>
          <w:tcPr>
            <w:tcW w:w="8003" w:type="dxa"/>
            <w:tcBorders>
              <w:top w:val="single" w:sz="4" w:space="0" w:color="1A171C"/>
              <w:left w:val="single" w:sz="4" w:space="0" w:color="1A171C"/>
              <w:bottom w:val="single" w:sz="4" w:space="0" w:color="1A171C"/>
              <w:right w:val="nil"/>
            </w:tcBorders>
            <w:vAlign w:val="center"/>
          </w:tcPr>
          <w:p w14:paraId="7FE1BD9E" w14:textId="77777777" w:rsidR="00393915" w:rsidRDefault="00F24D68">
            <w:pPr>
              <w:pStyle w:val="P68B1DB1-Normal42"/>
              <w:rPr>
                <w:bCs/>
              </w:rPr>
            </w:pPr>
            <w:r>
              <w:t>Mogućnost zamjene</w:t>
            </w:r>
          </w:p>
        </w:tc>
      </w:tr>
      <w:tr w:rsidR="00393915" w14:paraId="7FE1BDA9" w14:textId="77777777">
        <w:tc>
          <w:tcPr>
            <w:tcW w:w="1080" w:type="dxa"/>
            <w:tcBorders>
              <w:top w:val="single" w:sz="4" w:space="0" w:color="1A171C"/>
              <w:left w:val="nil"/>
              <w:bottom w:val="single" w:sz="4" w:space="0" w:color="1A171C"/>
              <w:right w:val="single" w:sz="4" w:space="0" w:color="1A171C"/>
            </w:tcBorders>
            <w:vAlign w:val="center"/>
          </w:tcPr>
          <w:p w14:paraId="7FE1BDA0" w14:textId="77777777" w:rsidR="00393915" w:rsidRDefault="00F24D68">
            <w:pPr>
              <w:pStyle w:val="P68B1DB1-TableParagraph17"/>
              <w:spacing w:before="108"/>
              <w:ind w:left="85"/>
              <w:jc w:val="both"/>
            </w:pPr>
            <w:r>
              <w:t>0140</w:t>
            </w:r>
          </w:p>
        </w:tc>
        <w:tc>
          <w:tcPr>
            <w:tcW w:w="8003" w:type="dxa"/>
            <w:tcBorders>
              <w:top w:val="single" w:sz="4" w:space="0" w:color="1A171C"/>
              <w:left w:val="single" w:sz="4" w:space="0" w:color="1A171C"/>
              <w:bottom w:val="single" w:sz="4" w:space="0" w:color="1A171C"/>
              <w:right w:val="nil"/>
            </w:tcBorders>
            <w:vAlign w:val="center"/>
          </w:tcPr>
          <w:p w14:paraId="7FE1BDA1" w14:textId="77777777" w:rsidR="00393915" w:rsidRDefault="00F24D68">
            <w:pPr>
              <w:pStyle w:val="P68B1DB1-Normal42"/>
              <w:rPr>
                <w:bCs/>
              </w:rPr>
            </w:pPr>
            <w:r>
              <w:t>Pravne prepreke ulasku na tržište ili širenju</w:t>
            </w:r>
          </w:p>
          <w:p w14:paraId="7FE1BDA2" w14:textId="77777777" w:rsidR="00393915" w:rsidRDefault="00393915">
            <w:pPr>
              <w:rPr>
                <w:rFonts w:ascii="Times New Roman" w:eastAsiaTheme="minorHAnsi" w:hAnsi="Times New Roman" w:cs="Times New Roman"/>
                <w:color w:val="000000" w:themeColor="text1"/>
                <w:sz w:val="20"/>
                <w:szCs w:val="20"/>
              </w:rPr>
            </w:pPr>
          </w:p>
          <w:p w14:paraId="7FE1BDA3" w14:textId="698077CE" w:rsidR="00393915" w:rsidRDefault="00F24D68">
            <w:pPr>
              <w:pStyle w:val="P68B1DB1-Normal43"/>
            </w:pPr>
            <w:r>
              <w:t xml:space="preserve">Pravne prepreke za konkurente da ponude uslugu. Pravni zahtjevi za obavljanje djelatnosti kreditnih institucija (npr. bankovne dozvole ili kapitalni zahtjevi) ne smatraju se nepremostivim </w:t>
            </w:r>
            <w:r>
              <w:lastRenderedPageBreak/>
              <w:t xml:space="preserve">preprekama u prisutnosti alternativnih pružatelja usluga. Ovaj se pokazatelj mora iskazati u </w:t>
            </w:r>
            <w:r w:rsidR="00111966">
              <w:t>kategorijama e</w:t>
            </w:r>
            <w:r>
              <w:t>koj</w:t>
            </w:r>
            <w:r w:rsidR="00111966">
              <w:t>e</w:t>
            </w:r>
            <w:r>
              <w:t xml:space="preserve"> su </w:t>
            </w:r>
            <w:r w:rsidR="00111966">
              <w:t>e</w:t>
            </w:r>
            <w:r>
              <w:t>ist</w:t>
            </w:r>
            <w:r w:rsidR="00111966">
              <w:t>e</w:t>
            </w:r>
            <w:r>
              <w:t xml:space="preserve"> za svaku podfunkciju: </w:t>
            </w:r>
          </w:p>
          <w:p w14:paraId="7FE1BDA4" w14:textId="5F64D555" w:rsidR="00393915" w:rsidRDefault="00F24D68">
            <w:pPr>
              <w:pStyle w:val="P68B1DB1-ListParagraph39"/>
              <w:numPr>
                <w:ilvl w:val="0"/>
                <w:numId w:val="275"/>
              </w:numPr>
              <w:jc w:val="both"/>
            </w:pPr>
            <w:r>
              <w:t xml:space="preserve">nema većih prepreka, </w:t>
            </w:r>
          </w:p>
          <w:p w14:paraId="7FE1BDA5" w14:textId="09B8D427" w:rsidR="00393915" w:rsidRDefault="00F24D68">
            <w:pPr>
              <w:pStyle w:val="P68B1DB1-ListParagraph39"/>
              <w:numPr>
                <w:ilvl w:val="0"/>
                <w:numId w:val="275"/>
              </w:numPr>
              <w:jc w:val="both"/>
            </w:pPr>
            <w:r>
              <w:t xml:space="preserve">neke prepreke, </w:t>
            </w:r>
          </w:p>
          <w:p w14:paraId="7FE1BDA6" w14:textId="60C8D1B2" w:rsidR="00393915" w:rsidRDefault="00F24D68">
            <w:pPr>
              <w:pStyle w:val="P68B1DB1-ListParagraph39"/>
              <w:numPr>
                <w:ilvl w:val="0"/>
                <w:numId w:val="275"/>
              </w:numPr>
              <w:jc w:val="both"/>
            </w:pPr>
            <w:r>
              <w:t xml:space="preserve">znatne (ali </w:t>
            </w:r>
            <w:r w:rsidR="007E4D10">
              <w:t>prepreke</w:t>
            </w:r>
            <w:r>
              <w:t xml:space="preserve">premostive) </w:t>
            </w:r>
            <w:r w:rsidR="007E4D10">
              <w:t>prepreke</w:t>
            </w:r>
            <w:r>
              <w:t xml:space="preserve">, </w:t>
            </w:r>
          </w:p>
          <w:p w14:paraId="7FE1BDA8" w14:textId="122B6532" w:rsidR="00393915" w:rsidRDefault="00F24D68">
            <w:pPr>
              <w:pStyle w:val="P68B1DB1-ListParagraph8"/>
              <w:numPr>
                <w:ilvl w:val="0"/>
                <w:numId w:val="275"/>
              </w:numPr>
              <w:jc w:val="both"/>
              <w:rPr>
                <w:rFonts w:eastAsiaTheme="minorHAnsi"/>
              </w:rPr>
            </w:pPr>
            <w:r>
              <w:t xml:space="preserve">kritične (teško </w:t>
            </w:r>
            <w:r w:rsidR="007E4D10">
              <w:t>premostiveprepreke</w:t>
            </w:r>
            <w:r w:rsidR="007E4D10">
              <w:t>premostive</w:t>
            </w:r>
            <w:r>
              <w:t xml:space="preserve">) </w:t>
            </w:r>
            <w:r w:rsidR="007E4D10">
              <w:t>prepreke</w:t>
            </w:r>
            <w:r>
              <w:t>.</w:t>
            </w:r>
          </w:p>
        </w:tc>
      </w:tr>
      <w:tr w:rsidR="00393915" w14:paraId="7FE1BDB4" w14:textId="77777777">
        <w:tc>
          <w:tcPr>
            <w:tcW w:w="1080" w:type="dxa"/>
            <w:tcBorders>
              <w:top w:val="single" w:sz="4" w:space="0" w:color="1A171C"/>
              <w:left w:val="nil"/>
              <w:bottom w:val="single" w:sz="4" w:space="0" w:color="1A171C"/>
              <w:right w:val="single" w:sz="4" w:space="0" w:color="1A171C"/>
            </w:tcBorders>
            <w:vAlign w:val="center"/>
          </w:tcPr>
          <w:p w14:paraId="7FE1BDAA" w14:textId="77777777" w:rsidR="00393915" w:rsidRDefault="00F24D68">
            <w:pPr>
              <w:pStyle w:val="P68B1DB1-TableParagraph17"/>
              <w:spacing w:before="108"/>
              <w:ind w:left="85"/>
              <w:jc w:val="both"/>
            </w:pPr>
            <w:r>
              <w:lastRenderedPageBreak/>
              <w:t>0150</w:t>
            </w:r>
          </w:p>
        </w:tc>
        <w:tc>
          <w:tcPr>
            <w:tcW w:w="8003" w:type="dxa"/>
            <w:tcBorders>
              <w:top w:val="single" w:sz="4" w:space="0" w:color="1A171C"/>
              <w:left w:val="single" w:sz="4" w:space="0" w:color="1A171C"/>
              <w:bottom w:val="single" w:sz="4" w:space="0" w:color="1A171C"/>
              <w:right w:val="nil"/>
            </w:tcBorders>
            <w:vAlign w:val="center"/>
          </w:tcPr>
          <w:p w14:paraId="7FE1BDAB" w14:textId="77777777" w:rsidR="00393915" w:rsidRDefault="00F24D68">
            <w:pPr>
              <w:pStyle w:val="P68B1DB1-Normal42"/>
              <w:rPr>
                <w:bCs/>
              </w:rPr>
            </w:pPr>
            <w:r>
              <w:t>Operativni zahtjevi za ulazak ili proširenje</w:t>
            </w:r>
          </w:p>
          <w:p w14:paraId="7FE1BDAC" w14:textId="77777777" w:rsidR="00393915" w:rsidRDefault="00393915">
            <w:pPr>
              <w:rPr>
                <w:rFonts w:ascii="Times New Roman" w:eastAsiaTheme="minorHAnsi" w:hAnsi="Times New Roman" w:cs="Times New Roman"/>
                <w:color w:val="000000" w:themeColor="text1"/>
                <w:sz w:val="20"/>
                <w:szCs w:val="20"/>
              </w:rPr>
            </w:pPr>
          </w:p>
          <w:p w14:paraId="7FE1BDAD" w14:textId="130EC7BC" w:rsidR="00393915" w:rsidRDefault="00F24D68">
            <w:pPr>
              <w:pStyle w:val="P68B1DB1-Normal43"/>
            </w:pPr>
            <w:r>
              <w:t xml:space="preserve">Organizacijski, tehnički i infrastrukturni zahtjevi za konkurente za pružanje usluge. Zbog ponude usluga povezanih s (pod)funkcijom pružatelji moraju ulagati u (novu ili dodatnu) infrastrukturu ili izmijeniti svoje organizacije. Procijeniti sposobnost tržišta da apsorbira određeno poslovanje, primjerice u smislu kapitalnih zahtjeva. </w:t>
            </w:r>
          </w:p>
          <w:p w14:paraId="7FE1BDAE" w14:textId="32D8D9AF" w:rsidR="00393915" w:rsidRDefault="00F24D68">
            <w:pPr>
              <w:pStyle w:val="P68B1DB1-Normal43"/>
            </w:pPr>
            <w:r>
              <w:t xml:space="preserve">Ovaj se pokazatelj mora iskazati u </w:t>
            </w:r>
            <w:r w:rsidR="00FA0CE8">
              <w:t>kategorijama e</w:t>
            </w:r>
            <w:r>
              <w:t>koj</w:t>
            </w:r>
            <w:r w:rsidR="00FA0CE8">
              <w:t>e</w:t>
            </w:r>
            <w:r>
              <w:t xml:space="preserve"> su </w:t>
            </w:r>
            <w:r w:rsidR="00FA0CE8">
              <w:t>e</w:t>
            </w:r>
            <w:r>
              <w:t>ist</w:t>
            </w:r>
            <w:r w:rsidR="00FA0CE8">
              <w:t>e</w:t>
            </w:r>
            <w:r>
              <w:t xml:space="preserve"> za svaku podfunkciju: </w:t>
            </w:r>
          </w:p>
          <w:p w14:paraId="7FE1BDAF" w14:textId="39113051" w:rsidR="00393915" w:rsidRDefault="00F24D68">
            <w:pPr>
              <w:pStyle w:val="P68B1DB1-ListParagraph38"/>
              <w:numPr>
                <w:ilvl w:val="0"/>
                <w:numId w:val="278"/>
              </w:numPr>
              <w:jc w:val="both"/>
            </w:pPr>
            <w:r>
              <w:t xml:space="preserve">nema većih zahtjeva, </w:t>
            </w:r>
          </w:p>
          <w:p w14:paraId="7FE1BDB0" w14:textId="22EE346B" w:rsidR="00393915" w:rsidRDefault="00FA0CE8">
            <w:pPr>
              <w:pStyle w:val="P68B1DB1-ListParagraph38"/>
              <w:numPr>
                <w:ilvl w:val="0"/>
                <w:numId w:val="278"/>
              </w:numPr>
              <w:jc w:val="both"/>
            </w:pPr>
            <w:r>
              <w:t>ii</w:t>
            </w:r>
            <w:r w:rsidR="00F24D68">
              <w:t>nek</w:t>
            </w:r>
            <w:r>
              <w:t>i</w:t>
            </w:r>
            <w:r w:rsidR="00F24D68">
              <w:t xml:space="preserve"> zahtjev</w:t>
            </w:r>
            <w:r>
              <w:t>i</w:t>
            </w:r>
            <w:r w:rsidR="00F24D68">
              <w:t xml:space="preserve">, </w:t>
            </w:r>
          </w:p>
          <w:p w14:paraId="7FE1BDB1" w14:textId="275DBAB9" w:rsidR="00393915" w:rsidRDefault="00F24D68">
            <w:pPr>
              <w:pStyle w:val="P68B1DB1-ListParagraph38"/>
              <w:numPr>
                <w:ilvl w:val="0"/>
                <w:numId w:val="278"/>
              </w:numPr>
              <w:jc w:val="both"/>
            </w:pPr>
            <w:r>
              <w:t xml:space="preserve">značajni (ali </w:t>
            </w:r>
            <w:r w:rsidR="00FA0CE8">
              <w:t>premostivi</w:t>
            </w:r>
            <w:r w:rsidR="00FA0CE8">
              <w:t>premostivi</w:t>
            </w:r>
            <w:r>
              <w:t xml:space="preserve">) zahtjevi, </w:t>
            </w:r>
          </w:p>
          <w:p w14:paraId="7FE1BDB2" w14:textId="5DF1C144" w:rsidR="00393915" w:rsidRDefault="00F24D68">
            <w:pPr>
              <w:pStyle w:val="P68B1DB1-ListParagraph38"/>
              <w:numPr>
                <w:ilvl w:val="0"/>
                <w:numId w:val="278"/>
              </w:numPr>
              <w:jc w:val="both"/>
            </w:pPr>
            <w:r>
              <w:t>kritični (</w:t>
            </w:r>
            <w:r w:rsidR="00FA0CE8">
              <w:t>o</w:t>
            </w:r>
            <w:r>
              <w:t>tešk</w:t>
            </w:r>
            <w:r w:rsidR="00FA0CE8">
              <w:t>o</w:t>
            </w:r>
            <w:r w:rsidR="00FA0CE8">
              <w:t xml:space="preserve"> premostivi</w:t>
            </w:r>
            <w:r>
              <w:t>) zahtjevi.</w:t>
            </w:r>
          </w:p>
          <w:p w14:paraId="7FE1BDB3" w14:textId="77777777" w:rsidR="00393915" w:rsidRDefault="00393915">
            <w:pPr>
              <w:rPr>
                <w:rFonts w:ascii="Times New Roman" w:eastAsiaTheme="minorHAnsi" w:hAnsi="Times New Roman" w:cs="Times New Roman"/>
                <w:color w:val="000000" w:themeColor="text1"/>
                <w:sz w:val="20"/>
                <w:szCs w:val="20"/>
              </w:rPr>
            </w:pPr>
          </w:p>
        </w:tc>
      </w:tr>
      <w:tr w:rsidR="00393915" w14:paraId="7FE1BDB7" w14:textId="77777777">
        <w:tc>
          <w:tcPr>
            <w:tcW w:w="1080" w:type="dxa"/>
            <w:tcBorders>
              <w:top w:val="single" w:sz="4" w:space="0" w:color="1A171C"/>
              <w:left w:val="nil"/>
              <w:bottom w:val="single" w:sz="4" w:space="0" w:color="1A171C"/>
              <w:right w:val="single" w:sz="4" w:space="0" w:color="1A171C"/>
            </w:tcBorders>
            <w:vAlign w:val="center"/>
          </w:tcPr>
          <w:p w14:paraId="7FE1BDB5" w14:textId="77777777" w:rsidR="00393915" w:rsidRDefault="00F24D68">
            <w:pPr>
              <w:pStyle w:val="P68B1DB1-TableParagraph17"/>
              <w:spacing w:before="108"/>
              <w:ind w:left="85"/>
              <w:jc w:val="both"/>
            </w:pPr>
            <w:r>
              <w:t>0160 – 0180</w:t>
            </w:r>
          </w:p>
        </w:tc>
        <w:tc>
          <w:tcPr>
            <w:tcW w:w="8003" w:type="dxa"/>
            <w:tcBorders>
              <w:top w:val="single" w:sz="4" w:space="0" w:color="1A171C"/>
              <w:left w:val="single" w:sz="4" w:space="0" w:color="1A171C"/>
              <w:bottom w:val="single" w:sz="4" w:space="0" w:color="1A171C"/>
              <w:right w:val="nil"/>
            </w:tcBorders>
            <w:vAlign w:val="center"/>
          </w:tcPr>
          <w:p w14:paraId="7FE1BDB6" w14:textId="77777777" w:rsidR="00393915" w:rsidRDefault="00F24D68">
            <w:pPr>
              <w:pStyle w:val="P68B1DB1-Normal42"/>
              <w:rPr>
                <w:bCs/>
              </w:rPr>
            </w:pPr>
            <w:r>
              <w:t>Procjena ključnog statusa</w:t>
            </w:r>
          </w:p>
        </w:tc>
      </w:tr>
      <w:tr w:rsidR="00393915" w14:paraId="7FE1BDBD" w14:textId="77777777">
        <w:tc>
          <w:tcPr>
            <w:tcW w:w="1080" w:type="dxa"/>
            <w:tcBorders>
              <w:top w:val="single" w:sz="4" w:space="0" w:color="1A171C"/>
              <w:left w:val="nil"/>
              <w:bottom w:val="single" w:sz="4" w:space="0" w:color="1A171C"/>
              <w:right w:val="single" w:sz="4" w:space="0" w:color="1A171C"/>
            </w:tcBorders>
            <w:vAlign w:val="center"/>
          </w:tcPr>
          <w:p w14:paraId="7FE1BDB8" w14:textId="77777777" w:rsidR="00393915" w:rsidRDefault="00F24D68">
            <w:pPr>
              <w:pStyle w:val="P68B1DB1-TableParagraph17"/>
              <w:spacing w:before="108"/>
              <w:ind w:left="85"/>
              <w:jc w:val="both"/>
            </w:pPr>
            <w:r>
              <w:t>0160</w:t>
            </w:r>
          </w:p>
        </w:tc>
        <w:tc>
          <w:tcPr>
            <w:tcW w:w="8003" w:type="dxa"/>
            <w:tcBorders>
              <w:top w:val="single" w:sz="4" w:space="0" w:color="1A171C"/>
              <w:left w:val="single" w:sz="4" w:space="0" w:color="1A171C"/>
              <w:bottom w:val="single" w:sz="4" w:space="0" w:color="1A171C"/>
              <w:right w:val="nil"/>
            </w:tcBorders>
            <w:vAlign w:val="center"/>
          </w:tcPr>
          <w:p w14:paraId="7FE1BDB9" w14:textId="77777777" w:rsidR="00393915" w:rsidRDefault="00F24D68">
            <w:pPr>
              <w:pStyle w:val="P68B1DB1-Normal42"/>
              <w:rPr>
                <w:bCs/>
              </w:rPr>
            </w:pPr>
            <w:r>
              <w:t xml:space="preserve">Učinak na tržište </w:t>
            </w:r>
          </w:p>
          <w:p w14:paraId="7FE1BDBA" w14:textId="77777777" w:rsidR="00393915" w:rsidRDefault="00F24D68">
            <w:pPr>
              <w:pStyle w:val="P68B1DB1-Normal43"/>
            </w:pPr>
            <w:r>
              <w:t>Procijenjeni učinak naglog obustavljanja funkcije na treće strane, financijska tržišta i realno gospodarstvo, uzimajući u obzir veličinu, tržišni udio u zemlji, vanjske i unutarnje međusobne povezanosti, složenost i prekograničnu aktivnosti institucije.</w:t>
            </w:r>
          </w:p>
          <w:p w14:paraId="7FE1BDBB" w14:textId="26AC665D" w:rsidR="00393915" w:rsidRDefault="00F24D68">
            <w:pPr>
              <w:pStyle w:val="P68B1DB1-Normal43"/>
            </w:pPr>
            <w:r>
              <w:t>Ta procjena izražava se kvalitativno kao „visok”, „srednje visok”, „srednje nizak” ili „nizak”.</w:t>
            </w:r>
          </w:p>
          <w:p w14:paraId="7FE1BDBC" w14:textId="0D05374F" w:rsidR="00393915" w:rsidRDefault="00F24D68">
            <w:pPr>
              <w:pStyle w:val="P68B1DB1-Normal43"/>
            </w:pPr>
            <w:r>
              <w:t>„</w:t>
            </w:r>
            <w:r w:rsidR="00592669">
              <w:t>Visok</w:t>
            </w:r>
            <w:r w:rsidR="00592669" w:rsidDel="00592669">
              <w:t xml:space="preserve"> </w:t>
            </w:r>
            <w:r>
              <w:t>” se odabire ako je obustavljanje imalo velik učinak na nacionalno tržište, „</w:t>
            </w:r>
            <w:r w:rsidR="00592669">
              <w:t>srednje visok</w:t>
            </w:r>
            <w:r w:rsidR="00592669" w:rsidDel="00592669">
              <w:t xml:space="preserve"> </w:t>
            </w:r>
            <w:r>
              <w:t>” ako je učinak znatan, „</w:t>
            </w:r>
            <w:r w:rsidR="00592669">
              <w:t>srednje nizak</w:t>
            </w:r>
            <w:r w:rsidR="00592669" w:rsidDel="00592669">
              <w:t xml:space="preserve"> </w:t>
            </w:r>
            <w:r>
              <w:t>” ako je učinak znatan, ali ograničen i „</w:t>
            </w:r>
            <w:r w:rsidR="00592669">
              <w:t>nizak</w:t>
            </w:r>
            <w:r w:rsidR="00592669" w:rsidDel="00592669">
              <w:t xml:space="preserve"> </w:t>
            </w:r>
            <w:r>
              <w:t>” ako je učinak nizak.</w:t>
            </w:r>
          </w:p>
        </w:tc>
      </w:tr>
      <w:tr w:rsidR="00393915" w14:paraId="7FE1BDCA" w14:textId="77777777">
        <w:tc>
          <w:tcPr>
            <w:tcW w:w="1080" w:type="dxa"/>
            <w:tcBorders>
              <w:top w:val="single" w:sz="4" w:space="0" w:color="1A171C"/>
              <w:left w:val="nil"/>
              <w:bottom w:val="single" w:sz="4" w:space="0" w:color="1A171C"/>
              <w:right w:val="single" w:sz="4" w:space="0" w:color="1A171C"/>
            </w:tcBorders>
            <w:vAlign w:val="center"/>
          </w:tcPr>
          <w:p w14:paraId="7FE1BDBE" w14:textId="77777777" w:rsidR="00393915" w:rsidRDefault="00F24D68">
            <w:pPr>
              <w:pStyle w:val="P68B1DB1-TableParagraph17"/>
              <w:spacing w:before="108"/>
              <w:ind w:left="85"/>
              <w:jc w:val="both"/>
            </w:pPr>
            <w:r>
              <w:t>0170</w:t>
            </w:r>
          </w:p>
        </w:tc>
        <w:tc>
          <w:tcPr>
            <w:tcW w:w="8003" w:type="dxa"/>
            <w:tcBorders>
              <w:top w:val="single" w:sz="4" w:space="0" w:color="1A171C"/>
              <w:left w:val="single" w:sz="4" w:space="0" w:color="1A171C"/>
              <w:bottom w:val="single" w:sz="4" w:space="0" w:color="1A171C"/>
              <w:right w:val="nil"/>
            </w:tcBorders>
            <w:vAlign w:val="center"/>
          </w:tcPr>
          <w:p w14:paraId="7FE1BDBF" w14:textId="77777777" w:rsidR="00393915" w:rsidRDefault="00F24D68">
            <w:pPr>
              <w:pStyle w:val="P68B1DB1-Normal42"/>
              <w:rPr>
                <w:bCs/>
              </w:rPr>
            </w:pPr>
            <w:r>
              <w:t>Zamjenjivost</w:t>
            </w:r>
          </w:p>
          <w:p w14:paraId="7FE1BDC0" w14:textId="77777777" w:rsidR="00393915" w:rsidRDefault="00F24D68">
            <w:pPr>
              <w:pStyle w:val="P68B1DB1-Normal43"/>
            </w:pPr>
            <w:r>
              <w:t>Članak 6. stavak 3. Delegirane uredbe (EU) 2016/778.</w:t>
            </w:r>
          </w:p>
          <w:p w14:paraId="7FE1BDC1" w14:textId="77777777" w:rsidR="00393915" w:rsidRDefault="00F24D68">
            <w:pPr>
              <w:pStyle w:val="P68B1DB1-Normal43"/>
            </w:pPr>
            <w:r>
              <w:t>Funkcija se smatra zamjenjivom ako ju je moguće na prihvatljiv način i unutar razumnog roka zamijeniti te time izbjeći sistemske probleme za realno gospodarstvo i financijska tržišta. Pri tom se u obzir uzimaju sljedeći kriteriji:</w:t>
            </w:r>
          </w:p>
          <w:p w14:paraId="7FE1BDC2" w14:textId="77777777" w:rsidR="00393915" w:rsidRDefault="00F24D68">
            <w:pPr>
              <w:pStyle w:val="P68B1DB1-Normal43"/>
            </w:pPr>
            <w:r>
              <w:t xml:space="preserve">(a) struktura tržišta za tu funkciju i dostupnost zamjenskih pružatelja usluga; </w:t>
            </w:r>
          </w:p>
          <w:p w14:paraId="7FE1BDC3" w14:textId="2A73485A" w:rsidR="00393915" w:rsidRDefault="00F24D68">
            <w:pPr>
              <w:pStyle w:val="P68B1DB1-Normal43"/>
            </w:pPr>
            <w:r>
              <w:t xml:space="preserve">(b) sposobnost drugih pružatelja usluga u smislu kapaciteta, </w:t>
            </w:r>
            <w:r w:rsidR="002D6AA0">
              <w:t>a</w:t>
            </w:r>
            <w:r>
              <w:t>zahtjev</w:t>
            </w:r>
            <w:r w:rsidR="002D6AA0">
              <w:t>a</w:t>
            </w:r>
            <w:r>
              <w:t xml:space="preserve"> za obavljanje funkcije te </w:t>
            </w:r>
            <w:r w:rsidR="002D6AA0">
              <w:t>iha</w:t>
            </w:r>
            <w:r>
              <w:t>potencijaln</w:t>
            </w:r>
            <w:r w:rsidR="002D6AA0">
              <w:t>ih</w:t>
            </w:r>
            <w:r>
              <w:t xml:space="preserve"> preprek</w:t>
            </w:r>
            <w:r w:rsidR="002D6AA0">
              <w:t>a</w:t>
            </w:r>
            <w:r>
              <w:t xml:space="preserve"> za ulazak </w:t>
            </w:r>
            <w:r w:rsidR="001F6193">
              <w:t xml:space="preserve">na tržište </w:t>
            </w:r>
            <w:r>
              <w:t xml:space="preserve">ili širenje; </w:t>
            </w:r>
          </w:p>
          <w:p w14:paraId="7FE1BDC4" w14:textId="77777777" w:rsidR="00393915" w:rsidRDefault="00F24D68">
            <w:pPr>
              <w:pStyle w:val="P68B1DB1-Normal43"/>
            </w:pPr>
            <w:r>
              <w:t xml:space="preserve">(c) poticaj drugih pružatelja usluga da preuzmu te aktivnosti; </w:t>
            </w:r>
          </w:p>
          <w:p w14:paraId="7FE1BDC5" w14:textId="77777777" w:rsidR="00393915" w:rsidRDefault="00F24D68">
            <w:pPr>
              <w:pStyle w:val="P68B1DB1-Normal43"/>
            </w:pPr>
            <w:r>
              <w:t>(d) vrijeme koje je korisnicima usluge potrebno da prijeđu na novog pružatelja usluge i troškovi tog prijelaza, vrijeme koje je potrebno da drugi tržišni natjecatelji preuzmu funkcije i je li to vrijeme dovoljno da se spriječi znatan prekid ovisno o vrsti usluge.</w:t>
            </w:r>
          </w:p>
          <w:p w14:paraId="7FE1BDC6" w14:textId="5CA3B02A" w:rsidR="00393915" w:rsidRDefault="00F24D68">
            <w:pPr>
              <w:pStyle w:val="P68B1DB1-Normal3"/>
            </w:pPr>
            <w:r>
              <w:t>Navesti ukupnu procjenu očekivanog stupnja zamjenjivosti za svaku funkciju, uzimajući u obzir prethodno procijenjene različite dimenzije (tržišni udio, tržišna koncentracija, vrijeme potrebno za zamjenu, pravne prepreke i operativni zahtjevi za ulazak na tržište ili širenje). Ta procjena izražava se kvalitativno kao „visok</w:t>
            </w:r>
            <w:r>
              <w:t>”,</w:t>
            </w:r>
            <w:r>
              <w:t xml:space="preserve"> „srednje visok</w:t>
            </w:r>
            <w:r>
              <w:t>”,</w:t>
            </w:r>
            <w:r>
              <w:t xml:space="preserve"> „srednje nizak</w:t>
            </w:r>
            <w:r>
              <w:t>”</w:t>
            </w:r>
            <w:r>
              <w:t xml:space="preserve"> ili „nizak</w:t>
            </w:r>
            <w:r>
              <w:t>”.</w:t>
            </w:r>
            <w:r>
              <w:t xml:space="preserve"> </w:t>
            </w:r>
          </w:p>
          <w:p w14:paraId="07F40115" w14:textId="77777777" w:rsidR="00393915" w:rsidRDefault="00393915">
            <w:pPr>
              <w:rPr>
                <w:rFonts w:ascii="Times New Roman" w:eastAsiaTheme="minorHAnsi" w:hAnsi="Times New Roman" w:cs="Times New Roman"/>
                <w:color w:val="000000" w:themeColor="text1"/>
                <w:sz w:val="20"/>
                <w:szCs w:val="20"/>
              </w:rPr>
            </w:pPr>
          </w:p>
          <w:p w14:paraId="7FE1BDC7" w14:textId="0EAA11BA" w:rsidR="00393915" w:rsidRDefault="00F24D68">
            <w:pPr>
              <w:pStyle w:val="P68B1DB1-Normal43"/>
            </w:pPr>
            <w:r>
              <w:t>„</w:t>
            </w:r>
            <w:r w:rsidR="005157CA">
              <w:t>Visok</w:t>
            </w:r>
            <w:r w:rsidR="005157CA">
              <w:t>Visok</w:t>
            </w:r>
            <w:r>
              <w:t>” se odabire ako funkciju može lako pružati druga banka pod usporedivim uvjetima u razumnom roku,</w:t>
            </w:r>
          </w:p>
          <w:p w14:paraId="7FE1BDC8" w14:textId="2D76D793" w:rsidR="00393915" w:rsidRDefault="00F24D68">
            <w:pPr>
              <w:pStyle w:val="P68B1DB1-Normal43"/>
            </w:pPr>
            <w:r>
              <w:t>„</w:t>
            </w:r>
            <w:r w:rsidR="00BD3070" w:rsidRPr="00B12035">
              <w:t>nizak</w:t>
            </w:r>
            <w:r w:rsidR="00BD3070" w:rsidRPr="00B12035">
              <w:t>nizak</w:t>
            </w:r>
            <w:r>
              <w:t xml:space="preserve">” ako funkciju nije moguće lako ili brzo zamijeniti, </w:t>
            </w:r>
          </w:p>
          <w:p w14:paraId="7FE1BDC9" w14:textId="7B2C13F6" w:rsidR="00393915" w:rsidRDefault="00F24D68">
            <w:pPr>
              <w:pStyle w:val="P68B1DB1-Normal43"/>
            </w:pPr>
            <w:r>
              <w:t>„</w:t>
            </w:r>
            <w:r w:rsidR="00E56C9E">
              <w:t>srednje visok</w:t>
            </w:r>
            <w:r w:rsidR="00E56C9E">
              <w:t>visok</w:t>
            </w:r>
            <w:r>
              <w:t>” i „</w:t>
            </w:r>
            <w:r w:rsidR="00E56C9E">
              <w:t>srednje nizak</w:t>
            </w:r>
            <w:r w:rsidR="00E56C9E">
              <w:t>nizak</w:t>
            </w:r>
            <w:r>
              <w:t xml:space="preserve">” za prijelazne slučajeve, uzimajući u obzir različite dimenzije (npr. tržišni udio, tržišnu koncentraciju, vrijeme potrebno za zamjenu te pravne prepreke i operativne zahtjeve za ulazak </w:t>
            </w:r>
            <w:r w:rsidR="00E82036">
              <w:t>na tržište</w:t>
            </w:r>
            <w:r>
              <w:t xml:space="preserve"> </w:t>
            </w:r>
            <w:r>
              <w:t>ili širenje).</w:t>
            </w:r>
          </w:p>
        </w:tc>
      </w:tr>
      <w:tr w:rsidR="00393915" w14:paraId="7FE1BDCF" w14:textId="77777777">
        <w:tc>
          <w:tcPr>
            <w:tcW w:w="1080" w:type="dxa"/>
            <w:tcBorders>
              <w:top w:val="single" w:sz="4" w:space="0" w:color="1A171C"/>
              <w:left w:val="nil"/>
              <w:bottom w:val="single" w:sz="4" w:space="0" w:color="1A171C"/>
              <w:right w:val="single" w:sz="4" w:space="0" w:color="1A171C"/>
            </w:tcBorders>
            <w:vAlign w:val="center"/>
          </w:tcPr>
          <w:p w14:paraId="7FE1BDCB" w14:textId="77777777" w:rsidR="00393915" w:rsidRDefault="00F24D68">
            <w:pPr>
              <w:pStyle w:val="P68B1DB1-TableParagraph17"/>
              <w:spacing w:before="108"/>
              <w:ind w:left="85"/>
              <w:jc w:val="both"/>
            </w:pPr>
            <w:r>
              <w:t>0190</w:t>
            </w:r>
          </w:p>
        </w:tc>
        <w:tc>
          <w:tcPr>
            <w:tcW w:w="8003" w:type="dxa"/>
            <w:tcBorders>
              <w:top w:val="single" w:sz="4" w:space="0" w:color="1A171C"/>
              <w:left w:val="single" w:sz="4" w:space="0" w:color="1A171C"/>
              <w:bottom w:val="single" w:sz="4" w:space="0" w:color="1A171C"/>
              <w:right w:val="nil"/>
            </w:tcBorders>
            <w:vAlign w:val="center"/>
          </w:tcPr>
          <w:p w14:paraId="7FE1BDCC" w14:textId="77777777" w:rsidR="00393915" w:rsidRDefault="00F24D68">
            <w:pPr>
              <w:pStyle w:val="P68B1DB1-Normal42"/>
              <w:rPr>
                <w:bCs/>
              </w:rPr>
            </w:pPr>
            <w:r>
              <w:t>Ključna funkcija</w:t>
            </w:r>
          </w:p>
          <w:p w14:paraId="7FE1BDCD" w14:textId="0AF0607B" w:rsidR="00393915" w:rsidRDefault="00F24D68">
            <w:pPr>
              <w:pStyle w:val="P68B1DB1-Normal43"/>
            </w:pPr>
            <w:r>
              <w:lastRenderedPageBreak/>
              <w:t xml:space="preserve">U ovom stupcu iskazuje se smatra li se, uzimajući u obzir </w:t>
            </w:r>
            <w:r w:rsidR="00272E67">
              <w:t>rezultate</w:t>
            </w:r>
            <w:r w:rsidR="00272E67">
              <w:t xml:space="preserve"> analize </w:t>
            </w:r>
            <w:r>
              <w:t>utjecaj</w:t>
            </w:r>
            <w:r w:rsidR="00272E67">
              <w:t>a</w:t>
            </w:r>
            <w:r>
              <w:t xml:space="preserve"> i zamjenjivost</w:t>
            </w:r>
            <w:r w:rsidR="00272E67">
              <w:t>i</w:t>
            </w:r>
            <w:r>
              <w:t xml:space="preserve"> </w:t>
            </w:r>
            <w:r>
              <w:t xml:space="preserve">provedene od strane institucije, da je </w:t>
            </w:r>
            <w:r w:rsidR="00272E67">
              <w:t>ekonomska</w:t>
            </w:r>
            <w:r w:rsidR="00272E67">
              <w:t xml:space="preserve"> </w:t>
            </w:r>
            <w:r>
              <w:t xml:space="preserve">funkcija ključna na tržištu za </w:t>
            </w:r>
            <w:r w:rsidR="00CE1B77">
              <w:t>relevantnu državu</w:t>
            </w:r>
            <w:r>
              <w:t>.</w:t>
            </w:r>
          </w:p>
          <w:p w14:paraId="3E6FFB90" w14:textId="42B20DB3" w:rsidR="00CE1B77" w:rsidRDefault="00CE1B77">
            <w:pPr>
              <w:pStyle w:val="P68B1DB1-Normal43"/>
            </w:pPr>
          </w:p>
          <w:p w14:paraId="7FE1BDCE" w14:textId="2646F021" w:rsidR="00393915" w:rsidRDefault="00CE1B77">
            <w:pPr>
              <w:pStyle w:val="P68B1DB1-Normal43"/>
            </w:pPr>
            <w:r>
              <w:t>Izvijestiti</w:t>
            </w:r>
            <w:r>
              <w:t xml:space="preserve"> </w:t>
            </w:r>
            <w:r w:rsidR="00986644">
              <w:t>s</w:t>
            </w:r>
            <w:r w:rsidR="00F24D68">
              <w:t xml:space="preserve"> </w:t>
            </w:r>
            <w:r w:rsidR="00F24D68">
              <w:t>„da” ili „ne”.</w:t>
            </w:r>
          </w:p>
        </w:tc>
      </w:tr>
      <w:tr w:rsidR="00393915" w14:paraId="7FE1BDD3" w14:textId="77777777">
        <w:tc>
          <w:tcPr>
            <w:tcW w:w="1080" w:type="dxa"/>
            <w:tcBorders>
              <w:top w:val="single" w:sz="4" w:space="0" w:color="1A171C"/>
              <w:left w:val="nil"/>
              <w:bottom w:val="single" w:sz="4" w:space="0" w:color="1A171C"/>
              <w:right w:val="single" w:sz="4" w:space="0" w:color="1A171C"/>
            </w:tcBorders>
            <w:vAlign w:val="center"/>
          </w:tcPr>
          <w:p w14:paraId="7FE1BDD0" w14:textId="77777777" w:rsidR="00393915" w:rsidRDefault="00F24D68">
            <w:pPr>
              <w:pStyle w:val="P68B1DB1-TableParagraph17"/>
              <w:spacing w:before="108"/>
              <w:ind w:left="85"/>
              <w:jc w:val="both"/>
            </w:pPr>
            <w:r>
              <w:lastRenderedPageBreak/>
              <w:t>0200</w:t>
            </w:r>
          </w:p>
        </w:tc>
        <w:tc>
          <w:tcPr>
            <w:tcW w:w="8003" w:type="dxa"/>
            <w:tcBorders>
              <w:top w:val="single" w:sz="4" w:space="0" w:color="1A171C"/>
              <w:left w:val="single" w:sz="4" w:space="0" w:color="1A171C"/>
              <w:bottom w:val="single" w:sz="4" w:space="0" w:color="1A171C"/>
              <w:right w:val="nil"/>
            </w:tcBorders>
            <w:vAlign w:val="center"/>
          </w:tcPr>
          <w:p w14:paraId="7FE1BDD1" w14:textId="43C45CA6" w:rsidR="00393915" w:rsidRDefault="001114C3">
            <w:pPr>
              <w:pStyle w:val="P68B1DB1-Normal42"/>
              <w:rPr>
                <w:bCs/>
              </w:rPr>
            </w:pPr>
            <w:r>
              <w:t xml:space="preserve">Komentari </w:t>
            </w:r>
            <w:r w:rsidR="00F24D68">
              <w:t>grupe</w:t>
            </w:r>
          </w:p>
          <w:p w14:paraId="7FE1BDD2" w14:textId="77777777" w:rsidR="00393915" w:rsidRDefault="00F24D68">
            <w:pPr>
              <w:pStyle w:val="P68B1DB1-Normal43"/>
            </w:pPr>
            <w:r>
              <w:t>Ovo polje omogućuje izvještajnom subjektu da objasni sve pretpostavke primijenjene pri procjeni kritičnosti funkcija o kojima se izvješćuje.</w:t>
            </w:r>
          </w:p>
        </w:tc>
      </w:tr>
    </w:tbl>
    <w:p w14:paraId="7FE1BDD4" w14:textId="77777777" w:rsidR="00393915" w:rsidRDefault="00393915">
      <w:pPr>
        <w:rPr>
          <w:rFonts w:ascii="Times New Roman" w:hAnsi="Times New Roman" w:cs="Times New Roman"/>
          <w:color w:val="000000" w:themeColor="text1"/>
          <w:sz w:val="20"/>
          <w:szCs w:val="20"/>
        </w:rPr>
      </w:pPr>
    </w:p>
    <w:p w14:paraId="7FE1BFB4" w14:textId="77777777" w:rsidR="00393915" w:rsidRDefault="00393915">
      <w:pPr>
        <w:rPr>
          <w:rFonts w:ascii="Times New Roman" w:hAnsi="Times New Roman" w:cs="Times New Roman"/>
        </w:rPr>
      </w:pPr>
    </w:p>
    <w:p w14:paraId="7FE1BFB5" w14:textId="5F23373A" w:rsidR="00393915" w:rsidRDefault="00F24D68">
      <w:pPr>
        <w:pStyle w:val="P68B1DB1-Instructionsberschrift25"/>
        <w:numPr>
          <w:ilvl w:val="1"/>
          <w:numId w:val="49"/>
        </w:numPr>
        <w:ind w:left="357" w:hanging="357"/>
      </w:pPr>
      <w:bookmarkStart w:id="123" w:name="_Toc208244813"/>
      <w:r>
        <w:t xml:space="preserve">Z 07.02 – </w:t>
      </w:r>
      <w:r w:rsidR="00A14003">
        <w:t xml:space="preserve">Mapiranje </w:t>
      </w:r>
      <w:r>
        <w:t>gospodarskih funkcija po pravnim osobama (FUNC 2)</w:t>
      </w:r>
      <w:bookmarkEnd w:id="123"/>
      <w:r>
        <w:t xml:space="preserve"> </w:t>
      </w:r>
    </w:p>
    <w:p w14:paraId="7FE1BFB6" w14:textId="77777777" w:rsidR="00393915" w:rsidRDefault="00F24D68">
      <w:pPr>
        <w:pStyle w:val="P68B1DB1-Instructionsberschrift312"/>
        <w:rPr>
          <w:color w:val="auto"/>
        </w:rPr>
      </w:pPr>
      <w:r>
        <w:rPr>
          <w:color w:val="auto"/>
        </w:rPr>
        <w:t>Upute za specifične pozicije</w:t>
      </w:r>
    </w:p>
    <w:p w14:paraId="7FE1BFB7" w14:textId="3D75A0B3" w:rsidR="00393915" w:rsidRDefault="00F24D68">
      <w:pPr>
        <w:pStyle w:val="P68B1DB1-InstructionsText26"/>
        <w:numPr>
          <w:ilvl w:val="0"/>
          <w:numId w:val="232"/>
        </w:numPr>
        <w:spacing w:before="0"/>
      </w:pPr>
      <w:r>
        <w:t xml:space="preserve">Ovaj se predložak </w:t>
      </w:r>
      <w:r w:rsidR="00997768">
        <w:t xml:space="preserve">popunjava </w:t>
      </w:r>
      <w:r>
        <w:t>za cijelu grupu uzimajući u obzir gospodarske funkcije koje grupa pruža gospodarstvu.</w:t>
      </w:r>
    </w:p>
    <w:p w14:paraId="7FE1BFB8" w14:textId="77777777" w:rsidR="00393915" w:rsidRDefault="00F24D68">
      <w:pPr>
        <w:pStyle w:val="P68B1DB1-InstructionsText26"/>
        <w:numPr>
          <w:ilvl w:val="0"/>
          <w:numId w:val="232"/>
        </w:numPr>
        <w:spacing w:before="0"/>
      </w:pPr>
      <w:r>
        <w:t>Kombinacija vrijednosti iskazanih u stupcima 0010, 0020 i 0040 ovog predloška čini primarni ključ koji mora biti jedinstven za svaki redak predloška.</w:t>
      </w:r>
    </w:p>
    <w:tbl>
      <w:tblPr>
        <w:tblW w:w="9083" w:type="dxa"/>
        <w:tblLayout w:type="fixed"/>
        <w:tblCellMar>
          <w:top w:w="57" w:type="dxa"/>
          <w:left w:w="57" w:type="dxa"/>
          <w:bottom w:w="57" w:type="dxa"/>
          <w:right w:w="0" w:type="dxa"/>
        </w:tblCellMar>
        <w:tblLook w:val="01E0" w:firstRow="1" w:lastRow="1" w:firstColumn="1" w:lastColumn="1" w:noHBand="0" w:noVBand="0"/>
      </w:tblPr>
      <w:tblGrid>
        <w:gridCol w:w="1191"/>
        <w:gridCol w:w="7892"/>
      </w:tblGrid>
      <w:tr w:rsidR="00393915" w14:paraId="7FE1BFBB" w14:textId="77777777">
        <w:tc>
          <w:tcPr>
            <w:tcW w:w="1191" w:type="dxa"/>
            <w:tcBorders>
              <w:top w:val="single" w:sz="4" w:space="0" w:color="1A171C"/>
              <w:left w:val="nil"/>
              <w:bottom w:val="single" w:sz="4" w:space="0" w:color="1A171C"/>
              <w:right w:val="single" w:sz="4" w:space="0" w:color="1A171C"/>
            </w:tcBorders>
            <w:shd w:val="clear" w:color="auto" w:fill="E4E5E5"/>
          </w:tcPr>
          <w:p w14:paraId="7FE1BFB9" w14:textId="77777777" w:rsidR="00393915" w:rsidRDefault="00F24D68">
            <w:pPr>
              <w:pStyle w:val="P68B1DB1-TableParagraph17"/>
              <w:spacing w:before="108"/>
              <w:ind w:left="85"/>
              <w:jc w:val="both"/>
            </w:pPr>
            <w:r>
              <w:t>Stupci</w:t>
            </w:r>
          </w:p>
        </w:tc>
        <w:tc>
          <w:tcPr>
            <w:tcW w:w="7892" w:type="dxa"/>
            <w:tcBorders>
              <w:top w:val="single" w:sz="4" w:space="0" w:color="1A171C"/>
              <w:left w:val="single" w:sz="4" w:space="0" w:color="1A171C"/>
              <w:bottom w:val="single" w:sz="4" w:space="0" w:color="1A171C"/>
              <w:right w:val="nil"/>
            </w:tcBorders>
            <w:shd w:val="clear" w:color="auto" w:fill="E4E5E5"/>
          </w:tcPr>
          <w:p w14:paraId="7FE1BFBA" w14:textId="77777777" w:rsidR="00393915" w:rsidRDefault="00F24D68">
            <w:pPr>
              <w:pStyle w:val="P68B1DB1-TableParagraph17"/>
              <w:spacing w:before="108"/>
              <w:ind w:left="85" w:right="1"/>
              <w:jc w:val="both"/>
            </w:pPr>
            <w:r>
              <w:t>Upute</w:t>
            </w:r>
          </w:p>
        </w:tc>
      </w:tr>
      <w:tr w:rsidR="00393915" w14:paraId="7FE1BFBE" w14:textId="77777777">
        <w:tc>
          <w:tcPr>
            <w:tcW w:w="1191" w:type="dxa"/>
            <w:tcBorders>
              <w:top w:val="single" w:sz="4" w:space="0" w:color="1A171C"/>
              <w:left w:val="nil"/>
              <w:bottom w:val="single" w:sz="4" w:space="0" w:color="1A171C"/>
              <w:right w:val="single" w:sz="4" w:space="0" w:color="1A171C"/>
            </w:tcBorders>
            <w:vAlign w:val="center"/>
          </w:tcPr>
          <w:p w14:paraId="7FE1BFBC" w14:textId="77777777" w:rsidR="00393915" w:rsidRDefault="00F24D68">
            <w:pPr>
              <w:pStyle w:val="P68B1DB1-TableParagraph17"/>
              <w:spacing w:before="108"/>
              <w:ind w:left="85"/>
            </w:pPr>
            <w:r>
              <w:t xml:space="preserve">0010 – 0020 </w:t>
            </w:r>
          </w:p>
        </w:tc>
        <w:tc>
          <w:tcPr>
            <w:tcW w:w="7892" w:type="dxa"/>
            <w:tcBorders>
              <w:top w:val="single" w:sz="4" w:space="0" w:color="1A171C"/>
              <w:left w:val="single" w:sz="4" w:space="0" w:color="1A171C"/>
              <w:bottom w:val="single" w:sz="4" w:space="0" w:color="1A171C"/>
              <w:right w:val="nil"/>
            </w:tcBorders>
            <w:vAlign w:val="center"/>
          </w:tcPr>
          <w:p w14:paraId="7FE1BFBD" w14:textId="3F275B4F" w:rsidR="00393915" w:rsidRDefault="00F24D68">
            <w:pPr>
              <w:pStyle w:val="P68B1DB1-TableParagraph14"/>
              <w:spacing w:before="108"/>
              <w:ind w:left="85"/>
              <w:jc w:val="both"/>
              <w:rPr>
                <w:bCs/>
              </w:rPr>
            </w:pPr>
            <w:r>
              <w:t>Gospodarska funkcija</w:t>
            </w:r>
          </w:p>
        </w:tc>
      </w:tr>
      <w:tr w:rsidR="00393915" w14:paraId="7FE1BFC2" w14:textId="77777777">
        <w:tc>
          <w:tcPr>
            <w:tcW w:w="1191" w:type="dxa"/>
            <w:tcBorders>
              <w:top w:val="single" w:sz="4" w:space="0" w:color="1A171C"/>
              <w:left w:val="nil"/>
              <w:bottom w:val="single" w:sz="4" w:space="0" w:color="1A171C"/>
              <w:right w:val="single" w:sz="4" w:space="0" w:color="1A171C"/>
            </w:tcBorders>
            <w:vAlign w:val="center"/>
          </w:tcPr>
          <w:p w14:paraId="7FE1BFBF" w14:textId="77777777" w:rsidR="00393915" w:rsidRDefault="00F24D68">
            <w:pPr>
              <w:pStyle w:val="P68B1DB1-TableParagraph17"/>
              <w:spacing w:before="108"/>
              <w:ind w:left="85"/>
            </w:pPr>
            <w:r>
              <w:t>0010</w:t>
            </w:r>
          </w:p>
        </w:tc>
        <w:tc>
          <w:tcPr>
            <w:tcW w:w="7892" w:type="dxa"/>
            <w:tcBorders>
              <w:top w:val="single" w:sz="4" w:space="0" w:color="1A171C"/>
              <w:left w:val="single" w:sz="4" w:space="0" w:color="1A171C"/>
              <w:bottom w:val="single" w:sz="4" w:space="0" w:color="1A171C"/>
              <w:right w:val="nil"/>
            </w:tcBorders>
            <w:vAlign w:val="center"/>
          </w:tcPr>
          <w:p w14:paraId="7FE1BFC0" w14:textId="77777777" w:rsidR="00393915" w:rsidRDefault="00F24D68">
            <w:pPr>
              <w:pStyle w:val="P68B1DB1-TableParagraph14"/>
              <w:spacing w:before="108"/>
              <w:ind w:left="85"/>
              <w:jc w:val="both"/>
              <w:rPr>
                <w:bCs/>
              </w:rPr>
            </w:pPr>
            <w:r>
              <w:t>Država</w:t>
            </w:r>
          </w:p>
          <w:p w14:paraId="7FE1BFC1" w14:textId="235DC4B1" w:rsidR="00393915" w:rsidRDefault="00F24D68">
            <w:pPr>
              <w:pStyle w:val="P68B1DB1-TableParagraph17"/>
              <w:spacing w:before="108"/>
              <w:ind w:left="85"/>
            </w:pPr>
            <w:r>
              <w:t>Zemlja za koju se pruža gospodarska funkcija</w:t>
            </w:r>
          </w:p>
        </w:tc>
      </w:tr>
      <w:tr w:rsidR="00393915" w14:paraId="7FE1BFC6" w14:textId="77777777">
        <w:tc>
          <w:tcPr>
            <w:tcW w:w="1191" w:type="dxa"/>
            <w:tcBorders>
              <w:top w:val="single" w:sz="4" w:space="0" w:color="1A171C"/>
              <w:left w:val="nil"/>
              <w:bottom w:val="single" w:sz="4" w:space="0" w:color="1A171C"/>
              <w:right w:val="single" w:sz="4" w:space="0" w:color="1A171C"/>
            </w:tcBorders>
            <w:vAlign w:val="center"/>
          </w:tcPr>
          <w:p w14:paraId="7FE1BFC3" w14:textId="77777777" w:rsidR="00393915" w:rsidRDefault="00F24D68">
            <w:pPr>
              <w:pStyle w:val="P68B1DB1-TableParagraph17"/>
              <w:spacing w:before="108"/>
              <w:ind w:left="85"/>
            </w:pPr>
            <w:r>
              <w:t>0020</w:t>
            </w:r>
          </w:p>
        </w:tc>
        <w:tc>
          <w:tcPr>
            <w:tcW w:w="7892" w:type="dxa"/>
            <w:tcBorders>
              <w:top w:val="single" w:sz="4" w:space="0" w:color="1A171C"/>
              <w:left w:val="single" w:sz="4" w:space="0" w:color="1A171C"/>
              <w:bottom w:val="single" w:sz="4" w:space="0" w:color="1A171C"/>
              <w:right w:val="nil"/>
            </w:tcBorders>
            <w:vAlign w:val="center"/>
          </w:tcPr>
          <w:p w14:paraId="7FE1BFC4" w14:textId="77777777" w:rsidR="00393915" w:rsidRDefault="00F24D68">
            <w:pPr>
              <w:pStyle w:val="P68B1DB1-TableParagraph14"/>
              <w:spacing w:before="108"/>
              <w:ind w:left="85"/>
              <w:jc w:val="both"/>
              <w:rPr>
                <w:bCs/>
              </w:rPr>
            </w:pPr>
            <w:r>
              <w:t>IDENTIFIKACIJSKI BROJ</w:t>
            </w:r>
          </w:p>
          <w:p w14:paraId="7FE1BFC5" w14:textId="05F6B42D" w:rsidR="00393915" w:rsidRDefault="00F24D68">
            <w:pPr>
              <w:pStyle w:val="P68B1DB1-TableParagraph17"/>
              <w:spacing w:before="108"/>
              <w:ind w:left="85"/>
            </w:pPr>
            <w:r>
              <w:t>Identifikacijska oznaka gospodarskih funkcija (kako je navedeno u predlošku Z 07.01 (FUNC 1) u slučaju ključnih funkcija).</w:t>
            </w:r>
          </w:p>
        </w:tc>
      </w:tr>
      <w:tr w:rsidR="00393915" w14:paraId="7FE1BFC9" w14:textId="77777777">
        <w:tc>
          <w:tcPr>
            <w:tcW w:w="1191" w:type="dxa"/>
            <w:tcBorders>
              <w:top w:val="single" w:sz="4" w:space="0" w:color="1A171C"/>
              <w:left w:val="nil"/>
              <w:bottom w:val="single" w:sz="4" w:space="0" w:color="1A171C"/>
              <w:right w:val="single" w:sz="4" w:space="0" w:color="1A171C"/>
            </w:tcBorders>
            <w:vAlign w:val="center"/>
          </w:tcPr>
          <w:p w14:paraId="7FE1BFC7" w14:textId="77777777" w:rsidR="00393915" w:rsidRDefault="00F24D68">
            <w:pPr>
              <w:pStyle w:val="P68B1DB1-TableParagraph17"/>
              <w:spacing w:before="108"/>
              <w:ind w:left="85"/>
            </w:pPr>
            <w:r>
              <w:t xml:space="preserve">0030 – 0040 </w:t>
            </w:r>
          </w:p>
        </w:tc>
        <w:tc>
          <w:tcPr>
            <w:tcW w:w="7892" w:type="dxa"/>
            <w:tcBorders>
              <w:top w:val="single" w:sz="4" w:space="0" w:color="1A171C"/>
              <w:left w:val="single" w:sz="4" w:space="0" w:color="1A171C"/>
              <w:bottom w:val="single" w:sz="4" w:space="0" w:color="1A171C"/>
              <w:right w:val="nil"/>
            </w:tcBorders>
            <w:vAlign w:val="center"/>
          </w:tcPr>
          <w:p w14:paraId="7FE1BFC8" w14:textId="64A2CBF7" w:rsidR="00393915" w:rsidRDefault="00F24D68">
            <w:pPr>
              <w:pStyle w:val="P68B1DB1-TableParagraph14"/>
              <w:spacing w:before="108"/>
              <w:ind w:left="85"/>
              <w:jc w:val="both"/>
              <w:rPr>
                <w:bCs/>
              </w:rPr>
            </w:pPr>
            <w:r>
              <w:t xml:space="preserve">Pravni </w:t>
            </w:r>
            <w:r w:rsidR="00997768">
              <w:t>subjekt</w:t>
            </w:r>
            <w:r w:rsidR="00997768">
              <w:t>subjekt</w:t>
            </w:r>
          </w:p>
        </w:tc>
      </w:tr>
      <w:tr w:rsidR="00393915" w14:paraId="7FE1BFCF" w14:textId="77777777">
        <w:tc>
          <w:tcPr>
            <w:tcW w:w="1191" w:type="dxa"/>
            <w:tcBorders>
              <w:top w:val="single" w:sz="4" w:space="0" w:color="1A171C"/>
              <w:left w:val="nil"/>
              <w:bottom w:val="single" w:sz="4" w:space="0" w:color="1A171C"/>
              <w:right w:val="single" w:sz="4" w:space="0" w:color="1A171C"/>
            </w:tcBorders>
            <w:vAlign w:val="center"/>
          </w:tcPr>
          <w:p w14:paraId="7FE1BFCA" w14:textId="77777777" w:rsidR="00393915" w:rsidRDefault="00F24D68">
            <w:pPr>
              <w:pStyle w:val="P68B1DB1-TableParagraph17"/>
              <w:spacing w:before="108"/>
              <w:ind w:left="85"/>
            </w:pPr>
            <w:r>
              <w:t>0030</w:t>
            </w:r>
          </w:p>
        </w:tc>
        <w:tc>
          <w:tcPr>
            <w:tcW w:w="7892" w:type="dxa"/>
            <w:tcBorders>
              <w:top w:val="single" w:sz="4" w:space="0" w:color="1A171C"/>
              <w:left w:val="single" w:sz="4" w:space="0" w:color="1A171C"/>
              <w:bottom w:val="single" w:sz="4" w:space="0" w:color="1A171C"/>
              <w:right w:val="nil"/>
            </w:tcBorders>
            <w:vAlign w:val="center"/>
          </w:tcPr>
          <w:p w14:paraId="7FE1BFCB" w14:textId="77777777" w:rsidR="00393915" w:rsidRDefault="00F24D68">
            <w:pPr>
              <w:pStyle w:val="P68B1DB1-TableParagraph14"/>
              <w:spacing w:before="108"/>
              <w:ind w:left="85"/>
              <w:jc w:val="both"/>
              <w:rPr>
                <w:bCs/>
              </w:rPr>
            </w:pPr>
            <w:r>
              <w:t>Naziv subjekta</w:t>
            </w:r>
          </w:p>
          <w:p w14:paraId="7FE1BFCD" w14:textId="5477B3DF" w:rsidR="00393915" w:rsidRDefault="00F24D68">
            <w:pPr>
              <w:pStyle w:val="P68B1DB1-TableParagraph17"/>
              <w:spacing w:before="108"/>
              <w:ind w:left="85"/>
            </w:pPr>
            <w:r>
              <w:t xml:space="preserve">Naziv subjekta koji obavlja </w:t>
            </w:r>
            <w:r>
              <w:t>ekonomsku</w:t>
            </w:r>
            <w:r w:rsidR="006150FB">
              <w:t xml:space="preserve"> </w:t>
            </w:r>
            <w:r>
              <w:t>funkciju, kako je iskazano u predlošku Z 01.01 (ORG 1).</w:t>
            </w:r>
          </w:p>
          <w:p w14:paraId="7FE1BFCE" w14:textId="2159DCA3" w:rsidR="00393915" w:rsidRDefault="00F24D68">
            <w:pPr>
              <w:pStyle w:val="P68B1DB1-TableParagraph17"/>
              <w:spacing w:before="108"/>
              <w:ind w:left="85"/>
            </w:pPr>
            <w:r>
              <w:t>Ako u istoj zemlji iste ključne funkcije obavlja više subjekata, svaki subjekt iskazuje se u zasebnom retku.</w:t>
            </w:r>
          </w:p>
        </w:tc>
      </w:tr>
      <w:tr w:rsidR="00393915" w14:paraId="7FE1BFD4" w14:textId="77777777">
        <w:tc>
          <w:tcPr>
            <w:tcW w:w="1191" w:type="dxa"/>
            <w:tcBorders>
              <w:top w:val="single" w:sz="4" w:space="0" w:color="1A171C"/>
              <w:left w:val="nil"/>
              <w:bottom w:val="single" w:sz="4" w:space="0" w:color="1A171C"/>
              <w:right w:val="single" w:sz="4" w:space="0" w:color="1A171C"/>
            </w:tcBorders>
            <w:vAlign w:val="center"/>
          </w:tcPr>
          <w:p w14:paraId="7FE1BFD0" w14:textId="77777777" w:rsidR="00393915" w:rsidRDefault="00F24D68">
            <w:pPr>
              <w:pStyle w:val="P68B1DB1-TableParagraph17"/>
              <w:spacing w:before="108"/>
              <w:ind w:left="85"/>
            </w:pPr>
            <w:r>
              <w:t>0040</w:t>
            </w:r>
          </w:p>
        </w:tc>
        <w:tc>
          <w:tcPr>
            <w:tcW w:w="7892" w:type="dxa"/>
            <w:tcBorders>
              <w:top w:val="single" w:sz="4" w:space="0" w:color="1A171C"/>
              <w:left w:val="single" w:sz="4" w:space="0" w:color="1A171C"/>
              <w:bottom w:val="single" w:sz="4" w:space="0" w:color="1A171C"/>
              <w:right w:val="nil"/>
            </w:tcBorders>
            <w:vAlign w:val="center"/>
          </w:tcPr>
          <w:p w14:paraId="7FE1BFD1" w14:textId="77777777" w:rsidR="00393915" w:rsidRDefault="00F24D68">
            <w:pPr>
              <w:pStyle w:val="P68B1DB1-TableParagraph14"/>
              <w:spacing w:before="108"/>
              <w:ind w:left="85"/>
              <w:jc w:val="both"/>
              <w:rPr>
                <w:bCs/>
              </w:rPr>
            </w:pPr>
            <w:r>
              <w:t>Oznaka</w:t>
            </w:r>
          </w:p>
          <w:p w14:paraId="7FE1BFD2" w14:textId="77777777" w:rsidR="00393915" w:rsidRDefault="00F24D68">
            <w:pPr>
              <w:pStyle w:val="P68B1DB1-TableParagraph17"/>
              <w:spacing w:before="108"/>
              <w:ind w:left="85"/>
            </w:pPr>
            <w:r>
              <w:t>Jedinstvena identifikacijska oznaka pravne osobe u stupcu 0020, kako je iskazana u predlošku Z 01.01 (ORG 1).</w:t>
            </w:r>
          </w:p>
          <w:p w14:paraId="7FE1BFD3" w14:textId="0C1C2679" w:rsidR="00393915" w:rsidRDefault="00430EE7">
            <w:pPr>
              <w:pStyle w:val="P68B1DB1-TableParagraph17"/>
              <w:spacing w:before="108"/>
              <w:ind w:left="85"/>
            </w:pPr>
            <w:r>
              <w:t>Identifikacija satae</w:t>
            </w:r>
            <w:r>
              <w:t>s</w:t>
            </w:r>
            <w:r w:rsidR="00F24D68">
              <w:t>ubjek</w:t>
            </w:r>
            <w:r>
              <w:t>ata</w:t>
            </w:r>
            <w:r w:rsidR="00F24D68">
              <w:t xml:space="preserve"> utvrđuj</w:t>
            </w:r>
            <w:r>
              <w:t>e</w:t>
            </w:r>
            <w:r w:rsidR="00F24D68">
              <w:t xml:space="preserve"> </w:t>
            </w:r>
            <w:r>
              <w:t>se</w:t>
            </w:r>
            <w:r w:rsidR="00F24D68">
              <w:t xml:space="preserve"> dosljedno u svim predlošcima.</w:t>
            </w:r>
          </w:p>
        </w:tc>
      </w:tr>
      <w:tr w:rsidR="00393915" w14:paraId="7FE1BFDB" w14:textId="77777777">
        <w:tc>
          <w:tcPr>
            <w:tcW w:w="1191" w:type="dxa"/>
            <w:tcBorders>
              <w:top w:val="single" w:sz="4" w:space="0" w:color="1A171C"/>
              <w:left w:val="nil"/>
              <w:bottom w:val="single" w:sz="4" w:space="0" w:color="1A171C"/>
              <w:right w:val="single" w:sz="4" w:space="0" w:color="1A171C"/>
            </w:tcBorders>
            <w:vAlign w:val="center"/>
          </w:tcPr>
          <w:p w14:paraId="7FE1BFD5" w14:textId="77777777" w:rsidR="00393915" w:rsidRDefault="00F24D68">
            <w:pPr>
              <w:pStyle w:val="P68B1DB1-TableParagraph17"/>
              <w:spacing w:before="108"/>
              <w:ind w:left="85"/>
            </w:pPr>
            <w:r>
              <w:t>0050</w:t>
            </w:r>
          </w:p>
        </w:tc>
        <w:tc>
          <w:tcPr>
            <w:tcW w:w="7892" w:type="dxa"/>
            <w:tcBorders>
              <w:top w:val="single" w:sz="4" w:space="0" w:color="1A171C"/>
              <w:left w:val="single" w:sz="4" w:space="0" w:color="1A171C"/>
              <w:bottom w:val="single" w:sz="4" w:space="0" w:color="1A171C"/>
              <w:right w:val="nil"/>
            </w:tcBorders>
            <w:vAlign w:val="center"/>
          </w:tcPr>
          <w:p w14:paraId="7FE1BFD6" w14:textId="77777777" w:rsidR="00393915" w:rsidRDefault="00F24D68">
            <w:pPr>
              <w:pStyle w:val="P68B1DB1-TableParagraph14"/>
              <w:spacing w:before="108"/>
              <w:ind w:left="85"/>
              <w:jc w:val="both"/>
              <w:rPr>
                <w:bCs/>
              </w:rPr>
            </w:pPr>
            <w:r>
              <w:t>Vrsta oznake</w:t>
            </w:r>
          </w:p>
          <w:p w14:paraId="29A7EF10" w14:textId="7649B41F" w:rsidR="00393915" w:rsidRDefault="00F24D68">
            <w:pPr>
              <w:pStyle w:val="P68B1DB1-TableParagraph13"/>
              <w:spacing w:before="108"/>
            </w:pPr>
            <w:r>
              <w:t>Odabrati među sljedećim opcijama: „</w:t>
            </w:r>
            <w:r w:rsidR="000850FE">
              <w:t>o</w:t>
            </w:r>
            <w:r w:rsidR="000850FE">
              <w:t>o</w:t>
            </w:r>
            <w:r>
              <w:t>znaka</w:t>
            </w:r>
            <w:r>
              <w:t xml:space="preserve"> LEI”, „oznaka MFI” ili „</w:t>
            </w:r>
            <w:r w:rsidR="000850FE">
              <w:t>v</w:t>
            </w:r>
            <w:r w:rsidR="000850FE">
              <w:t>v</w:t>
            </w:r>
            <w:r>
              <w:t>rsta</w:t>
            </w:r>
            <w:r>
              <w:t xml:space="preserve"> identifikacijske oznake, osim LEI-ja ili MFI-ja”.</w:t>
            </w:r>
          </w:p>
          <w:p w14:paraId="7FE1BFDA" w14:textId="048FF2FD" w:rsidR="00393915" w:rsidRDefault="00774617">
            <w:pPr>
              <w:pStyle w:val="P68B1DB1-TableParagraph13"/>
              <w:spacing w:before="108"/>
              <w:ind w:left="85"/>
              <w:jc w:val="both"/>
              <w:rPr>
                <w:b/>
                <w:bCs/>
              </w:rPr>
            </w:pPr>
            <w:r>
              <w:t xml:space="preserve">Identifikacija subjekata utvrđuje se </w:t>
            </w:r>
            <w:r w:rsidR="00F24D68">
              <w:t>dosljedno u svim predlošcima.</w:t>
            </w:r>
          </w:p>
        </w:tc>
      </w:tr>
      <w:tr w:rsidR="00393915" w14:paraId="7FE1BFE4" w14:textId="77777777">
        <w:trPr>
          <w:trHeight w:val="302"/>
        </w:trPr>
        <w:tc>
          <w:tcPr>
            <w:tcW w:w="1191" w:type="dxa"/>
            <w:tcBorders>
              <w:top w:val="single" w:sz="4" w:space="0" w:color="1A171C"/>
              <w:left w:val="nil"/>
              <w:bottom w:val="single" w:sz="4" w:space="0" w:color="1A171C"/>
              <w:right w:val="single" w:sz="4" w:space="0" w:color="1A171C"/>
            </w:tcBorders>
            <w:vAlign w:val="center"/>
          </w:tcPr>
          <w:p w14:paraId="7FE1BFDC" w14:textId="50EDDBE3" w:rsidR="00393915" w:rsidRDefault="00F24D68">
            <w:pPr>
              <w:pStyle w:val="P68B1DB1-TableParagraph17"/>
              <w:spacing w:before="108"/>
              <w:ind w:left="85"/>
            </w:pPr>
            <w:r>
              <w:t>0060</w:t>
            </w:r>
          </w:p>
        </w:tc>
        <w:tc>
          <w:tcPr>
            <w:tcW w:w="7892" w:type="dxa"/>
            <w:tcBorders>
              <w:top w:val="single" w:sz="4" w:space="0" w:color="1A171C"/>
              <w:left w:val="single" w:sz="4" w:space="0" w:color="1A171C"/>
              <w:bottom w:val="single" w:sz="4" w:space="0" w:color="1A171C"/>
              <w:right w:val="nil"/>
            </w:tcBorders>
            <w:vAlign w:val="center"/>
          </w:tcPr>
          <w:p w14:paraId="7FE1BFDD" w14:textId="501961FD" w:rsidR="00393915" w:rsidRDefault="00F24D68">
            <w:pPr>
              <w:pStyle w:val="P68B1DB1-TableParagraph14"/>
              <w:spacing w:before="108"/>
              <w:ind w:left="85"/>
              <w:jc w:val="both"/>
              <w:rPr>
                <w:bCs/>
              </w:rPr>
            </w:pPr>
            <w:r>
              <w:t>Novčani iznos</w:t>
            </w:r>
          </w:p>
          <w:p w14:paraId="7FE1BFDE" w14:textId="1157FFA9" w:rsidR="00393915" w:rsidRDefault="00F24D68">
            <w:pPr>
              <w:pStyle w:val="P68B1DB1-TableParagraph17"/>
              <w:spacing w:before="108"/>
              <w:ind w:left="85"/>
            </w:pPr>
            <w:r>
              <w:t xml:space="preserve">Doprinos, u novčanom iznosu, pravne osobe novčanom iznosu kako je opisan u predlošku Z </w:t>
            </w:r>
            <w:r>
              <w:lastRenderedPageBreak/>
              <w:t>07.01 (FUNC 1):</w:t>
            </w:r>
          </w:p>
          <w:p w14:paraId="7FE1BFDF" w14:textId="6A309EFA" w:rsidR="00393915" w:rsidRDefault="009461B5">
            <w:pPr>
              <w:pStyle w:val="P68B1DB1-TableParagraph17"/>
              <w:numPr>
                <w:ilvl w:val="0"/>
                <w:numId w:val="64"/>
              </w:numPr>
              <w:spacing w:before="108"/>
            </w:pPr>
            <w:r>
              <w:t>d</w:t>
            </w:r>
            <w:r>
              <w:t>d</w:t>
            </w:r>
            <w:r w:rsidR="00F24D68">
              <w:t>epoziti</w:t>
            </w:r>
            <w:r w:rsidR="00F24D68">
              <w:t xml:space="preserve"> – vrijednost na računima</w:t>
            </w:r>
          </w:p>
          <w:p w14:paraId="7FE1BFE0" w14:textId="707CB96F" w:rsidR="00393915" w:rsidRDefault="009461B5">
            <w:pPr>
              <w:pStyle w:val="P68B1DB1-TableParagraph17"/>
              <w:numPr>
                <w:ilvl w:val="0"/>
                <w:numId w:val="64"/>
              </w:numPr>
              <w:spacing w:before="108"/>
            </w:pPr>
            <w:r>
              <w:t>p</w:t>
            </w:r>
            <w:r>
              <w:t>p</w:t>
            </w:r>
            <w:r w:rsidR="00F24D68">
              <w:t>ozajmljivanje –</w:t>
            </w:r>
            <w:r w:rsidR="007157ED">
              <w:t>preostala</w:t>
            </w:r>
            <w:r w:rsidR="007C55BF">
              <w:t xml:space="preserve"> </w:t>
            </w:r>
            <w:r w:rsidR="00F24D68">
              <w:t>vrijednost</w:t>
            </w:r>
          </w:p>
          <w:p w14:paraId="7FE1BFE1" w14:textId="4653EA0A" w:rsidR="00393915" w:rsidRDefault="009461B5">
            <w:pPr>
              <w:pStyle w:val="P68B1DB1-TableParagraph17"/>
              <w:numPr>
                <w:ilvl w:val="0"/>
                <w:numId w:val="64"/>
              </w:numPr>
              <w:spacing w:before="108"/>
            </w:pPr>
            <w:r>
              <w:t>p</w:t>
            </w:r>
            <w:r>
              <w:t>p</w:t>
            </w:r>
            <w:r w:rsidR="00F24D68">
              <w:t>laćanja</w:t>
            </w:r>
            <w:r w:rsidR="00F24D68">
              <w:t xml:space="preserve"> – vrijednost transakcija/otvorenih pozicija/imovine pod skrbništvom (</w:t>
            </w:r>
            <w:r w:rsidR="00463854">
              <w:t>ovisno o tome je li primjenjivo</w:t>
            </w:r>
            <w:r w:rsidR="00463854">
              <w:t>primjenjivo</w:t>
            </w:r>
            <w:r w:rsidR="00F24D68">
              <w:t>)</w:t>
            </w:r>
          </w:p>
          <w:p w14:paraId="7FE1BFE2" w14:textId="57C05E58" w:rsidR="00393915" w:rsidRDefault="009461B5">
            <w:pPr>
              <w:pStyle w:val="P68B1DB1-TableParagraph17"/>
              <w:numPr>
                <w:ilvl w:val="0"/>
                <w:numId w:val="64"/>
              </w:numPr>
              <w:spacing w:before="108"/>
            </w:pPr>
            <w:r>
              <w:t>t</w:t>
            </w:r>
            <w:r>
              <w:t>t</w:t>
            </w:r>
            <w:r w:rsidR="00F24D68">
              <w:t>ržišta</w:t>
            </w:r>
            <w:r w:rsidR="00F24D68">
              <w:t xml:space="preserve"> kapitala – </w:t>
            </w:r>
            <w:r w:rsidR="00925928">
              <w:t>nominalna</w:t>
            </w:r>
            <w:r w:rsidR="00925928">
              <w:t>nominalna</w:t>
            </w:r>
            <w:r w:rsidR="00925928">
              <w:t xml:space="preserve"> vrijednost</w:t>
            </w:r>
            <w:r w:rsidR="00F24D68">
              <w:t>/knjigovodstvena vrijednost/prihod od naknada (</w:t>
            </w:r>
            <w:r w:rsidR="00463854">
              <w:t>ovisno o tome je li primjenjivo</w:t>
            </w:r>
            <w:r w:rsidR="00463854">
              <w:t>primjenjivo</w:t>
            </w:r>
            <w:r w:rsidR="00F24D68">
              <w:t>)</w:t>
            </w:r>
          </w:p>
          <w:p w14:paraId="7FE1BFE3" w14:textId="0B3D49EE" w:rsidR="00393915" w:rsidRDefault="009461B5">
            <w:pPr>
              <w:pStyle w:val="P68B1DB1-TableParagraph17"/>
              <w:numPr>
                <w:ilvl w:val="0"/>
                <w:numId w:val="64"/>
              </w:numPr>
              <w:spacing w:before="108"/>
            </w:pPr>
            <w:r>
              <w:t>f</w:t>
            </w:r>
            <w:r w:rsidR="008E0DA6">
              <w:t>institucionalnih</w:t>
            </w:r>
            <w:r>
              <w:t>f</w:t>
            </w:r>
            <w:r w:rsidR="00F24D68">
              <w:t xml:space="preserve">inanciranje </w:t>
            </w:r>
            <w:r w:rsidR="008E0DA6">
              <w:t>institucionalnih</w:t>
            </w:r>
            <w:r w:rsidR="008E0DA6">
              <w:t xml:space="preserve"> ulagača</w:t>
            </w:r>
            <w:r w:rsidR="00F24D68">
              <w:t xml:space="preserve"> – bruto knjigovodstvena vrijednost</w:t>
            </w:r>
          </w:p>
        </w:tc>
      </w:tr>
    </w:tbl>
    <w:p w14:paraId="7FE1BFE5" w14:textId="77777777" w:rsidR="00393915" w:rsidRDefault="00393915">
      <w:pPr>
        <w:rPr>
          <w:rFonts w:ascii="Times New Roman" w:hAnsi="Times New Roman" w:cs="Times New Roman"/>
          <w:color w:val="000000" w:themeColor="text1"/>
          <w:sz w:val="20"/>
          <w:szCs w:val="20"/>
        </w:rPr>
      </w:pPr>
    </w:p>
    <w:p w14:paraId="7FE1BFE6" w14:textId="326BA4AC" w:rsidR="00393915" w:rsidRDefault="00F24D68">
      <w:pPr>
        <w:pStyle w:val="P68B1DB1-Instructionsberschrift25"/>
        <w:numPr>
          <w:ilvl w:val="1"/>
          <w:numId w:val="49"/>
        </w:numPr>
        <w:ind w:left="357" w:hanging="357"/>
      </w:pPr>
      <w:bookmarkStart w:id="124" w:name="_Toc208244814"/>
      <w:r>
        <w:t xml:space="preserve">Z 07.03 – </w:t>
      </w:r>
      <w:r w:rsidR="00C65E78">
        <w:t xml:space="preserve">Mapiranje </w:t>
      </w:r>
      <w:r>
        <w:t>temeljn</w:t>
      </w:r>
      <w:r w:rsidR="00CF0E0F">
        <w:t xml:space="preserve">ih </w:t>
      </w:r>
      <w:r w:rsidR="00CF0E0F">
        <w:t>poslovnih</w:t>
      </w:r>
      <w:r>
        <w:t xml:space="preserve"> </w:t>
      </w:r>
      <w:r>
        <w:t>linija po pravnim osobama (FUNC 3)</w:t>
      </w:r>
      <w:bookmarkEnd w:id="124"/>
    </w:p>
    <w:p w14:paraId="7FE1BFE7" w14:textId="2A9EA2DA" w:rsidR="00393915" w:rsidRDefault="00F24D68">
      <w:pPr>
        <w:pStyle w:val="P68B1DB1-Instructionsberschrift312"/>
        <w:rPr>
          <w:bCs/>
        </w:rPr>
      </w:pPr>
      <w:r>
        <w:t>Upute za specifične pozicije</w:t>
      </w:r>
    </w:p>
    <w:p w14:paraId="7FE1BFE8" w14:textId="22DA3D65" w:rsidR="00393915" w:rsidRDefault="00F24D68">
      <w:pPr>
        <w:pStyle w:val="P68B1DB1-InstructionsText26"/>
        <w:numPr>
          <w:ilvl w:val="0"/>
          <w:numId w:val="232"/>
        </w:numPr>
        <w:spacing w:before="0"/>
      </w:pPr>
      <w:r>
        <w:t>Kombinacija vrijednosti iskazanih u stupcima 0020 i 0050 ovog predloška čini primarni ključ koji mora biti jedinstven za svaki redak predloška.</w:t>
      </w:r>
    </w:p>
    <w:p w14:paraId="7FE1BFE9" w14:textId="29720803" w:rsidR="00393915" w:rsidRDefault="00F24D68">
      <w:pPr>
        <w:pStyle w:val="P68B1DB1-InstructionsText26"/>
        <w:numPr>
          <w:ilvl w:val="0"/>
          <w:numId w:val="232"/>
        </w:numPr>
        <w:spacing w:before="0"/>
      </w:pPr>
      <w:r>
        <w:t xml:space="preserve">U ovom se predlošku </w:t>
      </w:r>
      <w:r w:rsidR="00CA6435">
        <w:t>temeljne</w:t>
      </w:r>
      <w:r w:rsidR="00616C64">
        <w:t xml:space="preserve"> </w:t>
      </w:r>
      <w:r w:rsidR="00616C64">
        <w:t>poslovne</w:t>
      </w:r>
      <w:r w:rsidR="00CA6435">
        <w:t xml:space="preserve"> </w:t>
      </w:r>
      <w:r w:rsidR="00CA6435">
        <w:t>linije</w:t>
      </w:r>
      <w:r>
        <w:t xml:space="preserve"> </w:t>
      </w:r>
      <w:r w:rsidR="000D2F3C">
        <w:t xml:space="preserve">poslovanja </w:t>
      </w:r>
      <w:r>
        <w:t xml:space="preserve">iskazuju samo relevantne pravne osobe. </w:t>
      </w:r>
    </w:p>
    <w:tbl>
      <w:tblPr>
        <w:tblW w:w="9083" w:type="dxa"/>
        <w:tblLayout w:type="fixed"/>
        <w:tblCellMar>
          <w:top w:w="57" w:type="dxa"/>
          <w:left w:w="57" w:type="dxa"/>
          <w:bottom w:w="57" w:type="dxa"/>
          <w:right w:w="0" w:type="dxa"/>
        </w:tblCellMar>
        <w:tblLook w:val="01E0" w:firstRow="1" w:lastRow="1" w:firstColumn="1" w:lastColumn="1" w:noHBand="0" w:noVBand="0"/>
      </w:tblPr>
      <w:tblGrid>
        <w:gridCol w:w="1191"/>
        <w:gridCol w:w="7892"/>
      </w:tblGrid>
      <w:tr w:rsidR="00393915" w14:paraId="7FE1BFEC" w14:textId="77777777">
        <w:trPr>
          <w:tblHeader/>
        </w:trPr>
        <w:tc>
          <w:tcPr>
            <w:tcW w:w="1191" w:type="dxa"/>
            <w:tcBorders>
              <w:top w:val="single" w:sz="4" w:space="0" w:color="1A171C"/>
              <w:left w:val="nil"/>
              <w:bottom w:val="single" w:sz="4" w:space="0" w:color="1A171C"/>
              <w:right w:val="single" w:sz="4" w:space="0" w:color="1A171C"/>
            </w:tcBorders>
            <w:shd w:val="clear" w:color="auto" w:fill="E4E5E5"/>
          </w:tcPr>
          <w:p w14:paraId="7FE1BFEA" w14:textId="77777777" w:rsidR="00393915" w:rsidRDefault="00F24D68">
            <w:pPr>
              <w:pStyle w:val="P68B1DB1-TableParagraph17"/>
              <w:spacing w:before="108"/>
              <w:ind w:left="85"/>
              <w:jc w:val="both"/>
            </w:pPr>
            <w:r>
              <w:t>Stupci</w:t>
            </w:r>
          </w:p>
        </w:tc>
        <w:tc>
          <w:tcPr>
            <w:tcW w:w="7892" w:type="dxa"/>
            <w:tcBorders>
              <w:top w:val="single" w:sz="4" w:space="0" w:color="1A171C"/>
              <w:left w:val="single" w:sz="4" w:space="0" w:color="1A171C"/>
              <w:bottom w:val="single" w:sz="4" w:space="0" w:color="1A171C"/>
              <w:right w:val="nil"/>
            </w:tcBorders>
            <w:shd w:val="clear" w:color="auto" w:fill="E4E5E5"/>
          </w:tcPr>
          <w:p w14:paraId="7FE1BFEB" w14:textId="77777777" w:rsidR="00393915" w:rsidRDefault="00F24D68">
            <w:pPr>
              <w:pStyle w:val="P68B1DB1-TableParagraph17"/>
              <w:spacing w:before="108"/>
              <w:ind w:left="85" w:right="1"/>
              <w:jc w:val="both"/>
            </w:pPr>
            <w:r>
              <w:t>Upute</w:t>
            </w:r>
          </w:p>
        </w:tc>
      </w:tr>
      <w:tr w:rsidR="00393915" w14:paraId="7FE1BFEF" w14:textId="77777777">
        <w:tc>
          <w:tcPr>
            <w:tcW w:w="1191" w:type="dxa"/>
            <w:tcBorders>
              <w:top w:val="single" w:sz="4" w:space="0" w:color="1A171C"/>
              <w:left w:val="nil"/>
              <w:bottom w:val="single" w:sz="4" w:space="0" w:color="1A171C"/>
              <w:right w:val="single" w:sz="4" w:space="0" w:color="1A171C"/>
            </w:tcBorders>
            <w:vAlign w:val="center"/>
          </w:tcPr>
          <w:p w14:paraId="7FE1BFED" w14:textId="77777777" w:rsidR="00393915" w:rsidRDefault="00F24D68">
            <w:pPr>
              <w:pStyle w:val="P68B1DB1-TableParagraph17"/>
              <w:spacing w:before="108"/>
              <w:ind w:left="85"/>
            </w:pPr>
            <w:r>
              <w:t xml:space="preserve">0010 – 0030 </w:t>
            </w:r>
          </w:p>
        </w:tc>
        <w:tc>
          <w:tcPr>
            <w:tcW w:w="7892" w:type="dxa"/>
            <w:tcBorders>
              <w:top w:val="single" w:sz="4" w:space="0" w:color="1A171C"/>
              <w:left w:val="single" w:sz="4" w:space="0" w:color="1A171C"/>
              <w:bottom w:val="single" w:sz="4" w:space="0" w:color="1A171C"/>
              <w:right w:val="nil"/>
            </w:tcBorders>
            <w:vAlign w:val="center"/>
          </w:tcPr>
          <w:p w14:paraId="7FE1BFEE" w14:textId="4192344B" w:rsidR="00393915" w:rsidRDefault="00F24D68">
            <w:pPr>
              <w:pStyle w:val="P68B1DB1-TableParagraph14"/>
              <w:spacing w:before="108"/>
              <w:ind w:left="85"/>
              <w:jc w:val="both"/>
              <w:rPr>
                <w:bCs/>
              </w:rPr>
            </w:pPr>
            <w:r>
              <w:t xml:space="preserve">Temeljna linija </w:t>
            </w:r>
          </w:p>
        </w:tc>
      </w:tr>
      <w:tr w:rsidR="00393915" w14:paraId="7FE1BFFF" w14:textId="77777777">
        <w:tc>
          <w:tcPr>
            <w:tcW w:w="1191" w:type="dxa"/>
            <w:tcBorders>
              <w:top w:val="single" w:sz="4" w:space="0" w:color="1A171C"/>
              <w:left w:val="nil"/>
              <w:bottom w:val="single" w:sz="4" w:space="0" w:color="1A171C"/>
              <w:right w:val="single" w:sz="4" w:space="0" w:color="1A171C"/>
            </w:tcBorders>
            <w:vAlign w:val="center"/>
          </w:tcPr>
          <w:p w14:paraId="7FE1BFF0" w14:textId="0E5EC75F" w:rsidR="00393915" w:rsidRDefault="00F24D68">
            <w:pPr>
              <w:pStyle w:val="P68B1DB1-TableParagraph17"/>
              <w:spacing w:before="108"/>
              <w:ind w:left="85"/>
            </w:pPr>
            <w:r>
              <w:t>0010</w:t>
            </w:r>
          </w:p>
        </w:tc>
        <w:tc>
          <w:tcPr>
            <w:tcW w:w="7892" w:type="dxa"/>
            <w:tcBorders>
              <w:top w:val="single" w:sz="4" w:space="0" w:color="1A171C"/>
              <w:left w:val="single" w:sz="4" w:space="0" w:color="1A171C"/>
              <w:bottom w:val="single" w:sz="4" w:space="0" w:color="1A171C"/>
              <w:right w:val="nil"/>
            </w:tcBorders>
            <w:vAlign w:val="center"/>
          </w:tcPr>
          <w:p w14:paraId="7FE1BFF1" w14:textId="0C221B5F" w:rsidR="00393915" w:rsidRDefault="00F24D68">
            <w:pPr>
              <w:pStyle w:val="P68B1DB1-TableParagraph14"/>
              <w:spacing w:before="108"/>
              <w:ind w:left="85"/>
              <w:jc w:val="both"/>
              <w:rPr>
                <w:bCs/>
              </w:rPr>
            </w:pPr>
            <w:r>
              <w:t xml:space="preserve">Temeljna linija </w:t>
            </w:r>
          </w:p>
          <w:p w14:paraId="7FE1BFF2" w14:textId="0F4C0A90" w:rsidR="00393915" w:rsidRDefault="00F24D68">
            <w:pPr>
              <w:pStyle w:val="P68B1DB1-TableParagraph17"/>
              <w:spacing w:before="108"/>
              <w:ind w:left="85"/>
            </w:pPr>
            <w:r>
              <w:t>Temeljna</w:t>
            </w:r>
            <w:r>
              <w:t xml:space="preserve"> </w:t>
            </w:r>
            <w:r>
              <w:t>linija u skladu s člankom 2. stavkom 1. točkom 36. i člankom 2. stavkom 2. Direktive 2014/59/EU.</w:t>
            </w:r>
          </w:p>
          <w:p w14:paraId="7FE1BFF3" w14:textId="29BD365E" w:rsidR="00393915" w:rsidRDefault="00F24D68">
            <w:pPr>
              <w:pStyle w:val="P68B1DB1-TableParagraph17"/>
              <w:spacing w:before="108"/>
              <w:ind w:left="85"/>
            </w:pPr>
            <w:r>
              <w:t>Temeljna linija jedna je od linija poslovanja navedenih u nastavku.</w:t>
            </w:r>
          </w:p>
          <w:p w14:paraId="7FE1BFF4" w14:textId="77777777" w:rsidR="00393915" w:rsidRDefault="00F24D68">
            <w:pPr>
              <w:pStyle w:val="P68B1DB1-TableParagraph17"/>
              <w:numPr>
                <w:ilvl w:val="0"/>
                <w:numId w:val="139"/>
              </w:numPr>
              <w:spacing w:before="108"/>
              <w:rPr>
                <w:rFonts w:eastAsiaTheme="minorEastAsia"/>
              </w:rPr>
            </w:pPr>
            <w:r>
              <w:t xml:space="preserve">Potrošačko bankarstvo </w:t>
            </w:r>
          </w:p>
          <w:p w14:paraId="7FE1BFF5" w14:textId="2ED5DD4E" w:rsidR="00393915" w:rsidRDefault="002C2E34">
            <w:pPr>
              <w:pStyle w:val="P68B1DB1-TableParagraph17"/>
              <w:numPr>
                <w:ilvl w:val="0"/>
                <w:numId w:val="139"/>
              </w:numPr>
              <w:spacing w:before="108"/>
            </w:pPr>
            <w:r>
              <w:t>Korporativno</w:t>
            </w:r>
            <w:r w:rsidR="00006C19">
              <w:t>bankarstvo</w:t>
            </w:r>
            <w:r>
              <w:t>Korporativno</w:t>
            </w:r>
            <w:r w:rsidR="00F24D68">
              <w:t xml:space="preserve"> </w:t>
            </w:r>
            <w:r w:rsidR="00006C19">
              <w:t>bankarstvo</w:t>
            </w:r>
          </w:p>
          <w:p w14:paraId="7FE1BFF6" w14:textId="77777777" w:rsidR="00393915" w:rsidRDefault="00F24D68">
            <w:pPr>
              <w:pStyle w:val="P68B1DB1-TableParagraph17"/>
              <w:numPr>
                <w:ilvl w:val="0"/>
                <w:numId w:val="139"/>
              </w:numPr>
              <w:spacing w:before="108"/>
            </w:pPr>
            <w:r>
              <w:t xml:space="preserve">Investicijsko bankarstvo </w:t>
            </w:r>
          </w:p>
          <w:p w14:paraId="7FE1BFF7" w14:textId="77777777" w:rsidR="00393915" w:rsidRDefault="00F24D68">
            <w:pPr>
              <w:pStyle w:val="P68B1DB1-TableParagraph17"/>
              <w:numPr>
                <w:ilvl w:val="0"/>
                <w:numId w:val="139"/>
              </w:numPr>
              <w:spacing w:before="108"/>
            </w:pPr>
            <w:r>
              <w:t>Osiguranje</w:t>
            </w:r>
          </w:p>
          <w:p w14:paraId="7FE1BFF8" w14:textId="77777777" w:rsidR="00393915" w:rsidRDefault="00F24D68">
            <w:pPr>
              <w:pStyle w:val="P68B1DB1-TableParagraph17"/>
              <w:numPr>
                <w:ilvl w:val="0"/>
                <w:numId w:val="139"/>
              </w:numPr>
              <w:spacing w:before="108"/>
            </w:pPr>
            <w:r>
              <w:t>Reosiguranje</w:t>
            </w:r>
          </w:p>
          <w:p w14:paraId="7FE1BFF9" w14:textId="77777777" w:rsidR="00393915" w:rsidRDefault="00F24D68">
            <w:pPr>
              <w:pStyle w:val="P68B1DB1-TableParagraph17"/>
              <w:numPr>
                <w:ilvl w:val="0"/>
                <w:numId w:val="139"/>
              </w:numPr>
              <w:spacing w:before="108"/>
            </w:pPr>
            <w:r>
              <w:t>Brokerski poslovi sa stanovništvom</w:t>
            </w:r>
          </w:p>
          <w:p w14:paraId="7FE1BFFA" w14:textId="5D97B281" w:rsidR="00393915" w:rsidRDefault="00F24D68">
            <w:pPr>
              <w:pStyle w:val="P68B1DB1-TableParagraph17"/>
              <w:numPr>
                <w:ilvl w:val="0"/>
                <w:numId w:val="139"/>
              </w:numPr>
              <w:spacing w:before="108"/>
            </w:pPr>
            <w:r>
              <w:t xml:space="preserve">Upravljanje </w:t>
            </w:r>
            <w:r w:rsidR="00006C19">
              <w:t xml:space="preserve">imovinom </w:t>
            </w:r>
          </w:p>
          <w:p w14:paraId="7FE1BFFB" w14:textId="77777777" w:rsidR="00393915" w:rsidRDefault="00F24D68">
            <w:pPr>
              <w:pStyle w:val="P68B1DB1-TableParagraph17"/>
              <w:numPr>
                <w:ilvl w:val="0"/>
                <w:numId w:val="139"/>
              </w:numPr>
              <w:spacing w:before="108"/>
            </w:pPr>
            <w:r>
              <w:t>Agencija za nekretnine</w:t>
            </w:r>
          </w:p>
          <w:p w14:paraId="7FE1BFFC" w14:textId="1FA7EF68" w:rsidR="00393915" w:rsidRDefault="00921AA8">
            <w:pPr>
              <w:pStyle w:val="P68B1DB1-TableParagraph17"/>
              <w:numPr>
                <w:ilvl w:val="0"/>
                <w:numId w:val="139"/>
              </w:numPr>
              <w:spacing w:before="108"/>
            </w:pPr>
            <w:r>
              <w:t>Računovodstvo</w:t>
            </w:r>
          </w:p>
          <w:p w14:paraId="7FE1BFFD" w14:textId="77777777" w:rsidR="00393915" w:rsidRDefault="00F24D68">
            <w:pPr>
              <w:pStyle w:val="P68B1DB1-TableParagraph17"/>
              <w:numPr>
                <w:ilvl w:val="0"/>
                <w:numId w:val="139"/>
              </w:numPr>
              <w:spacing w:before="108"/>
            </w:pPr>
            <w:r>
              <w:t>Ostalo</w:t>
            </w:r>
          </w:p>
          <w:p w14:paraId="7FE1BFFE" w14:textId="77777777" w:rsidR="00393915" w:rsidRDefault="00393915">
            <w:pPr>
              <w:pStyle w:val="TableParagraph"/>
              <w:spacing w:before="108"/>
              <w:ind w:left="85"/>
              <w:rPr>
                <w:rFonts w:ascii="Times New Roman" w:eastAsia="Cambria" w:hAnsi="Times New Roman" w:cs="Times New Roman"/>
                <w:color w:val="000000" w:themeColor="text1"/>
                <w:sz w:val="20"/>
                <w:szCs w:val="20"/>
              </w:rPr>
            </w:pPr>
          </w:p>
        </w:tc>
      </w:tr>
      <w:tr w:rsidR="00393915" w14:paraId="7FE1C003" w14:textId="77777777">
        <w:tc>
          <w:tcPr>
            <w:tcW w:w="1191" w:type="dxa"/>
            <w:tcBorders>
              <w:top w:val="single" w:sz="4" w:space="0" w:color="1A171C"/>
              <w:left w:val="nil"/>
              <w:bottom w:val="single" w:sz="4" w:space="0" w:color="1A171C"/>
              <w:right w:val="single" w:sz="4" w:space="0" w:color="1A171C"/>
            </w:tcBorders>
            <w:vAlign w:val="center"/>
          </w:tcPr>
          <w:p w14:paraId="7FE1C000" w14:textId="682F75AB" w:rsidR="00393915" w:rsidRDefault="00F24D68">
            <w:pPr>
              <w:pStyle w:val="P68B1DB1-TableParagraph17"/>
              <w:spacing w:before="108"/>
              <w:ind w:left="85"/>
            </w:pPr>
            <w:r>
              <w:t>0020</w:t>
            </w:r>
          </w:p>
        </w:tc>
        <w:tc>
          <w:tcPr>
            <w:tcW w:w="7892" w:type="dxa"/>
            <w:tcBorders>
              <w:top w:val="single" w:sz="4" w:space="0" w:color="1A171C"/>
              <w:left w:val="single" w:sz="4" w:space="0" w:color="1A171C"/>
              <w:bottom w:val="single" w:sz="4" w:space="0" w:color="1A171C"/>
              <w:right w:val="nil"/>
            </w:tcBorders>
            <w:vAlign w:val="center"/>
          </w:tcPr>
          <w:p w14:paraId="7FE1C001" w14:textId="533DEB12" w:rsidR="00393915" w:rsidRDefault="00F24D68">
            <w:pPr>
              <w:pStyle w:val="P68B1DB1-TableParagraph14"/>
              <w:spacing w:before="108"/>
              <w:ind w:left="85"/>
              <w:jc w:val="both"/>
              <w:rPr>
                <w:bCs/>
              </w:rPr>
            </w:pPr>
            <w:r>
              <w:t xml:space="preserve">Identifikacijska oznaka </w:t>
            </w:r>
            <w:r w:rsidR="00EA0F20">
              <w:t>linije</w:t>
            </w:r>
          </w:p>
          <w:p w14:paraId="7FE1C002" w14:textId="296B8E75" w:rsidR="00393915" w:rsidRDefault="00F24D68">
            <w:pPr>
              <w:pStyle w:val="P68B1DB1-TableParagraph17"/>
              <w:spacing w:before="108"/>
              <w:ind w:left="85"/>
            </w:pPr>
            <w:r>
              <w:t xml:space="preserve">Jedinstvena identifikacijska oznaka </w:t>
            </w:r>
            <w:r w:rsidR="00EA0F20">
              <w:t>linije</w:t>
            </w:r>
            <w:r>
              <w:t xml:space="preserve"> koju mora navesti institucija.</w:t>
            </w:r>
          </w:p>
        </w:tc>
      </w:tr>
      <w:tr w:rsidR="00393915" w14:paraId="7FE1C016" w14:textId="77777777">
        <w:tc>
          <w:tcPr>
            <w:tcW w:w="1191" w:type="dxa"/>
            <w:tcBorders>
              <w:top w:val="single" w:sz="4" w:space="0" w:color="1A171C"/>
              <w:left w:val="nil"/>
              <w:bottom w:val="single" w:sz="4" w:space="0" w:color="1A171C"/>
              <w:right w:val="single" w:sz="4" w:space="0" w:color="1A171C"/>
            </w:tcBorders>
            <w:vAlign w:val="center"/>
          </w:tcPr>
          <w:p w14:paraId="7FE1C013" w14:textId="77777777" w:rsidR="00393915" w:rsidRDefault="00F24D68">
            <w:pPr>
              <w:pStyle w:val="P68B1DB1-TableParagraph17"/>
              <w:spacing w:before="108"/>
              <w:ind w:left="85"/>
            </w:pPr>
            <w:r>
              <w:t>0030</w:t>
            </w:r>
          </w:p>
        </w:tc>
        <w:tc>
          <w:tcPr>
            <w:tcW w:w="7892" w:type="dxa"/>
            <w:tcBorders>
              <w:top w:val="single" w:sz="4" w:space="0" w:color="1A171C"/>
              <w:left w:val="single" w:sz="4" w:space="0" w:color="1A171C"/>
              <w:bottom w:val="single" w:sz="4" w:space="0" w:color="1A171C"/>
              <w:right w:val="nil"/>
            </w:tcBorders>
            <w:vAlign w:val="center"/>
          </w:tcPr>
          <w:p w14:paraId="7FE1C014" w14:textId="77777777" w:rsidR="00393915" w:rsidRDefault="00F24D68">
            <w:pPr>
              <w:pStyle w:val="P68B1DB1-TableParagraph14"/>
              <w:spacing w:before="108"/>
              <w:ind w:left="85"/>
              <w:jc w:val="both"/>
              <w:rPr>
                <w:bCs/>
              </w:rPr>
            </w:pPr>
            <w:r>
              <w:t>Opis</w:t>
            </w:r>
          </w:p>
          <w:p w14:paraId="7FE1C015" w14:textId="565CE0A0" w:rsidR="00393915" w:rsidRDefault="00F24D68">
            <w:pPr>
              <w:pStyle w:val="P68B1DB1-TableParagraph17"/>
              <w:spacing w:before="108"/>
              <w:ind w:left="85"/>
            </w:pPr>
            <w:r>
              <w:t xml:space="preserve">Opis </w:t>
            </w:r>
            <w:r>
              <w:t>poslovanja</w:t>
            </w:r>
            <w:r>
              <w:t>.</w:t>
            </w:r>
          </w:p>
        </w:tc>
      </w:tr>
      <w:tr w:rsidR="00393915" w14:paraId="7FE1C02E" w14:textId="77777777">
        <w:tc>
          <w:tcPr>
            <w:tcW w:w="1191" w:type="dxa"/>
            <w:tcBorders>
              <w:top w:val="single" w:sz="4" w:space="0" w:color="1A171C"/>
              <w:left w:val="nil"/>
              <w:bottom w:val="single" w:sz="4" w:space="0" w:color="1A171C"/>
              <w:right w:val="single" w:sz="4" w:space="0" w:color="1A171C"/>
            </w:tcBorders>
            <w:vAlign w:val="center"/>
          </w:tcPr>
          <w:p w14:paraId="7FE1C02A" w14:textId="46C1B07D" w:rsidR="00393915" w:rsidRDefault="00F24D68">
            <w:pPr>
              <w:pStyle w:val="P68B1DB1-TableParagraph17"/>
              <w:spacing w:before="108"/>
              <w:ind w:left="85"/>
            </w:pPr>
            <w:r>
              <w:t>0040</w:t>
            </w:r>
          </w:p>
        </w:tc>
        <w:tc>
          <w:tcPr>
            <w:tcW w:w="7892" w:type="dxa"/>
            <w:tcBorders>
              <w:top w:val="single" w:sz="4" w:space="0" w:color="1A171C"/>
              <w:left w:val="single" w:sz="4" w:space="0" w:color="1A171C"/>
              <w:bottom w:val="single" w:sz="4" w:space="0" w:color="1A171C"/>
              <w:right w:val="nil"/>
            </w:tcBorders>
            <w:vAlign w:val="center"/>
          </w:tcPr>
          <w:p w14:paraId="7FE1C02B" w14:textId="0F9C74D8" w:rsidR="00393915" w:rsidRDefault="00F24D68">
            <w:pPr>
              <w:pStyle w:val="P68B1DB1-TableParagraph14"/>
              <w:spacing w:before="108"/>
              <w:ind w:left="85"/>
              <w:jc w:val="both"/>
              <w:rPr>
                <w:bCs/>
              </w:rPr>
            </w:pPr>
            <w:r>
              <w:t>Naziv subjekta</w:t>
            </w:r>
          </w:p>
          <w:p w14:paraId="7FE1C02D" w14:textId="6DF9EA5E" w:rsidR="00393915" w:rsidRDefault="00F24D68">
            <w:pPr>
              <w:pStyle w:val="P68B1DB1-TableParagraph17"/>
              <w:spacing w:before="108"/>
              <w:ind w:left="85"/>
            </w:pPr>
            <w:r>
              <w:lastRenderedPageBreak/>
              <w:t>Naziv subjekta, kako je iskazan u predlošku Z 01.01 (ORG 1), koji pruža liniju.</w:t>
            </w:r>
          </w:p>
        </w:tc>
      </w:tr>
      <w:tr w:rsidR="00393915" w14:paraId="7FE1C033" w14:textId="77777777">
        <w:tc>
          <w:tcPr>
            <w:tcW w:w="1191" w:type="dxa"/>
            <w:tcBorders>
              <w:top w:val="single" w:sz="4" w:space="0" w:color="1A171C"/>
              <w:left w:val="nil"/>
              <w:bottom w:val="single" w:sz="4" w:space="0" w:color="1A171C"/>
              <w:right w:val="single" w:sz="4" w:space="0" w:color="1A171C"/>
            </w:tcBorders>
            <w:vAlign w:val="center"/>
          </w:tcPr>
          <w:p w14:paraId="7FE1C02F" w14:textId="6C4ACCFA" w:rsidR="00393915" w:rsidRDefault="00F24D68">
            <w:pPr>
              <w:pStyle w:val="P68B1DB1-TableParagraph17"/>
              <w:spacing w:before="108"/>
              <w:ind w:left="85"/>
            </w:pPr>
            <w:r>
              <w:lastRenderedPageBreak/>
              <w:t>0050</w:t>
            </w:r>
          </w:p>
        </w:tc>
        <w:tc>
          <w:tcPr>
            <w:tcW w:w="7892" w:type="dxa"/>
            <w:tcBorders>
              <w:top w:val="single" w:sz="4" w:space="0" w:color="1A171C"/>
              <w:left w:val="single" w:sz="4" w:space="0" w:color="1A171C"/>
              <w:bottom w:val="single" w:sz="4" w:space="0" w:color="1A171C"/>
              <w:right w:val="nil"/>
            </w:tcBorders>
            <w:vAlign w:val="center"/>
          </w:tcPr>
          <w:p w14:paraId="7FE1C030" w14:textId="77777777" w:rsidR="00393915" w:rsidRDefault="00F24D68">
            <w:pPr>
              <w:pStyle w:val="P68B1DB1-TableParagraph14"/>
              <w:spacing w:before="108"/>
              <w:ind w:left="85"/>
              <w:jc w:val="both"/>
              <w:rPr>
                <w:bCs/>
              </w:rPr>
            </w:pPr>
            <w:r>
              <w:t xml:space="preserve">Oznaka </w:t>
            </w:r>
          </w:p>
          <w:p w14:paraId="7FE1C031" w14:textId="77777777" w:rsidR="00393915" w:rsidRDefault="00F24D68">
            <w:pPr>
              <w:pStyle w:val="P68B1DB1-TableParagraph17"/>
              <w:spacing w:before="108"/>
              <w:ind w:left="85"/>
            </w:pPr>
            <w:r>
              <w:t>Jedinstvena identifikacijska oznaka pravne osobe u stupcu 0020, kako je iskazana u predlošku Z 01.01 (ORG 1).</w:t>
            </w:r>
          </w:p>
          <w:p w14:paraId="7FE1C032" w14:textId="27A1089E" w:rsidR="00393915" w:rsidRDefault="00CF0820">
            <w:pPr>
              <w:pStyle w:val="P68B1DB1-TableParagraph17"/>
              <w:spacing w:before="108"/>
              <w:ind w:left="85"/>
            </w:pPr>
            <w:r>
              <w:t xml:space="preserve">Identifikacija subjekata utvrđuje se </w:t>
            </w:r>
            <w:r w:rsidR="00F24D68">
              <w:t>dosljedno u svim predlošcima.</w:t>
            </w:r>
          </w:p>
        </w:tc>
      </w:tr>
      <w:tr w:rsidR="00393915" w14:paraId="7FE1C03A" w14:textId="77777777">
        <w:tc>
          <w:tcPr>
            <w:tcW w:w="1191" w:type="dxa"/>
            <w:tcBorders>
              <w:top w:val="single" w:sz="4" w:space="0" w:color="1A171C"/>
              <w:left w:val="nil"/>
              <w:bottom w:val="single" w:sz="4" w:space="0" w:color="1A171C"/>
              <w:right w:val="single" w:sz="4" w:space="0" w:color="1A171C"/>
            </w:tcBorders>
            <w:vAlign w:val="center"/>
          </w:tcPr>
          <w:p w14:paraId="7FE1C034" w14:textId="0F108D7B" w:rsidR="00393915" w:rsidRDefault="00F24D68">
            <w:pPr>
              <w:pStyle w:val="P68B1DB1-TableParagraph17"/>
              <w:spacing w:before="108"/>
              <w:ind w:left="85"/>
            </w:pPr>
            <w:r>
              <w:t>0060</w:t>
            </w:r>
          </w:p>
        </w:tc>
        <w:tc>
          <w:tcPr>
            <w:tcW w:w="7892" w:type="dxa"/>
            <w:tcBorders>
              <w:top w:val="single" w:sz="4" w:space="0" w:color="1A171C"/>
              <w:left w:val="single" w:sz="4" w:space="0" w:color="1A171C"/>
              <w:bottom w:val="single" w:sz="4" w:space="0" w:color="1A171C"/>
              <w:right w:val="nil"/>
            </w:tcBorders>
            <w:vAlign w:val="center"/>
          </w:tcPr>
          <w:p w14:paraId="7FE1C035" w14:textId="77777777" w:rsidR="00393915" w:rsidRDefault="00F24D68">
            <w:pPr>
              <w:pStyle w:val="P68B1DB1-TableParagraph14"/>
              <w:spacing w:before="108"/>
              <w:ind w:left="85"/>
              <w:jc w:val="both"/>
              <w:rPr>
                <w:bCs/>
              </w:rPr>
            </w:pPr>
            <w:r>
              <w:t>Vrsta oznake</w:t>
            </w:r>
          </w:p>
          <w:p w14:paraId="4F36B5CB" w14:textId="07410AE4" w:rsidR="00393915" w:rsidRDefault="00F24D68">
            <w:pPr>
              <w:pStyle w:val="P68B1DB1-TableParagraph13"/>
              <w:spacing w:before="108"/>
              <w:ind w:left="85"/>
              <w:jc w:val="both"/>
              <w:rPr>
                <w:bCs/>
              </w:rPr>
            </w:pPr>
            <w:r>
              <w:t>Odabrati među sljedećim opcijama: „</w:t>
            </w:r>
            <w:r w:rsidR="00B87E6E">
              <w:t>o</w:t>
            </w:r>
            <w:r w:rsidR="00B87E6E">
              <w:t>o</w:t>
            </w:r>
            <w:r>
              <w:t>znaka</w:t>
            </w:r>
            <w:r>
              <w:t xml:space="preserve"> LEI”, „oznaka MFI” ili „</w:t>
            </w:r>
            <w:r w:rsidR="00B87E6E">
              <w:t>v</w:t>
            </w:r>
            <w:r w:rsidR="00B87E6E">
              <w:t>v</w:t>
            </w:r>
            <w:r>
              <w:t>rsta</w:t>
            </w:r>
            <w:r>
              <w:t xml:space="preserve"> identifikacijske oznake, osim LEI-ja ili MFI-ja”.</w:t>
            </w:r>
          </w:p>
          <w:p w14:paraId="7FE1C039" w14:textId="654B8D7D" w:rsidR="00393915" w:rsidRDefault="00CF128B">
            <w:pPr>
              <w:pStyle w:val="P68B1DB1-TableParagraph13"/>
              <w:spacing w:before="108"/>
              <w:ind w:left="85"/>
              <w:jc w:val="both"/>
              <w:rPr>
                <w:b/>
                <w:bCs/>
              </w:rPr>
            </w:pPr>
            <w:r>
              <w:t xml:space="preserve">Identifikacija subjekata utvrđuje se </w:t>
            </w:r>
            <w:r w:rsidR="00F24D68">
              <w:t xml:space="preserve">dosljedno u svim predlošcima. </w:t>
            </w:r>
          </w:p>
        </w:tc>
      </w:tr>
    </w:tbl>
    <w:p w14:paraId="7FE1C03B" w14:textId="2C70ACE0" w:rsidR="00393915" w:rsidRDefault="00F24D68">
      <w:pPr>
        <w:pStyle w:val="P68B1DB1-Instructionsberschrift25"/>
        <w:numPr>
          <w:ilvl w:val="1"/>
          <w:numId w:val="49"/>
        </w:numPr>
        <w:ind w:left="357" w:hanging="357"/>
      </w:pPr>
      <w:bookmarkStart w:id="125" w:name="_Toc208244815"/>
      <w:r>
        <w:t xml:space="preserve">Z 07.04 – </w:t>
      </w:r>
      <w:r w:rsidR="00285BC5">
        <w:t xml:space="preserve">Mapiranje </w:t>
      </w:r>
      <w:r>
        <w:t xml:space="preserve">ključnih funkcija po temeljnim </w:t>
      </w:r>
      <w:r w:rsidR="00285BC5">
        <w:t xml:space="preserve">poslovnim </w:t>
      </w:r>
      <w:r>
        <w:t>linijama (FUNC 4)</w:t>
      </w:r>
      <w:bookmarkEnd w:id="125"/>
    </w:p>
    <w:p w14:paraId="7FE1C03C" w14:textId="77777777" w:rsidR="00393915" w:rsidRDefault="00F24D68">
      <w:pPr>
        <w:pStyle w:val="P68B1DB1-Instructionsberschrift312"/>
        <w:rPr>
          <w:bCs/>
        </w:rPr>
      </w:pPr>
      <w:r>
        <w:t>Upute za specifične pozicije</w:t>
      </w:r>
    </w:p>
    <w:p w14:paraId="7FE1C03E" w14:textId="1250AC76" w:rsidR="00393915" w:rsidRDefault="00F24D68">
      <w:pPr>
        <w:pStyle w:val="P68B1DB1-InstructionsText26"/>
        <w:numPr>
          <w:ilvl w:val="0"/>
          <w:numId w:val="0"/>
        </w:numPr>
        <w:spacing w:before="0"/>
        <w:ind w:left="1800"/>
      </w:pPr>
      <w:r>
        <w:t>Kombinacija vrijednosti iskazanih u stupcima 0010, 0020 i 0040 ovog predloška čini primarni ključ koji mora biti jedinstven za svaki redak predloška.</w:t>
      </w:r>
    </w:p>
    <w:p w14:paraId="67939923" w14:textId="7339CE4F" w:rsidR="00393915" w:rsidRDefault="00F24D68">
      <w:pPr>
        <w:pStyle w:val="CommentText"/>
        <w:rPr>
          <w:rFonts w:ascii="Times New Roman" w:hAnsi="Times New Roman" w:cs="Times New Roman"/>
        </w:rPr>
      </w:pPr>
      <w:r>
        <w:rPr>
          <w:rFonts w:ascii="Times New Roman" w:hAnsi="Times New Roman" w:cs="Times New Roman"/>
        </w:rPr>
        <w:t xml:space="preserve">Samo ključne funkcije, kako su utvrđene u </w:t>
      </w:r>
      <w:r w:rsidR="00AB604C">
        <w:rPr>
          <w:rFonts w:ascii="Times New Roman" w:hAnsi="Times New Roman" w:cs="Times New Roman"/>
        </w:rPr>
        <w:t>predlošcima</w:t>
      </w:r>
      <w:r w:rsidR="00AB604C">
        <w:rPr>
          <w:rFonts w:ascii="Times New Roman" w:hAnsi="Times New Roman" w:cs="Times New Roman"/>
        </w:rPr>
        <w:t>predlošcima</w:t>
      </w:r>
      <w:r w:rsidR="00AB604C">
        <w:rPr>
          <w:rFonts w:ascii="Times New Roman" w:hAnsi="Times New Roman" w:cs="Times New Roman"/>
        </w:rPr>
        <w:t xml:space="preserve"> </w:t>
      </w:r>
      <w:r w:rsidR="00FB694F" w:rsidRPr="00F83F66">
        <w:rPr>
          <w:rFonts w:ascii="Times New Roman" w:hAnsi="Times New Roman"/>
        </w:rPr>
        <w:t>{</w:t>
      </w:r>
      <w:r>
        <w:rPr>
          <w:i/>
        </w:rPr>
        <w:t xml:space="preserve"> Z 07.01.1 FUNC 1 DEP; c0170; Z 07.01.2 FUNC 1 LEN, c0180; Z 07.01.3 FUNC 1 PAY, c0250; Z 07.01.4 FUNC 1 CM, c0210; Z 07.01.5 FUNC 1 WF, </w:t>
      </w:r>
      <w:r>
        <w:rPr>
          <w:rFonts w:ascii="Times New Roman" w:hAnsi="Times New Roman" w:cs="Times New Roman"/>
        </w:rPr>
        <w:t xml:space="preserve">c0180 </w:t>
      </w:r>
      <w:r w:rsidR="00FB694F" w:rsidRPr="00F83F66">
        <w:rPr>
          <w:rFonts w:ascii="Times New Roman" w:hAnsi="Times New Roman" w:cs="Times New Roman"/>
        </w:rPr>
        <w:t>}</w:t>
      </w:r>
      <w:r w:rsidR="00AB604C">
        <w:rPr>
          <w:rFonts w:ascii="Times New Roman" w:hAnsi="Times New Roman" w:cs="Times New Roman"/>
        </w:rPr>
        <w:t>u</w:t>
      </w:r>
      <w:r w:rsidR="00FB694F" w:rsidRPr="00F15538">
        <w:rPr>
          <w:rFonts w:ascii="Times New Roman" w:hAnsi="Times New Roman" w:cs="Times New Roman"/>
        </w:rPr>
        <w:t>}</w:t>
      </w:r>
      <w:r>
        <w:rPr>
          <w:rFonts w:ascii="Times New Roman" w:hAnsi="Times New Roman" w:cs="Times New Roman"/>
        </w:rPr>
        <w:t>, iskazuj</w:t>
      </w:r>
      <w:r w:rsidR="00AB604C">
        <w:rPr>
          <w:rFonts w:ascii="Times New Roman" w:hAnsi="Times New Roman" w:cs="Times New Roman"/>
        </w:rPr>
        <w:t>u</w:t>
      </w:r>
      <w:r>
        <w:rPr>
          <w:rFonts w:ascii="Times New Roman" w:hAnsi="Times New Roman" w:cs="Times New Roman"/>
        </w:rPr>
        <w:t xml:space="preserve"> se u ovom predlošku.</w:t>
      </w:r>
    </w:p>
    <w:p w14:paraId="7FE1C040" w14:textId="77777777" w:rsidR="00393915" w:rsidRDefault="00393915">
      <w:pPr>
        <w:pStyle w:val="CommentText"/>
        <w:rPr>
          <w:rFonts w:ascii="Times New Roman" w:hAnsi="Times New Roman" w:cs="Times New Roman"/>
        </w:rPr>
      </w:pPr>
    </w:p>
    <w:tbl>
      <w:tblPr>
        <w:tblW w:w="9083" w:type="dxa"/>
        <w:tblLayout w:type="fixed"/>
        <w:tblCellMar>
          <w:top w:w="57" w:type="dxa"/>
          <w:left w:w="57" w:type="dxa"/>
          <w:bottom w:w="57" w:type="dxa"/>
          <w:right w:w="0" w:type="dxa"/>
        </w:tblCellMar>
        <w:tblLook w:val="01E0" w:firstRow="1" w:lastRow="1" w:firstColumn="1" w:lastColumn="1" w:noHBand="0" w:noVBand="0"/>
      </w:tblPr>
      <w:tblGrid>
        <w:gridCol w:w="1191"/>
        <w:gridCol w:w="7892"/>
      </w:tblGrid>
      <w:tr w:rsidR="00393915" w14:paraId="7FE1C043" w14:textId="77777777">
        <w:tc>
          <w:tcPr>
            <w:tcW w:w="1191" w:type="dxa"/>
            <w:tcBorders>
              <w:top w:val="single" w:sz="4" w:space="0" w:color="1A171C"/>
              <w:left w:val="nil"/>
              <w:bottom w:val="single" w:sz="4" w:space="0" w:color="1A171C"/>
              <w:right w:val="single" w:sz="4" w:space="0" w:color="1A171C"/>
            </w:tcBorders>
            <w:shd w:val="clear" w:color="auto" w:fill="E4E5E5"/>
          </w:tcPr>
          <w:p w14:paraId="7FE1C041" w14:textId="77777777" w:rsidR="00393915" w:rsidRDefault="00F24D68">
            <w:pPr>
              <w:pStyle w:val="P68B1DB1-TableParagraph17"/>
              <w:spacing w:before="108"/>
              <w:ind w:left="85"/>
              <w:jc w:val="both"/>
            </w:pPr>
            <w:r>
              <w:t>Stupci</w:t>
            </w:r>
          </w:p>
        </w:tc>
        <w:tc>
          <w:tcPr>
            <w:tcW w:w="7892" w:type="dxa"/>
            <w:tcBorders>
              <w:top w:val="single" w:sz="4" w:space="0" w:color="1A171C"/>
              <w:left w:val="single" w:sz="4" w:space="0" w:color="1A171C"/>
              <w:bottom w:val="single" w:sz="4" w:space="0" w:color="1A171C"/>
              <w:right w:val="nil"/>
            </w:tcBorders>
            <w:shd w:val="clear" w:color="auto" w:fill="E4E5E5"/>
          </w:tcPr>
          <w:p w14:paraId="7FE1C042" w14:textId="77777777" w:rsidR="00393915" w:rsidRDefault="00F24D68">
            <w:pPr>
              <w:pStyle w:val="P68B1DB1-TableParagraph17"/>
              <w:spacing w:before="108"/>
              <w:ind w:left="85" w:right="1"/>
              <w:jc w:val="both"/>
            </w:pPr>
            <w:r>
              <w:t>Upute</w:t>
            </w:r>
          </w:p>
        </w:tc>
      </w:tr>
      <w:tr w:rsidR="00393915" w14:paraId="7FE1C046" w14:textId="77777777">
        <w:tc>
          <w:tcPr>
            <w:tcW w:w="1191" w:type="dxa"/>
            <w:tcBorders>
              <w:top w:val="single" w:sz="4" w:space="0" w:color="1A171C"/>
              <w:left w:val="nil"/>
              <w:bottom w:val="single" w:sz="4" w:space="0" w:color="1A171C"/>
              <w:right w:val="single" w:sz="4" w:space="0" w:color="1A171C"/>
            </w:tcBorders>
            <w:vAlign w:val="center"/>
          </w:tcPr>
          <w:p w14:paraId="7FE1C044" w14:textId="77777777" w:rsidR="00393915" w:rsidRDefault="00F24D68">
            <w:pPr>
              <w:pStyle w:val="P68B1DB1-TableParagraph13"/>
              <w:spacing w:before="108"/>
              <w:ind w:left="85"/>
            </w:pPr>
            <w:r>
              <w:t xml:space="preserve">0010 – 0020 </w:t>
            </w:r>
          </w:p>
        </w:tc>
        <w:tc>
          <w:tcPr>
            <w:tcW w:w="7892" w:type="dxa"/>
            <w:tcBorders>
              <w:top w:val="single" w:sz="4" w:space="0" w:color="1A171C"/>
              <w:left w:val="single" w:sz="4" w:space="0" w:color="1A171C"/>
              <w:bottom w:val="single" w:sz="4" w:space="0" w:color="1A171C"/>
              <w:right w:val="nil"/>
            </w:tcBorders>
            <w:vAlign w:val="center"/>
          </w:tcPr>
          <w:p w14:paraId="7FE1C045" w14:textId="2FA81A45" w:rsidR="00393915" w:rsidRDefault="00F24D68">
            <w:pPr>
              <w:pStyle w:val="P68B1DB1-TableParagraph14"/>
              <w:spacing w:before="108"/>
              <w:ind w:left="85"/>
              <w:jc w:val="both"/>
              <w:rPr>
                <w:bCs/>
              </w:rPr>
            </w:pPr>
            <w:r>
              <w:t xml:space="preserve"> Ključna funkcija</w:t>
            </w:r>
          </w:p>
        </w:tc>
      </w:tr>
      <w:tr w:rsidR="00393915" w14:paraId="7FE1C04A" w14:textId="77777777">
        <w:tc>
          <w:tcPr>
            <w:tcW w:w="1191" w:type="dxa"/>
            <w:tcBorders>
              <w:top w:val="single" w:sz="4" w:space="0" w:color="1A171C"/>
              <w:left w:val="nil"/>
              <w:bottom w:val="single" w:sz="4" w:space="0" w:color="1A171C"/>
              <w:right w:val="single" w:sz="4" w:space="0" w:color="1A171C"/>
            </w:tcBorders>
            <w:vAlign w:val="center"/>
          </w:tcPr>
          <w:p w14:paraId="7FE1C047" w14:textId="77777777" w:rsidR="00393915" w:rsidRDefault="00F24D68">
            <w:pPr>
              <w:pStyle w:val="P68B1DB1-TableParagraph13"/>
              <w:spacing w:before="108"/>
              <w:ind w:left="85"/>
              <w:rPr>
                <w:rFonts w:eastAsia="Cambria"/>
              </w:rPr>
            </w:pPr>
            <w:r>
              <w:t>0010</w:t>
            </w:r>
          </w:p>
        </w:tc>
        <w:tc>
          <w:tcPr>
            <w:tcW w:w="7892" w:type="dxa"/>
            <w:tcBorders>
              <w:top w:val="single" w:sz="4" w:space="0" w:color="1A171C"/>
              <w:left w:val="single" w:sz="4" w:space="0" w:color="1A171C"/>
              <w:bottom w:val="single" w:sz="4" w:space="0" w:color="1A171C"/>
              <w:right w:val="nil"/>
            </w:tcBorders>
            <w:vAlign w:val="center"/>
          </w:tcPr>
          <w:p w14:paraId="7FE1C048" w14:textId="77777777" w:rsidR="00393915" w:rsidRDefault="00F24D68">
            <w:pPr>
              <w:pStyle w:val="P68B1DB1-TableParagraph14"/>
              <w:spacing w:before="108"/>
              <w:ind w:left="85"/>
              <w:jc w:val="both"/>
              <w:rPr>
                <w:bCs/>
              </w:rPr>
            </w:pPr>
            <w:r>
              <w:t>Država</w:t>
            </w:r>
          </w:p>
          <w:p w14:paraId="7FE1C049" w14:textId="77777777" w:rsidR="00393915" w:rsidRDefault="00F24D68">
            <w:pPr>
              <w:pStyle w:val="P68B1DB1-TableParagraph17"/>
              <w:spacing w:before="108"/>
              <w:ind w:left="85"/>
            </w:pPr>
            <w:r>
              <w:t>Zemlja za koju je funkcija ključna, kako je iskazano u predlošku Z 07.01 (FUNC 1)</w:t>
            </w:r>
          </w:p>
        </w:tc>
      </w:tr>
      <w:tr w:rsidR="00393915" w14:paraId="7FE1C04E" w14:textId="77777777">
        <w:tc>
          <w:tcPr>
            <w:tcW w:w="1191" w:type="dxa"/>
            <w:tcBorders>
              <w:top w:val="single" w:sz="4" w:space="0" w:color="1A171C"/>
              <w:left w:val="nil"/>
              <w:bottom w:val="single" w:sz="4" w:space="0" w:color="1A171C"/>
              <w:right w:val="single" w:sz="4" w:space="0" w:color="1A171C"/>
            </w:tcBorders>
            <w:vAlign w:val="center"/>
          </w:tcPr>
          <w:p w14:paraId="7FE1C04B" w14:textId="77777777" w:rsidR="00393915" w:rsidRDefault="00F24D68">
            <w:pPr>
              <w:pStyle w:val="P68B1DB1-TableParagraph13"/>
              <w:spacing w:before="108"/>
              <w:ind w:left="85"/>
              <w:rPr>
                <w:rFonts w:eastAsia="Cambria"/>
              </w:rPr>
            </w:pPr>
            <w:r>
              <w:t>0020</w:t>
            </w:r>
          </w:p>
        </w:tc>
        <w:tc>
          <w:tcPr>
            <w:tcW w:w="7892" w:type="dxa"/>
            <w:tcBorders>
              <w:top w:val="single" w:sz="4" w:space="0" w:color="1A171C"/>
              <w:left w:val="single" w:sz="4" w:space="0" w:color="1A171C"/>
              <w:bottom w:val="single" w:sz="4" w:space="0" w:color="1A171C"/>
              <w:right w:val="nil"/>
            </w:tcBorders>
            <w:vAlign w:val="center"/>
          </w:tcPr>
          <w:p w14:paraId="7FE1C04C" w14:textId="5F04938B" w:rsidR="00393915" w:rsidRDefault="00F24D68">
            <w:pPr>
              <w:pStyle w:val="P68B1DB1-TableParagraph14"/>
              <w:spacing w:before="108"/>
              <w:ind w:left="85"/>
              <w:jc w:val="both"/>
              <w:rPr>
                <w:bCs/>
              </w:rPr>
            </w:pPr>
            <w:r>
              <w:t>IDENTIFIKACIJSKI BROJ</w:t>
            </w:r>
          </w:p>
          <w:p w14:paraId="7FE1C04D" w14:textId="4D9D2A77" w:rsidR="00393915" w:rsidRDefault="00F24D68">
            <w:pPr>
              <w:pStyle w:val="P68B1DB1-TableParagraph17"/>
              <w:spacing w:before="108"/>
              <w:ind w:left="85"/>
            </w:pPr>
            <w:r>
              <w:t>Identifikacijska oznaka ključnih funkcija iz predloška Z 07.01 (FUNC 1)</w:t>
            </w:r>
          </w:p>
        </w:tc>
      </w:tr>
      <w:tr w:rsidR="00393915" w14:paraId="7FE1C051" w14:textId="77777777">
        <w:tc>
          <w:tcPr>
            <w:tcW w:w="1191" w:type="dxa"/>
            <w:tcBorders>
              <w:top w:val="single" w:sz="4" w:space="0" w:color="1A171C"/>
              <w:left w:val="nil"/>
              <w:bottom w:val="single" w:sz="4" w:space="0" w:color="1A171C"/>
              <w:right w:val="single" w:sz="4" w:space="0" w:color="1A171C"/>
            </w:tcBorders>
            <w:vAlign w:val="center"/>
          </w:tcPr>
          <w:p w14:paraId="7FE1C04F" w14:textId="77777777" w:rsidR="00393915" w:rsidRDefault="00F24D68">
            <w:pPr>
              <w:pStyle w:val="P68B1DB1-TableParagraph13"/>
              <w:spacing w:before="108"/>
              <w:ind w:left="85"/>
            </w:pPr>
            <w:r>
              <w:t xml:space="preserve">0030 – 0040 </w:t>
            </w:r>
          </w:p>
        </w:tc>
        <w:tc>
          <w:tcPr>
            <w:tcW w:w="7892" w:type="dxa"/>
            <w:tcBorders>
              <w:top w:val="single" w:sz="4" w:space="0" w:color="1A171C"/>
              <w:left w:val="single" w:sz="4" w:space="0" w:color="1A171C"/>
              <w:bottom w:val="single" w:sz="4" w:space="0" w:color="1A171C"/>
              <w:right w:val="nil"/>
            </w:tcBorders>
            <w:vAlign w:val="center"/>
          </w:tcPr>
          <w:p w14:paraId="7FE1C050" w14:textId="132A5066" w:rsidR="00393915" w:rsidRDefault="00F24D68">
            <w:pPr>
              <w:pStyle w:val="P68B1DB1-TableParagraph14"/>
              <w:spacing w:before="108"/>
              <w:ind w:left="85"/>
              <w:jc w:val="both"/>
              <w:rPr>
                <w:bCs/>
              </w:rPr>
            </w:pPr>
            <w:r>
              <w:t xml:space="preserve">Temeljna linija </w:t>
            </w:r>
          </w:p>
        </w:tc>
      </w:tr>
      <w:tr w:rsidR="00393915" w14:paraId="7FE1C057" w14:textId="77777777">
        <w:tc>
          <w:tcPr>
            <w:tcW w:w="1191" w:type="dxa"/>
            <w:tcBorders>
              <w:top w:val="single" w:sz="4" w:space="0" w:color="1A171C"/>
              <w:left w:val="nil"/>
              <w:bottom w:val="single" w:sz="4" w:space="0" w:color="1A171C"/>
              <w:right w:val="single" w:sz="4" w:space="0" w:color="1A171C"/>
            </w:tcBorders>
            <w:vAlign w:val="center"/>
          </w:tcPr>
          <w:p w14:paraId="7FE1C052" w14:textId="77777777" w:rsidR="00393915" w:rsidRDefault="00F24D68">
            <w:pPr>
              <w:pStyle w:val="P68B1DB1-TableParagraph13"/>
              <w:spacing w:before="108"/>
              <w:ind w:left="85"/>
              <w:rPr>
                <w:rFonts w:eastAsia="Cambria"/>
              </w:rPr>
            </w:pPr>
            <w:r>
              <w:t>0030</w:t>
            </w:r>
          </w:p>
        </w:tc>
        <w:tc>
          <w:tcPr>
            <w:tcW w:w="7892" w:type="dxa"/>
            <w:tcBorders>
              <w:top w:val="single" w:sz="4" w:space="0" w:color="1A171C"/>
              <w:left w:val="single" w:sz="4" w:space="0" w:color="1A171C"/>
              <w:bottom w:val="single" w:sz="4" w:space="0" w:color="1A171C"/>
              <w:right w:val="nil"/>
            </w:tcBorders>
            <w:vAlign w:val="center"/>
          </w:tcPr>
          <w:p w14:paraId="7FE1C055" w14:textId="31D8AB09" w:rsidR="00393915" w:rsidRDefault="00F24D68">
            <w:pPr>
              <w:pStyle w:val="P68B1DB1-TableParagraph14"/>
              <w:spacing w:before="108"/>
              <w:ind w:left="85"/>
              <w:jc w:val="both"/>
              <w:rPr>
                <w:bCs/>
              </w:rPr>
            </w:pPr>
            <w:r>
              <w:t xml:space="preserve">Temeljna linija </w:t>
            </w:r>
          </w:p>
          <w:p w14:paraId="7FE1C056" w14:textId="7D0228B0" w:rsidR="00393915" w:rsidRDefault="00F24D68">
            <w:pPr>
              <w:pStyle w:val="P68B1DB1-TableParagraph17"/>
              <w:spacing w:before="108"/>
              <w:ind w:left="85"/>
            </w:pPr>
            <w:r>
              <w:t>Temeljna</w:t>
            </w:r>
            <w:r>
              <w:t xml:space="preserve"> </w:t>
            </w:r>
            <w:r>
              <w:t>linija u skladu s člankom 2. stavkom 1. točkom 36. i člankom 2. stavkom 2. Direktive 2014/59/EU kako je iskazano u predlošku Z 07.03 (FUNC 3)</w:t>
            </w:r>
          </w:p>
        </w:tc>
      </w:tr>
      <w:tr w:rsidR="00393915" w14:paraId="7FE1C05B" w14:textId="77777777">
        <w:tc>
          <w:tcPr>
            <w:tcW w:w="1191" w:type="dxa"/>
            <w:tcBorders>
              <w:top w:val="single" w:sz="4" w:space="0" w:color="1A171C"/>
              <w:left w:val="nil"/>
              <w:bottom w:val="single" w:sz="4" w:space="0" w:color="1A171C"/>
              <w:right w:val="single" w:sz="4" w:space="0" w:color="1A171C"/>
            </w:tcBorders>
            <w:vAlign w:val="center"/>
          </w:tcPr>
          <w:p w14:paraId="7FE1C058" w14:textId="7310E27F" w:rsidR="00393915" w:rsidRDefault="00F24D68">
            <w:pPr>
              <w:pStyle w:val="P68B1DB1-TableParagraph13"/>
              <w:spacing w:before="108"/>
              <w:ind w:left="85"/>
              <w:rPr>
                <w:rFonts w:eastAsia="Cambria"/>
              </w:rPr>
            </w:pPr>
            <w:r>
              <w:t>0040</w:t>
            </w:r>
          </w:p>
        </w:tc>
        <w:tc>
          <w:tcPr>
            <w:tcW w:w="7892" w:type="dxa"/>
            <w:tcBorders>
              <w:top w:val="single" w:sz="4" w:space="0" w:color="1A171C"/>
              <w:left w:val="single" w:sz="4" w:space="0" w:color="1A171C"/>
              <w:bottom w:val="single" w:sz="4" w:space="0" w:color="1A171C"/>
              <w:right w:val="nil"/>
            </w:tcBorders>
            <w:vAlign w:val="center"/>
          </w:tcPr>
          <w:p w14:paraId="7FE1C059" w14:textId="3D53B719" w:rsidR="00393915" w:rsidRDefault="009D24A1">
            <w:pPr>
              <w:pStyle w:val="P68B1DB1-TableParagraph14"/>
              <w:spacing w:before="108"/>
              <w:ind w:left="85"/>
              <w:jc w:val="both"/>
              <w:rPr>
                <w:bCs/>
              </w:rPr>
            </w:pPr>
            <w:r>
              <w:t>Poslovna linija</w:t>
            </w:r>
            <w:r w:rsidR="00F24D68">
              <w:t xml:space="preserve">: Identifikacijska oznaka </w:t>
            </w:r>
            <w:r>
              <w:t>linije</w:t>
            </w:r>
          </w:p>
          <w:p w14:paraId="7FE1C05A" w14:textId="6269AFC1" w:rsidR="00393915" w:rsidRDefault="00F24D68">
            <w:pPr>
              <w:pStyle w:val="P68B1DB1-TableParagraph17"/>
              <w:spacing w:before="108"/>
              <w:ind w:left="85"/>
            </w:pPr>
            <w:r>
              <w:t xml:space="preserve">Jedinstvena identifikacijska oznaka </w:t>
            </w:r>
            <w:r w:rsidR="002B2803">
              <w:t>linije</w:t>
            </w:r>
            <w:r>
              <w:t xml:space="preserve"> koju mora navesti institucija; ista identifikacijska oznaka kao i ona iskazana u predlošku Z 07.03 (FUNC 3)</w:t>
            </w:r>
          </w:p>
        </w:tc>
      </w:tr>
    </w:tbl>
    <w:p w14:paraId="7FE1C222" w14:textId="77777777" w:rsidR="00393915" w:rsidRDefault="00393915">
      <w:pPr>
        <w:rPr>
          <w:rFonts w:ascii="Times New Roman" w:hAnsi="Times New Roman" w:cs="Times New Roman"/>
          <w:b/>
          <w:color w:val="000000" w:themeColor="text1"/>
          <w:sz w:val="20"/>
          <w:szCs w:val="20"/>
          <w:u w:val="single"/>
        </w:rPr>
      </w:pPr>
    </w:p>
    <w:p w14:paraId="7FE1C223" w14:textId="77777777" w:rsidR="00393915" w:rsidRDefault="00F24D68">
      <w:pPr>
        <w:pStyle w:val="P68B1DB1-Instructionsberschrift244"/>
        <w:numPr>
          <w:ilvl w:val="1"/>
          <w:numId w:val="49"/>
        </w:numPr>
        <w:ind w:left="357" w:hanging="357"/>
      </w:pPr>
      <w:bookmarkStart w:id="126" w:name="_Toc208244816"/>
      <w:r>
        <w:t>Relevantne usluge</w:t>
      </w:r>
      <w:bookmarkEnd w:id="126"/>
    </w:p>
    <w:p w14:paraId="7FE1C224" w14:textId="70045BAA" w:rsidR="00393915" w:rsidRDefault="00F24D68">
      <w:pPr>
        <w:pStyle w:val="P68B1DB1-Instructionsberschrift25"/>
        <w:numPr>
          <w:ilvl w:val="1"/>
          <w:numId w:val="49"/>
        </w:numPr>
        <w:ind w:left="357" w:hanging="357"/>
        <w:rPr>
          <w:rFonts w:eastAsia="Calibri"/>
        </w:rPr>
      </w:pPr>
      <w:bookmarkStart w:id="127" w:name="_Toc208244817"/>
      <w:r>
        <w:t>Predložak Z 08.01 – Relevantne usluge (SERV 1)</w:t>
      </w:r>
      <w:bookmarkEnd w:id="127"/>
      <w:r>
        <w:t xml:space="preserve"> </w:t>
      </w:r>
    </w:p>
    <w:p w14:paraId="7FE1C225" w14:textId="77777777" w:rsidR="00393915" w:rsidRDefault="00066E50">
      <w:pPr>
        <w:pStyle w:val="P68B1DB1-Normal45"/>
        <w:spacing w:line="276" w:lineRule="auto"/>
        <w:jc w:val="both"/>
      </w:pPr>
      <w:r>
        <w:t xml:space="preserve">II.8.1 </w:t>
      </w:r>
      <w:r w:rsidR="00F24D68">
        <w:t>Opće upute</w:t>
      </w:r>
    </w:p>
    <w:p w14:paraId="7FE1C226" w14:textId="77777777" w:rsidR="00393915" w:rsidRDefault="00393915">
      <w:pPr>
        <w:spacing w:line="276" w:lineRule="auto"/>
        <w:jc w:val="both"/>
        <w:rPr>
          <w:rFonts w:ascii="Times New Roman" w:eastAsia="Calibri" w:hAnsi="Times New Roman" w:cs="Times New Roman"/>
          <w:sz w:val="20"/>
        </w:rPr>
      </w:pPr>
    </w:p>
    <w:p w14:paraId="7FE1C228" w14:textId="09089779" w:rsidR="00393915" w:rsidRDefault="00F24D68">
      <w:pPr>
        <w:pStyle w:val="P68B1DB1-Instructionsberschrift346"/>
        <w:numPr>
          <w:ilvl w:val="4"/>
          <w:numId w:val="49"/>
        </w:numPr>
        <w:ind w:left="928"/>
        <w:contextualSpacing/>
        <w:jc w:val="both"/>
        <w:rPr>
          <w:color w:val="auto"/>
        </w:rPr>
      </w:pPr>
      <w:r>
        <w:lastRenderedPageBreak/>
        <w:t xml:space="preserve">Informacije koje se moraju uključiti u ovom predlošku iskazuju se jednom za cijelu grupu, pri čemu se navode </w:t>
      </w:r>
      <w:r>
        <w:rPr>
          <w:color w:val="auto"/>
        </w:rPr>
        <w:t xml:space="preserve">relevantne </w:t>
      </w:r>
      <w:r>
        <w:t xml:space="preserve">usluge koje prima bilo koji subjekt u grupi i povezuje ih se s ključnim funkcijama </w:t>
      </w:r>
      <w:r>
        <w:rPr>
          <w:color w:val="auto"/>
        </w:rPr>
        <w:t xml:space="preserve">i </w:t>
      </w:r>
      <w:r w:rsidR="00705D58">
        <w:rPr>
          <w:color w:val="auto"/>
        </w:rPr>
        <w:t xml:space="preserve">temeljnim </w:t>
      </w:r>
      <w:r>
        <w:rPr>
          <w:color w:val="auto"/>
        </w:rPr>
        <w:t xml:space="preserve">linijama </w:t>
      </w:r>
      <w:r w:rsidR="000D2F3C">
        <w:rPr>
          <w:color w:val="auto"/>
        </w:rPr>
        <w:t xml:space="preserve">poslovanja </w:t>
      </w:r>
      <w:r>
        <w:t>koje pruža</w:t>
      </w:r>
      <w:r>
        <w:rPr>
          <w:color w:val="auto"/>
        </w:rPr>
        <w:t xml:space="preserve"> </w:t>
      </w:r>
      <w:r>
        <w:t>grupa.</w:t>
      </w:r>
    </w:p>
    <w:p w14:paraId="7FE1C229" w14:textId="29A7A20C" w:rsidR="00393915" w:rsidRDefault="00F24D68">
      <w:pPr>
        <w:pStyle w:val="Instructionsberschrift3"/>
        <w:ind w:left="928"/>
        <w:contextualSpacing/>
        <w:jc w:val="both"/>
        <w:rPr>
          <w:rFonts w:eastAsia="MS Mincho"/>
          <w:color w:val="auto"/>
          <w:u w:val="none"/>
        </w:rPr>
      </w:pPr>
      <w:r>
        <w:rPr>
          <w:rFonts w:eastAsia="Calibri"/>
          <w:b/>
          <w:color w:val="auto"/>
          <w:u w:val="none"/>
        </w:rPr>
        <w:t>Relevantne usluge</w:t>
      </w:r>
      <w:r>
        <w:rPr>
          <w:rStyle w:val="FootnoteReference"/>
          <w:rFonts w:ascii="Times New Roman" w:eastAsia="Calibri" w:hAnsi="Times New Roman"/>
          <w:color w:val="auto"/>
          <w:sz w:val="20"/>
          <w:szCs w:val="20"/>
          <w:u w:val="none"/>
        </w:rPr>
        <w:footnoteReference w:id="22"/>
      </w:r>
      <w:r>
        <w:rPr>
          <w:rFonts w:eastAsia="Calibri"/>
          <w:color w:val="auto"/>
          <w:u w:val="none"/>
        </w:rPr>
        <w:t xml:space="preserve">: </w:t>
      </w:r>
      <w:r w:rsidR="00366E96">
        <w:rPr>
          <w:rFonts w:eastAsia="Calibri"/>
          <w:color w:val="auto"/>
          <w:u w:val="none"/>
        </w:rPr>
        <w:t xml:space="preserve">ključne </w:t>
      </w:r>
      <w:r>
        <w:rPr>
          <w:rFonts w:eastAsia="Calibri"/>
          <w:color w:val="auto"/>
          <w:u w:val="none"/>
        </w:rPr>
        <w:t>i osnovne usluge</w:t>
      </w:r>
    </w:p>
    <w:p w14:paraId="7FE1C22A" w14:textId="4E8B3ED6" w:rsidR="00393915" w:rsidRDefault="00F24D68">
      <w:pPr>
        <w:pStyle w:val="P68B1DB1-Instructionsberschrift347"/>
        <w:ind w:left="928"/>
        <w:contextualSpacing/>
        <w:jc w:val="both"/>
        <w:rPr>
          <w:rFonts w:eastAsia="MS Mincho"/>
        </w:rPr>
      </w:pPr>
      <w:r>
        <w:rPr>
          <w:rFonts w:eastAsia="Calibri"/>
          <w:b/>
        </w:rPr>
        <w:t>Ključne usluge</w:t>
      </w:r>
      <w:r w:rsidRPr="00F83F66">
        <w:rPr>
          <w:rStyle w:val="FootnoteReference"/>
          <w:rFonts w:ascii="Times New Roman" w:hAnsi="Times New Roman"/>
          <w:sz w:val="20"/>
        </w:rPr>
        <w:footnoteReference w:id="23"/>
      </w:r>
      <w:r>
        <w:t xml:space="preserve">: usluge koje se pružaju za poslovne jedinice ili subjekte grupe </w:t>
      </w:r>
      <w:r w:rsidR="00646545">
        <w:t>(</w:t>
      </w:r>
      <w:r>
        <w:t>i</w:t>
      </w:r>
      <w:r w:rsidR="00646545">
        <w:t>)</w:t>
      </w:r>
      <w:r w:rsidR="00646545">
        <w:t>)</w:t>
      </w:r>
      <w:r>
        <w:t xml:space="preserve"> čiji bi prekid ozbiljno ometao ili spriječio obavljanje jedne ili više ključnih funkcija; i (ii) </w:t>
      </w:r>
      <w:r w:rsidR="00646545">
        <w:t>e</w:t>
      </w:r>
      <w:r>
        <w:t>koj</w:t>
      </w:r>
      <w:r w:rsidR="00646545">
        <w:t>e</w:t>
      </w:r>
      <w:r>
        <w:t xml:space="preserve"> ne može pružiti drugi pružatelj u razumnom roku na usporediv način u pogledu njezine svrhe, kvalitete i troška.</w:t>
      </w:r>
    </w:p>
    <w:p w14:paraId="7FE1C22B" w14:textId="4FED0798" w:rsidR="00393915" w:rsidRDefault="00F24D68">
      <w:pPr>
        <w:pStyle w:val="Instructionsberschrift3"/>
        <w:ind w:left="928"/>
        <w:contextualSpacing/>
        <w:jc w:val="both"/>
        <w:rPr>
          <w:rFonts w:eastAsia="MS Mincho"/>
          <w:color w:val="auto"/>
          <w:u w:val="none"/>
        </w:rPr>
      </w:pPr>
      <w:r>
        <w:rPr>
          <w:b/>
          <w:u w:val="none"/>
        </w:rPr>
        <w:t>Osnovne usluge</w:t>
      </w:r>
      <w:r>
        <w:rPr>
          <w:u w:val="none"/>
        </w:rPr>
        <w:t xml:space="preserve">: Usluge povezane s temeljnim </w:t>
      </w:r>
      <w:r w:rsidR="00C95F4C">
        <w:rPr>
          <w:u w:val="none"/>
        </w:rPr>
        <w:t>poslovnim</w:t>
      </w:r>
      <w:r>
        <w:rPr>
          <w:u w:val="none"/>
        </w:rPr>
        <w:t xml:space="preserve"> </w:t>
      </w:r>
      <w:r>
        <w:rPr>
          <w:u w:val="none"/>
        </w:rPr>
        <w:t>linijama</w:t>
      </w:r>
      <w:r w:rsidRPr="00F83F66">
        <w:rPr>
          <w:rStyle w:val="FootnoteReference"/>
          <w:rFonts w:ascii="Times New Roman" w:hAnsi="Times New Roman"/>
          <w:color w:val="auto"/>
          <w:sz w:val="20"/>
        </w:rPr>
        <w:footnoteReference w:id="24"/>
      </w:r>
      <w:r>
        <w:rPr>
          <w:u w:val="none"/>
        </w:rPr>
        <w:t xml:space="preserve"> čiji je kontinuitet potreban za učinkovitu provedbu sanacijske strategije i svako posljedično restrukturiranje </w:t>
      </w:r>
      <w:r w:rsidR="007C6624">
        <w:rPr>
          <w:u w:val="none"/>
        </w:rPr>
        <w:t>(</w:t>
      </w:r>
      <w:r>
        <w:rPr>
          <w:u w:val="none"/>
        </w:rPr>
        <w:t>i</w:t>
      </w:r>
      <w:r w:rsidR="007C6624">
        <w:rPr>
          <w:u w:val="none"/>
        </w:rPr>
        <w:t>)</w:t>
      </w:r>
      <w:r w:rsidR="007C6624">
        <w:rPr>
          <w:u w:val="none"/>
        </w:rPr>
        <w:t>)</w:t>
      </w:r>
      <w:r>
        <w:rPr>
          <w:u w:val="none"/>
        </w:rPr>
        <w:t xml:space="preserve"> čiji bi prekid ozbiljno ometao ili spriječio obavljanje tih temeljnih </w:t>
      </w:r>
      <w:r w:rsidR="007C6624">
        <w:rPr>
          <w:u w:val="none"/>
        </w:rPr>
        <w:t xml:space="preserve">poslovnih </w:t>
      </w:r>
      <w:r>
        <w:rPr>
          <w:u w:val="none"/>
        </w:rPr>
        <w:t>linija; i (ii)</w:t>
      </w:r>
      <w:r w:rsidR="007C6624">
        <w:rPr>
          <w:u w:val="none"/>
        </w:rPr>
        <w:t xml:space="preserve">koje </w:t>
      </w:r>
      <w:r>
        <w:rPr>
          <w:u w:val="none"/>
        </w:rPr>
        <w:t>ne može pružiti drugi pružatelj u razumnom roku na usporediv način u pogledu njezine svrhe, kvalitete i troška.</w:t>
      </w:r>
      <w:r>
        <w:rPr>
          <w:rStyle w:val="FootnoteReference"/>
          <w:rFonts w:ascii="Times New Roman" w:eastAsia="Calibri" w:hAnsi="Times New Roman"/>
          <w:color w:val="auto"/>
          <w:sz w:val="20"/>
          <w:szCs w:val="20"/>
          <w:u w:val="none"/>
        </w:rPr>
        <w:footnoteReference w:id="25"/>
      </w:r>
    </w:p>
    <w:p w14:paraId="7FE1C22C" w14:textId="1E916872" w:rsidR="00393915" w:rsidRDefault="00F24D68">
      <w:pPr>
        <w:pStyle w:val="P68B1DB1-Instructionsberschrift348"/>
        <w:numPr>
          <w:ilvl w:val="4"/>
          <w:numId w:val="49"/>
        </w:numPr>
        <w:ind w:left="928"/>
        <w:contextualSpacing/>
        <w:jc w:val="both"/>
        <w:rPr>
          <w:color w:val="auto"/>
        </w:rPr>
      </w:pPr>
      <w:r>
        <w:rPr>
          <w:color w:val="auto"/>
        </w:rPr>
        <w:t>U skladu s 8.</w:t>
      </w:r>
      <w:r>
        <w:rPr>
          <w:color w:val="auto"/>
        </w:rPr>
        <w:t xml:space="preserve"> </w:t>
      </w:r>
      <w:r w:rsidR="007C6624">
        <w:rPr>
          <w:color w:val="auto"/>
        </w:rPr>
        <w:t>recitalom</w:t>
      </w:r>
      <w:r>
        <w:rPr>
          <w:color w:val="auto"/>
        </w:rPr>
        <w:t xml:space="preserve"> Delegirane uredbe Komisije (EU) 2016/778 koja se odnosi na ključne usluge i koja se po analogiji primjenjuje na ključne usluge kako su prethodno definirane, relevantne </w:t>
      </w:r>
      <w:r>
        <w:t>usluge znači temeljne djelatnosti, aktivnosti i usluge koje se obavljaju za jednu (namjenske usluge) ili više poslovnih jedinica ili pravnih subjekata (</w:t>
      </w:r>
      <w:r w:rsidR="00BB5BEF">
        <w:t xml:space="preserve">dijeljene </w:t>
      </w:r>
      <w:r>
        <w:t xml:space="preserve">usluge) unutar grupe koji su potrebni za pružanje jedne ili više ključnih funkcija </w:t>
      </w:r>
      <w:r>
        <w:rPr>
          <w:color w:val="auto"/>
        </w:rPr>
        <w:t xml:space="preserve">ili temeljnih </w:t>
      </w:r>
      <w:r w:rsidR="00D708F7">
        <w:rPr>
          <w:color w:val="auto"/>
        </w:rPr>
        <w:t xml:space="preserve">poslovnih </w:t>
      </w:r>
      <w:r>
        <w:rPr>
          <w:color w:val="auto"/>
        </w:rPr>
        <w:t xml:space="preserve">linija. Relevantne </w:t>
      </w:r>
      <w:r>
        <w:t xml:space="preserve">usluge može pružati </w:t>
      </w:r>
      <w:r>
        <w:rPr>
          <w:color w:val="auto"/>
        </w:rPr>
        <w:t xml:space="preserve">jedna poslovna jedinica drugoj poslovnoj jedinici istog pravnog subjekta </w:t>
      </w:r>
      <w:r>
        <w:t>(</w:t>
      </w:r>
      <w:r>
        <w:rPr>
          <w:color w:val="auto"/>
        </w:rPr>
        <w:t>usluga unutar subjekta),</w:t>
      </w:r>
      <w:r>
        <w:t xml:space="preserve"> subjekti unutar grupe (</w:t>
      </w:r>
      <w:r>
        <w:t>usluga</w:t>
      </w:r>
      <w:r w:rsidR="00BB5BEF">
        <w:t xml:space="preserve"> </w:t>
      </w:r>
      <w:r>
        <w:rPr>
          <w:color w:val="auto"/>
        </w:rPr>
        <w:t>unutar</w:t>
      </w:r>
      <w:r>
        <w:rPr>
          <w:color w:val="auto"/>
        </w:rPr>
        <w:t xml:space="preserve"> grupe</w:t>
      </w:r>
      <w:r>
        <w:t xml:space="preserve">) </w:t>
      </w:r>
      <w:r>
        <w:t>ili</w:t>
      </w:r>
      <w:r w:rsidR="00BB5BEF">
        <w:t xml:space="preserve"> </w:t>
      </w:r>
      <w:r>
        <w:rPr>
          <w:color w:val="auto"/>
        </w:rPr>
        <w:t>ih</w:t>
      </w:r>
      <w:r>
        <w:t xml:space="preserve"> može eksternalizirati vanjskom pružatelju (vanjska usluga).</w:t>
      </w:r>
    </w:p>
    <w:p w14:paraId="7FE1C22D" w14:textId="2E2CBD58" w:rsidR="00393915" w:rsidRDefault="00F24D68">
      <w:pPr>
        <w:pStyle w:val="P68B1DB1-Instructionsberschrift310"/>
        <w:numPr>
          <w:ilvl w:val="4"/>
          <w:numId w:val="49"/>
        </w:numPr>
        <w:ind w:left="928"/>
        <w:contextualSpacing/>
        <w:jc w:val="both"/>
        <w:rPr>
          <w:rFonts w:eastAsia="MS Mincho"/>
          <w:color w:val="auto"/>
        </w:rPr>
      </w:pPr>
      <w:r>
        <w:rPr>
          <w:rFonts w:eastAsia="MS Mincho"/>
        </w:rPr>
        <w:t>Ne primjenjuju se sva polja na sve vrste usluga (istaknuta u uputama u nastavku). U tom slučaju u odgovarajućoj rubrici treba navesti „NIJE PRIMJENJIVO”.</w:t>
      </w:r>
      <w:r>
        <w:t xml:space="preserve"> </w:t>
      </w:r>
    </w:p>
    <w:p w14:paraId="7FE1C22E" w14:textId="0568A925" w:rsidR="00393915" w:rsidRDefault="00F24D68">
      <w:pPr>
        <w:pStyle w:val="P68B1DB1-Instructionsberschrift346"/>
        <w:numPr>
          <w:ilvl w:val="4"/>
          <w:numId w:val="49"/>
        </w:numPr>
        <w:ind w:left="928"/>
        <w:contextualSpacing/>
        <w:jc w:val="both"/>
        <w:rPr>
          <w:color w:val="auto"/>
        </w:rPr>
      </w:pPr>
      <w:r>
        <w:t xml:space="preserve">Kombinacija vrijednosti iskazanih u stupcima 0010, </w:t>
      </w:r>
      <w:r>
        <w:rPr>
          <w:color w:val="auto"/>
        </w:rPr>
        <w:t>0020</w:t>
      </w:r>
      <w:r>
        <w:t xml:space="preserve">, </w:t>
      </w:r>
      <w:r>
        <w:rPr>
          <w:color w:val="auto"/>
        </w:rPr>
        <w:t>0040,</w:t>
      </w:r>
      <w:r>
        <w:t xml:space="preserve"> </w:t>
      </w:r>
      <w:r>
        <w:rPr>
          <w:color w:val="auto"/>
        </w:rPr>
        <w:t>0060 i 0130 ovog</w:t>
      </w:r>
      <w:r>
        <w:t xml:space="preserve"> predloška čini primarni ključ koji mora biti jedinstven za svaki redak predloška.</w:t>
      </w:r>
    </w:p>
    <w:p w14:paraId="7FE1C22F" w14:textId="77777777" w:rsidR="00393915" w:rsidRDefault="00393915">
      <w:pPr>
        <w:pStyle w:val="Instructionsberschrift3"/>
        <w:numPr>
          <w:ilvl w:val="0"/>
          <w:numId w:val="0"/>
        </w:numPr>
        <w:ind w:left="720"/>
      </w:pPr>
    </w:p>
    <w:p w14:paraId="7FE1C230" w14:textId="77777777" w:rsidR="00393915" w:rsidRDefault="00F24D68">
      <w:pPr>
        <w:pStyle w:val="P68B1DB1-Instructionsberschrift312"/>
        <w:rPr>
          <w:bCs/>
        </w:rPr>
      </w:pPr>
      <w:r>
        <w:t>Upute za specifične pozicije</w:t>
      </w:r>
    </w:p>
    <w:p w14:paraId="7FE1C23F" w14:textId="77777777" w:rsidR="00393915" w:rsidRDefault="00393915">
      <w:pPr>
        <w:spacing w:line="276" w:lineRule="auto"/>
        <w:jc w:val="both"/>
        <w:rPr>
          <w:rFonts w:ascii="Times New Roman" w:eastAsia="Calibri" w:hAnsi="Times New Roman" w:cs="Times New Roman"/>
          <w:color w:val="0070C0"/>
          <w:sz w:val="20"/>
        </w:rPr>
      </w:pP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29"/>
        <w:gridCol w:w="7938"/>
      </w:tblGrid>
      <w:tr w:rsidR="00393915" w14:paraId="7FE1C242" w14:textId="77777777">
        <w:trPr>
          <w:trHeight w:val="808"/>
          <w:tblHeader/>
        </w:trPr>
        <w:tc>
          <w:tcPr>
            <w:tcW w:w="1129" w:type="dxa"/>
            <w:shd w:val="clear" w:color="auto" w:fill="E7E6E6"/>
          </w:tcPr>
          <w:p w14:paraId="7FE1C240" w14:textId="77777777" w:rsidR="00393915" w:rsidRDefault="00F24D68">
            <w:pPr>
              <w:pStyle w:val="P68B1DB1-Normal49"/>
              <w:spacing w:before="120" w:after="120" w:line="276" w:lineRule="auto"/>
            </w:pPr>
            <w:r>
              <w:t>Stupci</w:t>
            </w:r>
          </w:p>
        </w:tc>
        <w:tc>
          <w:tcPr>
            <w:tcW w:w="7938" w:type="dxa"/>
            <w:shd w:val="clear" w:color="auto" w:fill="E7E6E6"/>
          </w:tcPr>
          <w:p w14:paraId="7FE1C241" w14:textId="77777777" w:rsidR="00393915" w:rsidRDefault="00F24D68">
            <w:pPr>
              <w:pStyle w:val="P68B1DB1-Normal49"/>
              <w:spacing w:before="120" w:after="120" w:line="276" w:lineRule="auto"/>
            </w:pPr>
            <w:r>
              <w:t>Upute</w:t>
            </w:r>
          </w:p>
        </w:tc>
      </w:tr>
      <w:tr w:rsidR="00393915" w14:paraId="7FE1C247" w14:textId="77777777">
        <w:trPr>
          <w:trHeight w:val="450"/>
        </w:trPr>
        <w:tc>
          <w:tcPr>
            <w:tcW w:w="1129" w:type="dxa"/>
            <w:shd w:val="clear" w:color="auto" w:fill="FFFFFF" w:themeFill="background1"/>
          </w:tcPr>
          <w:p w14:paraId="7FE1C243" w14:textId="77777777" w:rsidR="00393915" w:rsidRDefault="00F24D68">
            <w:pPr>
              <w:pStyle w:val="P68B1DB1-Normal50"/>
              <w:spacing w:before="120" w:after="120" w:line="276" w:lineRule="auto"/>
            </w:pPr>
            <w:r>
              <w:t>0005</w:t>
            </w:r>
          </w:p>
        </w:tc>
        <w:tc>
          <w:tcPr>
            <w:tcW w:w="7938" w:type="dxa"/>
            <w:shd w:val="clear" w:color="auto" w:fill="FFFFFF" w:themeFill="background1"/>
          </w:tcPr>
          <w:p w14:paraId="7FE1C244" w14:textId="4B60B12F" w:rsidR="00393915" w:rsidRDefault="00F24D68">
            <w:pPr>
              <w:pStyle w:val="P68B1DB1-Normal49"/>
              <w:spacing w:before="120" w:after="120" w:line="276" w:lineRule="auto"/>
              <w:rPr>
                <w:bCs/>
              </w:rPr>
            </w:pPr>
            <w:r>
              <w:t xml:space="preserve">Identifikator usluge </w:t>
            </w:r>
          </w:p>
          <w:p w14:paraId="7FE1C245" w14:textId="77777777" w:rsidR="00393915" w:rsidRDefault="00F24D68">
            <w:pPr>
              <w:pStyle w:val="P68B1DB1-Normal50"/>
              <w:spacing w:before="120" w:after="120" w:line="276" w:lineRule="auto"/>
              <w:rPr>
                <w:iCs/>
              </w:rPr>
            </w:pPr>
            <w:r>
              <w:t>Identifikacijska oznaka usluge odnosi se na uslugu navedenu pod c0020.</w:t>
            </w:r>
          </w:p>
          <w:p w14:paraId="7FE1C246" w14:textId="577A34C2" w:rsidR="00393915" w:rsidRDefault="005B6D05">
            <w:pPr>
              <w:pStyle w:val="P68B1DB1-Normal51"/>
              <w:spacing w:before="120" w:after="120" w:line="276" w:lineRule="auto"/>
            </w:pPr>
            <w:r>
              <w:t xml:space="preserve">Broj </w:t>
            </w:r>
            <w:r w:rsidR="00F24D68">
              <w:t>ili slobodni tekst</w:t>
            </w:r>
          </w:p>
        </w:tc>
      </w:tr>
      <w:tr w:rsidR="00393915" w14:paraId="7FE1C28C" w14:textId="77777777">
        <w:trPr>
          <w:trHeight w:val="463"/>
        </w:trPr>
        <w:tc>
          <w:tcPr>
            <w:tcW w:w="1129" w:type="dxa"/>
            <w:shd w:val="clear" w:color="auto" w:fill="FFFFFF" w:themeFill="background1"/>
          </w:tcPr>
          <w:p w14:paraId="7FE1C248" w14:textId="77777777" w:rsidR="00393915" w:rsidRDefault="00F24D68">
            <w:pPr>
              <w:pStyle w:val="P68B1DB1-Normal50"/>
              <w:spacing w:before="120" w:after="120" w:line="276" w:lineRule="auto"/>
            </w:pPr>
            <w:r>
              <w:t>0010</w:t>
            </w:r>
          </w:p>
        </w:tc>
        <w:tc>
          <w:tcPr>
            <w:tcW w:w="7938" w:type="dxa"/>
            <w:shd w:val="clear" w:color="auto" w:fill="FFFFFF" w:themeFill="background1"/>
          </w:tcPr>
          <w:p w14:paraId="7FE1C249" w14:textId="77777777" w:rsidR="00393915" w:rsidRDefault="00F24D68">
            <w:pPr>
              <w:pStyle w:val="P68B1DB1-Normal49"/>
              <w:autoSpaceDE w:val="0"/>
              <w:autoSpaceDN w:val="0"/>
              <w:adjustRightInd w:val="0"/>
              <w:rPr>
                <w:rFonts w:eastAsia="MS Mincho"/>
                <w:bCs/>
              </w:rPr>
            </w:pPr>
            <w:r>
              <w:t>Vrsta usluge</w:t>
            </w:r>
          </w:p>
          <w:p w14:paraId="7FE1C24A" w14:textId="77777777" w:rsidR="00393915" w:rsidRDefault="00F24D68">
            <w:pPr>
              <w:pStyle w:val="P68B1DB1-Normal52"/>
              <w:autoSpaceDE w:val="0"/>
              <w:autoSpaceDN w:val="0"/>
              <w:adjustRightInd w:val="0"/>
            </w:pPr>
            <w:r>
              <w:t xml:space="preserve">Vrsta usluge jedna je od vrsta usluga navedenih u nastavku. </w:t>
            </w:r>
          </w:p>
          <w:p w14:paraId="7FE1C24B" w14:textId="1BC0ECE1" w:rsidR="00393915" w:rsidRDefault="005B6D05">
            <w:pPr>
              <w:pStyle w:val="P68B1DB1-Normal50"/>
              <w:spacing w:before="120" w:after="120" w:line="276" w:lineRule="auto"/>
            </w:pPr>
            <w:r>
              <w:t>Tamo gdje</w:t>
            </w:r>
            <w:r w:rsidR="00F24D68">
              <w:t xml:space="preserve"> je moguće iskazuje se potkategorija (identifikacijska oznaka s dvije znamenke). </w:t>
            </w:r>
            <w:r w:rsidR="00E54089">
              <w:t>Tamo gdje</w:t>
            </w:r>
            <w:r w:rsidR="00F24D68">
              <w:t xml:space="preserve"> ne postoji nijedna potkategorija ili ako nijedna potkategorija ne opisuje ispravno uslugu koju institucija pruža, iskazuje se glavna kategorija (identifikacijska oznaka s jednom znamenkom). </w:t>
            </w:r>
          </w:p>
          <w:p w14:paraId="5B37DFFD" w14:textId="2C2BBAE4" w:rsidR="00393915" w:rsidRDefault="00F24D68">
            <w:pPr>
              <w:pStyle w:val="P68B1DB1-Normal52"/>
            </w:pPr>
            <w:r>
              <w:lastRenderedPageBreak/>
              <w:t xml:space="preserve">Potpora ljudskim resursima </w:t>
            </w:r>
          </w:p>
          <w:p w14:paraId="7DD533D5" w14:textId="73E47A6F" w:rsidR="00393915" w:rsidRDefault="00F24D68">
            <w:pPr>
              <w:pStyle w:val="P68B1DB1-ListParagraph53"/>
              <w:numPr>
                <w:ilvl w:val="0"/>
                <w:numId w:val="288"/>
              </w:numPr>
              <w:autoSpaceDE w:val="0"/>
              <w:autoSpaceDN w:val="0"/>
              <w:adjustRightInd w:val="0"/>
              <w:ind w:left="1165"/>
            </w:pPr>
            <w:r>
              <w:t xml:space="preserve">administriranje osoblja, uključujući administriranje ugovora i naknada </w:t>
            </w:r>
          </w:p>
          <w:p w14:paraId="43AF548E" w14:textId="534C2CC2" w:rsidR="00393915" w:rsidRDefault="00050D98">
            <w:pPr>
              <w:pStyle w:val="P68B1DB1-ListParagraph53"/>
              <w:numPr>
                <w:ilvl w:val="0"/>
                <w:numId w:val="288"/>
              </w:numPr>
              <w:autoSpaceDE w:val="0"/>
              <w:autoSpaceDN w:val="0"/>
              <w:adjustRightInd w:val="0"/>
              <w:ind w:left="1165"/>
            </w:pPr>
            <w:r>
              <w:t xml:space="preserve">interna </w:t>
            </w:r>
            <w:r w:rsidR="00F24D68">
              <w:t>komunikacija</w:t>
            </w:r>
          </w:p>
          <w:p w14:paraId="7FE1C250" w14:textId="1F903A05" w:rsidR="00393915" w:rsidRDefault="00F24D68">
            <w:pPr>
              <w:pStyle w:val="P68B1DB1-ListParagraph53"/>
              <w:numPr>
                <w:ilvl w:val="0"/>
                <w:numId w:val="288"/>
              </w:numPr>
              <w:autoSpaceDE w:val="0"/>
              <w:autoSpaceDN w:val="0"/>
              <w:adjustRightInd w:val="0"/>
              <w:ind w:left="1165"/>
            </w:pPr>
            <w:r>
              <w:t>ostale vrste službi za potporu ljudskim resursima</w:t>
            </w:r>
          </w:p>
          <w:p w14:paraId="7FE1C251" w14:textId="77777777" w:rsidR="00393915" w:rsidRDefault="00393915">
            <w:pPr>
              <w:autoSpaceDE w:val="0"/>
              <w:autoSpaceDN w:val="0"/>
              <w:adjustRightInd w:val="0"/>
              <w:ind w:left="708"/>
              <w:rPr>
                <w:rFonts w:ascii="Times New Roman" w:eastAsia="MS Mincho" w:hAnsi="Times New Roman" w:cs="Times New Roman"/>
                <w:sz w:val="20"/>
                <w:szCs w:val="20"/>
              </w:rPr>
            </w:pPr>
          </w:p>
          <w:p w14:paraId="7FE1C252" w14:textId="7A6979E5" w:rsidR="00393915" w:rsidRDefault="00F24D68">
            <w:pPr>
              <w:pStyle w:val="P68B1DB1-Normal52"/>
              <w:autoSpaceDE w:val="0"/>
              <w:autoSpaceDN w:val="0"/>
              <w:adjustRightInd w:val="0"/>
            </w:pPr>
            <w:r>
              <w:t xml:space="preserve"> Informacijska tehnologija </w:t>
            </w:r>
          </w:p>
          <w:p w14:paraId="7FE1C253" w14:textId="3B762F9E" w:rsidR="00393915" w:rsidRDefault="00F24D68">
            <w:pPr>
              <w:pStyle w:val="P68B1DB1-ListParagraph53"/>
              <w:numPr>
                <w:ilvl w:val="1"/>
                <w:numId w:val="290"/>
              </w:numPr>
              <w:autoSpaceDE w:val="0"/>
              <w:autoSpaceDN w:val="0"/>
              <w:adjustRightInd w:val="0"/>
              <w:ind w:left="1449"/>
            </w:pPr>
            <w:r>
              <w:t xml:space="preserve">IT i komunikacijski hardver </w:t>
            </w:r>
          </w:p>
          <w:p w14:paraId="7FE1C254" w14:textId="400D89C1" w:rsidR="00393915" w:rsidRDefault="00F24D68">
            <w:pPr>
              <w:pStyle w:val="P68B1DB1-ListParagraph53"/>
              <w:numPr>
                <w:ilvl w:val="1"/>
                <w:numId w:val="290"/>
              </w:numPr>
              <w:autoSpaceDE w:val="0"/>
              <w:autoSpaceDN w:val="0"/>
              <w:adjustRightInd w:val="0"/>
              <w:ind w:left="1449"/>
            </w:pPr>
            <w:r>
              <w:t xml:space="preserve">pohrana i obrada podataka </w:t>
            </w:r>
          </w:p>
          <w:p w14:paraId="7FE1C255" w14:textId="626A8448" w:rsidR="00393915" w:rsidRDefault="00F24D68">
            <w:pPr>
              <w:pStyle w:val="P68B1DB1-ListParagraph53"/>
              <w:numPr>
                <w:ilvl w:val="1"/>
                <w:numId w:val="290"/>
              </w:numPr>
              <w:autoSpaceDE w:val="0"/>
              <w:autoSpaceDN w:val="0"/>
              <w:adjustRightInd w:val="0"/>
              <w:ind w:left="1449"/>
            </w:pPr>
            <w:r>
              <w:t xml:space="preserve">ostala IT infrastruktura, radne stanice, telekomunikacije, poslužitelji, podatkovni centri i povezane usluge </w:t>
            </w:r>
          </w:p>
          <w:p w14:paraId="7FE1C256" w14:textId="2B61AFD3" w:rsidR="00393915" w:rsidRDefault="00F24D68">
            <w:pPr>
              <w:pStyle w:val="P68B1DB1-ListParagraph53"/>
              <w:numPr>
                <w:ilvl w:val="1"/>
                <w:numId w:val="290"/>
              </w:numPr>
              <w:autoSpaceDE w:val="0"/>
              <w:autoSpaceDN w:val="0"/>
              <w:adjustRightInd w:val="0"/>
              <w:ind w:left="1449"/>
            </w:pPr>
            <w:r>
              <w:t xml:space="preserve">upravljanje licencijama za softver i aplikacijskim softverom </w:t>
            </w:r>
          </w:p>
          <w:p w14:paraId="7FE1C257" w14:textId="5DA2FA2E" w:rsidR="00393915" w:rsidRDefault="00F24D68">
            <w:pPr>
              <w:pStyle w:val="P68B1DB1-ListParagraph53"/>
              <w:numPr>
                <w:ilvl w:val="1"/>
                <w:numId w:val="290"/>
              </w:numPr>
              <w:autoSpaceDE w:val="0"/>
              <w:autoSpaceDN w:val="0"/>
              <w:adjustRightInd w:val="0"/>
              <w:ind w:left="1449"/>
            </w:pPr>
            <w:r>
              <w:t xml:space="preserve">pristup vanjskim pružateljima, osobito pružateljima podataka i infrastrukture </w:t>
            </w:r>
          </w:p>
          <w:p w14:paraId="7FE1C258" w14:textId="5064B052" w:rsidR="00393915" w:rsidRDefault="00F24D68">
            <w:pPr>
              <w:pStyle w:val="P68B1DB1-ListParagraph53"/>
              <w:numPr>
                <w:ilvl w:val="1"/>
                <w:numId w:val="290"/>
              </w:numPr>
              <w:autoSpaceDE w:val="0"/>
              <w:autoSpaceDN w:val="0"/>
              <w:adjustRightInd w:val="0"/>
              <w:ind w:left="1449"/>
            </w:pPr>
            <w:r>
              <w:t xml:space="preserve">održavanje aplikacija, uključujući održavanje softverskih aplikacija i povezanih tokova podataka </w:t>
            </w:r>
          </w:p>
          <w:p w14:paraId="7FE1C259" w14:textId="2C5DF115" w:rsidR="00393915" w:rsidRDefault="00F24D68">
            <w:pPr>
              <w:pStyle w:val="P68B1DB1-ListParagraph53"/>
              <w:numPr>
                <w:ilvl w:val="1"/>
                <w:numId w:val="290"/>
              </w:numPr>
              <w:autoSpaceDE w:val="0"/>
              <w:autoSpaceDN w:val="0"/>
              <w:adjustRightInd w:val="0"/>
              <w:ind w:left="1449"/>
            </w:pPr>
            <w:r>
              <w:t xml:space="preserve">izrada izvješća, </w:t>
            </w:r>
            <w:r w:rsidR="00512B74">
              <w:t xml:space="preserve">interni </w:t>
            </w:r>
            <w:r>
              <w:t xml:space="preserve">tokovi informacija i baze podataka </w:t>
            </w:r>
          </w:p>
          <w:p w14:paraId="7FE1C25A" w14:textId="72548638" w:rsidR="00393915" w:rsidRDefault="00F24D68">
            <w:pPr>
              <w:pStyle w:val="P68B1DB1-ListParagraph53"/>
              <w:numPr>
                <w:ilvl w:val="1"/>
                <w:numId w:val="290"/>
              </w:numPr>
              <w:autoSpaceDE w:val="0"/>
              <w:autoSpaceDN w:val="0"/>
              <w:adjustRightInd w:val="0"/>
              <w:ind w:left="1449"/>
            </w:pPr>
            <w:r>
              <w:t xml:space="preserve">korisnička podrška </w:t>
            </w:r>
          </w:p>
          <w:p w14:paraId="7FE1C25B" w14:textId="2FAE0C54" w:rsidR="00393915" w:rsidRDefault="00F24D68">
            <w:pPr>
              <w:pStyle w:val="P68B1DB1-ListParagraph53"/>
              <w:numPr>
                <w:ilvl w:val="1"/>
                <w:numId w:val="290"/>
              </w:numPr>
              <w:autoSpaceDE w:val="0"/>
              <w:autoSpaceDN w:val="0"/>
              <w:adjustRightInd w:val="0"/>
              <w:ind w:left="1449"/>
            </w:pPr>
            <w:r>
              <w:t>oporavak u slučaju izvanrednih situacija i katastrofa</w:t>
            </w:r>
          </w:p>
          <w:p w14:paraId="7FE1C25C" w14:textId="431BC144" w:rsidR="00393915" w:rsidRDefault="00F24D68">
            <w:pPr>
              <w:pStyle w:val="P68B1DB1-ListParagraph53"/>
              <w:numPr>
                <w:ilvl w:val="1"/>
                <w:numId w:val="290"/>
              </w:numPr>
              <w:autoSpaceDE w:val="0"/>
              <w:autoSpaceDN w:val="0"/>
              <w:adjustRightInd w:val="0"/>
              <w:ind w:left="1449"/>
            </w:pPr>
            <w:r>
              <w:t>ostale vrste usluga informacijske tehnologije</w:t>
            </w:r>
          </w:p>
          <w:p w14:paraId="7FE1C25D" w14:textId="77777777" w:rsidR="00393915" w:rsidRDefault="00393915">
            <w:pPr>
              <w:autoSpaceDE w:val="0"/>
              <w:autoSpaceDN w:val="0"/>
              <w:adjustRightInd w:val="0"/>
              <w:rPr>
                <w:rFonts w:ascii="Times New Roman" w:eastAsia="MS Mincho" w:hAnsi="Times New Roman" w:cs="Times New Roman"/>
                <w:sz w:val="20"/>
                <w:szCs w:val="20"/>
              </w:rPr>
            </w:pPr>
          </w:p>
          <w:p w14:paraId="7FE1C25E" w14:textId="1AD223E0" w:rsidR="00393915" w:rsidRDefault="00F24D68">
            <w:pPr>
              <w:pStyle w:val="P68B1DB1-Normal52"/>
              <w:autoSpaceDE w:val="0"/>
              <w:autoSpaceDN w:val="0"/>
              <w:adjustRightInd w:val="0"/>
            </w:pPr>
            <w:r>
              <w:t xml:space="preserve">Obrada transakcija, uključujući pravna pitanja u vezi s transakcijama, osobito sprečavanje pranja novca. </w:t>
            </w:r>
          </w:p>
          <w:p w14:paraId="7FE1C25F" w14:textId="77777777" w:rsidR="00393915" w:rsidRDefault="00393915">
            <w:pPr>
              <w:autoSpaceDE w:val="0"/>
              <w:autoSpaceDN w:val="0"/>
              <w:adjustRightInd w:val="0"/>
              <w:rPr>
                <w:rFonts w:ascii="Times New Roman" w:eastAsia="MS Mincho" w:hAnsi="Times New Roman" w:cs="Times New Roman"/>
                <w:sz w:val="20"/>
                <w:szCs w:val="20"/>
              </w:rPr>
            </w:pPr>
          </w:p>
          <w:p w14:paraId="7FE1C260" w14:textId="7912D597" w:rsidR="00393915" w:rsidRDefault="001339BB">
            <w:pPr>
              <w:pStyle w:val="P68B1DB1-Normal52"/>
              <w:autoSpaceDE w:val="0"/>
              <w:autoSpaceDN w:val="0"/>
              <w:adjustRightInd w:val="0"/>
            </w:pPr>
            <w:bookmarkStart w:id="128" w:name="_Hlk191374143"/>
            <w:r>
              <w:t>Pristup</w:t>
            </w:r>
            <w:r>
              <w:t>Pristup</w:t>
            </w:r>
            <w:r>
              <w:t xml:space="preserve"> ili upravljanje n</w:t>
            </w:r>
            <w:r w:rsidR="00F24D68">
              <w:t>ekretnin</w:t>
            </w:r>
            <w:r>
              <w:t xml:space="preserve">ama i objektima te </w:t>
            </w:r>
            <w:r w:rsidR="00F24D68">
              <w:t>povezani</w:t>
            </w:r>
            <w:r>
              <w:t>m</w:t>
            </w:r>
            <w:r w:rsidR="00F24D68">
              <w:t xml:space="preserve"> </w:t>
            </w:r>
            <w:bookmarkEnd w:id="128"/>
            <w:r>
              <w:t xml:space="preserve">sadržajima </w:t>
            </w:r>
          </w:p>
          <w:p w14:paraId="7FE1C261" w14:textId="62999FEF" w:rsidR="00393915" w:rsidRDefault="00F24D68">
            <w:pPr>
              <w:pStyle w:val="P68B1DB1-ListParagraph53"/>
              <w:numPr>
                <w:ilvl w:val="0"/>
                <w:numId w:val="291"/>
              </w:numPr>
              <w:autoSpaceDE w:val="0"/>
              <w:autoSpaceDN w:val="0"/>
              <w:adjustRightInd w:val="0"/>
            </w:pPr>
            <w:r>
              <w:t xml:space="preserve">uredski prostori i skladišta </w:t>
            </w:r>
          </w:p>
          <w:p w14:paraId="7FE1C262" w14:textId="3A997023" w:rsidR="00393915" w:rsidRDefault="00F24D68">
            <w:pPr>
              <w:pStyle w:val="P68B1DB1-ListParagraph53"/>
              <w:numPr>
                <w:ilvl w:val="0"/>
                <w:numId w:val="291"/>
              </w:numPr>
              <w:autoSpaceDE w:val="0"/>
              <w:autoSpaceDN w:val="0"/>
              <w:adjustRightInd w:val="0"/>
            </w:pPr>
            <w:r>
              <w:t xml:space="preserve">upravljanje unutarnjim objektima </w:t>
            </w:r>
          </w:p>
          <w:p w14:paraId="7FE1C263" w14:textId="2B6FC02A" w:rsidR="00393915" w:rsidRDefault="00F24D68">
            <w:pPr>
              <w:pStyle w:val="P68B1DB1-ListParagraph53"/>
              <w:numPr>
                <w:ilvl w:val="0"/>
                <w:numId w:val="291"/>
              </w:numPr>
              <w:autoSpaceDE w:val="0"/>
              <w:autoSpaceDN w:val="0"/>
              <w:adjustRightInd w:val="0"/>
            </w:pPr>
            <w:r>
              <w:t xml:space="preserve">sigurnost i kontrola pristupa </w:t>
            </w:r>
          </w:p>
          <w:p w14:paraId="7FE1C264" w14:textId="792BCFBD" w:rsidR="00393915" w:rsidRDefault="00F24D68">
            <w:pPr>
              <w:pStyle w:val="P68B1DB1-ListParagraph53"/>
              <w:numPr>
                <w:ilvl w:val="0"/>
                <w:numId w:val="291"/>
              </w:numPr>
              <w:autoSpaceDE w:val="0"/>
              <w:autoSpaceDN w:val="0"/>
              <w:adjustRightInd w:val="0"/>
            </w:pPr>
            <w:r>
              <w:t xml:space="preserve">upravljanje portfeljem nekretnina </w:t>
            </w:r>
          </w:p>
          <w:p w14:paraId="7FE1C265" w14:textId="273CA1A3" w:rsidR="00393915" w:rsidRDefault="00F24D68">
            <w:pPr>
              <w:pStyle w:val="P68B1DB1-ListParagraph53"/>
              <w:numPr>
                <w:ilvl w:val="0"/>
                <w:numId w:val="291"/>
              </w:numPr>
              <w:autoSpaceDE w:val="0"/>
              <w:autoSpaceDN w:val="0"/>
              <w:adjustRightInd w:val="0"/>
            </w:pPr>
            <w:r>
              <w:t xml:space="preserve">drugi tip usluge </w:t>
            </w:r>
            <w:r w:rsidR="00EB1098">
              <w:t>pristupa</w:t>
            </w:r>
            <w:r w:rsidR="00EB1098">
              <w:t>pristupa</w:t>
            </w:r>
            <w:r>
              <w:t xml:space="preserve"> i </w:t>
            </w:r>
            <w:r w:rsidR="0056734D">
              <w:t>upravljanja</w:t>
            </w:r>
            <w:r>
              <w:t xml:space="preserve"> nekretnina</w:t>
            </w:r>
            <w:r w:rsidR="0056734D">
              <w:t>ma</w:t>
            </w:r>
            <w:r>
              <w:t xml:space="preserve"> i </w:t>
            </w:r>
            <w:r w:rsidR="0056734D">
              <w:t>imte</w:t>
            </w:r>
            <w:r>
              <w:t>objekt</w:t>
            </w:r>
            <w:r w:rsidR="0056734D">
              <w:t>im</w:t>
            </w:r>
            <w:r>
              <w:t xml:space="preserve">a </w:t>
            </w:r>
            <w:r w:rsidR="0056734D">
              <w:t>te</w:t>
            </w:r>
            <w:r>
              <w:t xml:space="preserve"> povezani</w:t>
            </w:r>
            <w:r w:rsidR="0056734D">
              <w:t>m</w:t>
            </w:r>
            <w:r>
              <w:t xml:space="preserve"> </w:t>
            </w:r>
            <w:r w:rsidR="0056734D">
              <w:t>sadržajima</w:t>
            </w:r>
            <w:r w:rsidR="0056734D">
              <w:t>sadržajima</w:t>
            </w:r>
          </w:p>
          <w:p w14:paraId="7FE1C266" w14:textId="77777777" w:rsidR="00393915" w:rsidRDefault="00393915">
            <w:pPr>
              <w:autoSpaceDE w:val="0"/>
              <w:autoSpaceDN w:val="0"/>
              <w:adjustRightInd w:val="0"/>
              <w:rPr>
                <w:rFonts w:ascii="Times New Roman" w:eastAsia="MS Mincho" w:hAnsi="Times New Roman" w:cs="Times New Roman"/>
                <w:sz w:val="20"/>
                <w:szCs w:val="20"/>
              </w:rPr>
            </w:pPr>
          </w:p>
          <w:p w14:paraId="7FE1C267" w14:textId="4B2E0CD6" w:rsidR="00393915" w:rsidRDefault="00F24D68">
            <w:pPr>
              <w:pStyle w:val="P68B1DB1-Normal52"/>
              <w:autoSpaceDE w:val="0"/>
              <w:autoSpaceDN w:val="0"/>
              <w:adjustRightInd w:val="0"/>
            </w:pPr>
            <w:r>
              <w:t xml:space="preserve">Pravne usluge i funkcija praćenja usklađenosti: </w:t>
            </w:r>
          </w:p>
          <w:p w14:paraId="7FE1C268" w14:textId="40AF3D04" w:rsidR="00393915" w:rsidRDefault="00F24D68">
            <w:pPr>
              <w:pStyle w:val="P68B1DB1-ListParagraph53"/>
              <w:numPr>
                <w:ilvl w:val="0"/>
                <w:numId w:val="292"/>
              </w:numPr>
              <w:autoSpaceDE w:val="0"/>
              <w:autoSpaceDN w:val="0"/>
              <w:adjustRightInd w:val="0"/>
            </w:pPr>
            <w:r>
              <w:t xml:space="preserve">korporativna pravna potpora </w:t>
            </w:r>
          </w:p>
          <w:p w14:paraId="7FE1C269" w14:textId="1DC4A30A" w:rsidR="00393915" w:rsidRDefault="00F24D68">
            <w:pPr>
              <w:pStyle w:val="P68B1DB1-ListParagraph53"/>
              <w:numPr>
                <w:ilvl w:val="0"/>
                <w:numId w:val="292"/>
              </w:numPr>
              <w:autoSpaceDE w:val="0"/>
              <w:autoSpaceDN w:val="0"/>
              <w:adjustRightInd w:val="0"/>
            </w:pPr>
            <w:r>
              <w:t xml:space="preserve">pravne usluge povezane s poslovanjem i transakcijama </w:t>
            </w:r>
          </w:p>
          <w:p w14:paraId="7FE1C26A" w14:textId="1BAF6F48" w:rsidR="00393915" w:rsidRDefault="00F24D68">
            <w:pPr>
              <w:pStyle w:val="P68B1DB1-ListParagraph53"/>
              <w:numPr>
                <w:ilvl w:val="0"/>
                <w:numId w:val="292"/>
              </w:numPr>
              <w:autoSpaceDE w:val="0"/>
              <w:autoSpaceDN w:val="0"/>
              <w:adjustRightInd w:val="0"/>
            </w:pPr>
            <w:r>
              <w:t xml:space="preserve">podrška u praćenju usklađenosti </w:t>
            </w:r>
          </w:p>
          <w:p w14:paraId="7FE1C26B" w14:textId="5C11B5BE" w:rsidR="00393915" w:rsidRDefault="00F24D68">
            <w:pPr>
              <w:pStyle w:val="P68B1DB1-ListParagraph53"/>
              <w:numPr>
                <w:ilvl w:val="0"/>
                <w:numId w:val="292"/>
              </w:numPr>
              <w:autoSpaceDE w:val="0"/>
              <w:autoSpaceDN w:val="0"/>
              <w:adjustRightInd w:val="0"/>
            </w:pPr>
            <w:r>
              <w:t>ostale pravne usluge i usluge funkcije praćenja usklađenosti</w:t>
            </w:r>
          </w:p>
          <w:p w14:paraId="7FE1C26C" w14:textId="77777777" w:rsidR="00393915" w:rsidRDefault="00393915">
            <w:pPr>
              <w:autoSpaceDE w:val="0"/>
              <w:autoSpaceDN w:val="0"/>
              <w:adjustRightInd w:val="0"/>
              <w:ind w:left="708"/>
              <w:rPr>
                <w:rFonts w:ascii="Times New Roman" w:eastAsia="MS Mincho" w:hAnsi="Times New Roman" w:cs="Times New Roman"/>
                <w:sz w:val="20"/>
                <w:szCs w:val="20"/>
              </w:rPr>
            </w:pPr>
          </w:p>
          <w:p w14:paraId="7FE1C26D" w14:textId="03C41351" w:rsidR="00393915" w:rsidRDefault="00F24D68">
            <w:pPr>
              <w:pStyle w:val="P68B1DB1-Normal52"/>
              <w:autoSpaceDE w:val="0"/>
              <w:autoSpaceDN w:val="0"/>
              <w:adjustRightInd w:val="0"/>
            </w:pPr>
            <w:r>
              <w:t xml:space="preserve">Usluge povezane s riznicom </w:t>
            </w:r>
          </w:p>
          <w:p w14:paraId="7FE1C26E" w14:textId="1425CC24" w:rsidR="00393915" w:rsidRDefault="00F24D68">
            <w:pPr>
              <w:pStyle w:val="P68B1DB1-ListParagraph53"/>
              <w:numPr>
                <w:ilvl w:val="0"/>
                <w:numId w:val="293"/>
              </w:numPr>
              <w:autoSpaceDE w:val="0"/>
              <w:autoSpaceDN w:val="0"/>
              <w:adjustRightInd w:val="0"/>
            </w:pPr>
            <w:r>
              <w:t xml:space="preserve">koordiniranje, administriranje i upravljanje povezano s aktivnošću riznice </w:t>
            </w:r>
          </w:p>
          <w:p w14:paraId="7FE1C26F" w14:textId="09154006" w:rsidR="00393915" w:rsidRDefault="00F24D68">
            <w:pPr>
              <w:pStyle w:val="P68B1DB1-ListParagraph53"/>
              <w:numPr>
                <w:ilvl w:val="0"/>
                <w:numId w:val="293"/>
              </w:numPr>
              <w:autoSpaceDE w:val="0"/>
              <w:autoSpaceDN w:val="0"/>
              <w:adjustRightInd w:val="0"/>
            </w:pPr>
            <w:r>
              <w:t xml:space="preserve">koordiniranje, administriranje i upravljanje povezano s refinanciranjem subjekta, uključujući upravljanje kolateralom </w:t>
            </w:r>
          </w:p>
          <w:p w14:paraId="7FE1C270" w14:textId="0F45C979" w:rsidR="00393915" w:rsidRDefault="00F24D68">
            <w:pPr>
              <w:pStyle w:val="P68B1DB1-ListParagraph53"/>
              <w:numPr>
                <w:ilvl w:val="0"/>
                <w:numId w:val="293"/>
              </w:numPr>
              <w:autoSpaceDE w:val="0"/>
              <w:autoSpaceDN w:val="0"/>
              <w:adjustRightInd w:val="0"/>
            </w:pPr>
            <w:r>
              <w:t xml:space="preserve">funkcija izvješćivanja, osobito s obzirom na regulatorne stope likvidnosti </w:t>
            </w:r>
          </w:p>
          <w:p w14:paraId="7FE1C271" w14:textId="034EEFA4" w:rsidR="00393915" w:rsidRDefault="00F24D68">
            <w:pPr>
              <w:pStyle w:val="P68B1DB1-ListParagraph53"/>
              <w:numPr>
                <w:ilvl w:val="0"/>
                <w:numId w:val="293"/>
              </w:numPr>
              <w:autoSpaceDE w:val="0"/>
              <w:autoSpaceDN w:val="0"/>
              <w:adjustRightInd w:val="0"/>
            </w:pPr>
            <w:r>
              <w:t xml:space="preserve">koordiniranje, administriranje i upravljanje povezano sa srednjoročnim i dugoročnim programima financiranja te s refinanciranjem subjekata grupe </w:t>
            </w:r>
          </w:p>
          <w:p w14:paraId="7FE1C272" w14:textId="064C2167" w:rsidR="00393915" w:rsidRDefault="00F24D68">
            <w:pPr>
              <w:pStyle w:val="P68B1DB1-ListParagraph53"/>
              <w:numPr>
                <w:ilvl w:val="0"/>
                <w:numId w:val="293"/>
              </w:numPr>
              <w:autoSpaceDE w:val="0"/>
              <w:autoSpaceDN w:val="0"/>
              <w:adjustRightInd w:val="0"/>
            </w:pPr>
            <w:r>
              <w:t>koordiniranje, administriranje i upravljanje povezano s refinanciranjem, osobito kratkoročnih izdanja</w:t>
            </w:r>
          </w:p>
          <w:p w14:paraId="7FE1C273" w14:textId="31AA1016" w:rsidR="00393915" w:rsidRDefault="00F24D68">
            <w:pPr>
              <w:pStyle w:val="P68B1DB1-ListParagraph53"/>
              <w:numPr>
                <w:ilvl w:val="0"/>
                <w:numId w:val="293"/>
              </w:numPr>
              <w:autoSpaceDE w:val="0"/>
              <w:autoSpaceDN w:val="0"/>
              <w:adjustRightInd w:val="0"/>
            </w:pPr>
            <w:r>
              <w:t>ostale vrste usluga povezanih s riznicom</w:t>
            </w:r>
          </w:p>
          <w:p w14:paraId="7FE1C274" w14:textId="77777777" w:rsidR="00393915" w:rsidRDefault="00393915">
            <w:pPr>
              <w:autoSpaceDE w:val="0"/>
              <w:autoSpaceDN w:val="0"/>
              <w:adjustRightInd w:val="0"/>
              <w:rPr>
                <w:rFonts w:ascii="Times New Roman" w:eastAsia="MS Mincho" w:hAnsi="Times New Roman" w:cs="Times New Roman"/>
                <w:sz w:val="20"/>
                <w:szCs w:val="20"/>
              </w:rPr>
            </w:pPr>
          </w:p>
          <w:p w14:paraId="7FE1C275" w14:textId="6437F825" w:rsidR="00393915" w:rsidRDefault="00F24D68">
            <w:pPr>
              <w:pStyle w:val="P68B1DB1-Normal52"/>
              <w:autoSpaceDE w:val="0"/>
              <w:autoSpaceDN w:val="0"/>
              <w:adjustRightInd w:val="0"/>
            </w:pPr>
            <w:r>
              <w:t xml:space="preserve">Trgovanje/upravljanje imovinom </w:t>
            </w:r>
          </w:p>
          <w:p w14:paraId="7FE1C276" w14:textId="52377E11" w:rsidR="00393915" w:rsidRDefault="00F24D68">
            <w:pPr>
              <w:pStyle w:val="P68B1DB1-ListParagraph53"/>
              <w:numPr>
                <w:ilvl w:val="0"/>
                <w:numId w:val="294"/>
              </w:numPr>
              <w:autoSpaceDE w:val="0"/>
              <w:autoSpaceDN w:val="0"/>
              <w:adjustRightInd w:val="0"/>
            </w:pPr>
            <w:r>
              <w:t xml:space="preserve">obrada operacija: evidentiranje transakcije, oblikovanje, realizacija, servisiranje proizvoda za trgovanje </w:t>
            </w:r>
          </w:p>
          <w:p w14:paraId="7FE1C277" w14:textId="35EC336F" w:rsidR="00393915" w:rsidRDefault="00F24D68">
            <w:pPr>
              <w:pStyle w:val="P68B1DB1-ListParagraph53"/>
              <w:numPr>
                <w:ilvl w:val="0"/>
                <w:numId w:val="294"/>
              </w:numPr>
              <w:autoSpaceDE w:val="0"/>
              <w:autoSpaceDN w:val="0"/>
              <w:adjustRightInd w:val="0"/>
            </w:pPr>
            <w:r>
              <w:t xml:space="preserve">potvrđivanje, namira, plaćanje </w:t>
            </w:r>
          </w:p>
          <w:p w14:paraId="7FE1C278" w14:textId="417DFA52" w:rsidR="00393915" w:rsidRDefault="00F24D68">
            <w:pPr>
              <w:pStyle w:val="P68B1DB1-ListParagraph53"/>
              <w:numPr>
                <w:ilvl w:val="0"/>
                <w:numId w:val="294"/>
              </w:numPr>
              <w:autoSpaceDE w:val="0"/>
              <w:autoSpaceDN w:val="0"/>
              <w:adjustRightInd w:val="0"/>
            </w:pPr>
            <w:r>
              <w:t xml:space="preserve">upravljanje pozicijama i drugim ugovornim stranama s obzirom na izvješćivanje o podacima i odnose s drugim ugovornim stranama </w:t>
            </w:r>
          </w:p>
          <w:p w14:paraId="7FE1C279" w14:textId="18F90331" w:rsidR="00393915" w:rsidRDefault="00F24D68">
            <w:pPr>
              <w:pStyle w:val="P68B1DB1-ListParagraph53"/>
              <w:numPr>
                <w:ilvl w:val="0"/>
                <w:numId w:val="294"/>
              </w:numPr>
              <w:autoSpaceDE w:val="0"/>
              <w:autoSpaceDN w:val="0"/>
              <w:adjustRightInd w:val="0"/>
            </w:pPr>
            <w:r>
              <w:t xml:space="preserve">upravljanje pozicijama (rizik i usklađivanje) </w:t>
            </w:r>
          </w:p>
          <w:p w14:paraId="7FE1C27A" w14:textId="23FC3BC1" w:rsidR="00393915" w:rsidRDefault="00F24D68">
            <w:pPr>
              <w:pStyle w:val="P68B1DB1-ListParagraph53"/>
              <w:numPr>
                <w:ilvl w:val="0"/>
                <w:numId w:val="294"/>
              </w:numPr>
              <w:autoSpaceDE w:val="0"/>
              <w:autoSpaceDN w:val="0"/>
              <w:adjustRightInd w:val="0"/>
            </w:pPr>
            <w:r>
              <w:lastRenderedPageBreak/>
              <w:t>druga vrsta usluge trgovanja/upravljanja imovinom</w:t>
            </w:r>
          </w:p>
          <w:p w14:paraId="7FE1C27B" w14:textId="77777777" w:rsidR="00393915" w:rsidRDefault="00393915">
            <w:pPr>
              <w:autoSpaceDE w:val="0"/>
              <w:autoSpaceDN w:val="0"/>
              <w:adjustRightInd w:val="0"/>
              <w:ind w:left="708"/>
              <w:rPr>
                <w:rFonts w:ascii="Times New Roman" w:eastAsia="MS Mincho" w:hAnsi="Times New Roman" w:cs="Times New Roman"/>
                <w:sz w:val="20"/>
                <w:szCs w:val="20"/>
              </w:rPr>
            </w:pPr>
          </w:p>
          <w:p w14:paraId="7FE1C27C" w14:textId="1E8D237F" w:rsidR="00393915" w:rsidRDefault="00F24D68">
            <w:pPr>
              <w:pStyle w:val="P68B1DB1-Normal52"/>
              <w:autoSpaceDE w:val="0"/>
              <w:autoSpaceDN w:val="0"/>
              <w:adjustRightInd w:val="0"/>
            </w:pPr>
            <w:r>
              <w:t xml:space="preserve">Upravljanje rizikom i vrednovanje rizika </w:t>
            </w:r>
          </w:p>
          <w:p w14:paraId="7FE1C27D" w14:textId="2E761776" w:rsidR="00393915" w:rsidRDefault="00F24D68">
            <w:pPr>
              <w:pStyle w:val="P68B1DB1-ListParagraph53"/>
              <w:numPr>
                <w:ilvl w:val="0"/>
                <w:numId w:val="295"/>
              </w:numPr>
              <w:autoSpaceDE w:val="0"/>
              <w:autoSpaceDN w:val="0"/>
              <w:adjustRightInd w:val="0"/>
            </w:pPr>
            <w:r>
              <w:t xml:space="preserve">središnje upravljanje rizikom ili upravljanje rizikom </w:t>
            </w:r>
            <w:r w:rsidR="00B4774E">
              <w:t>poslovne linije</w:t>
            </w:r>
            <w:r w:rsidR="00B4774E">
              <w:t xml:space="preserve"> </w:t>
            </w:r>
            <w:r>
              <w:t>ili upravljanje rizikom na temelju vrste rizika</w:t>
            </w:r>
          </w:p>
          <w:p w14:paraId="7FE1C27E" w14:textId="7AC0E3ED" w:rsidR="00393915" w:rsidRDefault="00F24D68">
            <w:pPr>
              <w:pStyle w:val="P68B1DB1-ListParagraph53"/>
              <w:numPr>
                <w:ilvl w:val="0"/>
                <w:numId w:val="295"/>
              </w:numPr>
              <w:autoSpaceDE w:val="0"/>
              <w:autoSpaceDN w:val="0"/>
              <w:adjustRightInd w:val="0"/>
            </w:pPr>
            <w:r>
              <w:t xml:space="preserve">izrada izvješća o riziku </w:t>
            </w:r>
          </w:p>
          <w:p w14:paraId="7FE1C27F" w14:textId="54F4E51F" w:rsidR="00393915" w:rsidRDefault="00F24D68">
            <w:pPr>
              <w:pStyle w:val="P68B1DB1-ListParagraph53"/>
              <w:numPr>
                <w:ilvl w:val="0"/>
                <w:numId w:val="295"/>
              </w:numPr>
              <w:autoSpaceDE w:val="0"/>
              <w:autoSpaceDN w:val="0"/>
              <w:adjustRightInd w:val="0"/>
            </w:pPr>
            <w:r>
              <w:t>ostale vrste usluga upravljanja rizicima i vrednovanja</w:t>
            </w:r>
            <w:r w:rsidR="005B70E6">
              <w:t xml:space="preserve"> rizika</w:t>
            </w:r>
          </w:p>
          <w:p w14:paraId="7FE1C280" w14:textId="77777777" w:rsidR="00393915" w:rsidRDefault="00393915">
            <w:pPr>
              <w:autoSpaceDE w:val="0"/>
              <w:autoSpaceDN w:val="0"/>
              <w:adjustRightInd w:val="0"/>
              <w:rPr>
                <w:rFonts w:ascii="Times New Roman" w:eastAsia="MS Mincho" w:hAnsi="Times New Roman" w:cs="Times New Roman"/>
                <w:sz w:val="20"/>
                <w:szCs w:val="20"/>
              </w:rPr>
            </w:pPr>
          </w:p>
          <w:p w14:paraId="7FE1C281" w14:textId="036ED0C1" w:rsidR="00393915" w:rsidRDefault="007C3164">
            <w:pPr>
              <w:pStyle w:val="P68B1DB1-Normal52"/>
              <w:autoSpaceDE w:val="0"/>
              <w:autoSpaceDN w:val="0"/>
              <w:adjustRightInd w:val="0"/>
            </w:pPr>
            <w:r>
              <w:t>Računovodstvo</w:t>
            </w:r>
          </w:p>
          <w:p w14:paraId="7FE1C282" w14:textId="65C12590" w:rsidR="00393915" w:rsidRDefault="00F24D68">
            <w:pPr>
              <w:pStyle w:val="P68B1DB1-ListParagraph53"/>
              <w:numPr>
                <w:ilvl w:val="0"/>
                <w:numId w:val="296"/>
              </w:numPr>
              <w:autoSpaceDE w:val="0"/>
              <w:autoSpaceDN w:val="0"/>
              <w:adjustRightInd w:val="0"/>
            </w:pPr>
            <w:r>
              <w:t xml:space="preserve">zakonsko i regulatorno izvješćivanje </w:t>
            </w:r>
          </w:p>
          <w:p w14:paraId="7FE1C283" w14:textId="3DCAF9FA" w:rsidR="00393915" w:rsidRDefault="00F24D68">
            <w:pPr>
              <w:pStyle w:val="P68B1DB1-ListParagraph53"/>
              <w:numPr>
                <w:ilvl w:val="0"/>
                <w:numId w:val="296"/>
              </w:numPr>
              <w:autoSpaceDE w:val="0"/>
              <w:autoSpaceDN w:val="0"/>
              <w:adjustRightInd w:val="0"/>
            </w:pPr>
            <w:r>
              <w:t xml:space="preserve">vrednovanje, osobito tržišnih pozicija </w:t>
            </w:r>
          </w:p>
          <w:p w14:paraId="7FE1C284" w14:textId="2EE4BE8B" w:rsidR="00393915" w:rsidRDefault="00F24D68">
            <w:pPr>
              <w:pStyle w:val="P68B1DB1-ListParagraph53"/>
              <w:numPr>
                <w:ilvl w:val="0"/>
                <w:numId w:val="296"/>
              </w:numPr>
              <w:autoSpaceDE w:val="0"/>
              <w:autoSpaceDN w:val="0"/>
              <w:adjustRightInd w:val="0"/>
            </w:pPr>
            <w:r>
              <w:t xml:space="preserve">izvješćivanje o upravljanju </w:t>
            </w:r>
          </w:p>
          <w:p w14:paraId="7FE1C285" w14:textId="186EA25B" w:rsidR="00393915" w:rsidRDefault="00F24D68">
            <w:pPr>
              <w:pStyle w:val="P68B1DB1-ListParagraph53"/>
              <w:numPr>
                <w:ilvl w:val="0"/>
                <w:numId w:val="296"/>
              </w:numPr>
              <w:autoSpaceDE w:val="0"/>
              <w:autoSpaceDN w:val="0"/>
              <w:adjustRightInd w:val="0"/>
            </w:pPr>
            <w:r>
              <w:t>ostale vrste računovodstvenih usluga</w:t>
            </w:r>
          </w:p>
          <w:p w14:paraId="7FE1C286" w14:textId="77777777" w:rsidR="00393915" w:rsidRDefault="00393915">
            <w:pPr>
              <w:autoSpaceDE w:val="0"/>
              <w:autoSpaceDN w:val="0"/>
              <w:adjustRightInd w:val="0"/>
              <w:ind w:left="708"/>
              <w:rPr>
                <w:rFonts w:ascii="Times New Roman" w:eastAsia="MS Mincho" w:hAnsi="Times New Roman" w:cs="Times New Roman"/>
                <w:sz w:val="20"/>
                <w:szCs w:val="20"/>
              </w:rPr>
            </w:pPr>
          </w:p>
          <w:p w14:paraId="7FE1C287" w14:textId="675737F3" w:rsidR="00393915" w:rsidRDefault="00F24D68">
            <w:pPr>
              <w:pStyle w:val="P68B1DB1-Normal54"/>
              <w:autoSpaceDE w:val="0"/>
              <w:autoSpaceDN w:val="0"/>
              <w:adjustRightInd w:val="0"/>
              <w:rPr>
                <w:sz w:val="24"/>
              </w:rPr>
            </w:pPr>
            <w:r>
              <w:rPr>
                <w:sz w:val="20"/>
              </w:rPr>
              <w:t>Rukovanje gotovinom</w:t>
            </w:r>
            <w:r>
              <w:rPr>
                <w:sz w:val="24"/>
              </w:rPr>
              <w:t xml:space="preserve"> </w:t>
            </w:r>
          </w:p>
          <w:p w14:paraId="7FE1C288" w14:textId="77777777" w:rsidR="00393915" w:rsidRDefault="00393915">
            <w:pPr>
              <w:autoSpaceDE w:val="0"/>
              <w:autoSpaceDN w:val="0"/>
              <w:adjustRightInd w:val="0"/>
              <w:rPr>
                <w:rFonts w:ascii="Times New Roman" w:eastAsia="MS Mincho" w:hAnsi="Times New Roman" w:cs="Times New Roman"/>
                <w:sz w:val="24"/>
                <w:szCs w:val="20"/>
              </w:rPr>
            </w:pPr>
          </w:p>
          <w:p w14:paraId="7FE1C289" w14:textId="27339065" w:rsidR="00393915" w:rsidRDefault="00480943">
            <w:pPr>
              <w:pStyle w:val="P68B1DB1-Normal52"/>
              <w:autoSpaceDE w:val="0"/>
              <w:autoSpaceDN w:val="0"/>
              <w:adjustRightInd w:val="0"/>
            </w:pPr>
            <w:r>
              <w:t>Ostale e</w:t>
            </w:r>
            <w:r w:rsidR="007235A7">
              <w:t>a</w:t>
            </w:r>
            <w:r w:rsidR="00F24D68">
              <w:t>vrst</w:t>
            </w:r>
            <w:r>
              <w:t>e</w:t>
            </w:r>
            <w:r w:rsidR="00F24D68">
              <w:t xml:space="preserve"> uslug</w:t>
            </w:r>
            <w:r w:rsidR="007235A7">
              <w:t>a</w:t>
            </w:r>
          </w:p>
          <w:p w14:paraId="7FE1C28B" w14:textId="56625F93" w:rsidR="00393915" w:rsidRDefault="00393915">
            <w:pPr>
              <w:spacing w:line="276" w:lineRule="auto"/>
              <w:jc w:val="both"/>
              <w:rPr>
                <w:rFonts w:ascii="Times New Roman" w:eastAsia="Calibri" w:hAnsi="Times New Roman" w:cs="Times New Roman"/>
                <w:b/>
                <w:i/>
                <w:sz w:val="20"/>
                <w:szCs w:val="20"/>
              </w:rPr>
            </w:pPr>
          </w:p>
        </w:tc>
      </w:tr>
      <w:tr w:rsidR="00393915" w14:paraId="7FE1C292" w14:textId="77777777">
        <w:trPr>
          <w:trHeight w:val="463"/>
        </w:trPr>
        <w:tc>
          <w:tcPr>
            <w:tcW w:w="1129" w:type="dxa"/>
            <w:shd w:val="clear" w:color="auto" w:fill="FFFFFF" w:themeFill="background1"/>
          </w:tcPr>
          <w:p w14:paraId="7FE1C28D" w14:textId="77777777" w:rsidR="00393915" w:rsidRDefault="00F24D68">
            <w:pPr>
              <w:pStyle w:val="P68B1DB1-Normal50"/>
              <w:spacing w:before="120" w:after="120" w:line="276" w:lineRule="auto"/>
            </w:pPr>
            <w:r>
              <w:lastRenderedPageBreak/>
              <w:t>0020</w:t>
            </w:r>
          </w:p>
        </w:tc>
        <w:tc>
          <w:tcPr>
            <w:tcW w:w="7938" w:type="dxa"/>
            <w:shd w:val="clear" w:color="auto" w:fill="FFFFFF" w:themeFill="background1"/>
          </w:tcPr>
          <w:p w14:paraId="7FE1C28E" w14:textId="77777777" w:rsidR="00393915" w:rsidRDefault="00F24D68">
            <w:pPr>
              <w:pStyle w:val="P68B1DB1-Normal49"/>
              <w:spacing w:line="276" w:lineRule="auto"/>
              <w:jc w:val="both"/>
              <w:rPr>
                <w:bCs/>
              </w:rPr>
            </w:pPr>
            <w:r>
              <w:t>Jedinstveni naziv usluge u skladu s taksonomijom banke</w:t>
            </w:r>
          </w:p>
          <w:p w14:paraId="1C0060B3" w14:textId="2E9F36D0" w:rsidR="00393915" w:rsidRDefault="00F24D68">
            <w:pPr>
              <w:rPr>
                <w:rFonts w:ascii="Times New Roman" w:eastAsiaTheme="minorHAnsi" w:hAnsi="Times New Roman" w:cs="Times New Roman"/>
                <w:sz w:val="24"/>
              </w:rPr>
            </w:pPr>
            <w:r>
              <w:rPr>
                <w:rFonts w:ascii="Times New Roman" w:eastAsia="Calibri" w:hAnsi="Times New Roman" w:cs="Times New Roman"/>
                <w:sz w:val="20"/>
              </w:rPr>
              <w:t xml:space="preserve">Naziv/kratak opis usluge u skladu s vlastitom </w:t>
            </w:r>
            <w:r w:rsidR="00255A9B">
              <w:rPr>
                <w:rFonts w:ascii="Times New Roman" w:eastAsia="Calibri" w:hAnsi="Times New Roman" w:cs="Times New Roman"/>
                <w:sz w:val="20"/>
              </w:rPr>
              <w:t>višeslojnom om</w:t>
            </w:r>
            <w:r>
              <w:rPr>
                <w:rFonts w:ascii="Times New Roman" w:eastAsia="Calibri" w:hAnsi="Times New Roman" w:cs="Times New Roman"/>
                <w:sz w:val="20"/>
              </w:rPr>
              <w:t>taksonomij</w:t>
            </w:r>
            <w:r w:rsidR="00255A9B">
              <w:rPr>
                <w:rFonts w:ascii="Times New Roman" w:eastAsia="Calibri" w:hAnsi="Times New Roman" w:cs="Times New Roman"/>
                <w:sz w:val="20"/>
              </w:rPr>
              <w:t>om</w:t>
            </w:r>
            <w:r>
              <w:rPr>
                <w:rFonts w:ascii="Times New Roman" w:eastAsia="Calibri" w:hAnsi="Times New Roman" w:cs="Times New Roman"/>
                <w:sz w:val="20"/>
              </w:rPr>
              <w:t xml:space="preserve"> banke (razina 3), u kojoj se usluge i podskupovi tih usluga kategoriziraju na hijerarhijskim razinama. Na primjer, taksonomija usluga u kojoj se usluge kategoriziraju na tri hijerarhijske razine, pri čemu na najvišoj razini postoji skupina usluga (L1: Financijske usluge) u okviru kojih su usluge zastupljene na drugoj razini (L2: riznica, financijska analiza, porezi, odnosi s ulagačima itd.) i podusluge na trećoj razini (L3 – u riznici: upravljanje likvidnošću, upravljanje imovinom i obvezama, upravljanje kolateralom itd.). Očekuje se da će banka izvješćivati o uslugama na detaljnijoj razini od izvješća za 2. razinu (c0010) kako bi se svaka pojedina usluga definirala na precizan i ciljani način.</w:t>
            </w:r>
            <w:r>
              <w:rPr>
                <w:rFonts w:ascii="Times New Roman" w:eastAsiaTheme="minorHAnsi" w:hAnsi="Times New Roman" w:cs="Times New Roman"/>
                <w:sz w:val="24"/>
              </w:rPr>
              <w:t xml:space="preserve"> </w:t>
            </w:r>
          </w:p>
          <w:p w14:paraId="7FE1C290" w14:textId="77777777" w:rsidR="00393915" w:rsidRDefault="00393915">
            <w:pPr>
              <w:spacing w:line="276" w:lineRule="auto"/>
              <w:jc w:val="both"/>
              <w:rPr>
                <w:rFonts w:ascii="Times New Roman" w:eastAsia="Calibri" w:hAnsi="Times New Roman" w:cs="Times New Roman"/>
                <w:sz w:val="20"/>
              </w:rPr>
            </w:pPr>
          </w:p>
          <w:p w14:paraId="7FE1C291" w14:textId="77777777" w:rsidR="00393915" w:rsidRDefault="00393915">
            <w:pPr>
              <w:spacing w:line="276" w:lineRule="auto"/>
              <w:jc w:val="both"/>
              <w:rPr>
                <w:rFonts w:ascii="Times New Roman" w:eastAsia="Calibri" w:hAnsi="Times New Roman" w:cs="Times New Roman"/>
                <w:i/>
                <w:sz w:val="20"/>
              </w:rPr>
            </w:pPr>
          </w:p>
        </w:tc>
      </w:tr>
      <w:tr w:rsidR="00393915" w14:paraId="7FE1C298" w14:textId="77777777">
        <w:trPr>
          <w:trHeight w:val="463"/>
        </w:trPr>
        <w:tc>
          <w:tcPr>
            <w:tcW w:w="1129" w:type="dxa"/>
            <w:shd w:val="clear" w:color="auto" w:fill="FFFFFF" w:themeFill="background1"/>
          </w:tcPr>
          <w:p w14:paraId="7FE1C293" w14:textId="77777777" w:rsidR="00393915" w:rsidRDefault="00F24D68">
            <w:pPr>
              <w:pStyle w:val="P68B1DB1-Normal50"/>
              <w:spacing w:before="120" w:after="120" w:line="276" w:lineRule="auto"/>
            </w:pPr>
            <w:r>
              <w:t>0030 – 0040</w:t>
            </w:r>
          </w:p>
          <w:p w14:paraId="7FE1C294" w14:textId="77777777" w:rsidR="00393915" w:rsidRDefault="00393915">
            <w:pPr>
              <w:spacing w:before="120" w:after="120" w:line="276" w:lineRule="auto"/>
              <w:rPr>
                <w:rFonts w:ascii="Times New Roman" w:eastAsia="Calibri" w:hAnsi="Times New Roman" w:cs="Times New Roman"/>
                <w:strike/>
                <w:sz w:val="20"/>
                <w:szCs w:val="20"/>
              </w:rPr>
            </w:pPr>
          </w:p>
        </w:tc>
        <w:tc>
          <w:tcPr>
            <w:tcW w:w="7938" w:type="dxa"/>
            <w:shd w:val="clear" w:color="auto" w:fill="FFFFFF" w:themeFill="background1"/>
          </w:tcPr>
          <w:p w14:paraId="7FE1C295" w14:textId="77777777" w:rsidR="00393915" w:rsidRDefault="00F24D68">
            <w:pPr>
              <w:pStyle w:val="P68B1DB1-Normal49"/>
              <w:spacing w:line="276" w:lineRule="auto"/>
              <w:jc w:val="both"/>
              <w:rPr>
                <w:bCs/>
              </w:rPr>
            </w:pPr>
            <w:r>
              <w:t>Primatelj usluge</w:t>
            </w:r>
          </w:p>
          <w:p w14:paraId="7FE1C296" w14:textId="6BB16960" w:rsidR="00393915" w:rsidRDefault="00F24D68">
            <w:pPr>
              <w:pStyle w:val="P68B1DB1-Normal45"/>
              <w:spacing w:line="276" w:lineRule="auto"/>
              <w:jc w:val="both"/>
            </w:pPr>
            <w:r>
              <w:t xml:space="preserve">Subjekt grupe koji prima uslugu iskazanu u stupcu 0010 od </w:t>
            </w:r>
            <w:r w:rsidR="00C636CC">
              <w:t xml:space="preserve">druge poslovne jedinice, </w:t>
            </w:r>
            <w:r>
              <w:t xml:space="preserve">od </w:t>
            </w:r>
            <w:r>
              <w:t>drugog subjekta grupe ili vanjskog pružatelja koji je iskazan u stupcima 0050 – 0110.</w:t>
            </w:r>
          </w:p>
          <w:p w14:paraId="7FE1C297" w14:textId="77777777" w:rsidR="00393915" w:rsidRDefault="00393915">
            <w:pPr>
              <w:spacing w:line="276" w:lineRule="auto"/>
              <w:jc w:val="both"/>
              <w:rPr>
                <w:rFonts w:ascii="Times New Roman" w:eastAsia="Calibri" w:hAnsi="Times New Roman" w:cs="Times New Roman"/>
                <w:sz w:val="20"/>
              </w:rPr>
            </w:pPr>
          </w:p>
        </w:tc>
      </w:tr>
      <w:tr w:rsidR="00393915" w14:paraId="7FE1C29F" w14:textId="77777777">
        <w:trPr>
          <w:trHeight w:val="463"/>
        </w:trPr>
        <w:tc>
          <w:tcPr>
            <w:tcW w:w="1129" w:type="dxa"/>
            <w:shd w:val="clear" w:color="auto" w:fill="FFFFFF" w:themeFill="background1"/>
          </w:tcPr>
          <w:p w14:paraId="7FE1C299" w14:textId="77777777" w:rsidR="00393915" w:rsidRDefault="00F24D68">
            <w:pPr>
              <w:pStyle w:val="P68B1DB1-Normal50"/>
              <w:spacing w:before="120" w:after="120" w:line="276" w:lineRule="auto"/>
            </w:pPr>
            <w:r>
              <w:t>0030</w:t>
            </w:r>
          </w:p>
          <w:p w14:paraId="7FE1C29A" w14:textId="77777777" w:rsidR="00393915" w:rsidRDefault="00393915">
            <w:pPr>
              <w:spacing w:before="120" w:after="120" w:line="276" w:lineRule="auto"/>
              <w:rPr>
                <w:rFonts w:ascii="Times New Roman" w:eastAsia="Calibri" w:hAnsi="Times New Roman" w:cs="Times New Roman"/>
                <w:strike/>
                <w:sz w:val="20"/>
                <w:szCs w:val="20"/>
              </w:rPr>
            </w:pPr>
          </w:p>
        </w:tc>
        <w:tc>
          <w:tcPr>
            <w:tcW w:w="7938" w:type="dxa"/>
            <w:shd w:val="clear" w:color="auto" w:fill="FFFFFF" w:themeFill="background1"/>
          </w:tcPr>
          <w:p w14:paraId="7FE1C29B" w14:textId="10247858" w:rsidR="00393915" w:rsidRDefault="00F24D68">
            <w:pPr>
              <w:pStyle w:val="P68B1DB1-Normal49"/>
              <w:spacing w:before="120" w:after="120" w:line="276" w:lineRule="auto"/>
              <w:rPr>
                <w:bCs/>
              </w:rPr>
            </w:pPr>
            <w:r>
              <w:t>Naziv</w:t>
            </w:r>
          </w:p>
          <w:p w14:paraId="7FE1C29C" w14:textId="5429A4DF" w:rsidR="00393915" w:rsidRDefault="00F24D68">
            <w:pPr>
              <w:pStyle w:val="P68B1DB1-Normal45"/>
              <w:spacing w:line="276" w:lineRule="auto"/>
              <w:jc w:val="both"/>
            </w:pPr>
            <w:r>
              <w:t>Mora se razlikovati od naziva navedenog u stupcu 0050, osim ako je riječ o usluzi unutar subjekta. U tom se slučaju očekuje podudaranje naziva subjekta primatelja usluga i naziva subjekta pružatelja usluga.</w:t>
            </w:r>
          </w:p>
          <w:p w14:paraId="7FE1C29D" w14:textId="77777777" w:rsidR="00393915" w:rsidRDefault="00393915">
            <w:pPr>
              <w:spacing w:line="276" w:lineRule="auto"/>
              <w:jc w:val="both"/>
              <w:rPr>
                <w:rFonts w:ascii="Times New Roman" w:eastAsia="Calibri" w:hAnsi="Times New Roman" w:cs="Times New Roman"/>
                <w:sz w:val="20"/>
              </w:rPr>
            </w:pPr>
          </w:p>
          <w:p w14:paraId="7FE1C29E" w14:textId="77777777" w:rsidR="00393915" w:rsidRDefault="00393915">
            <w:pPr>
              <w:spacing w:line="276" w:lineRule="auto"/>
              <w:jc w:val="both"/>
              <w:rPr>
                <w:rFonts w:ascii="Times New Roman" w:eastAsia="Calibri" w:hAnsi="Times New Roman" w:cs="Times New Roman"/>
                <w:b/>
                <w:sz w:val="20"/>
              </w:rPr>
            </w:pPr>
          </w:p>
        </w:tc>
      </w:tr>
      <w:tr w:rsidR="00393915" w14:paraId="7FE1C2A6" w14:textId="77777777">
        <w:trPr>
          <w:trHeight w:val="463"/>
        </w:trPr>
        <w:tc>
          <w:tcPr>
            <w:tcW w:w="1129" w:type="dxa"/>
            <w:shd w:val="clear" w:color="auto" w:fill="FFFFFF" w:themeFill="background1"/>
          </w:tcPr>
          <w:p w14:paraId="7FE1C2A0" w14:textId="77777777" w:rsidR="00393915" w:rsidRDefault="00F24D68">
            <w:pPr>
              <w:pStyle w:val="P68B1DB1-Normal50"/>
              <w:spacing w:before="120" w:after="120" w:line="276" w:lineRule="auto"/>
            </w:pPr>
            <w:r>
              <w:t>0040</w:t>
            </w:r>
          </w:p>
          <w:p w14:paraId="7FE1C2A1" w14:textId="77777777" w:rsidR="00393915" w:rsidRDefault="00393915">
            <w:pPr>
              <w:spacing w:before="120" w:after="120" w:line="276" w:lineRule="auto"/>
              <w:rPr>
                <w:rFonts w:ascii="Times New Roman" w:eastAsia="Calibri" w:hAnsi="Times New Roman" w:cs="Times New Roman"/>
                <w:strike/>
                <w:sz w:val="20"/>
                <w:szCs w:val="20"/>
              </w:rPr>
            </w:pPr>
          </w:p>
        </w:tc>
        <w:tc>
          <w:tcPr>
            <w:tcW w:w="7938" w:type="dxa"/>
            <w:shd w:val="clear" w:color="auto" w:fill="FFFFFF" w:themeFill="background1"/>
          </w:tcPr>
          <w:p w14:paraId="7FE1C2A2" w14:textId="77777777" w:rsidR="00393915" w:rsidRDefault="00F24D68">
            <w:pPr>
              <w:pStyle w:val="P68B1DB1-Normal49"/>
              <w:spacing w:before="120" w:after="120" w:line="276" w:lineRule="auto"/>
              <w:rPr>
                <w:bCs/>
              </w:rPr>
            </w:pPr>
            <w:r>
              <w:t>Oznaka</w:t>
            </w:r>
          </w:p>
          <w:p w14:paraId="7FE1C2A3" w14:textId="5B71DA09" w:rsidR="00393915" w:rsidRDefault="00F24D68">
            <w:pPr>
              <w:pStyle w:val="P68B1DB1-Normal45"/>
              <w:spacing w:line="276" w:lineRule="auto"/>
              <w:jc w:val="both"/>
            </w:pPr>
            <w:r>
              <w:t xml:space="preserve">Jedinstvena identifikacijska oznaka </w:t>
            </w:r>
            <w:r w:rsidR="00C636CC">
              <w:t>og</w:t>
            </w:r>
            <w:r>
              <w:t>pravn</w:t>
            </w:r>
            <w:r w:rsidR="00C636CC">
              <w:t>og</w:t>
            </w:r>
            <w:r w:rsidR="00C636CC">
              <w:t xml:space="preserve">subjekta </w:t>
            </w:r>
            <w:r>
              <w:t>u stupcu 0030 kako je iskazana u predlošku Z 01.01 (ORG).</w:t>
            </w:r>
          </w:p>
          <w:p w14:paraId="7FE1C2A4" w14:textId="0FAB0099" w:rsidR="00393915" w:rsidRDefault="00F24D68">
            <w:pPr>
              <w:pStyle w:val="P68B1DB1-Normal45"/>
              <w:spacing w:line="276" w:lineRule="auto"/>
              <w:jc w:val="both"/>
            </w:pPr>
            <w:r>
              <w:t xml:space="preserve">Mora se razlikovati od identifikacijske oznake navedene u stupcu 0060, osim ako je riječ o usluzi unutar subjekta. U tom se slučaju očekuje podudaranje </w:t>
            </w:r>
            <w:r w:rsidR="00C55E23">
              <w:t xml:space="preserve">oznake </w:t>
            </w:r>
            <w:r>
              <w:t xml:space="preserve">primatelja usluge i </w:t>
            </w:r>
            <w:r w:rsidR="00C55E23">
              <w:t xml:space="preserve">oznake </w:t>
            </w:r>
            <w:r>
              <w:t>pružatelja usluge.</w:t>
            </w:r>
          </w:p>
          <w:p w14:paraId="7FE1C2A5" w14:textId="77777777" w:rsidR="00393915" w:rsidRDefault="00393915">
            <w:pPr>
              <w:spacing w:line="276" w:lineRule="auto"/>
              <w:jc w:val="both"/>
              <w:rPr>
                <w:rFonts w:ascii="Times New Roman" w:eastAsia="Calibri" w:hAnsi="Times New Roman" w:cs="Times New Roman"/>
                <w:b/>
                <w:i/>
                <w:sz w:val="20"/>
              </w:rPr>
            </w:pPr>
          </w:p>
        </w:tc>
      </w:tr>
      <w:tr w:rsidR="00393915" w14:paraId="7FE1C2AC" w14:textId="77777777">
        <w:trPr>
          <w:trHeight w:val="463"/>
        </w:trPr>
        <w:tc>
          <w:tcPr>
            <w:tcW w:w="1129" w:type="dxa"/>
            <w:shd w:val="clear" w:color="auto" w:fill="FFFFFF" w:themeFill="background1"/>
          </w:tcPr>
          <w:p w14:paraId="7FE1C2A7" w14:textId="77777777" w:rsidR="00393915" w:rsidRDefault="00F24D68">
            <w:pPr>
              <w:pStyle w:val="P68B1DB1-Normal50"/>
              <w:spacing w:before="120" w:after="120" w:line="276" w:lineRule="auto"/>
            </w:pPr>
            <w:r>
              <w:lastRenderedPageBreak/>
              <w:t>0050 – 0110</w:t>
            </w:r>
          </w:p>
          <w:p w14:paraId="7FE1C2A8" w14:textId="77777777" w:rsidR="00393915" w:rsidRDefault="00393915">
            <w:pPr>
              <w:spacing w:before="120" w:after="120" w:line="276" w:lineRule="auto"/>
              <w:rPr>
                <w:rFonts w:ascii="Times New Roman" w:eastAsia="Calibri" w:hAnsi="Times New Roman" w:cs="Times New Roman"/>
                <w:sz w:val="20"/>
                <w:szCs w:val="20"/>
              </w:rPr>
            </w:pPr>
          </w:p>
        </w:tc>
        <w:tc>
          <w:tcPr>
            <w:tcW w:w="7938" w:type="dxa"/>
            <w:shd w:val="clear" w:color="auto" w:fill="FFFFFF" w:themeFill="background1"/>
          </w:tcPr>
          <w:p w14:paraId="7FE1C2A9" w14:textId="77777777" w:rsidR="00393915" w:rsidRDefault="00F24D68">
            <w:pPr>
              <w:pStyle w:val="P68B1DB1-Normal55"/>
              <w:spacing w:line="276" w:lineRule="auto"/>
              <w:jc w:val="both"/>
              <w:rPr>
                <w:bCs/>
              </w:rPr>
            </w:pPr>
            <w:r>
              <w:rPr>
                <w:szCs w:val="20"/>
              </w:rPr>
              <w:t>Pružatelj usluga</w:t>
            </w:r>
            <w:r>
              <w:t xml:space="preserve"> </w:t>
            </w:r>
          </w:p>
          <w:p w14:paraId="7FE1C2AA" w14:textId="77777777" w:rsidR="00393915" w:rsidRDefault="00F24D68">
            <w:pPr>
              <w:pStyle w:val="P68B1DB1-Normal45"/>
              <w:spacing w:line="276" w:lineRule="auto"/>
              <w:jc w:val="both"/>
            </w:pPr>
            <w:r>
              <w:t>Pravni subjekt (za usluge unutar subjekta ili unutar grupe) ili vanjski pružatelj (za vanjske usluge) koji pruža uslugu iskazanu u stupcu 0020 subjektu grupe iskazanom u stupcu 0030.</w:t>
            </w:r>
          </w:p>
          <w:p w14:paraId="7FE1C2AB" w14:textId="77777777" w:rsidR="00393915" w:rsidRDefault="00393915">
            <w:pPr>
              <w:spacing w:line="276" w:lineRule="auto"/>
              <w:jc w:val="both"/>
              <w:rPr>
                <w:rFonts w:ascii="Times New Roman" w:eastAsia="Calibri" w:hAnsi="Times New Roman" w:cs="Times New Roman"/>
                <w:sz w:val="20"/>
              </w:rPr>
            </w:pPr>
          </w:p>
        </w:tc>
      </w:tr>
      <w:tr w:rsidR="00393915" w14:paraId="244B34A5" w14:textId="77777777">
        <w:trPr>
          <w:trHeight w:val="463"/>
        </w:trPr>
        <w:tc>
          <w:tcPr>
            <w:tcW w:w="1129" w:type="dxa"/>
            <w:shd w:val="clear" w:color="auto" w:fill="FFFFFF" w:themeFill="background1"/>
          </w:tcPr>
          <w:p w14:paraId="26770022" w14:textId="77E4D0B7" w:rsidR="00393915" w:rsidRDefault="00F24D68">
            <w:pPr>
              <w:pStyle w:val="P68B1DB1-Normal50"/>
              <w:spacing w:before="120" w:after="120" w:line="276" w:lineRule="auto"/>
            </w:pPr>
            <w:r>
              <w:t>0050 – 0070</w:t>
            </w:r>
          </w:p>
        </w:tc>
        <w:tc>
          <w:tcPr>
            <w:tcW w:w="7938" w:type="dxa"/>
            <w:shd w:val="clear" w:color="auto" w:fill="FFFFFF" w:themeFill="background1"/>
          </w:tcPr>
          <w:p w14:paraId="3E4CD319" w14:textId="2E42B7B0" w:rsidR="00393915" w:rsidRDefault="00F24D68">
            <w:pPr>
              <w:pStyle w:val="P68B1DB1-Normal49"/>
              <w:spacing w:line="276" w:lineRule="auto"/>
              <w:jc w:val="both"/>
              <w:rPr>
                <w:bCs/>
              </w:rPr>
            </w:pPr>
            <w:r>
              <w:t>Subjekt</w:t>
            </w:r>
          </w:p>
        </w:tc>
      </w:tr>
      <w:tr w:rsidR="00393915" w14:paraId="7FE1C2B2" w14:textId="77777777">
        <w:trPr>
          <w:trHeight w:val="463"/>
        </w:trPr>
        <w:tc>
          <w:tcPr>
            <w:tcW w:w="1129" w:type="dxa"/>
            <w:shd w:val="clear" w:color="auto" w:fill="FFFFFF" w:themeFill="background1"/>
          </w:tcPr>
          <w:p w14:paraId="7FE1C2AD" w14:textId="77777777" w:rsidR="00393915" w:rsidRDefault="00F24D68">
            <w:pPr>
              <w:pStyle w:val="P68B1DB1-Normal50"/>
              <w:spacing w:before="120" w:after="120" w:line="276" w:lineRule="auto"/>
            </w:pPr>
            <w:r>
              <w:t>0050</w:t>
            </w:r>
          </w:p>
          <w:p w14:paraId="7FE1C2AE" w14:textId="77777777" w:rsidR="00393915" w:rsidRDefault="00393915">
            <w:pPr>
              <w:spacing w:before="120" w:after="120" w:line="276" w:lineRule="auto"/>
              <w:rPr>
                <w:rFonts w:ascii="Times New Roman" w:eastAsia="Calibri" w:hAnsi="Times New Roman" w:cs="Times New Roman"/>
                <w:b/>
                <w:strike/>
                <w:sz w:val="20"/>
                <w:szCs w:val="20"/>
              </w:rPr>
            </w:pPr>
          </w:p>
        </w:tc>
        <w:tc>
          <w:tcPr>
            <w:tcW w:w="7938" w:type="dxa"/>
            <w:shd w:val="clear" w:color="auto" w:fill="FFFFFF" w:themeFill="background1"/>
          </w:tcPr>
          <w:p w14:paraId="7FE1C2AF" w14:textId="6229942B" w:rsidR="00393915" w:rsidRDefault="00F24D68">
            <w:pPr>
              <w:pStyle w:val="P68B1DB1-Normal49"/>
              <w:spacing w:before="120" w:after="120" w:line="276" w:lineRule="auto"/>
              <w:rPr>
                <w:bCs/>
              </w:rPr>
            </w:pPr>
            <w:r>
              <w:t>Naziv</w:t>
            </w:r>
          </w:p>
          <w:p w14:paraId="7FE1C2B0" w14:textId="77777777" w:rsidR="00393915" w:rsidRDefault="00F24D68">
            <w:pPr>
              <w:pStyle w:val="P68B1DB1-Normal45"/>
              <w:spacing w:line="276" w:lineRule="auto"/>
              <w:jc w:val="both"/>
            </w:pPr>
            <w:r>
              <w:t>Mora se razlikovati od naziva navedenog u stupcu 0030, osim ako je riječ o usluzi unutar subjekta. U tom se slučaju očekuje podudaranje naziva subjekta primatelja usluga i naziva subjekta pružatelja usluga.</w:t>
            </w:r>
          </w:p>
          <w:p w14:paraId="7FE1C2B1" w14:textId="77777777" w:rsidR="00393915" w:rsidRDefault="00393915">
            <w:pPr>
              <w:spacing w:line="276" w:lineRule="auto"/>
              <w:jc w:val="both"/>
              <w:rPr>
                <w:rFonts w:ascii="Times New Roman" w:eastAsia="Calibri" w:hAnsi="Times New Roman" w:cs="Times New Roman"/>
                <w:b/>
                <w:sz w:val="20"/>
              </w:rPr>
            </w:pPr>
          </w:p>
        </w:tc>
      </w:tr>
      <w:tr w:rsidR="00393915" w14:paraId="7FE1C2BE" w14:textId="77777777">
        <w:trPr>
          <w:trHeight w:val="463"/>
        </w:trPr>
        <w:tc>
          <w:tcPr>
            <w:tcW w:w="1129" w:type="dxa"/>
            <w:shd w:val="clear" w:color="auto" w:fill="FFFFFF" w:themeFill="background1"/>
          </w:tcPr>
          <w:p w14:paraId="7FE1C2B3" w14:textId="77777777" w:rsidR="00393915" w:rsidRDefault="00F24D68">
            <w:pPr>
              <w:pStyle w:val="P68B1DB1-Normal45"/>
              <w:spacing w:line="276" w:lineRule="auto"/>
              <w:jc w:val="both"/>
            </w:pPr>
            <w:r>
              <w:t>0060</w:t>
            </w:r>
          </w:p>
          <w:p w14:paraId="7FE1C2B4" w14:textId="77777777" w:rsidR="00393915" w:rsidRDefault="00393915">
            <w:pPr>
              <w:spacing w:line="276" w:lineRule="auto"/>
              <w:jc w:val="both"/>
              <w:rPr>
                <w:rFonts w:ascii="Times New Roman" w:eastAsia="Calibri" w:hAnsi="Times New Roman" w:cs="Times New Roman"/>
                <w:strike/>
                <w:sz w:val="20"/>
              </w:rPr>
            </w:pPr>
          </w:p>
        </w:tc>
        <w:tc>
          <w:tcPr>
            <w:tcW w:w="7938" w:type="dxa"/>
            <w:shd w:val="clear" w:color="auto" w:fill="FFFFFF" w:themeFill="background1"/>
          </w:tcPr>
          <w:p w14:paraId="7FE1C2B5" w14:textId="77777777" w:rsidR="00393915" w:rsidRDefault="00F24D68">
            <w:pPr>
              <w:pStyle w:val="P68B1DB1-Normal55"/>
              <w:spacing w:line="276" w:lineRule="auto"/>
              <w:jc w:val="both"/>
              <w:rPr>
                <w:bCs/>
              </w:rPr>
            </w:pPr>
            <w:r>
              <w:t>Oznaka</w:t>
            </w:r>
          </w:p>
          <w:p w14:paraId="7FE1C2B6" w14:textId="16A4E662" w:rsidR="00393915" w:rsidRDefault="00F24D68">
            <w:pPr>
              <w:pStyle w:val="P68B1DB1-Normal45"/>
              <w:spacing w:line="276" w:lineRule="auto"/>
              <w:jc w:val="both"/>
              <w:rPr>
                <w:strike/>
              </w:rPr>
            </w:pPr>
            <w:r>
              <w:t xml:space="preserve">Jedinstvena identifikacijska oznaka pravne osobe u stupcu 0050 </w:t>
            </w:r>
            <w:r w:rsidR="00C55E23">
              <w:t>m</w:t>
            </w:r>
            <w:r w:rsidR="00C55E23">
              <w:t>m</w:t>
            </w:r>
            <w:r>
              <w:t>ora</w:t>
            </w:r>
            <w:r>
              <w:t xml:space="preserve"> se razlikovati od identifikacijske oznake navedene u stupcu 0040, osim ako je riječ o usluzi unutar subjekta. U tom se slučaju očekuje podudaranje </w:t>
            </w:r>
            <w:r w:rsidR="00B67FE3">
              <w:t xml:space="preserve">oznake </w:t>
            </w:r>
            <w:r>
              <w:t xml:space="preserve">primatelja usluge i </w:t>
            </w:r>
            <w:r w:rsidR="00B67FE3">
              <w:t xml:space="preserve">oznake </w:t>
            </w:r>
            <w:r>
              <w:t>pružatelja usluge.</w:t>
            </w:r>
          </w:p>
          <w:p w14:paraId="7FE1C2B7" w14:textId="77777777" w:rsidR="00393915" w:rsidRDefault="00F24D68">
            <w:pPr>
              <w:pStyle w:val="P68B1DB1-Normal45"/>
              <w:spacing w:line="276" w:lineRule="auto"/>
              <w:jc w:val="both"/>
            </w:pPr>
            <w:r>
              <w:t>Ako je pružatelj usluge subjekt grupe, oznaka je jednaka onoj koja je iskazana u predlošku Z 01.01 (ORG).</w:t>
            </w:r>
          </w:p>
          <w:p w14:paraId="7FE1C2B8" w14:textId="77777777" w:rsidR="00393915" w:rsidRDefault="00F24D68">
            <w:pPr>
              <w:pStyle w:val="P68B1DB1-Normal45"/>
              <w:spacing w:line="276" w:lineRule="auto"/>
              <w:jc w:val="both"/>
            </w:pPr>
            <w:r>
              <w:t>Ako pružatelj usluge nije subjekt grupe, oznaka tog subjekta jest:</w:t>
            </w:r>
          </w:p>
          <w:p w14:paraId="7FE1C2B9" w14:textId="77777777" w:rsidR="00393915" w:rsidRDefault="00F24D68">
            <w:pPr>
              <w:pStyle w:val="P68B1DB1-Normal45"/>
              <w:spacing w:line="276" w:lineRule="auto"/>
              <w:jc w:val="both"/>
            </w:pPr>
            <w:r>
              <w:t>— za subjekte s identifikacijskom oznakom pravne osobe (LEI), dvadeseteroznamenkasta alfanumerička oznaka LEI;</w:t>
            </w:r>
          </w:p>
          <w:p w14:paraId="7FE1C2BA" w14:textId="77777777" w:rsidR="00393915" w:rsidRDefault="00F24D68">
            <w:pPr>
              <w:pStyle w:val="P68B1DB1-Normal45"/>
              <w:spacing w:line="276" w:lineRule="auto"/>
              <w:jc w:val="both"/>
            </w:pPr>
            <w:r>
              <w:t>— za subjekte bez LEI-ja, korporativni registracijski broj u skladu s nacionalnim pravom</w:t>
            </w:r>
            <w:r>
              <w:rPr>
                <w:strike/>
              </w:rPr>
              <w:t>.</w:t>
            </w:r>
          </w:p>
          <w:p w14:paraId="7FE1C2BB" w14:textId="77777777" w:rsidR="00393915" w:rsidRDefault="00393915">
            <w:pPr>
              <w:spacing w:line="276" w:lineRule="auto"/>
              <w:jc w:val="both"/>
              <w:rPr>
                <w:rFonts w:ascii="Times New Roman" w:eastAsia="Calibri" w:hAnsi="Times New Roman" w:cs="Times New Roman"/>
                <w:sz w:val="20"/>
              </w:rPr>
            </w:pPr>
          </w:p>
          <w:p w14:paraId="7FE1C2BC" w14:textId="77777777" w:rsidR="00393915" w:rsidRDefault="00F24D68">
            <w:pPr>
              <w:pStyle w:val="P68B1DB1-Normal45"/>
              <w:spacing w:line="276" w:lineRule="auto"/>
              <w:jc w:val="both"/>
            </w:pPr>
            <w:r>
              <w:t>U oba slučaja, oznaka treba biti jedinstvena i primjenjuje se dosljedno u svim predlošcima.</w:t>
            </w:r>
          </w:p>
          <w:p w14:paraId="7FE1C2BD" w14:textId="77777777" w:rsidR="00393915" w:rsidRDefault="00F24D68">
            <w:pPr>
              <w:pStyle w:val="P68B1DB1-Normal56"/>
              <w:spacing w:line="276" w:lineRule="auto"/>
              <w:jc w:val="both"/>
            </w:pPr>
            <w:r>
              <w:t xml:space="preserve"> </w:t>
            </w:r>
          </w:p>
        </w:tc>
      </w:tr>
      <w:tr w:rsidR="00393915" w14:paraId="7FE1C2C7" w14:textId="77777777">
        <w:trPr>
          <w:trHeight w:val="463"/>
        </w:trPr>
        <w:tc>
          <w:tcPr>
            <w:tcW w:w="1129" w:type="dxa"/>
            <w:shd w:val="clear" w:color="auto" w:fill="FFFFFF" w:themeFill="background1"/>
          </w:tcPr>
          <w:p w14:paraId="7FE1C2BF" w14:textId="77777777" w:rsidR="00393915" w:rsidRDefault="00F24D68">
            <w:pPr>
              <w:pStyle w:val="P68B1DB1-Normal45"/>
              <w:spacing w:line="276" w:lineRule="auto"/>
              <w:jc w:val="both"/>
            </w:pPr>
            <w:r>
              <w:t>0070</w:t>
            </w:r>
          </w:p>
        </w:tc>
        <w:tc>
          <w:tcPr>
            <w:tcW w:w="7938" w:type="dxa"/>
            <w:shd w:val="clear" w:color="auto" w:fill="FFFFFF" w:themeFill="background1"/>
          </w:tcPr>
          <w:p w14:paraId="7FE1C2C0" w14:textId="77777777" w:rsidR="00393915" w:rsidRDefault="00F24D68">
            <w:pPr>
              <w:pStyle w:val="P68B1DB1-Normal55"/>
              <w:spacing w:line="276" w:lineRule="auto"/>
              <w:jc w:val="both"/>
              <w:rPr>
                <w:bCs/>
              </w:rPr>
            </w:pPr>
            <w:r>
              <w:t xml:space="preserve">Vrsta oznake </w:t>
            </w:r>
          </w:p>
          <w:p w14:paraId="7FE1C2C3" w14:textId="5EDF8AF2" w:rsidR="00393915" w:rsidRDefault="00F24D68">
            <w:pPr>
              <w:pStyle w:val="P68B1DB1-Normal57"/>
              <w:spacing w:line="276" w:lineRule="auto"/>
              <w:contextualSpacing/>
              <w:jc w:val="both"/>
              <w:rPr>
                <w:bCs/>
              </w:rPr>
            </w:pPr>
            <w:r>
              <w:t>Iskazati jednu od sljedećih vrijednosti:</w:t>
            </w:r>
          </w:p>
          <w:p w14:paraId="7FE1C2C4" w14:textId="2676A15C" w:rsidR="00393915" w:rsidRDefault="00F24D68">
            <w:pPr>
              <w:pStyle w:val="P68B1DB1-ListParagraph58"/>
              <w:numPr>
                <w:ilvl w:val="0"/>
                <w:numId w:val="64"/>
              </w:numPr>
              <w:spacing w:line="276" w:lineRule="auto"/>
              <w:contextualSpacing/>
              <w:jc w:val="both"/>
            </w:pPr>
            <w:r>
              <w:t xml:space="preserve">LEI </w:t>
            </w:r>
          </w:p>
          <w:p w14:paraId="7FE1C2C5" w14:textId="77777777" w:rsidR="00393915" w:rsidRDefault="00F24D68">
            <w:pPr>
              <w:pStyle w:val="P68B1DB1-ListParagraph58"/>
              <w:numPr>
                <w:ilvl w:val="0"/>
                <w:numId w:val="64"/>
              </w:numPr>
              <w:spacing w:line="276" w:lineRule="auto"/>
              <w:contextualSpacing/>
              <w:jc w:val="both"/>
            </w:pPr>
            <w:r>
              <w:t>Korporativni registracijski broj</w:t>
            </w:r>
          </w:p>
          <w:p w14:paraId="7FE1C2C6" w14:textId="77777777" w:rsidR="00393915" w:rsidRDefault="00393915">
            <w:pPr>
              <w:spacing w:line="276" w:lineRule="auto"/>
              <w:jc w:val="both"/>
              <w:rPr>
                <w:rFonts w:ascii="Times New Roman" w:eastAsia="Calibri" w:hAnsi="Times New Roman" w:cs="Times New Roman"/>
                <w:sz w:val="20"/>
              </w:rPr>
            </w:pPr>
          </w:p>
        </w:tc>
      </w:tr>
      <w:tr w:rsidR="00393915" w14:paraId="5AC7028E" w14:textId="77777777">
        <w:trPr>
          <w:trHeight w:val="463"/>
        </w:trPr>
        <w:tc>
          <w:tcPr>
            <w:tcW w:w="1129" w:type="dxa"/>
            <w:shd w:val="clear" w:color="auto" w:fill="FFFFFF" w:themeFill="background1"/>
          </w:tcPr>
          <w:p w14:paraId="3ECEFB75" w14:textId="74BF0EC5" w:rsidR="00393915" w:rsidRDefault="00F24D68">
            <w:pPr>
              <w:pStyle w:val="P68B1DB1-Normal45"/>
              <w:spacing w:line="276" w:lineRule="auto"/>
              <w:jc w:val="both"/>
            </w:pPr>
            <w:r>
              <w:t>0080 – 0100</w:t>
            </w:r>
          </w:p>
        </w:tc>
        <w:tc>
          <w:tcPr>
            <w:tcW w:w="7938" w:type="dxa"/>
            <w:shd w:val="clear" w:color="auto" w:fill="FFFFFF" w:themeFill="background1"/>
          </w:tcPr>
          <w:p w14:paraId="259185CE" w14:textId="3019036A" w:rsidR="00393915" w:rsidRDefault="002578A0">
            <w:pPr>
              <w:pStyle w:val="P68B1DB1-Normal55"/>
              <w:spacing w:line="276" w:lineRule="auto"/>
              <w:jc w:val="both"/>
              <w:rPr>
                <w:bCs/>
              </w:rPr>
            </w:pPr>
            <w:r>
              <w:t>Matično</w:t>
            </w:r>
            <w:r>
              <w:t>Matično</w:t>
            </w:r>
            <w:r>
              <w:t xml:space="preserve"> društvo</w:t>
            </w:r>
          </w:p>
        </w:tc>
      </w:tr>
      <w:tr w:rsidR="00393915" w14:paraId="7FE1C2CC" w14:textId="77777777">
        <w:trPr>
          <w:trHeight w:val="463"/>
        </w:trPr>
        <w:tc>
          <w:tcPr>
            <w:tcW w:w="1129" w:type="dxa"/>
          </w:tcPr>
          <w:p w14:paraId="7FE1C2C8" w14:textId="77777777" w:rsidR="00393915" w:rsidRDefault="00F24D68">
            <w:pPr>
              <w:pStyle w:val="P68B1DB1-Normal45"/>
              <w:spacing w:line="276" w:lineRule="auto"/>
              <w:jc w:val="both"/>
            </w:pPr>
            <w:r>
              <w:t>0080</w:t>
            </w:r>
          </w:p>
        </w:tc>
        <w:tc>
          <w:tcPr>
            <w:tcW w:w="7938" w:type="dxa"/>
            <w:shd w:val="clear" w:color="auto" w:fill="FFFFFF" w:themeFill="background1"/>
          </w:tcPr>
          <w:p w14:paraId="0DC1DDCB" w14:textId="24E6B1FE" w:rsidR="00393915" w:rsidRDefault="00F24D68">
            <w:pPr>
              <w:pStyle w:val="P68B1DB1-Normal55"/>
              <w:spacing w:line="276" w:lineRule="auto"/>
              <w:jc w:val="both"/>
            </w:pPr>
            <w:r>
              <w:t>Naziv</w:t>
            </w:r>
          </w:p>
          <w:p w14:paraId="7FE1C2CA" w14:textId="4AA4CDCD" w:rsidR="00393915" w:rsidRDefault="00F24D68">
            <w:pPr>
              <w:pStyle w:val="P68B1DB1-Normal45"/>
              <w:spacing w:line="276" w:lineRule="auto"/>
              <w:jc w:val="both"/>
            </w:pPr>
            <w:r>
              <w:t>Naziv (krajnjeg) matičnog društva pružatelja usluga iskazano u stupcu 0050 ako to nije subjekt grupe. U ostalim slučajevima nije primjenjivo.</w:t>
            </w:r>
          </w:p>
          <w:p w14:paraId="7FE1C2CB" w14:textId="77777777" w:rsidR="00393915" w:rsidRDefault="00393915">
            <w:pPr>
              <w:spacing w:line="276" w:lineRule="auto"/>
              <w:jc w:val="both"/>
              <w:rPr>
                <w:rFonts w:ascii="Times New Roman" w:hAnsi="Times New Roman" w:cs="Times New Roman"/>
              </w:rPr>
            </w:pPr>
          </w:p>
        </w:tc>
      </w:tr>
      <w:tr w:rsidR="00393915" w14:paraId="7FE1C2D3" w14:textId="77777777">
        <w:trPr>
          <w:trHeight w:val="463"/>
        </w:trPr>
        <w:tc>
          <w:tcPr>
            <w:tcW w:w="1129" w:type="dxa"/>
          </w:tcPr>
          <w:p w14:paraId="7FE1C2CD" w14:textId="77777777" w:rsidR="00393915" w:rsidRDefault="00F24D68">
            <w:pPr>
              <w:pStyle w:val="P68B1DB1-Normal45"/>
              <w:spacing w:line="276" w:lineRule="auto"/>
              <w:jc w:val="both"/>
            </w:pPr>
            <w:r>
              <w:t>0090</w:t>
            </w:r>
          </w:p>
        </w:tc>
        <w:tc>
          <w:tcPr>
            <w:tcW w:w="7938" w:type="dxa"/>
            <w:shd w:val="clear" w:color="auto" w:fill="FFFFFF" w:themeFill="background1"/>
          </w:tcPr>
          <w:p w14:paraId="7FE1C2CE" w14:textId="414718EB" w:rsidR="00393915" w:rsidRDefault="00F24D68">
            <w:pPr>
              <w:pStyle w:val="P68B1DB1-Normal55"/>
              <w:spacing w:line="276" w:lineRule="auto"/>
              <w:jc w:val="both"/>
              <w:rPr>
                <w:bCs/>
              </w:rPr>
            </w:pPr>
            <w:r>
              <w:t>Oznaka</w:t>
            </w:r>
          </w:p>
          <w:p w14:paraId="7FE1C2CF" w14:textId="77777777" w:rsidR="00393915" w:rsidRDefault="00F24D68">
            <w:pPr>
              <w:pStyle w:val="P68B1DB1-Normal45"/>
              <w:spacing w:line="276" w:lineRule="auto"/>
              <w:jc w:val="both"/>
            </w:pPr>
            <w:r>
              <w:t>Oznaka matičnog društva navedena u stupcu 0080 jest:</w:t>
            </w:r>
          </w:p>
          <w:p w14:paraId="7FE1C2D0" w14:textId="7ACEB555" w:rsidR="00393915" w:rsidRDefault="00F24D68">
            <w:pPr>
              <w:pStyle w:val="P68B1DB1-Normal45"/>
              <w:spacing w:line="276" w:lineRule="auto"/>
              <w:jc w:val="both"/>
            </w:pPr>
            <w:r>
              <w:t xml:space="preserve">— za subjekte s identifikacijskom oznakom </w:t>
            </w:r>
            <w:r w:rsidR="00B330C4">
              <w:t>og</w:t>
            </w:r>
            <w:r>
              <w:t>pravn</w:t>
            </w:r>
            <w:r w:rsidR="00B330C4">
              <w:t>og</w:t>
            </w:r>
            <w:r w:rsidR="00B330C4">
              <w:t xml:space="preserve"> subjekta </w:t>
            </w:r>
            <w:r>
              <w:t xml:space="preserve">(LEI), dvadeseteroznamenkasta alfanumerička </w:t>
            </w:r>
            <w:r w:rsidR="0056386C">
              <w:t xml:space="preserve">LEI </w:t>
            </w:r>
            <w:r>
              <w:t>oznaka;</w:t>
            </w:r>
          </w:p>
          <w:p w14:paraId="7FE1C2D1" w14:textId="77777777" w:rsidR="00393915" w:rsidRDefault="00F24D68">
            <w:pPr>
              <w:pStyle w:val="P68B1DB1-Normal45"/>
              <w:spacing w:line="276" w:lineRule="auto"/>
              <w:jc w:val="both"/>
            </w:pPr>
            <w:r>
              <w:t xml:space="preserve">— za subjekte bez LEI-ja, korporativni registracijski broj u skladu s nacionalnim pravom. </w:t>
            </w:r>
          </w:p>
          <w:p w14:paraId="7FE1C2D2" w14:textId="77777777" w:rsidR="00393915" w:rsidRDefault="00393915">
            <w:pPr>
              <w:spacing w:line="276" w:lineRule="auto"/>
              <w:jc w:val="both"/>
              <w:rPr>
                <w:rFonts w:ascii="Times New Roman" w:eastAsia="Calibri" w:hAnsi="Times New Roman" w:cs="Times New Roman"/>
                <w:sz w:val="20"/>
              </w:rPr>
            </w:pPr>
          </w:p>
        </w:tc>
      </w:tr>
      <w:tr w:rsidR="00393915" w14:paraId="7FE1C2DC" w14:textId="77777777">
        <w:trPr>
          <w:trHeight w:val="463"/>
        </w:trPr>
        <w:tc>
          <w:tcPr>
            <w:tcW w:w="1129" w:type="dxa"/>
          </w:tcPr>
          <w:p w14:paraId="7FE1C2D4" w14:textId="77777777" w:rsidR="00393915" w:rsidRDefault="00F24D68">
            <w:pPr>
              <w:pStyle w:val="P68B1DB1-Normal45"/>
              <w:spacing w:line="276" w:lineRule="auto"/>
              <w:jc w:val="both"/>
            </w:pPr>
            <w:r>
              <w:t>0100</w:t>
            </w:r>
          </w:p>
        </w:tc>
        <w:tc>
          <w:tcPr>
            <w:tcW w:w="7938" w:type="dxa"/>
            <w:shd w:val="clear" w:color="auto" w:fill="FFFFFF" w:themeFill="background1"/>
          </w:tcPr>
          <w:p w14:paraId="7FE1C2D5" w14:textId="77777777" w:rsidR="00393915" w:rsidRDefault="00F24D68">
            <w:pPr>
              <w:pStyle w:val="P68B1DB1-Normal55"/>
              <w:spacing w:line="276" w:lineRule="auto"/>
              <w:jc w:val="both"/>
              <w:rPr>
                <w:bCs/>
              </w:rPr>
            </w:pPr>
            <w:r>
              <w:t xml:space="preserve">Vrsta oznake </w:t>
            </w:r>
          </w:p>
          <w:p w14:paraId="7FE1C2D6" w14:textId="77777777" w:rsidR="00393915" w:rsidRDefault="00F24D68">
            <w:pPr>
              <w:pStyle w:val="P68B1DB1-Normal57"/>
              <w:spacing w:line="276" w:lineRule="auto"/>
              <w:contextualSpacing/>
              <w:jc w:val="both"/>
              <w:rPr>
                <w:bCs/>
              </w:rPr>
            </w:pPr>
            <w:r>
              <w:t>Iskazati jednu od sljedećih vrijednosti:</w:t>
            </w:r>
          </w:p>
          <w:p w14:paraId="7FE1C2D7" w14:textId="5517A366" w:rsidR="00393915" w:rsidRDefault="00F24D68">
            <w:pPr>
              <w:pStyle w:val="P68B1DB1-ListParagraph58"/>
              <w:numPr>
                <w:ilvl w:val="0"/>
                <w:numId w:val="64"/>
              </w:numPr>
              <w:spacing w:line="276" w:lineRule="auto"/>
              <w:contextualSpacing/>
              <w:jc w:val="both"/>
            </w:pPr>
            <w:r>
              <w:t xml:space="preserve">LEI </w:t>
            </w:r>
          </w:p>
          <w:p w14:paraId="7FE1C2D8" w14:textId="77777777" w:rsidR="00393915" w:rsidRDefault="00F24D68">
            <w:pPr>
              <w:pStyle w:val="P68B1DB1-ListParagraph58"/>
              <w:numPr>
                <w:ilvl w:val="0"/>
                <w:numId w:val="64"/>
              </w:numPr>
              <w:spacing w:line="276" w:lineRule="auto"/>
              <w:contextualSpacing/>
              <w:jc w:val="both"/>
            </w:pPr>
            <w:r>
              <w:t>Korporativni registracijski broj</w:t>
            </w:r>
          </w:p>
          <w:p w14:paraId="7FE1C2DB" w14:textId="010B0D6D" w:rsidR="00393915" w:rsidRDefault="00393915">
            <w:pPr>
              <w:spacing w:line="276" w:lineRule="auto"/>
              <w:jc w:val="both"/>
              <w:rPr>
                <w:rFonts w:ascii="Times New Roman" w:eastAsia="Calibri" w:hAnsi="Times New Roman" w:cs="Times New Roman"/>
                <w:sz w:val="20"/>
              </w:rPr>
            </w:pPr>
          </w:p>
        </w:tc>
      </w:tr>
      <w:tr w:rsidR="00393915" w14:paraId="7FE1C2E4" w14:textId="77777777">
        <w:trPr>
          <w:trHeight w:val="463"/>
        </w:trPr>
        <w:tc>
          <w:tcPr>
            <w:tcW w:w="1129" w:type="dxa"/>
            <w:shd w:val="clear" w:color="auto" w:fill="FFFFFF" w:themeFill="background1"/>
          </w:tcPr>
          <w:p w14:paraId="7FE1C2DD" w14:textId="77777777" w:rsidR="00393915" w:rsidRDefault="00F24D68">
            <w:pPr>
              <w:pStyle w:val="P68B1DB1-Normal45"/>
              <w:spacing w:line="276" w:lineRule="auto"/>
              <w:jc w:val="both"/>
            </w:pPr>
            <w:r>
              <w:lastRenderedPageBreak/>
              <w:t>0110</w:t>
            </w:r>
          </w:p>
        </w:tc>
        <w:tc>
          <w:tcPr>
            <w:tcW w:w="7938" w:type="dxa"/>
            <w:shd w:val="clear" w:color="auto" w:fill="FFFFFF" w:themeFill="background1"/>
          </w:tcPr>
          <w:p w14:paraId="7FE1C2DE" w14:textId="77777777" w:rsidR="00393915" w:rsidRDefault="00F24D68">
            <w:pPr>
              <w:pStyle w:val="P68B1DB1-Normal45"/>
              <w:spacing w:line="276" w:lineRule="auto"/>
              <w:jc w:val="both"/>
            </w:pPr>
            <w:r>
              <w:rPr>
                <w:b/>
              </w:rPr>
              <w:t>Pružanje usluga</w:t>
            </w:r>
            <w:r>
              <w:t xml:space="preserve"> </w:t>
            </w:r>
          </w:p>
          <w:p w14:paraId="7FE1C2DF" w14:textId="77777777" w:rsidR="00393915" w:rsidRDefault="00F24D68">
            <w:pPr>
              <w:pStyle w:val="P68B1DB1-Normal45"/>
              <w:spacing w:line="276" w:lineRule="auto"/>
              <w:jc w:val="both"/>
            </w:pPr>
            <w:r>
              <w:t>„Unutar subjekta” ako uslugu pruža jedna poslovna jedinica drugoj poslovnoj jedinici istog pravnog subjekta.</w:t>
            </w:r>
          </w:p>
          <w:p w14:paraId="7FE1C2E0" w14:textId="200EB8B6" w:rsidR="00393915" w:rsidRDefault="00F24D68">
            <w:pPr>
              <w:spacing w:line="276" w:lineRule="auto"/>
              <w:jc w:val="both"/>
              <w:rPr>
                <w:rFonts w:ascii="Times New Roman" w:eastAsia="Calibri" w:hAnsi="Times New Roman" w:cs="Times New Roman"/>
                <w:sz w:val="20"/>
              </w:rPr>
            </w:pPr>
            <w:r>
              <w:rPr>
                <w:rFonts w:ascii="Times New Roman" w:eastAsia="Calibri" w:hAnsi="Times New Roman" w:cs="Times New Roman"/>
                <w:sz w:val="20"/>
              </w:rPr>
              <w:t>„Unutargrupni – regulirani subjekt”</w:t>
            </w:r>
            <w:r>
              <w:rPr>
                <w:rFonts w:ascii="Times New Roman" w:hAnsi="Times New Roman" w:cs="Times New Roman"/>
              </w:rPr>
              <w:t xml:space="preserve"> ako </w:t>
            </w:r>
            <w:r>
              <w:rPr>
                <w:rFonts w:ascii="Times New Roman" w:eastAsia="Calibri" w:hAnsi="Times New Roman" w:cs="Times New Roman"/>
                <w:sz w:val="20"/>
              </w:rPr>
              <w:t>uslugu pruža</w:t>
            </w:r>
            <w:r>
              <w:rPr>
                <w:rFonts w:ascii="Times New Roman" w:hAnsi="Times New Roman" w:cs="Times New Roman"/>
              </w:rPr>
              <w:t xml:space="preserve"> </w:t>
            </w:r>
            <w:r>
              <w:rPr>
                <w:rFonts w:ascii="Times New Roman" w:eastAsia="Calibri" w:hAnsi="Times New Roman" w:cs="Times New Roman"/>
                <w:sz w:val="20"/>
              </w:rPr>
              <w:t>subjekt grupe koji podliježe bonitetnim propisima u pogledu kapitala/likvidnosti na pojedinačnoj osnovi, uključujući slučajeve izuzeća od bonitetnih zahtjeva.</w:t>
            </w:r>
          </w:p>
          <w:p w14:paraId="7FE1C2E1" w14:textId="6FD0E03D" w:rsidR="00393915" w:rsidRDefault="00F24D68">
            <w:pPr>
              <w:pStyle w:val="P68B1DB1-Normal45"/>
              <w:spacing w:line="276" w:lineRule="auto"/>
              <w:jc w:val="both"/>
            </w:pPr>
            <w:r>
              <w:t>„Unutargrupni – neregulirani subjekt” ako uslugu pruža subjekt grupe koji je poslovni subjekt koji ne podliježe bonitetnim propisima u pogledu kapitala/likvidnosti na pojedinačnoj osnovi, uključujući slučajeve izuzeća od bonitetnih zahtjeva.</w:t>
            </w:r>
          </w:p>
          <w:p w14:paraId="7FE1C2E2" w14:textId="7B6AA381" w:rsidR="00393915" w:rsidRDefault="00F24D68">
            <w:pPr>
              <w:pStyle w:val="P68B1DB1-Normal45"/>
              <w:spacing w:line="276" w:lineRule="auto"/>
              <w:jc w:val="both"/>
            </w:pPr>
            <w:r>
              <w:t>„Vanjski subjekt” ako uslugu pruža vanjski pružatelj koji je izvan grupe.</w:t>
            </w:r>
          </w:p>
          <w:p w14:paraId="7FE1C2E3" w14:textId="77777777" w:rsidR="00393915" w:rsidRDefault="00393915">
            <w:pPr>
              <w:spacing w:line="276" w:lineRule="auto"/>
              <w:jc w:val="both"/>
              <w:rPr>
                <w:rFonts w:ascii="Times New Roman" w:eastAsia="Calibri" w:hAnsi="Times New Roman" w:cs="Times New Roman"/>
                <w:i/>
                <w:sz w:val="20"/>
              </w:rPr>
            </w:pPr>
          </w:p>
        </w:tc>
      </w:tr>
      <w:tr w:rsidR="00393915" w14:paraId="7FE1C2EB" w14:textId="77777777">
        <w:trPr>
          <w:trHeight w:val="463"/>
        </w:trPr>
        <w:tc>
          <w:tcPr>
            <w:tcW w:w="1129" w:type="dxa"/>
            <w:shd w:val="clear" w:color="auto" w:fill="FFFFFF" w:themeFill="background1"/>
          </w:tcPr>
          <w:p w14:paraId="7FE1C2E5" w14:textId="77777777" w:rsidR="00393915" w:rsidRDefault="00F24D68">
            <w:pPr>
              <w:pStyle w:val="P68B1DB1-Normal50"/>
              <w:spacing w:line="276" w:lineRule="auto"/>
              <w:jc w:val="both"/>
            </w:pPr>
            <w:r>
              <w:t>0120</w:t>
            </w:r>
          </w:p>
          <w:p w14:paraId="7FE1C2E6" w14:textId="77777777" w:rsidR="00393915" w:rsidRDefault="00393915">
            <w:pPr>
              <w:spacing w:line="276" w:lineRule="auto"/>
              <w:jc w:val="both"/>
              <w:rPr>
                <w:rFonts w:ascii="Times New Roman" w:eastAsia="Calibri" w:hAnsi="Times New Roman" w:cs="Times New Roman"/>
                <w:strike/>
                <w:sz w:val="20"/>
              </w:rPr>
            </w:pPr>
          </w:p>
        </w:tc>
        <w:tc>
          <w:tcPr>
            <w:tcW w:w="7938" w:type="dxa"/>
            <w:shd w:val="clear" w:color="auto" w:fill="FFFFFF" w:themeFill="background1"/>
          </w:tcPr>
          <w:p w14:paraId="7FE1C2E7" w14:textId="7FEC6849" w:rsidR="00393915" w:rsidRDefault="00AE1F0B">
            <w:pPr>
              <w:pStyle w:val="P68B1DB1-Normal49"/>
              <w:spacing w:line="276" w:lineRule="auto"/>
              <w:jc w:val="both"/>
              <w:rPr>
                <w:bCs/>
                <w:strike/>
              </w:rPr>
            </w:pPr>
            <w:r>
              <w:t>Ključnost</w:t>
            </w:r>
            <w:r>
              <w:rPr>
                <w:strike/>
              </w:rPr>
              <w:t xml:space="preserve"> </w:t>
            </w:r>
          </w:p>
          <w:p w14:paraId="7FE1C2E8" w14:textId="2B69AA90" w:rsidR="00393915" w:rsidRDefault="00366E96">
            <w:pPr>
              <w:pStyle w:val="P68B1DB1-ListParagraph58"/>
              <w:numPr>
                <w:ilvl w:val="0"/>
                <w:numId w:val="239"/>
              </w:numPr>
              <w:spacing w:line="276" w:lineRule="auto"/>
              <w:contextualSpacing/>
              <w:jc w:val="both"/>
            </w:pPr>
            <w:r>
              <w:t>Ključna</w:t>
            </w:r>
            <w:r>
              <w:t>Ključna</w:t>
            </w:r>
            <w:r w:rsidR="00F24D68">
              <w:t>: ako je usluga nužna za obavljanje jedne ili više ključnih funkcija, čiji bi prekid ozbiljno ometao ili spriječio obavljanje tih ključnih funkcija.</w:t>
            </w:r>
          </w:p>
          <w:p w14:paraId="7FE1C2E9" w14:textId="213EFCAD" w:rsidR="00393915" w:rsidRDefault="00AE1F0B">
            <w:pPr>
              <w:pStyle w:val="P68B1DB1-ListParagraph9"/>
              <w:numPr>
                <w:ilvl w:val="0"/>
                <w:numId w:val="239"/>
              </w:numPr>
              <w:spacing w:line="276" w:lineRule="auto"/>
              <w:contextualSpacing/>
              <w:jc w:val="both"/>
              <w:rPr>
                <w:sz w:val="20"/>
              </w:rPr>
            </w:pPr>
            <w:r>
              <w:rPr>
                <w:sz w:val="20"/>
              </w:rPr>
              <w:t>Osnovna</w:t>
            </w:r>
            <w:r>
              <w:rPr>
                <w:sz w:val="20"/>
              </w:rPr>
              <w:t>Osnovna</w:t>
            </w:r>
            <w:r w:rsidR="00F24D68">
              <w:rPr>
                <w:sz w:val="20"/>
              </w:rPr>
              <w:t>: ako</w:t>
            </w:r>
            <w:r w:rsidR="00F24D68">
              <w:t xml:space="preserve"> </w:t>
            </w:r>
            <w:r w:rsidR="00F24D68">
              <w:rPr>
                <w:sz w:val="20"/>
              </w:rPr>
              <w:t>je usluga povezana s temeljnim linijama, čiji je kontinuitet nužan za učinkovitu provedbu sanacijske strategije i svako posljedično restrukturiranje.</w:t>
            </w:r>
          </w:p>
          <w:p w14:paraId="7FE1C2EA" w14:textId="5266FD91" w:rsidR="00393915" w:rsidRDefault="00AE1F0B">
            <w:pPr>
              <w:pStyle w:val="P68B1DB1-ListParagraph58"/>
              <w:numPr>
                <w:ilvl w:val="0"/>
                <w:numId w:val="239"/>
              </w:numPr>
              <w:spacing w:line="276" w:lineRule="auto"/>
              <w:contextualSpacing/>
              <w:jc w:val="both"/>
            </w:pPr>
            <w:r>
              <w:t xml:space="preserve">Ključna </w:t>
            </w:r>
            <w:r w:rsidR="00F24D68">
              <w:t xml:space="preserve">i </w:t>
            </w:r>
            <w:r>
              <w:t>osnovna</w:t>
            </w:r>
            <w:r>
              <w:t>osnovna</w:t>
            </w:r>
          </w:p>
        </w:tc>
      </w:tr>
      <w:tr w:rsidR="00393915" w14:paraId="7FE1C2F0" w14:textId="77777777">
        <w:trPr>
          <w:trHeight w:val="463"/>
        </w:trPr>
        <w:tc>
          <w:tcPr>
            <w:tcW w:w="1129" w:type="dxa"/>
            <w:shd w:val="clear" w:color="auto" w:fill="FFFFFF" w:themeFill="background1"/>
          </w:tcPr>
          <w:p w14:paraId="7FE1C2EC" w14:textId="77777777" w:rsidR="00393915" w:rsidRDefault="00F24D68">
            <w:pPr>
              <w:pStyle w:val="P68B1DB1-Normal45"/>
              <w:spacing w:line="276" w:lineRule="auto"/>
              <w:jc w:val="both"/>
            </w:pPr>
            <w:r>
              <w:t>0130</w:t>
            </w:r>
          </w:p>
        </w:tc>
        <w:tc>
          <w:tcPr>
            <w:tcW w:w="7938" w:type="dxa"/>
            <w:shd w:val="clear" w:color="auto" w:fill="FFFFFF" w:themeFill="background1"/>
          </w:tcPr>
          <w:p w14:paraId="7FE1C2ED" w14:textId="77777777" w:rsidR="00393915" w:rsidRDefault="00F24D68">
            <w:pPr>
              <w:pStyle w:val="P68B1DB1-Normal49"/>
              <w:spacing w:line="276" w:lineRule="auto"/>
              <w:jc w:val="both"/>
              <w:rPr>
                <w:bCs/>
              </w:rPr>
            </w:pPr>
            <w:r>
              <w:t>Identifikacijska oznaka ugovora</w:t>
            </w:r>
          </w:p>
          <w:p w14:paraId="7FE1C2EE" w14:textId="77777777" w:rsidR="00393915" w:rsidRDefault="00F24D68">
            <w:pPr>
              <w:pStyle w:val="P68B1DB1-Normal45"/>
              <w:spacing w:line="276" w:lineRule="auto"/>
              <w:jc w:val="both"/>
            </w:pPr>
            <w:r>
              <w:t>Jedinstvena identifikacijska oznaka ugovora na kojem se temelji usluga u skladu s taksonomijom usluga grupe.</w:t>
            </w:r>
          </w:p>
          <w:p w14:paraId="7FE1C2EF" w14:textId="77777777" w:rsidR="00393915" w:rsidRDefault="00393915">
            <w:pPr>
              <w:spacing w:line="276" w:lineRule="auto"/>
              <w:jc w:val="both"/>
              <w:rPr>
                <w:rFonts w:ascii="Times New Roman" w:eastAsia="Calibri" w:hAnsi="Times New Roman" w:cs="Times New Roman"/>
                <w:sz w:val="20"/>
              </w:rPr>
            </w:pPr>
          </w:p>
        </w:tc>
      </w:tr>
      <w:tr w:rsidR="00393915" w14:paraId="7FE1C2F6" w14:textId="77777777">
        <w:trPr>
          <w:trHeight w:val="628"/>
        </w:trPr>
        <w:tc>
          <w:tcPr>
            <w:tcW w:w="1129" w:type="dxa"/>
          </w:tcPr>
          <w:p w14:paraId="7FE1C2F1" w14:textId="77777777" w:rsidR="00393915" w:rsidRDefault="00F24D68">
            <w:pPr>
              <w:pStyle w:val="P68B1DB1-Normal45"/>
              <w:spacing w:line="276" w:lineRule="auto"/>
              <w:jc w:val="both"/>
            </w:pPr>
            <w:r>
              <w:t>0140</w:t>
            </w:r>
          </w:p>
          <w:p w14:paraId="7FE1C2F2" w14:textId="77777777" w:rsidR="00393915" w:rsidRDefault="00393915">
            <w:pPr>
              <w:spacing w:line="276" w:lineRule="auto"/>
              <w:jc w:val="both"/>
              <w:rPr>
                <w:rFonts w:ascii="Times New Roman" w:eastAsia="Calibri" w:hAnsi="Times New Roman" w:cs="Times New Roman"/>
                <w:strike/>
                <w:sz w:val="20"/>
              </w:rPr>
            </w:pPr>
          </w:p>
        </w:tc>
        <w:tc>
          <w:tcPr>
            <w:tcW w:w="7938" w:type="dxa"/>
          </w:tcPr>
          <w:p w14:paraId="7FE1C2F3" w14:textId="77777777" w:rsidR="00393915" w:rsidRDefault="00F24D68">
            <w:pPr>
              <w:pStyle w:val="P68B1DB1-Normal55"/>
              <w:spacing w:line="276" w:lineRule="auto"/>
              <w:jc w:val="both"/>
            </w:pPr>
            <w:r>
              <w:rPr>
                <w:szCs w:val="20"/>
              </w:rPr>
              <w:t>Mjerodavno pravo</w:t>
            </w:r>
            <w:r>
              <w:t xml:space="preserve"> </w:t>
            </w:r>
          </w:p>
          <w:p w14:paraId="7FE1C2F4" w14:textId="77777777" w:rsidR="00393915" w:rsidRDefault="00F24D68">
            <w:pPr>
              <w:pStyle w:val="P68B1DB1-Normal45"/>
              <w:spacing w:line="276" w:lineRule="auto"/>
              <w:jc w:val="both"/>
            </w:pPr>
            <w:r>
              <w:t>ISO oznaka oznake zemlje čije je pravo mjerodavno za ugovor.</w:t>
            </w:r>
          </w:p>
          <w:p w14:paraId="7FE1C2F5" w14:textId="77777777" w:rsidR="00393915" w:rsidRDefault="00393915">
            <w:pPr>
              <w:spacing w:line="276" w:lineRule="auto"/>
              <w:jc w:val="both"/>
              <w:rPr>
                <w:rFonts w:ascii="Times New Roman" w:eastAsia="Calibri" w:hAnsi="Times New Roman" w:cs="Times New Roman"/>
                <w:sz w:val="20"/>
              </w:rPr>
            </w:pPr>
          </w:p>
        </w:tc>
      </w:tr>
      <w:tr w:rsidR="00393915" w14:paraId="7FE1C2FC" w14:textId="77777777">
        <w:trPr>
          <w:trHeight w:val="628"/>
        </w:trPr>
        <w:tc>
          <w:tcPr>
            <w:tcW w:w="1129" w:type="dxa"/>
          </w:tcPr>
          <w:p w14:paraId="7FE1C2F7" w14:textId="77777777" w:rsidR="00393915" w:rsidRDefault="00F24D68">
            <w:pPr>
              <w:pStyle w:val="P68B1DB1-Normal45"/>
              <w:spacing w:line="276" w:lineRule="auto"/>
              <w:jc w:val="both"/>
            </w:pPr>
            <w:r>
              <w:t>0150 – 0170</w:t>
            </w:r>
          </w:p>
          <w:p w14:paraId="7FE1C2F8" w14:textId="77777777" w:rsidR="00393915" w:rsidRDefault="00393915">
            <w:pPr>
              <w:spacing w:line="276" w:lineRule="auto"/>
              <w:jc w:val="both"/>
              <w:rPr>
                <w:rFonts w:ascii="Times New Roman" w:eastAsia="Calibri" w:hAnsi="Times New Roman" w:cs="Times New Roman"/>
                <w:strike/>
                <w:sz w:val="20"/>
              </w:rPr>
            </w:pPr>
          </w:p>
        </w:tc>
        <w:tc>
          <w:tcPr>
            <w:tcW w:w="7938" w:type="dxa"/>
          </w:tcPr>
          <w:p w14:paraId="7FE1C2F9" w14:textId="77777777" w:rsidR="00393915" w:rsidRDefault="00F24D68">
            <w:pPr>
              <w:pStyle w:val="P68B1DB1-Normal49"/>
              <w:spacing w:before="120" w:after="120" w:line="276" w:lineRule="auto"/>
              <w:rPr>
                <w:bCs/>
                <w:iCs/>
              </w:rPr>
            </w:pPr>
            <w:r>
              <w:t xml:space="preserve">Otpornost sanacije </w:t>
            </w:r>
          </w:p>
          <w:p w14:paraId="7FE1C2FA" w14:textId="541A74D2" w:rsidR="00393915" w:rsidRDefault="00F24D68">
            <w:pPr>
              <w:pStyle w:val="P68B1DB1-NormalWeb59"/>
              <w:spacing w:before="0" w:beforeAutospacing="0" w:after="0" w:afterAutospacing="0"/>
              <w:rPr>
                <w:iCs/>
                <w:szCs w:val="20"/>
              </w:rPr>
            </w:pPr>
            <w:r>
              <w:rPr>
                <w:szCs w:val="20"/>
              </w:rPr>
              <w:t xml:space="preserve">Procjenu toga može li se ugovor kojim se podupire usluga iskazana u stupcu 0020 nastaviti i prenijeti tijekom provedbe sanacijske strategije, uključujući plan reorganizacije poslovanja, </w:t>
            </w:r>
            <w:r>
              <w:t xml:space="preserve">u skladu s EBA/GL/2022/01 i relevantnim nacionalnim </w:t>
            </w:r>
            <w:r w:rsidR="00AE1F0B">
              <w:t>propisima</w:t>
            </w:r>
            <w:r w:rsidR="00AE1F0B">
              <w:t>propisima</w:t>
            </w:r>
            <w:r>
              <w:t>.</w:t>
            </w:r>
          </w:p>
          <w:p w14:paraId="7FE1C2FB" w14:textId="77777777" w:rsidR="00393915" w:rsidRDefault="00393915">
            <w:pPr>
              <w:spacing w:line="276" w:lineRule="auto"/>
              <w:jc w:val="both"/>
              <w:rPr>
                <w:rFonts w:ascii="Times New Roman" w:eastAsia="Calibri" w:hAnsi="Times New Roman" w:cs="Times New Roman"/>
                <w:iCs/>
                <w:sz w:val="20"/>
                <w:szCs w:val="20"/>
              </w:rPr>
            </w:pPr>
          </w:p>
        </w:tc>
      </w:tr>
      <w:tr w:rsidR="00393915" w14:paraId="7FE1C30C" w14:textId="77777777">
        <w:trPr>
          <w:trHeight w:val="2120"/>
        </w:trPr>
        <w:tc>
          <w:tcPr>
            <w:tcW w:w="1129" w:type="dxa"/>
          </w:tcPr>
          <w:p w14:paraId="7FE1C2FD" w14:textId="77777777" w:rsidR="00393915" w:rsidRDefault="00F24D68">
            <w:pPr>
              <w:pStyle w:val="P68B1DB1-Normal45"/>
              <w:spacing w:line="276" w:lineRule="auto"/>
              <w:jc w:val="both"/>
            </w:pPr>
            <w:r>
              <w:t>0150</w:t>
            </w:r>
          </w:p>
        </w:tc>
        <w:tc>
          <w:tcPr>
            <w:tcW w:w="7938" w:type="dxa"/>
          </w:tcPr>
          <w:p w14:paraId="7FE1C2FE" w14:textId="77777777" w:rsidR="00393915" w:rsidRDefault="00F24D68">
            <w:pPr>
              <w:pStyle w:val="P68B1DB1-Normal55"/>
              <w:spacing w:line="276" w:lineRule="auto"/>
              <w:jc w:val="both"/>
              <w:rPr>
                <w:bCs/>
              </w:rPr>
            </w:pPr>
            <w:r>
              <w:rPr>
                <w:szCs w:val="20"/>
              </w:rPr>
              <w:t>Značajke otpornosti sanacije</w:t>
            </w:r>
            <w:r>
              <w:t xml:space="preserve"> </w:t>
            </w:r>
          </w:p>
          <w:p w14:paraId="7FE1C2FF" w14:textId="2EDF9233" w:rsidR="00393915" w:rsidRDefault="00F24D68">
            <w:pPr>
              <w:pStyle w:val="P68B1DB1-Normal50"/>
              <w:spacing w:line="276" w:lineRule="auto"/>
              <w:jc w:val="both"/>
              <w:rPr>
                <w:iCs/>
              </w:rPr>
            </w:pPr>
            <w:r>
              <w:t xml:space="preserve">Značajke </w:t>
            </w:r>
            <w:r w:rsidR="00BE34E5">
              <w:t>osti</w:t>
            </w:r>
            <w:r>
              <w:t>otporn</w:t>
            </w:r>
            <w:r w:rsidR="00BE34E5">
              <w:t>osti</w:t>
            </w:r>
            <w:r>
              <w:t xml:space="preserve"> na sanaciju svojstva su koja bi relevantni ugovor o uslugama trebao imati da bi se smatrao otpornim na sanaciju. One uključuju sljedeće, pod uvjetom da se bitne obveze iz ugovora i dalje izvršavaju:</w:t>
            </w:r>
          </w:p>
          <w:p w14:paraId="7FE1C300" w14:textId="77777777" w:rsidR="00393915" w:rsidRDefault="00F24D68">
            <w:pPr>
              <w:pStyle w:val="P68B1DB1-ListParagraph60"/>
              <w:numPr>
                <w:ilvl w:val="0"/>
                <w:numId w:val="240"/>
              </w:numPr>
              <w:spacing w:line="276" w:lineRule="auto"/>
              <w:ind w:left="500"/>
              <w:contextualSpacing/>
              <w:jc w:val="both"/>
              <w:rPr>
                <w:iCs/>
              </w:rPr>
            </w:pPr>
            <w:r>
              <w:t xml:space="preserve">nema prekida, suspenzije ili izmjene na temelju sanacije (uključujući reorganizaciju poslovanja u skladu s člankom 51. Direktive 2014/59/EU); </w:t>
            </w:r>
          </w:p>
          <w:p w14:paraId="7FE1C301" w14:textId="77777777" w:rsidR="00393915" w:rsidRDefault="00F24D68">
            <w:pPr>
              <w:pStyle w:val="P68B1DB1-ListParagraph60"/>
              <w:numPr>
                <w:ilvl w:val="0"/>
                <w:numId w:val="240"/>
              </w:numPr>
              <w:spacing w:line="276" w:lineRule="auto"/>
              <w:ind w:left="500"/>
              <w:contextualSpacing/>
              <w:jc w:val="both"/>
              <w:rPr>
                <w:iCs/>
              </w:rPr>
            </w:pPr>
            <w:r>
              <w:t xml:space="preserve">prenosivost pružanja usluga na novog primatelja od strane primatelja usluge ili sanacijskog tijela zbog sanacije (uključujući reorganizaciju u skladu s člankom 51. Direktive 2014/59/EU); </w:t>
            </w:r>
          </w:p>
          <w:p w14:paraId="7FE1C302" w14:textId="77777777" w:rsidR="00393915" w:rsidRDefault="00F24D68">
            <w:pPr>
              <w:pStyle w:val="P68B1DB1-ListParagraph60"/>
              <w:numPr>
                <w:ilvl w:val="0"/>
                <w:numId w:val="240"/>
              </w:numPr>
              <w:spacing w:line="276" w:lineRule="auto"/>
              <w:ind w:left="500"/>
              <w:contextualSpacing/>
              <w:jc w:val="both"/>
              <w:rPr>
                <w:iCs/>
              </w:rPr>
            </w:pPr>
            <w:r>
              <w:t>potporu u prijenosu ili raskidu tijekom sanacije (uključujući reorganizaciju u skladu s člankom 51. Direktive 2014/59/EU) u razumnom razdoblju (kao što je 24 mjeseca) trenutačnog pružatelja usluga i pod istim uvjetima; kao i</w:t>
            </w:r>
          </w:p>
          <w:p w14:paraId="7FE1C303" w14:textId="44134CA9" w:rsidR="00393915" w:rsidRDefault="00F24D68">
            <w:pPr>
              <w:pStyle w:val="P68B1DB1-ListParagraph60"/>
              <w:numPr>
                <w:ilvl w:val="0"/>
                <w:numId w:val="240"/>
              </w:numPr>
              <w:spacing w:line="276" w:lineRule="auto"/>
              <w:ind w:left="500"/>
              <w:contextualSpacing/>
              <w:jc w:val="both"/>
              <w:rPr>
                <w:iCs/>
              </w:rPr>
            </w:pPr>
            <w:r>
              <w:t xml:space="preserve">nastavak pružanja usluga subjektu grupe koji je predmet </w:t>
            </w:r>
            <w:r w:rsidR="006736CC">
              <w:t xml:space="preserve">otuđenja </w:t>
            </w:r>
            <w:r>
              <w:t xml:space="preserve">tijekom sanacije (uključujući reorganizaciju u skladu s člankom 51. Direktive 2014/59/EU) tijekom razumnog razdoblja nakon </w:t>
            </w:r>
            <w:r w:rsidR="004A34B1">
              <w:t>otuđenja</w:t>
            </w:r>
            <w:r w:rsidR="004A34B1">
              <w:t>otuđenja</w:t>
            </w:r>
            <w:r>
              <w:t>, primjerice 24 mjeseca.</w:t>
            </w:r>
          </w:p>
          <w:p w14:paraId="7FE1C304" w14:textId="77777777" w:rsidR="00393915" w:rsidRDefault="00F24D68">
            <w:pPr>
              <w:spacing w:line="276" w:lineRule="auto"/>
              <w:jc w:val="both"/>
              <w:rPr>
                <w:rFonts w:ascii="Times New Roman" w:eastAsia="Calibri" w:hAnsi="Times New Roman" w:cs="Times New Roman"/>
                <w:iCs/>
                <w:sz w:val="20"/>
                <w:szCs w:val="20"/>
              </w:rPr>
            </w:pPr>
            <w:r>
              <w:rPr>
                <w:rFonts w:ascii="Times New Roman" w:eastAsia="Calibri" w:hAnsi="Times New Roman" w:cs="Times New Roman"/>
                <w:sz w:val="20"/>
                <w:szCs w:val="20"/>
              </w:rPr>
              <w:lastRenderedPageBreak/>
              <w:t>To se primjenjuje na ugovore za koje je mjerodavno pravo i nadležnost države članice EU-a</w:t>
            </w:r>
            <w:r>
              <w:rPr>
                <w:rStyle w:val="FootnoteReference"/>
                <w:rFonts w:ascii="Times New Roman" w:eastAsia="Calibri" w:hAnsi="Times New Roman" w:cs="Times New Roman"/>
                <w:sz w:val="20"/>
                <w:szCs w:val="20"/>
              </w:rPr>
              <w:footnoteReference w:id="26"/>
            </w:r>
            <w:r>
              <w:rPr>
                <w:rFonts w:ascii="Times New Roman" w:eastAsia="Calibri" w:hAnsi="Times New Roman" w:cs="Times New Roman"/>
                <w:sz w:val="20"/>
                <w:szCs w:val="20"/>
              </w:rPr>
              <w:t xml:space="preserve"> („ugovori EU-a”) i na ugovore na koje se primjenjuje pravo treće zemlje.</w:t>
            </w:r>
          </w:p>
          <w:p w14:paraId="7FE1C305" w14:textId="77777777" w:rsidR="00393915" w:rsidRDefault="00393915">
            <w:pPr>
              <w:spacing w:line="276" w:lineRule="auto"/>
              <w:jc w:val="both"/>
              <w:rPr>
                <w:rFonts w:ascii="Times New Roman" w:eastAsia="Calibri" w:hAnsi="Times New Roman" w:cs="Times New Roman"/>
                <w:sz w:val="20"/>
              </w:rPr>
            </w:pPr>
          </w:p>
          <w:p w14:paraId="7FE1C306" w14:textId="77777777" w:rsidR="00393915" w:rsidRDefault="00F24D68">
            <w:pPr>
              <w:pStyle w:val="P68B1DB1-Normal45"/>
              <w:spacing w:line="276" w:lineRule="auto"/>
              <w:jc w:val="both"/>
            </w:pPr>
            <w:r>
              <w:t>Iskazati jednu od sljedećih vrijednosti:</w:t>
            </w:r>
          </w:p>
          <w:p w14:paraId="7FE1C307" w14:textId="08917839" w:rsidR="00393915" w:rsidRDefault="00F24D68">
            <w:pPr>
              <w:pStyle w:val="P68B1DB1-Normal50"/>
              <w:spacing w:line="276" w:lineRule="auto"/>
              <w:jc w:val="both"/>
            </w:pPr>
            <w:r>
              <w:t xml:space="preserve">„Da” – ako je procijenjeno da je ugovor </w:t>
            </w:r>
            <w:r w:rsidR="000B5DA6">
              <w:t>otporan</w:t>
            </w:r>
            <w:r w:rsidR="000B5DA6">
              <w:t>otporan</w:t>
            </w:r>
            <w:r w:rsidR="000B5DA6">
              <w:t xml:space="preserve"> </w:t>
            </w:r>
            <w:r w:rsidR="000E0876">
              <w:t>u slučaju sanacije</w:t>
            </w:r>
            <w:r>
              <w:t>,</w:t>
            </w:r>
          </w:p>
          <w:p w14:paraId="7FE1C308" w14:textId="4166F3E4" w:rsidR="00393915" w:rsidRDefault="00F24D68">
            <w:pPr>
              <w:pStyle w:val="P68B1DB1-Normal50"/>
              <w:spacing w:line="276" w:lineRule="auto"/>
              <w:jc w:val="both"/>
            </w:pPr>
            <w:r>
              <w:t xml:space="preserve">„Ne” – ako je procijenjeno da ugovor nije </w:t>
            </w:r>
            <w:r w:rsidR="000E0876">
              <w:t>otporan</w:t>
            </w:r>
            <w:r w:rsidR="000E0876">
              <w:t>otporan</w:t>
            </w:r>
            <w:r w:rsidR="000E0876">
              <w:t xml:space="preserve"> u slučaju sanacije</w:t>
            </w:r>
            <w:r>
              <w:t>,</w:t>
            </w:r>
          </w:p>
          <w:p w14:paraId="7FE1C309" w14:textId="77777777" w:rsidR="00393915" w:rsidRDefault="00F24D68">
            <w:pPr>
              <w:pStyle w:val="P68B1DB1-Normal50"/>
              <w:spacing w:line="276" w:lineRule="auto"/>
              <w:jc w:val="both"/>
            </w:pPr>
            <w:r>
              <w:t>„Nije procijenjeno” – ako nije provedena procjena.</w:t>
            </w:r>
          </w:p>
          <w:p w14:paraId="7FE1C30A" w14:textId="1FC0BD44" w:rsidR="00393915" w:rsidRDefault="00F24D68">
            <w:pPr>
              <w:pStyle w:val="P68B1DB1-Normal50"/>
              <w:spacing w:line="276" w:lineRule="auto"/>
              <w:jc w:val="both"/>
            </w:pPr>
            <w:r>
              <w:t>„</w:t>
            </w:r>
            <w:r w:rsidR="00E924D2">
              <w:t>IJE</w:t>
            </w:r>
            <w:r w:rsidR="00E924D2">
              <w:t>NIJE</w:t>
            </w:r>
            <w:r w:rsidR="00E924D2">
              <w:t xml:space="preserve"> </w:t>
            </w:r>
            <w:r>
              <w:t xml:space="preserve"> PRIMJENJIVO” – za usluge unutar subjekta</w:t>
            </w:r>
          </w:p>
          <w:p w14:paraId="7FE1C30B" w14:textId="77777777" w:rsidR="00393915" w:rsidRDefault="00393915">
            <w:pPr>
              <w:spacing w:line="276" w:lineRule="auto"/>
              <w:jc w:val="both"/>
              <w:rPr>
                <w:rFonts w:ascii="Times New Roman" w:eastAsia="Calibri" w:hAnsi="Times New Roman" w:cs="Times New Roman"/>
                <w:sz w:val="20"/>
              </w:rPr>
            </w:pPr>
          </w:p>
        </w:tc>
      </w:tr>
      <w:tr w:rsidR="00393915" w14:paraId="7FE1C316" w14:textId="77777777">
        <w:trPr>
          <w:trHeight w:val="2120"/>
        </w:trPr>
        <w:tc>
          <w:tcPr>
            <w:tcW w:w="1129" w:type="dxa"/>
          </w:tcPr>
          <w:p w14:paraId="7FE1C30D" w14:textId="77777777" w:rsidR="00393915" w:rsidRDefault="00F24D68">
            <w:pPr>
              <w:pStyle w:val="P68B1DB1-Normal45"/>
              <w:spacing w:line="276" w:lineRule="auto"/>
              <w:jc w:val="both"/>
            </w:pPr>
            <w:r>
              <w:lastRenderedPageBreak/>
              <w:t>0160</w:t>
            </w:r>
          </w:p>
        </w:tc>
        <w:tc>
          <w:tcPr>
            <w:tcW w:w="7938" w:type="dxa"/>
          </w:tcPr>
          <w:p w14:paraId="7FE1C30E" w14:textId="4029AAA0" w:rsidR="00393915" w:rsidRDefault="00F24D68">
            <w:pPr>
              <w:pStyle w:val="P68B1DB1-Normal55"/>
              <w:spacing w:line="276" w:lineRule="auto"/>
              <w:jc w:val="both"/>
              <w:rPr>
                <w:bCs/>
                <w:iCs/>
              </w:rPr>
            </w:pPr>
            <w:r>
              <w:t>Plan reorganizacije poslovanja (</w:t>
            </w:r>
            <w:r w:rsidR="00A52D2C">
              <w:t>PRP</w:t>
            </w:r>
            <w:r w:rsidR="00A52D2C">
              <w:t>PRP</w:t>
            </w:r>
            <w:r>
              <w:t>)</w:t>
            </w:r>
          </w:p>
          <w:p w14:paraId="7FE1C30F" w14:textId="73B8B344" w:rsidR="00393915" w:rsidRDefault="00F24D68">
            <w:pPr>
              <w:pStyle w:val="P68B1DB1-Normal45"/>
              <w:spacing w:line="276" w:lineRule="auto"/>
              <w:jc w:val="both"/>
              <w:rPr>
                <w:iCs/>
              </w:rPr>
            </w:pPr>
            <w:r>
              <w:t>Ako sanacijska strategija (</w:t>
            </w:r>
            <w:r w:rsidR="003C34F2">
              <w:t xml:space="preserve">preferirana </w:t>
            </w:r>
            <w:r>
              <w:t xml:space="preserve">ili </w:t>
            </w:r>
            <w:r w:rsidR="003C34F2">
              <w:t>alternativna</w:t>
            </w:r>
            <w:r w:rsidR="003C34F2">
              <w:t>alternativna</w:t>
            </w:r>
            <w:r>
              <w:t xml:space="preserve">) zahtijeva plan reorganizacije poslovanja, očekuje se da će ugovori EU-a sadržavati izričite klauzule kako bi se osigurala njihova otpornost na sanaciju u provedbi </w:t>
            </w:r>
            <w:r w:rsidR="001F72D7">
              <w:t>PRP</w:t>
            </w:r>
            <w:r w:rsidR="001F72D7">
              <w:t>PRP</w:t>
            </w:r>
            <w:r w:rsidR="001F72D7">
              <w:t>-a</w:t>
            </w:r>
            <w:r>
              <w:t xml:space="preserve">. </w:t>
            </w:r>
          </w:p>
          <w:p w14:paraId="7FE1C310" w14:textId="77777777" w:rsidR="00393915" w:rsidRDefault="00393915">
            <w:pPr>
              <w:spacing w:line="276" w:lineRule="auto"/>
              <w:jc w:val="both"/>
              <w:rPr>
                <w:rFonts w:ascii="Times New Roman" w:eastAsia="Calibri" w:hAnsi="Times New Roman" w:cs="Times New Roman"/>
                <w:iCs/>
                <w:sz w:val="20"/>
              </w:rPr>
            </w:pPr>
          </w:p>
          <w:p w14:paraId="7FE1C311" w14:textId="77777777" w:rsidR="00393915" w:rsidRDefault="00F24D68">
            <w:pPr>
              <w:pStyle w:val="P68B1DB1-Normal45"/>
              <w:spacing w:line="276" w:lineRule="auto"/>
              <w:jc w:val="both"/>
              <w:rPr>
                <w:iCs/>
              </w:rPr>
            </w:pPr>
            <w:r>
              <w:t>Iskazati jednu od sljedećih vrijednosti:</w:t>
            </w:r>
          </w:p>
          <w:p w14:paraId="7FE1C312" w14:textId="1FFD4AD5" w:rsidR="00393915" w:rsidRDefault="00F24D68">
            <w:pPr>
              <w:spacing w:line="276" w:lineRule="auto"/>
              <w:jc w:val="both"/>
              <w:rPr>
                <w:rFonts w:ascii="Times New Roman" w:eastAsia="Calibri" w:hAnsi="Times New Roman" w:cs="Times New Roman"/>
                <w:iCs/>
                <w:sz w:val="20"/>
              </w:rPr>
            </w:pPr>
            <w:r>
              <w:rPr>
                <w:rFonts w:ascii="Times New Roman" w:hAnsi="Times New Roman" w:cs="Times New Roman"/>
              </w:rPr>
              <w:t>„</w:t>
            </w:r>
            <w:r>
              <w:rPr>
                <w:rFonts w:ascii="Times New Roman" w:eastAsia="Calibri" w:hAnsi="Times New Roman" w:cs="Times New Roman"/>
                <w:sz w:val="20"/>
              </w:rPr>
              <w:t xml:space="preserve">Da” – ako ugovor sadržava izričite odredbe kako bi se osigurala </w:t>
            </w:r>
            <w:r w:rsidR="001158FB">
              <w:rPr>
                <w:rFonts w:ascii="Times New Roman" w:eastAsia="Calibri" w:hAnsi="Times New Roman" w:cs="Times New Roman"/>
                <w:sz w:val="20"/>
              </w:rPr>
              <w:t xml:space="preserve">njegova </w:t>
            </w:r>
            <w:r>
              <w:rPr>
                <w:rFonts w:ascii="Times New Roman" w:eastAsia="Calibri" w:hAnsi="Times New Roman" w:cs="Times New Roman"/>
                <w:sz w:val="20"/>
              </w:rPr>
              <w:t xml:space="preserve">otpornost na sanaciju u provedbi </w:t>
            </w:r>
            <w:r w:rsidR="00A52D2C">
              <w:rPr>
                <w:rFonts w:ascii="Times New Roman" w:eastAsia="Calibri" w:hAnsi="Times New Roman" w:cs="Times New Roman"/>
                <w:sz w:val="20"/>
              </w:rPr>
              <w:t>P</w:t>
            </w:r>
            <w:r w:rsidR="00A52D2C">
              <w:rPr>
                <w:rFonts w:ascii="Times New Roman" w:eastAsia="Calibri" w:hAnsi="Times New Roman" w:cs="Times New Roman"/>
                <w:sz w:val="20"/>
              </w:rPr>
              <w:t>P</w:t>
            </w:r>
            <w:r>
              <w:rPr>
                <w:rFonts w:ascii="Times New Roman" w:eastAsia="Calibri" w:hAnsi="Times New Roman" w:cs="Times New Roman"/>
                <w:sz w:val="20"/>
              </w:rPr>
              <w:t>RP</w:t>
            </w:r>
            <w:r>
              <w:rPr>
                <w:rFonts w:ascii="Times New Roman" w:eastAsia="Calibri" w:hAnsi="Times New Roman" w:cs="Times New Roman"/>
                <w:sz w:val="20"/>
              </w:rPr>
              <w:t>-a</w:t>
            </w:r>
          </w:p>
          <w:p w14:paraId="7FE1C313" w14:textId="0875577D" w:rsidR="00393915" w:rsidRDefault="00F24D68">
            <w:pPr>
              <w:spacing w:line="276" w:lineRule="auto"/>
              <w:jc w:val="both"/>
              <w:rPr>
                <w:rFonts w:ascii="Times New Roman" w:eastAsia="Calibri" w:hAnsi="Times New Roman" w:cs="Times New Roman"/>
                <w:iCs/>
                <w:sz w:val="20"/>
              </w:rPr>
            </w:pPr>
            <w:r>
              <w:rPr>
                <w:rFonts w:ascii="Times New Roman" w:hAnsi="Times New Roman" w:cs="Times New Roman"/>
              </w:rPr>
              <w:t>„</w:t>
            </w:r>
            <w:r>
              <w:rPr>
                <w:rFonts w:ascii="Times New Roman" w:eastAsia="Calibri" w:hAnsi="Times New Roman" w:cs="Times New Roman"/>
                <w:sz w:val="20"/>
              </w:rPr>
              <w:t xml:space="preserve">Ne” – ako ugovor ne sadržava izričite odredbe kojima bi se osigurala </w:t>
            </w:r>
            <w:r w:rsidR="007E3982">
              <w:rPr>
                <w:rFonts w:ascii="Times New Roman" w:eastAsia="Calibri" w:hAnsi="Times New Roman" w:cs="Times New Roman"/>
                <w:sz w:val="20"/>
              </w:rPr>
              <w:t xml:space="preserve">njegova </w:t>
            </w:r>
            <w:r>
              <w:rPr>
                <w:rFonts w:ascii="Times New Roman" w:eastAsia="Calibri" w:hAnsi="Times New Roman" w:cs="Times New Roman"/>
                <w:sz w:val="20"/>
              </w:rPr>
              <w:t xml:space="preserve">otpornost na sanaciju u provedbi </w:t>
            </w:r>
            <w:r w:rsidR="00A52D2C">
              <w:rPr>
                <w:rFonts w:ascii="Times New Roman" w:eastAsia="Calibri" w:hAnsi="Times New Roman" w:cs="Times New Roman"/>
                <w:sz w:val="20"/>
              </w:rPr>
              <w:t>P</w:t>
            </w:r>
            <w:r w:rsidR="00A52D2C">
              <w:rPr>
                <w:rFonts w:ascii="Times New Roman" w:eastAsia="Calibri" w:hAnsi="Times New Roman" w:cs="Times New Roman"/>
                <w:sz w:val="20"/>
              </w:rPr>
              <w:t>P</w:t>
            </w:r>
            <w:r>
              <w:rPr>
                <w:rFonts w:ascii="Times New Roman" w:eastAsia="Calibri" w:hAnsi="Times New Roman" w:cs="Times New Roman"/>
                <w:sz w:val="20"/>
              </w:rPr>
              <w:t>RP</w:t>
            </w:r>
            <w:r>
              <w:rPr>
                <w:rFonts w:ascii="Times New Roman" w:eastAsia="Calibri" w:hAnsi="Times New Roman" w:cs="Times New Roman"/>
                <w:sz w:val="20"/>
              </w:rPr>
              <w:t>-a</w:t>
            </w:r>
          </w:p>
          <w:p w14:paraId="7FE1C314" w14:textId="77777777" w:rsidR="00393915" w:rsidRDefault="00F24D68">
            <w:pPr>
              <w:spacing w:line="276" w:lineRule="auto"/>
              <w:jc w:val="both"/>
              <w:rPr>
                <w:rFonts w:ascii="Times New Roman" w:eastAsia="Calibri" w:hAnsi="Times New Roman" w:cs="Times New Roman"/>
                <w:iCs/>
                <w:sz w:val="20"/>
              </w:rPr>
            </w:pPr>
            <w:r>
              <w:rPr>
                <w:rFonts w:ascii="Times New Roman" w:hAnsi="Times New Roman" w:cs="Times New Roman"/>
              </w:rPr>
              <w:t>„</w:t>
            </w:r>
            <w:r>
              <w:rPr>
                <w:rFonts w:ascii="Times New Roman" w:eastAsia="Calibri" w:hAnsi="Times New Roman" w:cs="Times New Roman"/>
                <w:sz w:val="20"/>
              </w:rPr>
              <w:t>Nije procijenjeno” – ako nije provedena procjena</w:t>
            </w:r>
            <w:r>
              <w:rPr>
                <w:rFonts w:ascii="Times New Roman" w:hAnsi="Times New Roman" w:cs="Times New Roman"/>
              </w:rPr>
              <w:t>.</w:t>
            </w:r>
          </w:p>
          <w:p w14:paraId="7FE1C315" w14:textId="449D1A3D" w:rsidR="00393915" w:rsidRDefault="00F24D68">
            <w:pPr>
              <w:spacing w:line="276" w:lineRule="auto"/>
              <w:jc w:val="both"/>
              <w:rPr>
                <w:rFonts w:ascii="Times New Roman" w:eastAsia="Calibri" w:hAnsi="Times New Roman" w:cs="Times New Roman"/>
                <w:iCs/>
                <w:sz w:val="20"/>
              </w:rPr>
            </w:pPr>
            <w:r>
              <w:rPr>
                <w:rFonts w:ascii="Times New Roman" w:hAnsi="Times New Roman" w:cs="Times New Roman"/>
              </w:rPr>
              <w:t>„</w:t>
            </w:r>
            <w:r w:rsidR="0019391C">
              <w:rPr>
                <w:rFonts w:ascii="Times New Roman" w:eastAsia="Calibri" w:hAnsi="Times New Roman" w:cs="Times New Roman"/>
                <w:sz w:val="20"/>
              </w:rPr>
              <w:t>IJE</w:t>
            </w:r>
            <w:r>
              <w:rPr>
                <w:rFonts w:ascii="Times New Roman" w:eastAsia="Calibri" w:hAnsi="Times New Roman" w:cs="Times New Roman"/>
                <w:sz w:val="20"/>
              </w:rPr>
              <w:t>N</w:t>
            </w:r>
            <w:r w:rsidR="0019391C">
              <w:rPr>
                <w:rFonts w:ascii="Times New Roman" w:eastAsia="Calibri" w:hAnsi="Times New Roman" w:cs="Times New Roman"/>
                <w:sz w:val="20"/>
              </w:rPr>
              <w:t>IJE</w:t>
            </w:r>
            <w:r>
              <w:rPr>
                <w:rFonts w:ascii="Times New Roman" w:eastAsia="Calibri" w:hAnsi="Times New Roman" w:cs="Times New Roman"/>
                <w:sz w:val="20"/>
              </w:rPr>
              <w:t xml:space="preserve"> PRIMJENJIVO” – za usluge unutar subjekta ili za unutargrupne i vanjske usluge ako sanacijska strategija (</w:t>
            </w:r>
            <w:r w:rsidR="004D2E9F" w:rsidRPr="00F83F66">
              <w:rPr>
                <w:rFonts w:ascii="Times New Roman" w:hAnsi="Times New Roman"/>
                <w:sz w:val="20"/>
              </w:rPr>
              <w:t xml:space="preserve">preferirana ili </w:t>
            </w:r>
            <w:r w:rsidR="004D2E9F" w:rsidRPr="00F83F66">
              <w:rPr>
                <w:rFonts w:ascii="Times New Roman" w:eastAsia="Calibri" w:hAnsi="Times New Roman" w:cs="Times New Roman"/>
                <w:sz w:val="20"/>
              </w:rPr>
              <w:t>alternativna</w:t>
            </w:r>
            <w:r w:rsidR="004D2E9F" w:rsidRPr="00F15538">
              <w:rPr>
                <w:rFonts w:ascii="Times New Roman" w:eastAsia="Calibri" w:hAnsi="Times New Roman" w:cs="Times New Roman"/>
                <w:sz w:val="20"/>
              </w:rPr>
              <w:t>alternativna</w:t>
            </w:r>
            <w:r>
              <w:rPr>
                <w:rFonts w:ascii="Times New Roman" w:eastAsia="Calibri" w:hAnsi="Times New Roman" w:cs="Times New Roman"/>
                <w:sz w:val="20"/>
              </w:rPr>
              <w:t xml:space="preserve">) ne zahtijeva plan reorganizacije poslovanja </w:t>
            </w:r>
          </w:p>
        </w:tc>
      </w:tr>
      <w:tr w:rsidR="00393915" w14:paraId="7FE1C320" w14:textId="77777777">
        <w:trPr>
          <w:trHeight w:val="416"/>
        </w:trPr>
        <w:tc>
          <w:tcPr>
            <w:tcW w:w="1129" w:type="dxa"/>
          </w:tcPr>
          <w:p w14:paraId="7FE1C317" w14:textId="77777777" w:rsidR="00393915" w:rsidRDefault="00F24D68">
            <w:pPr>
              <w:pStyle w:val="P68B1DB1-Normal45"/>
              <w:spacing w:line="276" w:lineRule="auto"/>
              <w:jc w:val="both"/>
            </w:pPr>
            <w:r>
              <w:t>0170</w:t>
            </w:r>
          </w:p>
        </w:tc>
        <w:tc>
          <w:tcPr>
            <w:tcW w:w="7938" w:type="dxa"/>
          </w:tcPr>
          <w:p w14:paraId="7FE1C318" w14:textId="77777777" w:rsidR="00393915" w:rsidRDefault="00F24D68">
            <w:pPr>
              <w:pStyle w:val="P68B1DB1-Normal55"/>
              <w:spacing w:line="276" w:lineRule="auto"/>
              <w:jc w:val="both"/>
              <w:rPr>
                <w:bCs/>
              </w:rPr>
            </w:pPr>
            <w:r>
              <w:t xml:space="preserve">Alternativne mjere ublažavanja </w:t>
            </w:r>
          </w:p>
          <w:p w14:paraId="7FE1C319" w14:textId="77777777" w:rsidR="00393915" w:rsidRDefault="00F24D68">
            <w:pPr>
              <w:pStyle w:val="P68B1DB1-Normal45"/>
              <w:spacing w:line="276" w:lineRule="auto"/>
              <w:jc w:val="both"/>
            </w:pPr>
            <w:r>
              <w:t xml:space="preserve">Ako se očekuje da će se postići otpornost sanacije, ali banke to nisu mogle učiniti, od banaka se očekuje da istraže alternativne mjere ublažavanja. </w:t>
            </w:r>
          </w:p>
          <w:p w14:paraId="7FE1C31A" w14:textId="77777777" w:rsidR="00393915" w:rsidRDefault="00393915">
            <w:pPr>
              <w:spacing w:line="276" w:lineRule="auto"/>
              <w:jc w:val="both"/>
              <w:rPr>
                <w:rFonts w:ascii="Times New Roman" w:eastAsia="Calibri" w:hAnsi="Times New Roman" w:cs="Times New Roman"/>
                <w:sz w:val="20"/>
              </w:rPr>
            </w:pPr>
          </w:p>
          <w:p w14:paraId="7FE1C31B" w14:textId="77777777" w:rsidR="00393915" w:rsidRDefault="00F24D68">
            <w:pPr>
              <w:pStyle w:val="P68B1DB1-Normal45"/>
              <w:spacing w:line="276" w:lineRule="auto"/>
              <w:jc w:val="both"/>
              <w:rPr>
                <w:iCs/>
              </w:rPr>
            </w:pPr>
            <w:r>
              <w:t>Iskazati jednu od sljedećih vrijednosti:</w:t>
            </w:r>
          </w:p>
          <w:p w14:paraId="7FE1C31C" w14:textId="77777777" w:rsidR="00393915" w:rsidRDefault="00F24D68">
            <w:pPr>
              <w:spacing w:line="276" w:lineRule="auto"/>
              <w:jc w:val="both"/>
              <w:rPr>
                <w:rFonts w:ascii="Times New Roman" w:eastAsia="Calibri" w:hAnsi="Times New Roman" w:cs="Times New Roman"/>
                <w:iCs/>
                <w:sz w:val="20"/>
              </w:rPr>
            </w:pPr>
            <w:r>
              <w:rPr>
                <w:rFonts w:ascii="Times New Roman" w:hAnsi="Times New Roman" w:cs="Times New Roman"/>
              </w:rPr>
              <w:t>„</w:t>
            </w:r>
            <w:r>
              <w:rPr>
                <w:rFonts w:ascii="Times New Roman" w:eastAsia="Calibri" w:hAnsi="Times New Roman" w:cs="Times New Roman"/>
                <w:sz w:val="20"/>
              </w:rPr>
              <w:t>Da” – ako je banka provela alternativne mjere ublažavanja</w:t>
            </w:r>
          </w:p>
          <w:p w14:paraId="7FE1C31D" w14:textId="77777777" w:rsidR="00393915" w:rsidRDefault="00F24D68">
            <w:pPr>
              <w:spacing w:line="276" w:lineRule="auto"/>
              <w:jc w:val="both"/>
              <w:rPr>
                <w:rFonts w:ascii="Times New Roman" w:eastAsia="Calibri" w:hAnsi="Times New Roman" w:cs="Times New Roman"/>
                <w:iCs/>
                <w:sz w:val="20"/>
              </w:rPr>
            </w:pPr>
            <w:r>
              <w:rPr>
                <w:rFonts w:ascii="Times New Roman" w:hAnsi="Times New Roman" w:cs="Times New Roman"/>
              </w:rPr>
              <w:t>„</w:t>
            </w:r>
            <w:r>
              <w:rPr>
                <w:rFonts w:ascii="Times New Roman" w:eastAsia="Calibri" w:hAnsi="Times New Roman" w:cs="Times New Roman"/>
                <w:sz w:val="20"/>
              </w:rPr>
              <w:t>Ne” – ako banka nije provela alternativne mjere ublažavanja</w:t>
            </w:r>
          </w:p>
          <w:p w14:paraId="7FE1C31E" w14:textId="78DECF6F" w:rsidR="00393915" w:rsidRDefault="00F24D68">
            <w:pPr>
              <w:spacing w:line="276" w:lineRule="auto"/>
              <w:jc w:val="both"/>
              <w:rPr>
                <w:rFonts w:ascii="Times New Roman" w:eastAsia="Calibri" w:hAnsi="Times New Roman" w:cs="Times New Roman"/>
                <w:iCs/>
                <w:sz w:val="20"/>
              </w:rPr>
            </w:pPr>
            <w:r>
              <w:rPr>
                <w:rFonts w:ascii="Times New Roman" w:hAnsi="Times New Roman" w:cs="Times New Roman"/>
              </w:rPr>
              <w:t xml:space="preserve"> „</w:t>
            </w:r>
            <w:r w:rsidR="00D56396">
              <w:rPr>
                <w:rFonts w:ascii="Times New Roman" w:eastAsia="Calibri" w:hAnsi="Times New Roman" w:cs="Times New Roman"/>
                <w:sz w:val="20"/>
              </w:rPr>
              <w:t>IJE</w:t>
            </w:r>
            <w:r>
              <w:rPr>
                <w:rFonts w:ascii="Times New Roman" w:eastAsia="Calibri" w:hAnsi="Times New Roman" w:cs="Times New Roman"/>
                <w:sz w:val="20"/>
              </w:rPr>
              <w:t>N</w:t>
            </w:r>
            <w:r w:rsidR="00D56396">
              <w:rPr>
                <w:rFonts w:ascii="Times New Roman" w:eastAsia="Calibri" w:hAnsi="Times New Roman" w:cs="Times New Roman"/>
                <w:sz w:val="20"/>
              </w:rPr>
              <w:t>IJE</w:t>
            </w:r>
            <w:r>
              <w:rPr>
                <w:rFonts w:ascii="Times New Roman" w:eastAsia="Calibri" w:hAnsi="Times New Roman" w:cs="Times New Roman"/>
                <w:sz w:val="20"/>
              </w:rPr>
              <w:t xml:space="preserve"> PRIMJENJIVO” – u slučajevima u kojima je bilo koji od stupaca 0150, 0160 označen kao „Da” ili „</w:t>
            </w:r>
            <w:r>
              <w:rPr>
                <w:rFonts w:ascii="Times New Roman" w:eastAsia="Calibri" w:hAnsi="Times New Roman" w:cs="Times New Roman"/>
                <w:sz w:val="20"/>
              </w:rPr>
              <w:t>N</w:t>
            </w:r>
            <w:r w:rsidR="00D56396">
              <w:rPr>
                <w:rFonts w:ascii="Times New Roman" w:eastAsia="Calibri" w:hAnsi="Times New Roman" w:cs="Times New Roman"/>
                <w:sz w:val="20"/>
              </w:rPr>
              <w:t>IJ</w:t>
            </w:r>
            <w:r>
              <w:rPr>
                <w:rFonts w:ascii="Times New Roman" w:eastAsia="Calibri" w:hAnsi="Times New Roman" w:cs="Times New Roman"/>
                <w:sz w:val="20"/>
              </w:rPr>
              <w:t>E</w:t>
            </w:r>
            <w:r>
              <w:rPr>
                <w:rFonts w:ascii="Times New Roman" w:eastAsia="Calibri" w:hAnsi="Times New Roman" w:cs="Times New Roman"/>
                <w:sz w:val="20"/>
              </w:rPr>
              <w:t xml:space="preserve"> PRIMJENJIVO”</w:t>
            </w:r>
          </w:p>
          <w:p w14:paraId="7FE1C31F" w14:textId="77777777" w:rsidR="00393915" w:rsidRDefault="00393915">
            <w:pPr>
              <w:spacing w:line="276" w:lineRule="auto"/>
              <w:jc w:val="both"/>
              <w:rPr>
                <w:rFonts w:ascii="Times New Roman" w:eastAsia="Calibri" w:hAnsi="Times New Roman" w:cs="Times New Roman"/>
                <w:sz w:val="20"/>
              </w:rPr>
            </w:pPr>
          </w:p>
        </w:tc>
      </w:tr>
      <w:tr w:rsidR="00393915" w14:paraId="7FE1C327" w14:textId="77777777">
        <w:trPr>
          <w:trHeight w:val="1257"/>
        </w:trPr>
        <w:tc>
          <w:tcPr>
            <w:tcW w:w="1129" w:type="dxa"/>
          </w:tcPr>
          <w:p w14:paraId="7FE1C321" w14:textId="77777777" w:rsidR="00393915" w:rsidRDefault="00F24D68">
            <w:pPr>
              <w:pStyle w:val="P68B1DB1-Normal45"/>
              <w:spacing w:line="276" w:lineRule="auto"/>
              <w:jc w:val="both"/>
            </w:pPr>
            <w:r>
              <w:t>0180</w:t>
            </w:r>
          </w:p>
        </w:tc>
        <w:tc>
          <w:tcPr>
            <w:tcW w:w="7938" w:type="dxa"/>
          </w:tcPr>
          <w:p w14:paraId="7FE1C322" w14:textId="52975298" w:rsidR="00393915" w:rsidRDefault="00243B56">
            <w:pPr>
              <w:pStyle w:val="P68B1DB1-Normal55"/>
              <w:spacing w:line="276" w:lineRule="auto"/>
              <w:jc w:val="both"/>
              <w:rPr>
                <w:iCs/>
              </w:rPr>
            </w:pPr>
            <w:r>
              <w:rPr>
                <w:szCs w:val="20"/>
              </w:rPr>
              <w:t>i</w:t>
            </w:r>
            <w:r w:rsidR="00F24D68">
              <w:rPr>
                <w:szCs w:val="20"/>
              </w:rPr>
              <w:t>Ključn</w:t>
            </w:r>
            <w:r>
              <w:rPr>
                <w:szCs w:val="20"/>
              </w:rPr>
              <w:t>i</w:t>
            </w:r>
            <w:r>
              <w:rPr>
                <w:szCs w:val="20"/>
              </w:rPr>
              <w:t xml:space="preserve"> vanjski </w:t>
            </w:r>
            <w:r w:rsidR="00F24D68">
              <w:rPr>
                <w:szCs w:val="20"/>
              </w:rPr>
              <w:t>pružatelj IKT usluga u skladu s DORA-om</w:t>
            </w:r>
            <w:r w:rsidR="00F24D68">
              <w:t xml:space="preserve"> </w:t>
            </w:r>
          </w:p>
          <w:p w14:paraId="7FE1C323" w14:textId="77777777" w:rsidR="00393915" w:rsidRDefault="00F24D68">
            <w:pPr>
              <w:pStyle w:val="P68B1DB1-Normal45"/>
              <w:spacing w:line="276" w:lineRule="auto"/>
              <w:jc w:val="both"/>
              <w:rPr>
                <w:iCs/>
              </w:rPr>
            </w:pPr>
            <w:r>
              <w:t>Iskazati jednu od sljedećih vrijednosti:</w:t>
            </w:r>
          </w:p>
          <w:p w14:paraId="7FE1C324" w14:textId="4B02242B" w:rsidR="00393915" w:rsidRDefault="00F24D68">
            <w:pPr>
              <w:pStyle w:val="P68B1DB1-Normal50"/>
              <w:spacing w:line="276" w:lineRule="auto"/>
              <w:jc w:val="both"/>
            </w:pPr>
            <w:r>
              <w:t xml:space="preserve">„Da” – ako je riječ o </w:t>
            </w:r>
            <w:r>
              <w:t>ključno</w:t>
            </w:r>
            <w:r w:rsidR="00243B56">
              <w:t>m vanjskom</w:t>
            </w:r>
            <w:r w:rsidR="00243B56">
              <w:t>vanjskom</w:t>
            </w:r>
            <w:r>
              <w:t>pružatelju IKT usluga u skladu s člankom 3. stavkom 23. Uredbe 2022/2554 (DORA)</w:t>
            </w:r>
          </w:p>
          <w:p w14:paraId="7FE1C325" w14:textId="606DAAEA" w:rsidR="00393915" w:rsidRDefault="00F24D68">
            <w:pPr>
              <w:spacing w:line="276" w:lineRule="auto"/>
              <w:jc w:val="both"/>
              <w:rPr>
                <w:rFonts w:ascii="Times New Roman" w:eastAsia="Calibri" w:hAnsi="Times New Roman" w:cs="Times New Roman"/>
                <w:sz w:val="20"/>
                <w:szCs w:val="20"/>
              </w:rPr>
            </w:pPr>
            <w:r>
              <w:rPr>
                <w:rFonts w:ascii="Times New Roman" w:hAnsi="Times New Roman" w:cs="Times New Roman"/>
              </w:rPr>
              <w:t>„</w:t>
            </w:r>
            <w:r>
              <w:rPr>
                <w:rFonts w:ascii="Times New Roman" w:eastAsia="Calibri" w:hAnsi="Times New Roman" w:cs="Times New Roman"/>
                <w:sz w:val="20"/>
                <w:szCs w:val="20"/>
              </w:rPr>
              <w:t xml:space="preserve">Ne” – ako to nije </w:t>
            </w:r>
            <w:r w:rsidR="00243B56">
              <w:rPr>
                <w:rFonts w:ascii="Times New Roman" w:eastAsia="Calibri" w:hAnsi="Times New Roman" w:cs="Times New Roman"/>
                <w:sz w:val="20"/>
                <w:szCs w:val="20"/>
              </w:rPr>
              <w:t>ivanjski</w:t>
            </w:r>
            <w:r>
              <w:rPr>
                <w:rFonts w:ascii="Times New Roman" w:eastAsia="Calibri" w:hAnsi="Times New Roman" w:cs="Times New Roman"/>
                <w:sz w:val="20"/>
                <w:szCs w:val="20"/>
              </w:rPr>
              <w:t>ključn</w:t>
            </w:r>
            <w:r w:rsidR="00243B56">
              <w:rPr>
                <w:rFonts w:ascii="Times New Roman" w:eastAsia="Calibri" w:hAnsi="Times New Roman" w:cs="Times New Roman"/>
                <w:sz w:val="20"/>
                <w:szCs w:val="20"/>
              </w:rPr>
              <w:t>i</w:t>
            </w:r>
            <w:r>
              <w:rPr>
                <w:rFonts w:ascii="Times New Roman" w:eastAsia="Calibri" w:hAnsi="Times New Roman" w:cs="Times New Roman"/>
                <w:sz w:val="20"/>
                <w:szCs w:val="20"/>
              </w:rPr>
              <w:t xml:space="preserve"> </w:t>
            </w:r>
            <w:r w:rsidR="00243B56">
              <w:rPr>
                <w:rFonts w:ascii="Times New Roman" w:eastAsia="Calibri" w:hAnsi="Times New Roman" w:cs="Times New Roman"/>
                <w:sz w:val="20"/>
                <w:szCs w:val="20"/>
              </w:rPr>
              <w:t>vanjski</w:t>
            </w:r>
            <w:r>
              <w:rPr>
                <w:rFonts w:ascii="Times New Roman" w:eastAsia="Calibri" w:hAnsi="Times New Roman" w:cs="Times New Roman"/>
                <w:sz w:val="20"/>
                <w:szCs w:val="20"/>
              </w:rPr>
              <w:t xml:space="preserve"> pružatelj IKT usluga u skladu s člankom 3. stavkom 23. Uredbe 2022/2554 (DORA)</w:t>
            </w:r>
          </w:p>
          <w:p w14:paraId="7FE1C326" w14:textId="77777777" w:rsidR="00393915" w:rsidRDefault="00393915">
            <w:pPr>
              <w:spacing w:line="276" w:lineRule="auto"/>
              <w:jc w:val="both"/>
              <w:rPr>
                <w:rFonts w:ascii="Times New Roman" w:eastAsia="Calibri" w:hAnsi="Times New Roman" w:cs="Times New Roman"/>
                <w:sz w:val="20"/>
              </w:rPr>
            </w:pPr>
          </w:p>
        </w:tc>
      </w:tr>
      <w:tr w:rsidR="00393915" w14:paraId="7FE1C32E" w14:textId="77777777">
        <w:trPr>
          <w:trHeight w:val="1257"/>
        </w:trPr>
        <w:tc>
          <w:tcPr>
            <w:tcW w:w="1129" w:type="dxa"/>
          </w:tcPr>
          <w:p w14:paraId="7FE1C328" w14:textId="77777777" w:rsidR="00393915" w:rsidRDefault="00F24D68">
            <w:pPr>
              <w:pStyle w:val="P68B1DB1-Normal45"/>
              <w:spacing w:line="276" w:lineRule="auto"/>
              <w:jc w:val="both"/>
            </w:pPr>
            <w:r>
              <w:t>0190</w:t>
            </w:r>
          </w:p>
        </w:tc>
        <w:tc>
          <w:tcPr>
            <w:tcW w:w="7938" w:type="dxa"/>
          </w:tcPr>
          <w:p w14:paraId="7FE1C329" w14:textId="77777777" w:rsidR="00393915" w:rsidRDefault="00F24D68">
            <w:pPr>
              <w:pStyle w:val="P68B1DB1-Normal55"/>
              <w:spacing w:line="276" w:lineRule="auto"/>
              <w:jc w:val="both"/>
              <w:rPr>
                <w:iCs/>
              </w:rPr>
            </w:pPr>
            <w:r>
              <w:rPr>
                <w:szCs w:val="20"/>
              </w:rPr>
              <w:t>IKT usluga u okviru DORA-e</w:t>
            </w:r>
            <w:r>
              <w:t xml:space="preserve"> </w:t>
            </w:r>
          </w:p>
          <w:p w14:paraId="7FE1C32A" w14:textId="77777777" w:rsidR="00393915" w:rsidRDefault="00F24D68">
            <w:pPr>
              <w:pStyle w:val="P68B1DB1-Normal45"/>
              <w:spacing w:line="276" w:lineRule="auto"/>
              <w:jc w:val="both"/>
              <w:rPr>
                <w:iCs/>
              </w:rPr>
            </w:pPr>
            <w:r>
              <w:t>Iskazati jednu od sljedećih vrijednosti:</w:t>
            </w:r>
          </w:p>
          <w:p w14:paraId="7FE1C32B" w14:textId="3A99D278" w:rsidR="00393915" w:rsidRDefault="00F24D68">
            <w:pPr>
              <w:spacing w:line="276" w:lineRule="auto"/>
              <w:jc w:val="both"/>
              <w:rPr>
                <w:rFonts w:ascii="Times New Roman" w:eastAsia="Calibri" w:hAnsi="Times New Roman" w:cs="Times New Roman"/>
                <w:sz w:val="20"/>
                <w:szCs w:val="20"/>
              </w:rPr>
            </w:pPr>
            <w:r>
              <w:rPr>
                <w:rFonts w:ascii="Times New Roman" w:eastAsia="Calibri" w:hAnsi="Times New Roman" w:cs="Times New Roman"/>
                <w:sz w:val="20"/>
                <w:szCs w:val="20"/>
              </w:rPr>
              <w:lastRenderedPageBreak/>
              <w:t>„Da” – ako je riječ o IKT usluzi u skladu s člankom 3. stavkom 21. Uredbe 2022/2554</w:t>
            </w:r>
            <w:r>
              <w:rPr>
                <w:rStyle w:val="FootnoteReference"/>
                <w:rFonts w:eastAsia="Calibri" w:cs="Times New Roman"/>
              </w:rPr>
              <w:footnoteReference w:id="27"/>
            </w:r>
            <w:r>
              <w:rPr>
                <w:rFonts w:ascii="Times New Roman" w:eastAsia="Calibri" w:hAnsi="Times New Roman" w:cs="Times New Roman"/>
                <w:sz w:val="20"/>
                <w:szCs w:val="20"/>
              </w:rPr>
              <w:t xml:space="preserve"> (DORA)</w:t>
            </w:r>
          </w:p>
          <w:p w14:paraId="7FE1C32C" w14:textId="77777777" w:rsidR="00393915" w:rsidRDefault="00F24D68">
            <w:pPr>
              <w:spacing w:line="276" w:lineRule="auto"/>
              <w:jc w:val="both"/>
              <w:rPr>
                <w:rFonts w:ascii="Times New Roman" w:eastAsia="Calibri" w:hAnsi="Times New Roman" w:cs="Times New Roman"/>
                <w:sz w:val="20"/>
                <w:szCs w:val="20"/>
              </w:rPr>
            </w:pPr>
            <w:r>
              <w:rPr>
                <w:rFonts w:ascii="Times New Roman" w:hAnsi="Times New Roman" w:cs="Times New Roman"/>
              </w:rPr>
              <w:t>„</w:t>
            </w:r>
            <w:r>
              <w:rPr>
                <w:rFonts w:ascii="Times New Roman" w:eastAsia="Calibri" w:hAnsi="Times New Roman" w:cs="Times New Roman"/>
                <w:sz w:val="20"/>
                <w:szCs w:val="20"/>
              </w:rPr>
              <w:t>Ne” – ako nije riječ o IKT usluzi u skladu s člankom 3. stavkom 21. Uredbe 2022/2554 (DORA)</w:t>
            </w:r>
          </w:p>
          <w:p w14:paraId="7FE1C32D" w14:textId="77777777" w:rsidR="00393915" w:rsidRDefault="00393915">
            <w:pPr>
              <w:spacing w:line="276" w:lineRule="auto"/>
              <w:jc w:val="both"/>
              <w:rPr>
                <w:rFonts w:ascii="Times New Roman" w:eastAsia="Calibri" w:hAnsi="Times New Roman" w:cs="Times New Roman"/>
                <w:iCs/>
                <w:sz w:val="20"/>
              </w:rPr>
            </w:pPr>
          </w:p>
        </w:tc>
      </w:tr>
    </w:tbl>
    <w:p w14:paraId="7FE1C32F" w14:textId="77777777" w:rsidR="00393915" w:rsidRDefault="00393915">
      <w:pPr>
        <w:spacing w:line="276" w:lineRule="auto"/>
        <w:jc w:val="both"/>
        <w:rPr>
          <w:rFonts w:ascii="Times New Roman" w:eastAsia="Calibri" w:hAnsi="Times New Roman" w:cs="Times New Roman"/>
          <w:color w:val="0070C0"/>
          <w:sz w:val="20"/>
        </w:rPr>
      </w:pPr>
    </w:p>
    <w:p w14:paraId="7FE1C478" w14:textId="77777777" w:rsidR="00393915" w:rsidRDefault="00393915">
      <w:pPr>
        <w:rPr>
          <w:rFonts w:ascii="Times New Roman" w:eastAsia="Times New Roman" w:hAnsi="Times New Roman" w:cs="Times New Roman"/>
          <w:sz w:val="20"/>
          <w:szCs w:val="20"/>
          <w:u w:val="single"/>
        </w:rPr>
      </w:pPr>
    </w:p>
    <w:p w14:paraId="7FE1C479" w14:textId="77777777" w:rsidR="00393915" w:rsidRDefault="00393915">
      <w:pPr>
        <w:rPr>
          <w:rFonts w:ascii="Times New Roman" w:eastAsia="Times New Roman" w:hAnsi="Times New Roman" w:cs="Times New Roman"/>
          <w:sz w:val="20"/>
          <w:szCs w:val="20"/>
          <w:u w:val="single"/>
        </w:rPr>
      </w:pPr>
    </w:p>
    <w:p w14:paraId="7FE1C47A" w14:textId="77777777" w:rsidR="00393915" w:rsidRDefault="00F24D68">
      <w:pPr>
        <w:pStyle w:val="P68B1DB1-Instructionsberschrift25"/>
        <w:numPr>
          <w:ilvl w:val="1"/>
          <w:numId w:val="49"/>
        </w:numPr>
        <w:ind w:left="357" w:hanging="357"/>
        <w:rPr>
          <w:szCs w:val="20"/>
        </w:rPr>
      </w:pPr>
      <w:bookmarkStart w:id="129" w:name="_Toc208244818"/>
      <w:r>
        <w:t>Predložak Z 08.02 – Relevantne usluge – raspoređivanje u operativnu imovinu (SERV 2)</w:t>
      </w:r>
      <w:bookmarkEnd w:id="129"/>
    </w:p>
    <w:p w14:paraId="7FE1C47B" w14:textId="77777777" w:rsidR="00393915" w:rsidRDefault="00F24D68">
      <w:pPr>
        <w:pStyle w:val="P68B1DB1-Normal50"/>
        <w:spacing w:line="276" w:lineRule="auto"/>
        <w:jc w:val="both"/>
      </w:pPr>
      <w:r>
        <w:t>Opće upute</w:t>
      </w:r>
    </w:p>
    <w:p w14:paraId="7FE1C47C" w14:textId="6A42AB92" w:rsidR="00393915" w:rsidRDefault="00F24D68">
      <w:pPr>
        <w:pStyle w:val="P68B1DB1-Instructionsberschrift346"/>
        <w:numPr>
          <w:ilvl w:val="4"/>
          <w:numId w:val="259"/>
        </w:numPr>
        <w:contextualSpacing/>
        <w:jc w:val="both"/>
        <w:rPr>
          <w:color w:val="auto"/>
        </w:rPr>
      </w:pPr>
      <w:bookmarkStart w:id="130" w:name="_Hlk161330001"/>
      <w:r>
        <w:rPr>
          <w:color w:val="auto"/>
          <w:szCs w:val="24"/>
        </w:rPr>
        <w:t xml:space="preserve">Informacije koje se moraju uključiti u ovom predlošku iskazuju se jednom za cijelu grupu, navode </w:t>
      </w:r>
      <w:r w:rsidR="00E85F6A">
        <w:rPr>
          <w:color w:val="auto"/>
          <w:szCs w:val="24"/>
        </w:rPr>
        <w:t xml:space="preserve">se </w:t>
      </w:r>
      <w:r>
        <w:rPr>
          <w:color w:val="auto"/>
          <w:szCs w:val="24"/>
        </w:rPr>
        <w:t>relevantne usluge koje prima bilo koji subjekt u grupi i povezuje ih se s relevantnim operativnim sredstvima</w:t>
      </w:r>
      <w:r>
        <w:t>.</w:t>
      </w:r>
    </w:p>
    <w:p w14:paraId="7FE1C47D" w14:textId="790BE864" w:rsidR="00393915" w:rsidRDefault="00F24D68">
      <w:pPr>
        <w:pStyle w:val="P68B1DB1-Instructionsberschrift348"/>
        <w:numPr>
          <w:ilvl w:val="4"/>
          <w:numId w:val="49"/>
        </w:numPr>
        <w:contextualSpacing/>
        <w:jc w:val="both"/>
        <w:rPr>
          <w:color w:val="auto"/>
        </w:rPr>
      </w:pPr>
      <w:r>
        <w:t>Vrijednosti iskazane u stupcima 0010, 0020, 0030 i 0080 ovog predloška čine primarni ključ, koji mora biti jedinstven za svaki redak predloška.</w:t>
      </w:r>
    </w:p>
    <w:bookmarkEnd w:id="130"/>
    <w:p w14:paraId="7FE1C482" w14:textId="77777777" w:rsidR="00393915" w:rsidRDefault="00393915">
      <w:pPr>
        <w:rPr>
          <w:rFonts w:ascii="Times New Roman" w:eastAsia="Times New Roman" w:hAnsi="Times New Roman" w:cs="Times New Roman"/>
          <w:sz w:val="20"/>
          <w:szCs w:val="20"/>
          <w:u w:val="single"/>
        </w:rPr>
      </w:pPr>
    </w:p>
    <w:tbl>
      <w:tblPr>
        <w:tblStyle w:val="TableGrid11"/>
        <w:tblW w:w="9209" w:type="dxa"/>
        <w:tblLook w:val="04A0" w:firstRow="1" w:lastRow="0" w:firstColumn="1" w:lastColumn="0" w:noHBand="0" w:noVBand="1"/>
      </w:tblPr>
      <w:tblGrid>
        <w:gridCol w:w="1418"/>
        <w:gridCol w:w="7791"/>
      </w:tblGrid>
      <w:tr w:rsidR="00393915" w14:paraId="7FE1C54A" w14:textId="77777777">
        <w:trPr>
          <w:trHeight w:val="495"/>
          <w:tblHeader/>
        </w:trPr>
        <w:tc>
          <w:tcPr>
            <w:tcW w:w="1418" w:type="dxa"/>
            <w:shd w:val="clear" w:color="auto" w:fill="E7E6E6"/>
          </w:tcPr>
          <w:p w14:paraId="7FE1C548" w14:textId="77777777" w:rsidR="00393915" w:rsidRDefault="00F24D68">
            <w:pPr>
              <w:pStyle w:val="P68B1DB1-Normal61"/>
              <w:spacing w:before="120" w:after="120" w:line="276" w:lineRule="auto"/>
            </w:pPr>
            <w:r>
              <w:t>Stupci</w:t>
            </w:r>
          </w:p>
        </w:tc>
        <w:tc>
          <w:tcPr>
            <w:tcW w:w="7791" w:type="dxa"/>
            <w:shd w:val="clear" w:color="auto" w:fill="E7E6E6"/>
          </w:tcPr>
          <w:p w14:paraId="7FE1C549" w14:textId="77777777" w:rsidR="00393915" w:rsidRDefault="00F24D68">
            <w:pPr>
              <w:pStyle w:val="P68B1DB1-Normal61"/>
              <w:spacing w:before="120" w:after="120" w:line="276" w:lineRule="auto"/>
            </w:pPr>
            <w:r>
              <w:t>Upute</w:t>
            </w:r>
          </w:p>
        </w:tc>
      </w:tr>
      <w:tr w:rsidR="00393915" w14:paraId="7FE1C550" w14:textId="77777777">
        <w:trPr>
          <w:trHeight w:val="450"/>
        </w:trPr>
        <w:tc>
          <w:tcPr>
            <w:tcW w:w="1418" w:type="dxa"/>
            <w:shd w:val="clear" w:color="auto" w:fill="FFFFFF" w:themeFill="background1"/>
          </w:tcPr>
          <w:p w14:paraId="7FE1C54B" w14:textId="77777777" w:rsidR="00393915" w:rsidRDefault="00F24D68">
            <w:pPr>
              <w:pStyle w:val="P68B1DB1-Normal62"/>
              <w:spacing w:before="120" w:after="120" w:line="276" w:lineRule="auto"/>
            </w:pPr>
            <w:r>
              <w:t>0005</w:t>
            </w:r>
          </w:p>
        </w:tc>
        <w:tc>
          <w:tcPr>
            <w:tcW w:w="7791" w:type="dxa"/>
            <w:shd w:val="clear" w:color="auto" w:fill="FFFFFF" w:themeFill="background1"/>
          </w:tcPr>
          <w:p w14:paraId="7FE1C54C" w14:textId="5873816E" w:rsidR="00393915" w:rsidRDefault="00F24D68">
            <w:pPr>
              <w:pStyle w:val="P68B1DB1-Normal61"/>
              <w:spacing w:before="120" w:after="120" w:line="276" w:lineRule="auto"/>
            </w:pPr>
            <w:r>
              <w:t xml:space="preserve">Identifikator usluge </w:t>
            </w:r>
          </w:p>
          <w:p w14:paraId="7FE1C54D" w14:textId="77777777" w:rsidR="00393915" w:rsidRDefault="00F24D68">
            <w:pPr>
              <w:pStyle w:val="P68B1DB1-Normal62"/>
              <w:spacing w:before="120" w:after="120" w:line="276" w:lineRule="auto"/>
            </w:pPr>
            <w:r>
              <w:t>Upotrijebiti identifikacijsku oznaku usluge kako je navedena u predlošku Z 08.01 (SERV 1).</w:t>
            </w:r>
          </w:p>
          <w:p w14:paraId="7FE1C54E" w14:textId="77777777" w:rsidR="00393915" w:rsidRDefault="00F24D68">
            <w:pPr>
              <w:pStyle w:val="P68B1DB1-Normal62"/>
              <w:spacing w:before="120" w:after="120" w:line="276" w:lineRule="auto"/>
            </w:pPr>
            <w:r>
              <w:t>Identifikacijska oznaka usluge odnosi se na uslugu navedenu pod c0020.</w:t>
            </w:r>
          </w:p>
          <w:p w14:paraId="7FE1C54F" w14:textId="77777777" w:rsidR="00393915" w:rsidRDefault="00393915">
            <w:pPr>
              <w:spacing w:before="120" w:after="120" w:line="276" w:lineRule="auto"/>
              <w:rPr>
                <w:rFonts w:ascii="Times New Roman" w:hAnsi="Times New Roman"/>
                <w:i/>
                <w:sz w:val="20"/>
                <w:szCs w:val="20"/>
              </w:rPr>
            </w:pPr>
          </w:p>
        </w:tc>
      </w:tr>
      <w:tr w:rsidR="00393915" w14:paraId="7FE1C594" w14:textId="77777777">
        <w:trPr>
          <w:trHeight w:val="450"/>
        </w:trPr>
        <w:tc>
          <w:tcPr>
            <w:tcW w:w="1418" w:type="dxa"/>
            <w:shd w:val="clear" w:color="auto" w:fill="FFFFFF" w:themeFill="background1"/>
          </w:tcPr>
          <w:p w14:paraId="7FE1C551" w14:textId="77777777" w:rsidR="00393915" w:rsidRDefault="00F24D68">
            <w:pPr>
              <w:pStyle w:val="P68B1DB1-Normal62"/>
              <w:spacing w:before="120" w:after="120" w:line="276" w:lineRule="auto"/>
            </w:pPr>
            <w:r>
              <w:t>0010</w:t>
            </w:r>
          </w:p>
        </w:tc>
        <w:tc>
          <w:tcPr>
            <w:tcW w:w="7791" w:type="dxa"/>
            <w:shd w:val="clear" w:color="auto" w:fill="FFFFFF" w:themeFill="background1"/>
          </w:tcPr>
          <w:p w14:paraId="7FE1C552" w14:textId="77777777" w:rsidR="00393915" w:rsidRDefault="00F24D68">
            <w:pPr>
              <w:pStyle w:val="P68B1DB1-Normal61"/>
              <w:autoSpaceDE w:val="0"/>
              <w:autoSpaceDN w:val="0"/>
              <w:adjustRightInd w:val="0"/>
              <w:rPr>
                <w:rFonts w:eastAsia="MS Mincho"/>
              </w:rPr>
            </w:pPr>
            <w:r>
              <w:t xml:space="preserve">Vrsta usluge </w:t>
            </w:r>
          </w:p>
          <w:p w14:paraId="7FE1C57A" w14:textId="35040E48" w:rsidR="00393915" w:rsidRDefault="00F24D68">
            <w:pPr>
              <w:pStyle w:val="P68B1DB1-Normal63"/>
              <w:autoSpaceDE w:val="0"/>
              <w:autoSpaceDN w:val="0"/>
              <w:adjustRightInd w:val="0"/>
            </w:pPr>
            <w:r>
              <w:t>Vrsta usluge mora biti jedna od vrsta usluga navedenih u prethodno navedenom predlošku Z 08.01 0010.</w:t>
            </w:r>
          </w:p>
          <w:p w14:paraId="7FE1C593" w14:textId="77777777" w:rsidR="00393915" w:rsidRDefault="00393915">
            <w:pPr>
              <w:autoSpaceDE w:val="0"/>
              <w:autoSpaceDN w:val="0"/>
              <w:adjustRightInd w:val="0"/>
              <w:rPr>
                <w:rFonts w:ascii="Times New Roman" w:hAnsi="Times New Roman"/>
                <w:sz w:val="20"/>
                <w:szCs w:val="20"/>
              </w:rPr>
            </w:pPr>
          </w:p>
        </w:tc>
      </w:tr>
      <w:tr w:rsidR="00393915" w14:paraId="7FE1C599" w14:textId="77777777">
        <w:trPr>
          <w:trHeight w:val="450"/>
        </w:trPr>
        <w:tc>
          <w:tcPr>
            <w:tcW w:w="1418" w:type="dxa"/>
            <w:shd w:val="clear" w:color="auto" w:fill="FFFFFF" w:themeFill="background1"/>
          </w:tcPr>
          <w:p w14:paraId="7FE1C595" w14:textId="77777777" w:rsidR="00393915" w:rsidRDefault="00F24D68">
            <w:pPr>
              <w:pStyle w:val="P68B1DB1-Normal62"/>
              <w:spacing w:before="120" w:after="120" w:line="276" w:lineRule="auto"/>
            </w:pPr>
            <w:r>
              <w:t>0020</w:t>
            </w:r>
          </w:p>
        </w:tc>
        <w:tc>
          <w:tcPr>
            <w:tcW w:w="7791" w:type="dxa"/>
            <w:shd w:val="clear" w:color="auto" w:fill="FFFFFF" w:themeFill="background1"/>
          </w:tcPr>
          <w:p w14:paraId="7FE1C596" w14:textId="77777777" w:rsidR="00393915" w:rsidRDefault="00F24D68">
            <w:pPr>
              <w:pStyle w:val="P68B1DB1-Normal61"/>
              <w:spacing w:line="276" w:lineRule="auto"/>
              <w:jc w:val="both"/>
              <w:rPr>
                <w:bCs/>
              </w:rPr>
            </w:pPr>
            <w:r>
              <w:t xml:space="preserve">Jedinstveni naziv usluge u skladu s taksonomijom banke </w:t>
            </w:r>
          </w:p>
          <w:p w14:paraId="7FE1C597" w14:textId="5D56FDAD" w:rsidR="00393915" w:rsidRDefault="00F24D68">
            <w:pPr>
              <w:pStyle w:val="P68B1DB1-Normal64"/>
              <w:rPr>
                <w:rFonts w:eastAsiaTheme="minorHAnsi"/>
                <w:sz w:val="24"/>
              </w:rPr>
            </w:pPr>
            <w:r>
              <w:t xml:space="preserve">Naziv/kratak opis usluge u skladu s </w:t>
            </w:r>
            <w:r w:rsidR="0020433F">
              <w:t>o</w:t>
            </w:r>
            <w:r>
              <w:t>vlastit</w:t>
            </w:r>
            <w:r w:rsidR="0020433F">
              <w:t>o</w:t>
            </w:r>
            <w:r>
              <w:t>m</w:t>
            </w:r>
            <w:r w:rsidR="0020433F">
              <w:t>višeslojnom om</w:t>
            </w:r>
            <w:r>
              <w:t>taksonomij</w:t>
            </w:r>
            <w:r w:rsidR="0020433F">
              <w:t>om</w:t>
            </w:r>
            <w:r>
              <w:t xml:space="preserve"> (3. razina) banke kako je iskazano u Z 08.01 (SERV 1) </w:t>
            </w:r>
            <w:r w:rsidR="00FC4C9B">
              <w:t xml:space="preserve">stupcu 0020. </w:t>
            </w:r>
            <w:r>
              <w:t>Očekuje se da će banka izvješćivati o uslugama na detaljnijoj razini od izvješća za 2. razinu (c0010) kako bi se svaka pojedina usluga definirala na precizan i ciljani način.</w:t>
            </w:r>
          </w:p>
          <w:p w14:paraId="7FE1C598" w14:textId="77777777" w:rsidR="00393915" w:rsidRDefault="00393915">
            <w:pPr>
              <w:spacing w:before="120" w:after="120" w:line="276" w:lineRule="auto"/>
              <w:rPr>
                <w:rFonts w:ascii="Times New Roman" w:hAnsi="Times New Roman"/>
                <w:sz w:val="20"/>
                <w:szCs w:val="20"/>
              </w:rPr>
            </w:pPr>
          </w:p>
        </w:tc>
      </w:tr>
      <w:tr w:rsidR="00393915" w14:paraId="7FE1C59E" w14:textId="77777777">
        <w:trPr>
          <w:trHeight w:val="450"/>
        </w:trPr>
        <w:tc>
          <w:tcPr>
            <w:tcW w:w="1418" w:type="dxa"/>
            <w:shd w:val="clear" w:color="auto" w:fill="FFFFFF" w:themeFill="background1"/>
          </w:tcPr>
          <w:p w14:paraId="7FE1C59A" w14:textId="77777777" w:rsidR="00393915" w:rsidRDefault="00F24D68">
            <w:pPr>
              <w:pStyle w:val="P68B1DB1-Normal62"/>
              <w:spacing w:before="120" w:after="120" w:line="276" w:lineRule="auto"/>
            </w:pPr>
            <w:r>
              <w:t>0030</w:t>
            </w:r>
          </w:p>
        </w:tc>
        <w:tc>
          <w:tcPr>
            <w:tcW w:w="7791" w:type="dxa"/>
            <w:shd w:val="clear" w:color="auto" w:fill="FFFFFF" w:themeFill="background1"/>
          </w:tcPr>
          <w:p w14:paraId="7FE1C59B" w14:textId="77777777" w:rsidR="00393915" w:rsidRDefault="00F24D68">
            <w:pPr>
              <w:pStyle w:val="P68B1DB1-Normal61"/>
              <w:spacing w:before="120" w:after="120" w:line="276" w:lineRule="auto"/>
              <w:rPr>
                <w:bCs/>
              </w:rPr>
            </w:pPr>
            <w:r>
              <w:t>Identifikacijska oznaka imovine</w:t>
            </w:r>
          </w:p>
          <w:p w14:paraId="7FE1C59C" w14:textId="77777777" w:rsidR="00393915" w:rsidRDefault="00F24D68">
            <w:pPr>
              <w:pStyle w:val="P68B1DB1-Normal64"/>
              <w:spacing w:line="276" w:lineRule="auto"/>
              <w:jc w:val="both"/>
            </w:pPr>
            <w:r>
              <w:t>Identifikacijska oznaka imovine odnosi se na imovinu iskazanu pod c0050.</w:t>
            </w:r>
          </w:p>
          <w:p w14:paraId="7FE1C59D" w14:textId="77777777" w:rsidR="00393915" w:rsidRDefault="00393915">
            <w:pPr>
              <w:spacing w:before="120" w:after="120" w:line="276" w:lineRule="auto"/>
              <w:rPr>
                <w:rFonts w:ascii="Times New Roman" w:hAnsi="Times New Roman"/>
                <w:sz w:val="20"/>
                <w:szCs w:val="20"/>
              </w:rPr>
            </w:pPr>
          </w:p>
        </w:tc>
      </w:tr>
      <w:tr w:rsidR="00393915" w14:paraId="7FE1C5AD" w14:textId="77777777">
        <w:trPr>
          <w:trHeight w:val="450"/>
        </w:trPr>
        <w:tc>
          <w:tcPr>
            <w:tcW w:w="1418" w:type="dxa"/>
            <w:shd w:val="clear" w:color="auto" w:fill="FFFFFF" w:themeFill="background1"/>
          </w:tcPr>
          <w:p w14:paraId="7FE1C59F" w14:textId="77777777" w:rsidR="00393915" w:rsidRDefault="00F24D68">
            <w:pPr>
              <w:pStyle w:val="P68B1DB1-Normal62"/>
              <w:spacing w:before="120" w:after="120" w:line="276" w:lineRule="auto"/>
            </w:pPr>
            <w:r>
              <w:t>0040</w:t>
            </w:r>
          </w:p>
        </w:tc>
        <w:tc>
          <w:tcPr>
            <w:tcW w:w="7791" w:type="dxa"/>
            <w:shd w:val="clear" w:color="auto" w:fill="FFFFFF" w:themeFill="background1"/>
          </w:tcPr>
          <w:p w14:paraId="7FE1C5A0" w14:textId="03B02B52" w:rsidR="00393915" w:rsidRDefault="003F6CA5">
            <w:pPr>
              <w:pStyle w:val="P68B1DB1-Normal64"/>
              <w:spacing w:line="276" w:lineRule="auto"/>
              <w:jc w:val="both"/>
            </w:pPr>
            <w:r>
              <w:rPr>
                <w:b/>
                <w:szCs w:val="20"/>
              </w:rPr>
              <w:t>e</w:t>
            </w:r>
            <w:r w:rsidR="00F24D68">
              <w:rPr>
                <w:b/>
                <w:szCs w:val="20"/>
              </w:rPr>
              <w:t>Kategorij</w:t>
            </w:r>
            <w:r>
              <w:rPr>
                <w:b/>
                <w:szCs w:val="20"/>
              </w:rPr>
              <w:t>e</w:t>
            </w:r>
            <w:r w:rsidR="00F24D68">
              <w:rPr>
                <w:b/>
                <w:szCs w:val="20"/>
              </w:rPr>
              <w:t xml:space="preserve"> imovine</w:t>
            </w:r>
            <w:r w:rsidR="00F24D68">
              <w:t xml:space="preserve"> </w:t>
            </w:r>
          </w:p>
          <w:p w14:paraId="7FE1C5A1" w14:textId="77777777" w:rsidR="00393915" w:rsidRDefault="00F24D68">
            <w:pPr>
              <w:pStyle w:val="P68B1DB1-Normal64"/>
              <w:spacing w:line="276" w:lineRule="auto"/>
              <w:jc w:val="both"/>
            </w:pPr>
            <w:r>
              <w:lastRenderedPageBreak/>
              <w:t xml:space="preserve">— IT i komunikacijski hardver </w:t>
            </w:r>
          </w:p>
          <w:p w14:paraId="7FE1C5A2" w14:textId="77777777" w:rsidR="00393915" w:rsidRDefault="00393915">
            <w:pPr>
              <w:spacing w:line="276" w:lineRule="auto"/>
              <w:rPr>
                <w:rFonts w:ascii="Times New Roman" w:hAnsi="Times New Roman"/>
                <w:sz w:val="20"/>
              </w:rPr>
            </w:pPr>
          </w:p>
          <w:p w14:paraId="7FE1C5A3" w14:textId="77777777" w:rsidR="00393915" w:rsidRDefault="00F24D68">
            <w:pPr>
              <w:pStyle w:val="P68B1DB1-Normal64"/>
              <w:spacing w:line="276" w:lineRule="auto"/>
            </w:pPr>
            <w:r>
              <w:t>— Druga IT infrastruktura (kao što su radne stanice, telekomunikacije, poslužitelji, podatkovni centri i povezana imovina)</w:t>
            </w:r>
          </w:p>
          <w:p w14:paraId="7FE1C5A4" w14:textId="77777777" w:rsidR="00393915" w:rsidRDefault="00393915">
            <w:pPr>
              <w:spacing w:line="276" w:lineRule="auto"/>
              <w:rPr>
                <w:rFonts w:ascii="Times New Roman" w:hAnsi="Times New Roman"/>
                <w:sz w:val="20"/>
              </w:rPr>
            </w:pPr>
          </w:p>
          <w:p w14:paraId="7FE1C5A5" w14:textId="77777777" w:rsidR="00393915" w:rsidRDefault="00F24D68">
            <w:pPr>
              <w:pStyle w:val="P68B1DB1-Normal64"/>
              <w:spacing w:line="276" w:lineRule="auto"/>
            </w:pPr>
            <w:r>
              <w:t xml:space="preserve">— Prostori i skladištenje </w:t>
            </w:r>
          </w:p>
          <w:p w14:paraId="7FE1C5A6" w14:textId="77777777" w:rsidR="00393915" w:rsidRDefault="00393915">
            <w:pPr>
              <w:spacing w:line="276" w:lineRule="auto"/>
              <w:rPr>
                <w:rFonts w:ascii="Times New Roman" w:hAnsi="Times New Roman"/>
                <w:sz w:val="20"/>
              </w:rPr>
            </w:pPr>
          </w:p>
          <w:p w14:paraId="7FE1C5A7" w14:textId="77777777" w:rsidR="00393915" w:rsidRDefault="00F24D68">
            <w:pPr>
              <w:pStyle w:val="P68B1DB1-Normal64"/>
              <w:spacing w:line="276" w:lineRule="auto"/>
            </w:pPr>
            <w:r>
              <w:t>— Intelektualno vlasništvo (kao što su patenti, žigovi itd.)</w:t>
            </w:r>
          </w:p>
          <w:p w14:paraId="7FE1C5A8" w14:textId="77777777" w:rsidR="00393915" w:rsidRDefault="00393915">
            <w:pPr>
              <w:spacing w:line="276" w:lineRule="auto"/>
              <w:rPr>
                <w:rFonts w:ascii="Times New Roman" w:hAnsi="Times New Roman"/>
                <w:sz w:val="20"/>
              </w:rPr>
            </w:pPr>
          </w:p>
          <w:p w14:paraId="7FE1C5A9" w14:textId="77777777" w:rsidR="00393915" w:rsidRDefault="00F24D68">
            <w:pPr>
              <w:pStyle w:val="P68B1DB1-Normal64"/>
              <w:spacing w:line="276" w:lineRule="auto"/>
            </w:pPr>
            <w:r>
              <w:t xml:space="preserve"> — Samoposlužni uređaji u podružnicama i bankomatima</w:t>
            </w:r>
          </w:p>
          <w:p w14:paraId="7FE1C5AA" w14:textId="77777777" w:rsidR="00393915" w:rsidRDefault="00393915">
            <w:pPr>
              <w:spacing w:line="276" w:lineRule="auto"/>
              <w:rPr>
                <w:rFonts w:ascii="Times New Roman" w:hAnsi="Times New Roman"/>
                <w:sz w:val="20"/>
              </w:rPr>
            </w:pPr>
          </w:p>
          <w:p w14:paraId="7FE1C5AB" w14:textId="07413E54" w:rsidR="00393915" w:rsidRDefault="00F24D68">
            <w:pPr>
              <w:pStyle w:val="P68B1DB1-Normal62"/>
              <w:spacing w:line="276" w:lineRule="auto"/>
              <w:jc w:val="both"/>
              <w:rPr>
                <w:b/>
              </w:rPr>
            </w:pPr>
            <w:r>
              <w:t>— Druga vrsta imovine</w:t>
            </w:r>
          </w:p>
          <w:p w14:paraId="7FE1C5AC" w14:textId="77777777" w:rsidR="00393915" w:rsidRDefault="00393915">
            <w:pPr>
              <w:spacing w:line="276" w:lineRule="auto"/>
              <w:jc w:val="both"/>
              <w:rPr>
                <w:rFonts w:ascii="Times New Roman" w:hAnsi="Times New Roman"/>
                <w:sz w:val="20"/>
              </w:rPr>
            </w:pPr>
          </w:p>
        </w:tc>
      </w:tr>
      <w:tr w:rsidR="00393915" w14:paraId="7FE1C5B2" w14:textId="77777777">
        <w:trPr>
          <w:trHeight w:val="450"/>
        </w:trPr>
        <w:tc>
          <w:tcPr>
            <w:tcW w:w="1418" w:type="dxa"/>
            <w:shd w:val="clear" w:color="auto" w:fill="FFFFFF" w:themeFill="background1"/>
          </w:tcPr>
          <w:p w14:paraId="7FE1C5AE" w14:textId="77777777" w:rsidR="00393915" w:rsidRDefault="00F24D68">
            <w:pPr>
              <w:pStyle w:val="P68B1DB1-Normal62"/>
              <w:spacing w:before="120" w:after="120" w:line="276" w:lineRule="auto"/>
            </w:pPr>
            <w:r>
              <w:lastRenderedPageBreak/>
              <w:t>0050</w:t>
            </w:r>
          </w:p>
        </w:tc>
        <w:tc>
          <w:tcPr>
            <w:tcW w:w="7791" w:type="dxa"/>
            <w:shd w:val="clear" w:color="auto" w:fill="FFFFFF" w:themeFill="background1"/>
          </w:tcPr>
          <w:p w14:paraId="7FE1C5AF" w14:textId="77777777" w:rsidR="00393915" w:rsidRDefault="00F24D68">
            <w:pPr>
              <w:pStyle w:val="P68B1DB1-Normal61"/>
              <w:spacing w:line="276" w:lineRule="auto"/>
              <w:jc w:val="both"/>
            </w:pPr>
            <w:r>
              <w:t xml:space="preserve">Naziv imovine </w:t>
            </w:r>
          </w:p>
          <w:p w14:paraId="7FE1C5B0" w14:textId="77777777" w:rsidR="00393915" w:rsidRDefault="00F24D68">
            <w:pPr>
              <w:pStyle w:val="P68B1DB1-Normal64"/>
              <w:spacing w:line="276" w:lineRule="auto"/>
              <w:jc w:val="both"/>
            </w:pPr>
            <w:r>
              <w:t>Trgovački ili interni naziv sustava.</w:t>
            </w:r>
          </w:p>
          <w:p w14:paraId="7FE1C5B1" w14:textId="77777777" w:rsidR="00393915" w:rsidRDefault="00393915">
            <w:pPr>
              <w:spacing w:line="276" w:lineRule="auto"/>
              <w:jc w:val="both"/>
              <w:rPr>
                <w:rFonts w:ascii="Times New Roman" w:hAnsi="Times New Roman"/>
                <w:sz w:val="20"/>
              </w:rPr>
            </w:pPr>
          </w:p>
        </w:tc>
      </w:tr>
      <w:tr w:rsidR="00393915" w14:paraId="7FE1C5BA" w14:textId="77777777">
        <w:trPr>
          <w:trHeight w:val="450"/>
        </w:trPr>
        <w:tc>
          <w:tcPr>
            <w:tcW w:w="1418" w:type="dxa"/>
            <w:shd w:val="clear" w:color="auto" w:fill="FFFFFF" w:themeFill="background1"/>
          </w:tcPr>
          <w:p w14:paraId="7FE1C5B3" w14:textId="77777777" w:rsidR="00393915" w:rsidRDefault="00F24D68">
            <w:pPr>
              <w:pStyle w:val="P68B1DB1-Normal62"/>
              <w:spacing w:before="120" w:after="120" w:line="276" w:lineRule="auto"/>
            </w:pPr>
            <w:r>
              <w:t>0060</w:t>
            </w:r>
          </w:p>
        </w:tc>
        <w:tc>
          <w:tcPr>
            <w:tcW w:w="7791" w:type="dxa"/>
            <w:shd w:val="clear" w:color="auto" w:fill="FFFFFF" w:themeFill="background1"/>
          </w:tcPr>
          <w:p w14:paraId="7FE1C5B4" w14:textId="3519D3BC" w:rsidR="00393915" w:rsidRDefault="00017477">
            <w:pPr>
              <w:pStyle w:val="P68B1DB1-Normal65"/>
              <w:spacing w:line="276" w:lineRule="auto"/>
              <w:jc w:val="both"/>
              <w:rPr>
                <w:iCs/>
              </w:rPr>
            </w:pPr>
            <w:r>
              <w:rPr>
                <w:szCs w:val="20"/>
              </w:rPr>
              <w:t>Ključnost</w:t>
            </w:r>
          </w:p>
          <w:p w14:paraId="7FE1C5B5" w14:textId="77777777" w:rsidR="00393915" w:rsidRDefault="00F24D68">
            <w:pPr>
              <w:pStyle w:val="P68B1DB1-Normal64"/>
              <w:spacing w:line="276" w:lineRule="auto"/>
              <w:jc w:val="both"/>
              <w:rPr>
                <w:iCs/>
              </w:rPr>
            </w:pPr>
            <w:r>
              <w:t>Iskazati jednu od sljedećih vrijednosti:</w:t>
            </w:r>
          </w:p>
          <w:p w14:paraId="7FE1C5B6" w14:textId="3ADCA7BE" w:rsidR="00393915" w:rsidRDefault="005D26FD">
            <w:pPr>
              <w:pStyle w:val="P68B1DB1-ListParagraph58"/>
              <w:numPr>
                <w:ilvl w:val="0"/>
                <w:numId w:val="236"/>
              </w:numPr>
              <w:spacing w:line="276" w:lineRule="auto"/>
              <w:contextualSpacing/>
              <w:jc w:val="both"/>
              <w:rPr>
                <w:iCs/>
              </w:rPr>
            </w:pPr>
            <w:r>
              <w:t>Ključna</w:t>
            </w:r>
            <w:r>
              <w:t>Ključna</w:t>
            </w:r>
            <w:r w:rsidR="00F24D68">
              <w:t>: ako je usluga nužna za obavljanje jedne ili više ključnih funkcija, čiji bi prekid ozbiljno ometao ili spriječio obavljanje tih ključnih funkcija.</w:t>
            </w:r>
          </w:p>
          <w:p w14:paraId="7FE1C5B7" w14:textId="18CA2AB5" w:rsidR="00393915" w:rsidRDefault="005D26FD">
            <w:pPr>
              <w:pStyle w:val="P68B1DB1-ListParagraph58"/>
              <w:numPr>
                <w:ilvl w:val="0"/>
                <w:numId w:val="236"/>
              </w:numPr>
              <w:spacing w:line="276" w:lineRule="auto"/>
              <w:contextualSpacing/>
              <w:jc w:val="both"/>
              <w:rPr>
                <w:iCs/>
              </w:rPr>
            </w:pPr>
            <w:r>
              <w:t>a</w:t>
            </w:r>
            <w:r w:rsidR="00F24D68">
              <w:t>Osnovn</w:t>
            </w:r>
            <w:r>
              <w:t>a</w:t>
            </w:r>
            <w:r w:rsidR="00F24D68">
              <w:t>: ako je usluga povezana s temeljnim linijama, čiji je kontinuitet nužan za učinkovitu provedbu sanacijske strategije i svako posljedično restrukturiranje.</w:t>
            </w:r>
          </w:p>
          <w:p w14:paraId="7FE1C5B8" w14:textId="578F8BD0" w:rsidR="00393915" w:rsidRDefault="00F44347">
            <w:pPr>
              <w:pStyle w:val="P68B1DB1-ListParagraph58"/>
              <w:numPr>
                <w:ilvl w:val="0"/>
                <w:numId w:val="236"/>
              </w:numPr>
              <w:spacing w:line="276" w:lineRule="auto"/>
              <w:contextualSpacing/>
              <w:jc w:val="both"/>
              <w:rPr>
                <w:iCs/>
              </w:rPr>
            </w:pPr>
            <w:r>
              <w:t>a</w:t>
            </w:r>
            <w:r w:rsidR="00F24D68">
              <w:t>Ključn</w:t>
            </w:r>
            <w:r>
              <w:t>a</w:t>
            </w:r>
            <w:r w:rsidR="00F24D68">
              <w:t xml:space="preserve"> i </w:t>
            </w:r>
            <w:r>
              <w:t>osnovna</w:t>
            </w:r>
            <w:r>
              <w:t>osnovna</w:t>
            </w:r>
          </w:p>
          <w:p w14:paraId="7FE1C5B9" w14:textId="77777777" w:rsidR="00393915" w:rsidRDefault="00393915">
            <w:pPr>
              <w:spacing w:line="276" w:lineRule="auto"/>
              <w:jc w:val="both"/>
              <w:rPr>
                <w:rFonts w:ascii="Times New Roman" w:hAnsi="Times New Roman"/>
                <w:sz w:val="20"/>
              </w:rPr>
            </w:pPr>
          </w:p>
        </w:tc>
      </w:tr>
      <w:tr w:rsidR="00393915" w14:paraId="7FE1C5C3" w14:textId="77777777">
        <w:trPr>
          <w:trHeight w:val="450"/>
        </w:trPr>
        <w:tc>
          <w:tcPr>
            <w:tcW w:w="1418" w:type="dxa"/>
            <w:shd w:val="clear" w:color="auto" w:fill="FFFFFF" w:themeFill="background1"/>
          </w:tcPr>
          <w:p w14:paraId="7FE1C5BB" w14:textId="77777777" w:rsidR="00393915" w:rsidRDefault="00F24D68">
            <w:pPr>
              <w:pStyle w:val="P68B1DB1-Normal62"/>
              <w:spacing w:before="120" w:after="120" w:line="276" w:lineRule="auto"/>
            </w:pPr>
            <w:r>
              <w:t>0070</w:t>
            </w:r>
          </w:p>
        </w:tc>
        <w:tc>
          <w:tcPr>
            <w:tcW w:w="7791" w:type="dxa"/>
            <w:shd w:val="clear" w:color="auto" w:fill="FFFFFF" w:themeFill="background1"/>
          </w:tcPr>
          <w:p w14:paraId="7FE1C5BC" w14:textId="38F38DFE" w:rsidR="00393915" w:rsidRDefault="00F24D68">
            <w:pPr>
              <w:pStyle w:val="P68B1DB1-Normal64"/>
              <w:spacing w:line="276" w:lineRule="auto"/>
              <w:jc w:val="both"/>
              <w:rPr>
                <w:iCs/>
              </w:rPr>
            </w:pPr>
            <w:r>
              <w:rPr>
                <w:b/>
                <w:szCs w:val="20"/>
              </w:rPr>
              <w:t xml:space="preserve">Pravna </w:t>
            </w:r>
            <w:r w:rsidR="0014284C">
              <w:rPr>
                <w:b/>
                <w:szCs w:val="20"/>
              </w:rPr>
              <w:t>osnova</w:t>
            </w:r>
            <w:r w:rsidR="0014284C">
              <w:rPr>
                <w:b/>
                <w:szCs w:val="20"/>
              </w:rPr>
              <w:t>osnova</w:t>
            </w:r>
            <w:r>
              <w:rPr>
                <w:b/>
                <w:szCs w:val="20"/>
              </w:rPr>
              <w:t>/vrsta ugovora</w:t>
            </w:r>
            <w:r>
              <w:t xml:space="preserve"> </w:t>
            </w:r>
          </w:p>
          <w:p w14:paraId="7FE1C5BD" w14:textId="77777777" w:rsidR="00393915" w:rsidRDefault="00F24D68">
            <w:pPr>
              <w:pStyle w:val="P68B1DB1-Normal64"/>
              <w:spacing w:line="276" w:lineRule="auto"/>
              <w:jc w:val="both"/>
              <w:rPr>
                <w:iCs/>
              </w:rPr>
            </w:pPr>
            <w:r>
              <w:t>Iskazati jednu od sljedećih vrijednosti:</w:t>
            </w:r>
          </w:p>
          <w:p w14:paraId="7FE1C5BE" w14:textId="77777777" w:rsidR="00393915" w:rsidRDefault="00F24D68">
            <w:pPr>
              <w:pStyle w:val="P68B1DB1-Normal66"/>
              <w:numPr>
                <w:ilvl w:val="0"/>
                <w:numId w:val="236"/>
              </w:numPr>
              <w:contextualSpacing/>
              <w:jc w:val="both"/>
            </w:pPr>
            <w:r>
              <w:t>U vlasništvu</w:t>
            </w:r>
          </w:p>
          <w:p w14:paraId="7FE1C5BF" w14:textId="259C0D51" w:rsidR="00393915" w:rsidRDefault="00F24D68">
            <w:pPr>
              <w:pStyle w:val="P68B1DB1-Normal66"/>
              <w:numPr>
                <w:ilvl w:val="0"/>
                <w:numId w:val="236"/>
              </w:numPr>
              <w:contextualSpacing/>
              <w:jc w:val="both"/>
            </w:pPr>
            <w:r>
              <w:t>Unajmljen</w:t>
            </w:r>
            <w:r w:rsidR="00A571F2">
              <w:t>o</w:t>
            </w:r>
          </w:p>
          <w:p w14:paraId="7FE1C5C0" w14:textId="44D57EC0" w:rsidR="00393915" w:rsidRDefault="00A571F2">
            <w:pPr>
              <w:pStyle w:val="P68B1DB1-Normal66"/>
              <w:numPr>
                <w:ilvl w:val="0"/>
                <w:numId w:val="236"/>
              </w:numPr>
              <w:contextualSpacing/>
              <w:jc w:val="both"/>
            </w:pPr>
            <w:r>
              <w:t>o</w:t>
            </w:r>
            <w:r w:rsidR="00F24D68">
              <w:t>Licenciran</w:t>
            </w:r>
            <w:r>
              <w:t>o</w:t>
            </w:r>
          </w:p>
          <w:p w14:paraId="7FE1C5C1" w14:textId="4D6C63A4" w:rsidR="00393915" w:rsidRDefault="00F24D68">
            <w:pPr>
              <w:pStyle w:val="P68B1DB1-Normal66"/>
              <w:numPr>
                <w:ilvl w:val="0"/>
                <w:numId w:val="236"/>
              </w:numPr>
              <w:contextualSpacing/>
              <w:jc w:val="both"/>
            </w:pPr>
            <w:r>
              <w:t xml:space="preserve">Druga pravna </w:t>
            </w:r>
            <w:r w:rsidR="00A571F2">
              <w:t>osnova</w:t>
            </w:r>
            <w:r w:rsidR="00A571F2">
              <w:t>osnova</w:t>
            </w:r>
            <w:r>
              <w:t>/vrsta ugovora</w:t>
            </w:r>
          </w:p>
          <w:p w14:paraId="7FE1C5C2" w14:textId="77777777" w:rsidR="00393915" w:rsidRDefault="00393915">
            <w:pPr>
              <w:spacing w:line="276" w:lineRule="auto"/>
              <w:jc w:val="both"/>
              <w:rPr>
                <w:rFonts w:ascii="Times New Roman" w:hAnsi="Times New Roman"/>
                <w:sz w:val="20"/>
              </w:rPr>
            </w:pPr>
          </w:p>
        </w:tc>
      </w:tr>
      <w:tr w:rsidR="00393915" w14:paraId="7FE1C5C9" w14:textId="77777777">
        <w:trPr>
          <w:trHeight w:val="450"/>
        </w:trPr>
        <w:tc>
          <w:tcPr>
            <w:tcW w:w="1418" w:type="dxa"/>
            <w:shd w:val="clear" w:color="auto" w:fill="FFFFFF" w:themeFill="background1"/>
          </w:tcPr>
          <w:p w14:paraId="7FE1C5C4" w14:textId="77777777" w:rsidR="00393915" w:rsidRDefault="00F24D68">
            <w:pPr>
              <w:pStyle w:val="P68B1DB1-Normal62"/>
              <w:spacing w:before="120" w:after="120" w:line="276" w:lineRule="auto"/>
            </w:pPr>
            <w:r>
              <w:t>0080</w:t>
            </w:r>
          </w:p>
        </w:tc>
        <w:tc>
          <w:tcPr>
            <w:tcW w:w="7791" w:type="dxa"/>
            <w:shd w:val="clear" w:color="auto" w:fill="FFFFFF" w:themeFill="background1"/>
          </w:tcPr>
          <w:p w14:paraId="7FE1C5C5" w14:textId="77777777" w:rsidR="00393915" w:rsidRDefault="00F24D68">
            <w:pPr>
              <w:pStyle w:val="P68B1DB1-Normal61"/>
              <w:spacing w:before="120" w:after="120" w:line="276" w:lineRule="auto"/>
              <w:rPr>
                <w:bCs/>
              </w:rPr>
            </w:pPr>
            <w:r>
              <w:t>Identifikacijska oznaka ugovora</w:t>
            </w:r>
          </w:p>
          <w:p w14:paraId="7FE1C5C6" w14:textId="77777777" w:rsidR="00393915" w:rsidRDefault="00F24D68">
            <w:pPr>
              <w:pStyle w:val="P68B1DB1-Normal64"/>
              <w:spacing w:line="276" w:lineRule="auto"/>
              <w:jc w:val="both"/>
              <w:rPr>
                <w:i/>
              </w:rPr>
            </w:pPr>
            <w:r>
              <w:t>Jedinstvena identifikacijska oznaka ugovora na kojem se temelji imovina u skladu s taksonomijom usluga grupe.</w:t>
            </w:r>
          </w:p>
          <w:p w14:paraId="7FE1C5C7" w14:textId="77777777" w:rsidR="00393915" w:rsidRDefault="00393915">
            <w:pPr>
              <w:spacing w:line="276" w:lineRule="auto"/>
              <w:jc w:val="both"/>
              <w:rPr>
                <w:rFonts w:ascii="Times New Roman" w:hAnsi="Times New Roman"/>
                <w:i/>
                <w:sz w:val="20"/>
              </w:rPr>
            </w:pPr>
          </w:p>
          <w:p w14:paraId="7FE1C5C8" w14:textId="77777777" w:rsidR="00393915" w:rsidRDefault="00393915">
            <w:pPr>
              <w:spacing w:line="276" w:lineRule="auto"/>
              <w:jc w:val="both"/>
              <w:rPr>
                <w:rFonts w:ascii="Times New Roman" w:hAnsi="Times New Roman"/>
                <w:iCs/>
                <w:sz w:val="20"/>
              </w:rPr>
            </w:pPr>
          </w:p>
        </w:tc>
      </w:tr>
      <w:tr w:rsidR="00393915" w14:paraId="7FE1C5CE" w14:textId="77777777">
        <w:trPr>
          <w:trHeight w:val="450"/>
        </w:trPr>
        <w:tc>
          <w:tcPr>
            <w:tcW w:w="1418" w:type="dxa"/>
            <w:shd w:val="clear" w:color="auto" w:fill="FFFFFF" w:themeFill="background1"/>
          </w:tcPr>
          <w:p w14:paraId="7FE1C5CA" w14:textId="77777777" w:rsidR="00393915" w:rsidRDefault="00F24D68">
            <w:pPr>
              <w:pStyle w:val="P68B1DB1-Normal62"/>
              <w:spacing w:before="120" w:after="120" w:line="276" w:lineRule="auto"/>
            </w:pPr>
            <w:r>
              <w:t>0090</w:t>
            </w:r>
          </w:p>
        </w:tc>
        <w:tc>
          <w:tcPr>
            <w:tcW w:w="7791" w:type="dxa"/>
            <w:shd w:val="clear" w:color="auto" w:fill="FFFFFF" w:themeFill="background1"/>
          </w:tcPr>
          <w:p w14:paraId="7FE1C5CB" w14:textId="77777777" w:rsidR="00393915" w:rsidRDefault="00F24D68">
            <w:pPr>
              <w:pStyle w:val="P68B1DB1-Normal65"/>
              <w:spacing w:line="276" w:lineRule="auto"/>
              <w:jc w:val="both"/>
            </w:pPr>
            <w:r>
              <w:rPr>
                <w:szCs w:val="20"/>
              </w:rPr>
              <w:t>Mjerodavno pravo</w:t>
            </w:r>
            <w:r>
              <w:t xml:space="preserve"> </w:t>
            </w:r>
          </w:p>
          <w:p w14:paraId="7FE1C5CC" w14:textId="77777777" w:rsidR="00393915" w:rsidRDefault="00F24D68">
            <w:pPr>
              <w:pStyle w:val="P68B1DB1-Normal64"/>
              <w:spacing w:line="276" w:lineRule="auto"/>
              <w:jc w:val="both"/>
            </w:pPr>
            <w:r>
              <w:t>ISO oznaka oznake zemlje čije je pravo mjerodavno za ugovor.</w:t>
            </w:r>
          </w:p>
          <w:p w14:paraId="7FE1C5CD" w14:textId="77777777" w:rsidR="00393915" w:rsidRDefault="00393915">
            <w:pPr>
              <w:spacing w:line="276" w:lineRule="auto"/>
              <w:jc w:val="both"/>
              <w:rPr>
                <w:rFonts w:ascii="Times New Roman" w:hAnsi="Times New Roman"/>
                <w:iCs/>
                <w:sz w:val="20"/>
              </w:rPr>
            </w:pPr>
          </w:p>
        </w:tc>
      </w:tr>
      <w:tr w:rsidR="00393915" w14:paraId="7FE1C5D4" w14:textId="77777777">
        <w:trPr>
          <w:trHeight w:val="463"/>
        </w:trPr>
        <w:tc>
          <w:tcPr>
            <w:tcW w:w="1418" w:type="dxa"/>
            <w:shd w:val="clear" w:color="auto" w:fill="FFFFFF" w:themeFill="background1"/>
          </w:tcPr>
          <w:p w14:paraId="7FE1C5CF" w14:textId="77777777" w:rsidR="00393915" w:rsidRDefault="00F24D68">
            <w:pPr>
              <w:pStyle w:val="P68B1DB1-Normal64"/>
              <w:spacing w:line="276" w:lineRule="auto"/>
              <w:jc w:val="both"/>
            </w:pPr>
            <w:r>
              <w:t>0100 – 0120</w:t>
            </w:r>
          </w:p>
          <w:p w14:paraId="7FE1C5D0" w14:textId="77777777" w:rsidR="00393915" w:rsidRDefault="00393915">
            <w:pPr>
              <w:spacing w:before="120" w:after="120" w:line="276" w:lineRule="auto"/>
              <w:rPr>
                <w:rFonts w:ascii="Times New Roman" w:hAnsi="Times New Roman"/>
                <w:sz w:val="20"/>
                <w:szCs w:val="20"/>
              </w:rPr>
            </w:pPr>
          </w:p>
        </w:tc>
        <w:tc>
          <w:tcPr>
            <w:tcW w:w="7791" w:type="dxa"/>
            <w:shd w:val="clear" w:color="auto" w:fill="FFFFFF" w:themeFill="background1"/>
          </w:tcPr>
          <w:p w14:paraId="7FE1C5D1" w14:textId="77777777" w:rsidR="00393915" w:rsidRDefault="00F24D68">
            <w:pPr>
              <w:pStyle w:val="P68B1DB1-Normal61"/>
              <w:spacing w:before="120" w:after="120" w:line="276" w:lineRule="auto"/>
              <w:rPr>
                <w:bCs/>
                <w:iCs/>
              </w:rPr>
            </w:pPr>
            <w:r>
              <w:t xml:space="preserve">Otpornost sanacije </w:t>
            </w:r>
          </w:p>
          <w:p w14:paraId="7FE1C5D2" w14:textId="77777777" w:rsidR="00393915" w:rsidRDefault="00F24D68">
            <w:pPr>
              <w:pStyle w:val="P68B1DB1-NormalWeb59"/>
              <w:spacing w:before="0" w:beforeAutospacing="0" w:after="0" w:afterAutospacing="0"/>
              <w:rPr>
                <w:iCs/>
                <w:szCs w:val="20"/>
              </w:rPr>
            </w:pPr>
            <w:r>
              <w:rPr>
                <w:szCs w:val="20"/>
              </w:rPr>
              <w:t xml:space="preserve">Procjenu može li se ugovor kojim se podupire imovina iskazana u stupcu 0030 nastaviti i prenijeti tijekom provedbe sanacijske strategije, uključujući plan reorganizacije poslovanja, </w:t>
            </w:r>
            <w:r>
              <w:t>u skladu sa smjernicama EBA/GL/2022/01 i relevantnim nacionalnim zakonima.</w:t>
            </w:r>
          </w:p>
          <w:p w14:paraId="7FE1C5D3" w14:textId="77777777" w:rsidR="00393915" w:rsidRDefault="00393915">
            <w:pPr>
              <w:pStyle w:val="NormalWeb"/>
              <w:spacing w:before="0" w:beforeAutospacing="0" w:after="0" w:afterAutospacing="0"/>
              <w:rPr>
                <w:sz w:val="20"/>
              </w:rPr>
            </w:pPr>
          </w:p>
        </w:tc>
      </w:tr>
      <w:tr w:rsidR="00393915" w14:paraId="7FE1C5E4" w14:textId="77777777">
        <w:trPr>
          <w:trHeight w:val="463"/>
        </w:trPr>
        <w:tc>
          <w:tcPr>
            <w:tcW w:w="1418" w:type="dxa"/>
            <w:shd w:val="clear" w:color="auto" w:fill="FFFFFF" w:themeFill="background1"/>
          </w:tcPr>
          <w:p w14:paraId="7FE1C5D5" w14:textId="77777777" w:rsidR="00393915" w:rsidRDefault="00F24D68">
            <w:pPr>
              <w:pStyle w:val="P68B1DB1-Normal64"/>
              <w:spacing w:before="120" w:after="120" w:line="276" w:lineRule="auto"/>
              <w:rPr>
                <w:szCs w:val="20"/>
              </w:rPr>
            </w:pPr>
            <w:r>
              <w:t>0100</w:t>
            </w:r>
          </w:p>
        </w:tc>
        <w:tc>
          <w:tcPr>
            <w:tcW w:w="7791" w:type="dxa"/>
            <w:shd w:val="clear" w:color="auto" w:fill="FFFFFF" w:themeFill="background1"/>
          </w:tcPr>
          <w:p w14:paraId="7FE1C5D6" w14:textId="025E0A48" w:rsidR="00393915" w:rsidRDefault="00F24D68">
            <w:pPr>
              <w:pStyle w:val="P68B1DB1-Normal65"/>
              <w:spacing w:line="276" w:lineRule="auto"/>
              <w:jc w:val="both"/>
              <w:rPr>
                <w:bCs/>
              </w:rPr>
            </w:pPr>
            <w:r>
              <w:rPr>
                <w:szCs w:val="20"/>
              </w:rPr>
              <w:t xml:space="preserve">Značajke otpornosti </w:t>
            </w:r>
            <w:r w:rsidR="00544FFF">
              <w:rPr>
                <w:szCs w:val="20"/>
              </w:rPr>
              <w:t>na</w:t>
            </w:r>
            <w:r>
              <w:rPr>
                <w:szCs w:val="20"/>
              </w:rPr>
              <w:t xml:space="preserve"> </w:t>
            </w:r>
            <w:r w:rsidR="00544FFF">
              <w:t>u</w:t>
            </w:r>
            <w:r>
              <w:rPr>
                <w:szCs w:val="20"/>
              </w:rPr>
              <w:t>sanacij</w:t>
            </w:r>
            <w:r w:rsidR="00544FFF">
              <w:t>u</w:t>
            </w:r>
          </w:p>
          <w:p w14:paraId="7FE1C5D7" w14:textId="2E901A3C" w:rsidR="00393915" w:rsidRDefault="00F24D68">
            <w:pPr>
              <w:pStyle w:val="P68B1DB1-Normal62"/>
              <w:spacing w:line="276" w:lineRule="auto"/>
              <w:jc w:val="both"/>
              <w:rPr>
                <w:iCs/>
              </w:rPr>
            </w:pPr>
            <w:r>
              <w:t xml:space="preserve">Značajke </w:t>
            </w:r>
            <w:r w:rsidR="00544FFF">
              <w:t>osti</w:t>
            </w:r>
            <w:r>
              <w:t>otporn</w:t>
            </w:r>
            <w:r w:rsidR="00544FFF">
              <w:t>osti</w:t>
            </w:r>
            <w:r>
              <w:t xml:space="preserve"> na sanaciju svojstva su koja bi relevantni ugovor trebao imati da bi se smatrao otpornim na sanaciju. One uključuju sljedeće, pod uvjetom da se bitne obveze iz ugovora i dalje izvršavaju:</w:t>
            </w:r>
          </w:p>
          <w:p w14:paraId="7FE1C5D8" w14:textId="77777777" w:rsidR="00393915" w:rsidRDefault="00F24D68">
            <w:pPr>
              <w:pStyle w:val="P68B1DB1-ListParagraph60"/>
              <w:numPr>
                <w:ilvl w:val="0"/>
                <w:numId w:val="263"/>
              </w:numPr>
              <w:spacing w:line="276" w:lineRule="auto"/>
              <w:contextualSpacing/>
              <w:jc w:val="both"/>
              <w:rPr>
                <w:iCs/>
              </w:rPr>
            </w:pPr>
            <w:r>
              <w:lastRenderedPageBreak/>
              <w:t xml:space="preserve">nema prekida, suspenzije ili izmjene na temelju sanacije (uključujući reorganizaciju poslovanja u skladu s člankom 51. Direktive 2014/59/EU); </w:t>
            </w:r>
          </w:p>
          <w:p w14:paraId="7FE1C5D9" w14:textId="77777777" w:rsidR="00393915" w:rsidRDefault="00F24D68">
            <w:pPr>
              <w:pStyle w:val="P68B1DB1-ListParagraph60"/>
              <w:numPr>
                <w:ilvl w:val="0"/>
                <w:numId w:val="263"/>
              </w:numPr>
              <w:spacing w:line="276" w:lineRule="auto"/>
              <w:contextualSpacing/>
              <w:jc w:val="both"/>
              <w:rPr>
                <w:iCs/>
              </w:rPr>
            </w:pPr>
            <w:r>
              <w:t xml:space="preserve">prenosivost pružanja usluga na novog primatelja od strane primatelja usluge ili sanacijskog tijela zbog sanacije (uključujući reorganizaciju u skladu s člankom 51. Direktive 2014/59/EU); </w:t>
            </w:r>
          </w:p>
          <w:p w14:paraId="7FE1C5DA" w14:textId="77777777" w:rsidR="00393915" w:rsidRDefault="00F24D68">
            <w:pPr>
              <w:pStyle w:val="P68B1DB1-ListParagraph60"/>
              <w:numPr>
                <w:ilvl w:val="0"/>
                <w:numId w:val="263"/>
              </w:numPr>
              <w:spacing w:line="276" w:lineRule="auto"/>
              <w:contextualSpacing/>
              <w:jc w:val="both"/>
              <w:rPr>
                <w:iCs/>
              </w:rPr>
            </w:pPr>
            <w:r>
              <w:t>potporu u prijenosu ili raskidu tijekom sanacije (uključujući reorganizaciju u skladu s člankom 51. Direktive 2014/59/EU) u razumnom razdoblju (kao što je 24 mjeseca) trenutačnog pružatelja usluga i pod istim uvjetima; kao i</w:t>
            </w:r>
          </w:p>
          <w:p w14:paraId="7FE1C5DB" w14:textId="058BE3F7" w:rsidR="00393915" w:rsidRDefault="00F24D68">
            <w:pPr>
              <w:pStyle w:val="P68B1DB1-ListParagraph60"/>
              <w:numPr>
                <w:ilvl w:val="0"/>
                <w:numId w:val="263"/>
              </w:numPr>
              <w:spacing w:line="276" w:lineRule="auto"/>
              <w:contextualSpacing/>
              <w:jc w:val="both"/>
              <w:rPr>
                <w:iCs/>
              </w:rPr>
            </w:pPr>
            <w:r>
              <w:t xml:space="preserve">nastavak pružanja usluga subjektu grupe koji je predmet </w:t>
            </w:r>
            <w:r w:rsidR="00B37A1D">
              <w:t xml:space="preserve">otuđenja </w:t>
            </w:r>
            <w:r>
              <w:t xml:space="preserve">tijekom sanacije (uključujući reorganizaciju u skladu s člankom 51. Direktive 2014/59/EU) tijekom razumnog razdoblja nakon </w:t>
            </w:r>
            <w:r w:rsidR="00524D25">
              <w:t>otuđenja</w:t>
            </w:r>
            <w:r w:rsidR="00524D25">
              <w:t>otuđenja</w:t>
            </w:r>
            <w:r>
              <w:t>, primjerice 24 mjeseca.</w:t>
            </w:r>
          </w:p>
          <w:p w14:paraId="7FE1C5DC" w14:textId="77777777" w:rsidR="00393915" w:rsidRDefault="00F24D68">
            <w:pPr>
              <w:spacing w:line="276" w:lineRule="auto"/>
              <w:jc w:val="both"/>
              <w:rPr>
                <w:rFonts w:ascii="Times New Roman" w:hAnsi="Times New Roman"/>
                <w:iCs/>
                <w:sz w:val="20"/>
                <w:szCs w:val="20"/>
              </w:rPr>
            </w:pPr>
            <w:r>
              <w:rPr>
                <w:rFonts w:ascii="Times New Roman" w:hAnsi="Times New Roman"/>
                <w:sz w:val="20"/>
                <w:szCs w:val="20"/>
              </w:rPr>
              <w:t>To se primjenjuje na ugovore za koje je mjerodavno pravo i nadležnost države članice EU-a</w:t>
            </w:r>
            <w:r>
              <w:rPr>
                <w:rStyle w:val="FootnoteReference"/>
                <w:rFonts w:ascii="Times New Roman" w:hAnsi="Times New Roman"/>
                <w:sz w:val="20"/>
                <w:szCs w:val="20"/>
              </w:rPr>
              <w:footnoteReference w:id="28"/>
            </w:r>
            <w:r>
              <w:rPr>
                <w:rFonts w:ascii="Times New Roman" w:hAnsi="Times New Roman"/>
                <w:sz w:val="20"/>
                <w:szCs w:val="20"/>
              </w:rPr>
              <w:t xml:space="preserve"> („ugovori EU-a”) i na ugovore na koje se primjenjuje pravo treće zemlje.</w:t>
            </w:r>
          </w:p>
          <w:p w14:paraId="7FE1C5DD" w14:textId="77777777" w:rsidR="00393915" w:rsidRDefault="00393915">
            <w:pPr>
              <w:spacing w:line="276" w:lineRule="auto"/>
              <w:jc w:val="both"/>
              <w:rPr>
                <w:rFonts w:ascii="Times New Roman" w:hAnsi="Times New Roman"/>
                <w:sz w:val="20"/>
              </w:rPr>
            </w:pPr>
          </w:p>
          <w:p w14:paraId="7FE1C5DE" w14:textId="77777777" w:rsidR="00393915" w:rsidRDefault="00F24D68">
            <w:pPr>
              <w:pStyle w:val="P68B1DB1-Normal64"/>
              <w:spacing w:line="276" w:lineRule="auto"/>
              <w:jc w:val="both"/>
            </w:pPr>
            <w:r>
              <w:t>Iskazati jednu od sljedećih vrijednosti:</w:t>
            </w:r>
          </w:p>
          <w:p w14:paraId="7FE1C5DF" w14:textId="62B51FF8" w:rsidR="00393915" w:rsidRDefault="00F24D68">
            <w:pPr>
              <w:pStyle w:val="P68B1DB1-Normal62"/>
              <w:spacing w:line="276" w:lineRule="auto"/>
              <w:jc w:val="both"/>
            </w:pPr>
            <w:r>
              <w:t xml:space="preserve">„Da” – ako je procijenjeno da je ugovor </w:t>
            </w:r>
            <w:r w:rsidR="00337A99">
              <w:t xml:space="preserve">otporan </w:t>
            </w:r>
            <w:r>
              <w:t>u slučaju sanacije,</w:t>
            </w:r>
          </w:p>
          <w:p w14:paraId="7FE1C5E0" w14:textId="5998517F" w:rsidR="00393915" w:rsidRDefault="00F24D68">
            <w:pPr>
              <w:pStyle w:val="P68B1DB1-Normal62"/>
              <w:spacing w:line="276" w:lineRule="auto"/>
              <w:jc w:val="both"/>
            </w:pPr>
            <w:r>
              <w:t xml:space="preserve">„Ne” – ako je procijenjeno da ugovor nije </w:t>
            </w:r>
            <w:r w:rsidR="00337A99">
              <w:t xml:space="preserve">otporan </w:t>
            </w:r>
            <w:r>
              <w:t>u slučaju sanacije,</w:t>
            </w:r>
          </w:p>
          <w:p w14:paraId="7FE1C5E1" w14:textId="77777777" w:rsidR="00393915" w:rsidRDefault="00F24D68">
            <w:pPr>
              <w:pStyle w:val="P68B1DB1-Normal62"/>
              <w:spacing w:line="276" w:lineRule="auto"/>
              <w:jc w:val="both"/>
            </w:pPr>
            <w:r>
              <w:t>„Nije procijenjeno” – ako nije provedena procjena.</w:t>
            </w:r>
          </w:p>
          <w:p w14:paraId="7FE1C5E2" w14:textId="437B5E43" w:rsidR="00393915" w:rsidRDefault="00F24D68">
            <w:pPr>
              <w:pStyle w:val="P68B1DB1-Normal62"/>
              <w:spacing w:line="276" w:lineRule="auto"/>
              <w:jc w:val="both"/>
            </w:pPr>
            <w:r>
              <w:t>„</w:t>
            </w:r>
            <w:r w:rsidR="00912BE3">
              <w:t>NIJE</w:t>
            </w:r>
            <w:r>
              <w:t xml:space="preserve"> PRIMJENJIVO” – za usluge unutar subjekta</w:t>
            </w:r>
          </w:p>
          <w:p w14:paraId="7FE1C5E3" w14:textId="77777777" w:rsidR="00393915" w:rsidRDefault="00393915">
            <w:pPr>
              <w:spacing w:line="276" w:lineRule="auto"/>
              <w:jc w:val="both"/>
              <w:rPr>
                <w:rFonts w:ascii="Times New Roman" w:hAnsi="Times New Roman"/>
                <w:sz w:val="20"/>
              </w:rPr>
            </w:pPr>
          </w:p>
        </w:tc>
      </w:tr>
      <w:tr w:rsidR="00393915" w14:paraId="7FE1C5EF" w14:textId="77777777">
        <w:trPr>
          <w:trHeight w:val="463"/>
        </w:trPr>
        <w:tc>
          <w:tcPr>
            <w:tcW w:w="1418" w:type="dxa"/>
            <w:shd w:val="clear" w:color="auto" w:fill="FFFFFF" w:themeFill="background1"/>
          </w:tcPr>
          <w:p w14:paraId="7FE1C5E5" w14:textId="77777777" w:rsidR="00393915" w:rsidRDefault="00F24D68">
            <w:pPr>
              <w:pStyle w:val="P68B1DB1-Normal64"/>
              <w:spacing w:before="120" w:after="120" w:line="276" w:lineRule="auto"/>
              <w:rPr>
                <w:szCs w:val="20"/>
              </w:rPr>
            </w:pPr>
            <w:r>
              <w:lastRenderedPageBreak/>
              <w:t>0110</w:t>
            </w:r>
          </w:p>
        </w:tc>
        <w:tc>
          <w:tcPr>
            <w:tcW w:w="7791" w:type="dxa"/>
            <w:shd w:val="clear" w:color="auto" w:fill="FFFFFF" w:themeFill="background1"/>
          </w:tcPr>
          <w:p w14:paraId="7FE1C5E6" w14:textId="099682DD" w:rsidR="00393915" w:rsidRDefault="00F24D68">
            <w:pPr>
              <w:pStyle w:val="P68B1DB1-Normal65"/>
              <w:spacing w:line="276" w:lineRule="auto"/>
              <w:jc w:val="both"/>
              <w:rPr>
                <w:bCs/>
                <w:iCs/>
              </w:rPr>
            </w:pPr>
            <w:r>
              <w:t>Plan reorganizacije poslovanja (</w:t>
            </w:r>
            <w:r w:rsidR="00881185">
              <w:t>P</w:t>
            </w:r>
            <w:r w:rsidR="00881185">
              <w:t>P</w:t>
            </w:r>
            <w:r>
              <w:t>RP</w:t>
            </w:r>
            <w:r>
              <w:t>)</w:t>
            </w:r>
          </w:p>
          <w:p w14:paraId="7FE1C5E7" w14:textId="6934DDF1" w:rsidR="00393915" w:rsidRDefault="00F24D68">
            <w:pPr>
              <w:pStyle w:val="P68B1DB1-Normal64"/>
              <w:spacing w:line="276" w:lineRule="auto"/>
              <w:jc w:val="both"/>
              <w:rPr>
                <w:iCs/>
              </w:rPr>
            </w:pPr>
            <w:r>
              <w:t>Ako sanacijska strategija (</w:t>
            </w:r>
            <w:r w:rsidR="00881185">
              <w:t xml:space="preserve">preferirana </w:t>
            </w:r>
            <w:r>
              <w:t xml:space="preserve">ili </w:t>
            </w:r>
            <w:r w:rsidR="00881185">
              <w:t>alternativna</w:t>
            </w:r>
            <w:r w:rsidR="00881185">
              <w:t>alternativna</w:t>
            </w:r>
            <w:r>
              <w:t>) zahtijeva plan reorganizacije poslovanja, očekuje se da će ugovori EU-a sadržavati izričite klauzule kako bi se osigurala njihova otpornost na sanaciju u provedbi planova reorganizacije poslovanja</w:t>
            </w:r>
            <w:r w:rsidR="00BB603B">
              <w:t xml:space="preserve"> (PRP)</w:t>
            </w:r>
            <w:r>
              <w:t>.</w:t>
            </w:r>
          </w:p>
          <w:p w14:paraId="7FE1C5E8" w14:textId="77777777" w:rsidR="00393915" w:rsidRDefault="00393915">
            <w:pPr>
              <w:spacing w:line="276" w:lineRule="auto"/>
              <w:jc w:val="both"/>
              <w:rPr>
                <w:rFonts w:ascii="Times New Roman" w:hAnsi="Times New Roman"/>
                <w:iCs/>
                <w:sz w:val="20"/>
              </w:rPr>
            </w:pPr>
          </w:p>
          <w:p w14:paraId="7FE1C5E9" w14:textId="77777777" w:rsidR="00393915" w:rsidRDefault="00F24D68">
            <w:pPr>
              <w:pStyle w:val="P68B1DB1-Normal64"/>
              <w:spacing w:line="276" w:lineRule="auto"/>
              <w:jc w:val="both"/>
              <w:rPr>
                <w:iCs/>
              </w:rPr>
            </w:pPr>
            <w:r>
              <w:t>Iskazati jednu od sljedećih vrijednosti:</w:t>
            </w:r>
          </w:p>
          <w:p w14:paraId="7FE1C5EA" w14:textId="4AC04E5F" w:rsidR="00393915" w:rsidRDefault="00F24D68">
            <w:pPr>
              <w:pStyle w:val="P68B1DB1-Normal67"/>
              <w:spacing w:line="276" w:lineRule="auto"/>
              <w:jc w:val="both"/>
              <w:rPr>
                <w:iCs/>
                <w:sz w:val="20"/>
              </w:rPr>
            </w:pPr>
            <w:r>
              <w:t>„</w:t>
            </w:r>
            <w:r>
              <w:rPr>
                <w:sz w:val="20"/>
              </w:rPr>
              <w:t xml:space="preserve">Da” – ako ugovor sadržava izričite odredbe kako bi se osigurala njihova otpornost na sanaciju u provedbi </w:t>
            </w:r>
            <w:r w:rsidR="00632B80">
              <w:rPr>
                <w:sz w:val="20"/>
              </w:rPr>
              <w:t>P</w:t>
            </w:r>
            <w:r w:rsidR="00632B80">
              <w:rPr>
                <w:sz w:val="20"/>
              </w:rPr>
              <w:t>P</w:t>
            </w:r>
            <w:r>
              <w:rPr>
                <w:sz w:val="20"/>
              </w:rPr>
              <w:t>RP</w:t>
            </w:r>
            <w:r>
              <w:rPr>
                <w:sz w:val="20"/>
              </w:rPr>
              <w:t>-a</w:t>
            </w:r>
          </w:p>
          <w:p w14:paraId="7FE1C5EB" w14:textId="5691C150" w:rsidR="00393915" w:rsidRDefault="00F24D68">
            <w:pPr>
              <w:pStyle w:val="P68B1DB1-Normal67"/>
              <w:spacing w:line="276" w:lineRule="auto"/>
              <w:jc w:val="both"/>
              <w:rPr>
                <w:iCs/>
                <w:sz w:val="20"/>
              </w:rPr>
            </w:pPr>
            <w:r>
              <w:t>„</w:t>
            </w:r>
            <w:r>
              <w:rPr>
                <w:sz w:val="20"/>
              </w:rPr>
              <w:t xml:space="preserve">Ne” – ako ugovor ne sadržava izričite odredbe kojima bi se osigurala njihova otpornost na sanaciju u provedbi </w:t>
            </w:r>
            <w:r w:rsidR="00C47021">
              <w:rPr>
                <w:sz w:val="20"/>
              </w:rPr>
              <w:t>P</w:t>
            </w:r>
            <w:r w:rsidR="00C47021">
              <w:rPr>
                <w:sz w:val="20"/>
              </w:rPr>
              <w:t>P</w:t>
            </w:r>
            <w:r>
              <w:rPr>
                <w:sz w:val="20"/>
              </w:rPr>
              <w:t>RP</w:t>
            </w:r>
            <w:r>
              <w:rPr>
                <w:sz w:val="20"/>
              </w:rPr>
              <w:t>-a</w:t>
            </w:r>
          </w:p>
          <w:p w14:paraId="7FE1C5EC" w14:textId="77777777" w:rsidR="00393915" w:rsidRDefault="00F24D68">
            <w:pPr>
              <w:pStyle w:val="P68B1DB1-Normal67"/>
              <w:spacing w:line="276" w:lineRule="auto"/>
              <w:jc w:val="both"/>
              <w:rPr>
                <w:iCs/>
                <w:sz w:val="20"/>
              </w:rPr>
            </w:pPr>
            <w:r>
              <w:t>„</w:t>
            </w:r>
            <w:r>
              <w:rPr>
                <w:sz w:val="20"/>
              </w:rPr>
              <w:t>Nije procijenjeno” – ako nije provedena procjena</w:t>
            </w:r>
            <w:r>
              <w:t>.</w:t>
            </w:r>
          </w:p>
          <w:p w14:paraId="7FE1C5ED" w14:textId="4323A7C7" w:rsidR="00393915" w:rsidRDefault="00F24D68">
            <w:pPr>
              <w:pStyle w:val="P68B1DB1-Normal67"/>
              <w:spacing w:line="276" w:lineRule="auto"/>
              <w:jc w:val="both"/>
              <w:rPr>
                <w:iCs/>
                <w:sz w:val="20"/>
              </w:rPr>
            </w:pPr>
            <w:r>
              <w:t>„</w:t>
            </w:r>
            <w:r w:rsidR="00731B1B">
              <w:rPr>
                <w:sz w:val="20"/>
              </w:rPr>
              <w:t>IJE</w:t>
            </w:r>
            <w:r>
              <w:rPr>
                <w:sz w:val="20"/>
              </w:rPr>
              <w:t>N</w:t>
            </w:r>
            <w:r w:rsidR="00731B1B">
              <w:rPr>
                <w:sz w:val="20"/>
              </w:rPr>
              <w:t>IJE</w:t>
            </w:r>
            <w:r>
              <w:rPr>
                <w:sz w:val="20"/>
              </w:rPr>
              <w:t xml:space="preserve"> PRIMJENJIVO” – za usluge unutar subjekta ili za unutargrupne i vanjske usluge ako sanacijska strategija (</w:t>
            </w:r>
            <w:r w:rsidR="00830A24">
              <w:rPr>
                <w:sz w:val="20"/>
              </w:rPr>
              <w:t xml:space="preserve">preferirana </w:t>
            </w:r>
            <w:r>
              <w:rPr>
                <w:sz w:val="20"/>
              </w:rPr>
              <w:t xml:space="preserve">i </w:t>
            </w:r>
            <w:r w:rsidR="00830A24">
              <w:rPr>
                <w:sz w:val="20"/>
              </w:rPr>
              <w:t>alternativna</w:t>
            </w:r>
            <w:r w:rsidR="00830A24">
              <w:rPr>
                <w:sz w:val="20"/>
              </w:rPr>
              <w:t>alternativna</w:t>
            </w:r>
            <w:r>
              <w:rPr>
                <w:sz w:val="20"/>
              </w:rPr>
              <w:t xml:space="preserve">) ne zahtijeva plan reorganizacije poslovanja </w:t>
            </w:r>
          </w:p>
          <w:p w14:paraId="7FE1C5EE" w14:textId="77777777" w:rsidR="00393915" w:rsidRDefault="00393915">
            <w:pPr>
              <w:spacing w:line="276" w:lineRule="auto"/>
              <w:jc w:val="both"/>
              <w:rPr>
                <w:rFonts w:ascii="Times New Roman" w:hAnsi="Times New Roman"/>
                <w:i/>
                <w:sz w:val="20"/>
              </w:rPr>
            </w:pPr>
          </w:p>
        </w:tc>
      </w:tr>
      <w:tr w:rsidR="00393915" w14:paraId="7FE1C5F9" w14:textId="77777777">
        <w:trPr>
          <w:trHeight w:val="463"/>
        </w:trPr>
        <w:tc>
          <w:tcPr>
            <w:tcW w:w="1418" w:type="dxa"/>
            <w:shd w:val="clear" w:color="auto" w:fill="FFFFFF" w:themeFill="background1"/>
          </w:tcPr>
          <w:p w14:paraId="7FE1C5F0" w14:textId="77777777" w:rsidR="00393915" w:rsidRDefault="00F24D68">
            <w:pPr>
              <w:pStyle w:val="P68B1DB1-Normal64"/>
              <w:spacing w:before="120" w:after="120" w:line="276" w:lineRule="auto"/>
              <w:rPr>
                <w:szCs w:val="20"/>
              </w:rPr>
            </w:pPr>
            <w:r>
              <w:t>0120</w:t>
            </w:r>
          </w:p>
        </w:tc>
        <w:tc>
          <w:tcPr>
            <w:tcW w:w="7791" w:type="dxa"/>
            <w:shd w:val="clear" w:color="auto" w:fill="FFFFFF" w:themeFill="background1"/>
          </w:tcPr>
          <w:p w14:paraId="7FE1C5F1" w14:textId="77777777" w:rsidR="00393915" w:rsidRDefault="00F24D68">
            <w:pPr>
              <w:pStyle w:val="P68B1DB1-Normal64"/>
              <w:spacing w:line="276" w:lineRule="auto"/>
              <w:jc w:val="both"/>
            </w:pPr>
            <w:r>
              <w:rPr>
                <w:b/>
              </w:rPr>
              <w:t>Alternativne mjere ublažavanja</w:t>
            </w:r>
            <w:r>
              <w:t xml:space="preserve"> </w:t>
            </w:r>
          </w:p>
          <w:p w14:paraId="7FE1C5F2" w14:textId="77777777" w:rsidR="00393915" w:rsidRDefault="00F24D68">
            <w:pPr>
              <w:pStyle w:val="P68B1DB1-Normal64"/>
              <w:spacing w:line="276" w:lineRule="auto"/>
              <w:jc w:val="both"/>
            </w:pPr>
            <w:r>
              <w:t xml:space="preserve">Ako se očekuje da će se postići otpornost sanacije, ali banke to nisu mogle učiniti, od banaka se očekuje da istraže alternativne mjere ublažavanja. </w:t>
            </w:r>
          </w:p>
          <w:p w14:paraId="7FE1C5F3" w14:textId="77777777" w:rsidR="00393915" w:rsidRDefault="00393915">
            <w:pPr>
              <w:spacing w:line="276" w:lineRule="auto"/>
              <w:jc w:val="both"/>
              <w:rPr>
                <w:rFonts w:ascii="Times New Roman" w:hAnsi="Times New Roman"/>
                <w:sz w:val="20"/>
              </w:rPr>
            </w:pPr>
          </w:p>
          <w:p w14:paraId="7FE1C5F4" w14:textId="77777777" w:rsidR="00393915" w:rsidRDefault="00F24D68">
            <w:pPr>
              <w:pStyle w:val="P68B1DB1-Normal64"/>
              <w:spacing w:line="276" w:lineRule="auto"/>
              <w:jc w:val="both"/>
              <w:rPr>
                <w:iCs/>
              </w:rPr>
            </w:pPr>
            <w:r>
              <w:t>Iskazati jednu od sljedećih vrijednosti:</w:t>
            </w:r>
          </w:p>
          <w:p w14:paraId="7FE1C5F5" w14:textId="77777777" w:rsidR="00393915" w:rsidRDefault="00F24D68">
            <w:pPr>
              <w:pStyle w:val="P68B1DB1-Normal67"/>
              <w:spacing w:line="276" w:lineRule="auto"/>
              <w:jc w:val="both"/>
              <w:rPr>
                <w:iCs/>
                <w:sz w:val="20"/>
              </w:rPr>
            </w:pPr>
            <w:r>
              <w:t>„</w:t>
            </w:r>
            <w:r>
              <w:rPr>
                <w:sz w:val="20"/>
              </w:rPr>
              <w:t>Da” – ako je banka provela alternativne mjere ublažavanja</w:t>
            </w:r>
          </w:p>
          <w:p w14:paraId="7FE1C5F6" w14:textId="77777777" w:rsidR="00393915" w:rsidRDefault="00F24D68">
            <w:pPr>
              <w:pStyle w:val="P68B1DB1-Normal67"/>
              <w:spacing w:line="276" w:lineRule="auto"/>
              <w:jc w:val="both"/>
              <w:rPr>
                <w:iCs/>
                <w:sz w:val="20"/>
              </w:rPr>
            </w:pPr>
            <w:r>
              <w:t>„</w:t>
            </w:r>
            <w:r>
              <w:rPr>
                <w:sz w:val="20"/>
              </w:rPr>
              <w:t>Ne” – ako banka nije provela alternativne mjere ublažavanja</w:t>
            </w:r>
          </w:p>
          <w:p w14:paraId="7FE1C5F7" w14:textId="6F191F67" w:rsidR="00393915" w:rsidRDefault="00F24D68">
            <w:pPr>
              <w:pStyle w:val="P68B1DB1-Normal67"/>
              <w:spacing w:line="276" w:lineRule="auto"/>
              <w:jc w:val="both"/>
              <w:rPr>
                <w:iCs/>
                <w:sz w:val="20"/>
              </w:rPr>
            </w:pPr>
            <w:r>
              <w:t>„</w:t>
            </w:r>
            <w:r w:rsidR="00D47EFE">
              <w:rPr>
                <w:sz w:val="20"/>
              </w:rPr>
              <w:t>IJE</w:t>
            </w:r>
            <w:r>
              <w:rPr>
                <w:sz w:val="20"/>
              </w:rPr>
              <w:t>N</w:t>
            </w:r>
            <w:r w:rsidR="00D47EFE">
              <w:rPr>
                <w:sz w:val="20"/>
              </w:rPr>
              <w:t>IJE</w:t>
            </w:r>
            <w:r>
              <w:rPr>
                <w:sz w:val="20"/>
              </w:rPr>
              <w:t xml:space="preserve"> PRIMJENJIVO” – u slučajevima u kojima je bilo koji od stupaca 0150, 0160 označen kao „Da” ili „</w:t>
            </w:r>
            <w:r>
              <w:rPr>
                <w:sz w:val="20"/>
              </w:rPr>
              <w:t>N</w:t>
            </w:r>
            <w:r w:rsidR="00D47EFE">
              <w:rPr>
                <w:sz w:val="20"/>
              </w:rPr>
              <w:t>IJ</w:t>
            </w:r>
            <w:r>
              <w:rPr>
                <w:sz w:val="20"/>
              </w:rPr>
              <w:t>E</w:t>
            </w:r>
            <w:r>
              <w:rPr>
                <w:sz w:val="20"/>
              </w:rPr>
              <w:t xml:space="preserve"> PRIMJENJIVO”</w:t>
            </w:r>
          </w:p>
          <w:p w14:paraId="7FE1C5F8" w14:textId="77777777" w:rsidR="00393915" w:rsidRDefault="00393915">
            <w:pPr>
              <w:spacing w:line="276" w:lineRule="auto"/>
              <w:jc w:val="both"/>
              <w:rPr>
                <w:rFonts w:ascii="Times New Roman" w:hAnsi="Times New Roman"/>
                <w:sz w:val="20"/>
              </w:rPr>
            </w:pPr>
          </w:p>
        </w:tc>
      </w:tr>
    </w:tbl>
    <w:p w14:paraId="7FE1C5FA" w14:textId="77777777" w:rsidR="00393915" w:rsidRDefault="00393915">
      <w:pPr>
        <w:rPr>
          <w:rFonts w:ascii="Times New Roman" w:eastAsia="Times New Roman" w:hAnsi="Times New Roman" w:cs="Times New Roman"/>
          <w:sz w:val="20"/>
          <w:szCs w:val="20"/>
          <w:u w:val="single"/>
        </w:rPr>
      </w:pPr>
    </w:p>
    <w:p w14:paraId="7FE1C5FB" w14:textId="77777777" w:rsidR="00393915" w:rsidRDefault="00393915">
      <w:pPr>
        <w:rPr>
          <w:rFonts w:ascii="Times New Roman" w:hAnsi="Times New Roman" w:cs="Times New Roman"/>
        </w:rPr>
      </w:pPr>
    </w:p>
    <w:p w14:paraId="7FE1C5FC" w14:textId="75BC5B42" w:rsidR="00393915" w:rsidRDefault="00F24D68">
      <w:pPr>
        <w:pStyle w:val="P68B1DB1-Instructionsberschrift25"/>
        <w:numPr>
          <w:ilvl w:val="1"/>
          <w:numId w:val="49"/>
        </w:numPr>
        <w:ind w:left="357" w:hanging="357"/>
        <w:rPr>
          <w:rFonts w:eastAsia="Calibri"/>
          <w:szCs w:val="20"/>
        </w:rPr>
      </w:pPr>
      <w:bookmarkStart w:id="131" w:name="_Toc208244819"/>
      <w:r>
        <w:t xml:space="preserve">Predložak Z 08.03 – Relevantne usluge – </w:t>
      </w:r>
      <w:r w:rsidR="008E6A55">
        <w:t>mapiranje a</w:t>
      </w:r>
      <w:r>
        <w:t>ulog</w:t>
      </w:r>
      <w:r w:rsidR="008E6A55">
        <w:t>a</w:t>
      </w:r>
      <w:r>
        <w:t xml:space="preserve"> (SERV 3)</w:t>
      </w:r>
      <w:bookmarkEnd w:id="131"/>
    </w:p>
    <w:p w14:paraId="7FE1C5FD" w14:textId="77777777" w:rsidR="00393915" w:rsidRDefault="00F24D68">
      <w:pPr>
        <w:pStyle w:val="P68B1DB1-Normal50"/>
        <w:spacing w:line="276" w:lineRule="auto"/>
        <w:jc w:val="both"/>
      </w:pPr>
      <w:r>
        <w:t>Opće upute</w:t>
      </w:r>
    </w:p>
    <w:p w14:paraId="7FE1C5FE" w14:textId="77777777" w:rsidR="00393915" w:rsidRDefault="00F24D68">
      <w:pPr>
        <w:pStyle w:val="P68B1DB1-Instructionsberschrift346"/>
        <w:numPr>
          <w:ilvl w:val="2"/>
          <w:numId w:val="211"/>
        </w:numPr>
        <w:ind w:left="993"/>
        <w:contextualSpacing/>
        <w:jc w:val="both"/>
      </w:pPr>
      <w:r>
        <w:rPr>
          <w:color w:val="auto"/>
          <w:szCs w:val="24"/>
        </w:rPr>
        <w:t>Informacije koje se moraju uključiti u ovom predlošku iskazuju se jednom za cijelu grupu, njima se navode relevantne usluge koje prima bilo koji subjekt u grupi i povezuje ih se s relevantnim ulogama</w:t>
      </w:r>
      <w:r>
        <w:t>.</w:t>
      </w:r>
    </w:p>
    <w:p w14:paraId="7FE1C5FF" w14:textId="77777777" w:rsidR="00393915" w:rsidRDefault="00F24D68">
      <w:pPr>
        <w:pStyle w:val="P68B1DB1-Instructionsberschrift368"/>
        <w:numPr>
          <w:ilvl w:val="2"/>
          <w:numId w:val="211"/>
        </w:numPr>
        <w:ind w:left="993"/>
        <w:contextualSpacing/>
        <w:jc w:val="both"/>
      </w:pPr>
      <w:r>
        <w:t>Vrijednosti iskazane u stupcima 0010, 0020 i 0030 ovog predloška čine primarni ključ, koji mora biti jedinstven za svaki redak predloška.</w:t>
      </w:r>
    </w:p>
    <w:p w14:paraId="7FE1C604" w14:textId="77777777" w:rsidR="00393915" w:rsidRDefault="00393915">
      <w:pPr>
        <w:spacing w:line="276" w:lineRule="auto"/>
        <w:jc w:val="both"/>
        <w:rPr>
          <w:rFonts w:ascii="Times New Roman" w:eastAsia="Calibri" w:hAnsi="Times New Roman" w:cs="Times New Roman"/>
          <w:color w:val="0070C0"/>
          <w:sz w:val="20"/>
        </w:rPr>
      </w:pPr>
    </w:p>
    <w:tbl>
      <w:tblPr>
        <w:tblStyle w:val="TableGrid1"/>
        <w:tblW w:w="9067" w:type="dxa"/>
        <w:tblLook w:val="04A0" w:firstRow="1" w:lastRow="0" w:firstColumn="1" w:lastColumn="0" w:noHBand="0" w:noVBand="1"/>
      </w:tblPr>
      <w:tblGrid>
        <w:gridCol w:w="1418"/>
        <w:gridCol w:w="7649"/>
      </w:tblGrid>
      <w:tr w:rsidR="00393915" w14:paraId="7FE1C607" w14:textId="77777777">
        <w:trPr>
          <w:trHeight w:val="519"/>
          <w:tblHeader/>
        </w:trPr>
        <w:tc>
          <w:tcPr>
            <w:tcW w:w="1418" w:type="dxa"/>
            <w:shd w:val="clear" w:color="auto" w:fill="D9D9D9" w:themeFill="background1" w:themeFillShade="D9"/>
          </w:tcPr>
          <w:p w14:paraId="7FE1C605" w14:textId="77777777" w:rsidR="00393915" w:rsidRDefault="00F24D68">
            <w:pPr>
              <w:pStyle w:val="P68B1DB1-Normal61"/>
              <w:spacing w:before="120" w:after="120" w:line="276" w:lineRule="auto"/>
            </w:pPr>
            <w:r>
              <w:t>Stupci</w:t>
            </w:r>
          </w:p>
        </w:tc>
        <w:tc>
          <w:tcPr>
            <w:tcW w:w="7649" w:type="dxa"/>
            <w:shd w:val="clear" w:color="auto" w:fill="D9D9D9" w:themeFill="background1" w:themeFillShade="D9"/>
          </w:tcPr>
          <w:p w14:paraId="7FE1C606" w14:textId="77777777" w:rsidR="00393915" w:rsidRDefault="00F24D68">
            <w:pPr>
              <w:pStyle w:val="P68B1DB1-Normal61"/>
              <w:spacing w:before="120" w:after="120" w:line="276" w:lineRule="auto"/>
            </w:pPr>
            <w:r>
              <w:t>Upute</w:t>
            </w:r>
          </w:p>
        </w:tc>
      </w:tr>
      <w:tr w:rsidR="00393915" w14:paraId="7FE1C60C" w14:textId="77777777">
        <w:trPr>
          <w:trHeight w:val="450"/>
        </w:trPr>
        <w:tc>
          <w:tcPr>
            <w:tcW w:w="1418" w:type="dxa"/>
          </w:tcPr>
          <w:p w14:paraId="7FE1C608" w14:textId="77777777" w:rsidR="00393915" w:rsidRDefault="00F24D68">
            <w:pPr>
              <w:pStyle w:val="P68B1DB1-Normal62"/>
              <w:spacing w:before="120" w:after="120" w:line="276" w:lineRule="auto"/>
            </w:pPr>
            <w:r>
              <w:t>0005</w:t>
            </w:r>
          </w:p>
        </w:tc>
        <w:tc>
          <w:tcPr>
            <w:tcW w:w="7649" w:type="dxa"/>
          </w:tcPr>
          <w:p w14:paraId="7FE1C609" w14:textId="1EA58C46" w:rsidR="00393915" w:rsidRDefault="00F24D68">
            <w:pPr>
              <w:pStyle w:val="P68B1DB1-Normal61"/>
              <w:spacing w:before="120" w:after="120" w:line="276" w:lineRule="auto"/>
              <w:rPr>
                <w:bCs/>
              </w:rPr>
            </w:pPr>
            <w:r>
              <w:t xml:space="preserve">Identifikator usluge </w:t>
            </w:r>
          </w:p>
          <w:p w14:paraId="7FE1C60A" w14:textId="77777777" w:rsidR="00393915" w:rsidRDefault="00F24D68">
            <w:pPr>
              <w:pStyle w:val="P68B1DB1-Normal62"/>
              <w:spacing w:before="120" w:after="120" w:line="276" w:lineRule="auto"/>
            </w:pPr>
            <w:r>
              <w:t>Upotrijebiti identifikacijsku oznaku usluge kako je navedena u predlošku Z 08.01 (SERV 1).</w:t>
            </w:r>
          </w:p>
          <w:p w14:paraId="7FE1C60B" w14:textId="77777777" w:rsidR="00393915" w:rsidRDefault="00F24D68">
            <w:pPr>
              <w:pStyle w:val="P68B1DB1-Normal62"/>
              <w:spacing w:before="120" w:after="120" w:line="276" w:lineRule="auto"/>
              <w:rPr>
                <w:iCs/>
              </w:rPr>
            </w:pPr>
            <w:r>
              <w:t>Identifikacijska oznaka usluge odnosi se na uslugu navedenu pod c0020.</w:t>
            </w:r>
          </w:p>
        </w:tc>
      </w:tr>
      <w:tr w:rsidR="00393915" w14:paraId="7FE1C650" w14:textId="77777777">
        <w:trPr>
          <w:trHeight w:val="450"/>
        </w:trPr>
        <w:tc>
          <w:tcPr>
            <w:tcW w:w="1418" w:type="dxa"/>
          </w:tcPr>
          <w:p w14:paraId="7FE1C60D" w14:textId="77777777" w:rsidR="00393915" w:rsidRDefault="00F24D68">
            <w:pPr>
              <w:pStyle w:val="P68B1DB1-Normal62"/>
              <w:spacing w:before="120" w:after="120" w:line="276" w:lineRule="auto"/>
            </w:pPr>
            <w:r>
              <w:t>0010</w:t>
            </w:r>
          </w:p>
        </w:tc>
        <w:tc>
          <w:tcPr>
            <w:tcW w:w="7649" w:type="dxa"/>
          </w:tcPr>
          <w:p w14:paraId="7FE1C60E" w14:textId="77777777" w:rsidR="00393915" w:rsidRDefault="00F24D68">
            <w:pPr>
              <w:pStyle w:val="P68B1DB1-Normal61"/>
              <w:autoSpaceDE w:val="0"/>
              <w:autoSpaceDN w:val="0"/>
              <w:adjustRightInd w:val="0"/>
              <w:rPr>
                <w:rFonts w:eastAsia="MS Mincho"/>
                <w:bCs/>
              </w:rPr>
            </w:pPr>
            <w:r>
              <w:t xml:space="preserve">Vrsta usluge </w:t>
            </w:r>
          </w:p>
          <w:p w14:paraId="7FE1C645" w14:textId="21F3184E" w:rsidR="00393915" w:rsidRDefault="00F24D68">
            <w:pPr>
              <w:pStyle w:val="P68B1DB1-Normal63"/>
              <w:autoSpaceDE w:val="0"/>
              <w:autoSpaceDN w:val="0"/>
              <w:adjustRightInd w:val="0"/>
            </w:pPr>
            <w:r>
              <w:t xml:space="preserve">Vrsta usluge mora biti jedna od vrsta usluga navedenih u prethodno navedenom predlošku Z 08.01 0010. </w:t>
            </w:r>
          </w:p>
          <w:p w14:paraId="7FE1C64F" w14:textId="2C039B1C" w:rsidR="00393915" w:rsidRDefault="00393915">
            <w:pPr>
              <w:spacing w:before="120" w:after="120" w:line="276" w:lineRule="auto"/>
              <w:rPr>
                <w:rFonts w:ascii="Times New Roman" w:hAnsi="Times New Roman"/>
                <w:sz w:val="20"/>
                <w:szCs w:val="20"/>
              </w:rPr>
            </w:pPr>
          </w:p>
        </w:tc>
      </w:tr>
      <w:tr w:rsidR="00393915" w14:paraId="7FE1C655" w14:textId="77777777">
        <w:trPr>
          <w:trHeight w:val="450"/>
        </w:trPr>
        <w:tc>
          <w:tcPr>
            <w:tcW w:w="1418" w:type="dxa"/>
          </w:tcPr>
          <w:p w14:paraId="7FE1C651" w14:textId="77777777" w:rsidR="00393915" w:rsidRDefault="00F24D68">
            <w:pPr>
              <w:pStyle w:val="P68B1DB1-Normal62"/>
              <w:spacing w:before="120" w:after="120" w:line="276" w:lineRule="auto"/>
            </w:pPr>
            <w:r>
              <w:t>0020</w:t>
            </w:r>
          </w:p>
        </w:tc>
        <w:tc>
          <w:tcPr>
            <w:tcW w:w="7649" w:type="dxa"/>
          </w:tcPr>
          <w:p w14:paraId="7FE1C652" w14:textId="77777777" w:rsidR="00393915" w:rsidRDefault="00F24D68">
            <w:pPr>
              <w:pStyle w:val="P68B1DB1-Normal65"/>
              <w:spacing w:line="276" w:lineRule="auto"/>
              <w:jc w:val="both"/>
            </w:pPr>
            <w:r>
              <w:rPr>
                <w:szCs w:val="20"/>
              </w:rPr>
              <w:t>Jedinstveni naziv usluge u skladu s taksonomijom banke</w:t>
            </w:r>
            <w:r>
              <w:t xml:space="preserve"> </w:t>
            </w:r>
          </w:p>
          <w:p w14:paraId="7FE1C653" w14:textId="00A5AA74" w:rsidR="00393915" w:rsidRDefault="00F24D68">
            <w:pPr>
              <w:pStyle w:val="P68B1DB1-Normal64"/>
              <w:rPr>
                <w:rFonts w:eastAsiaTheme="minorHAnsi"/>
                <w:sz w:val="24"/>
              </w:rPr>
            </w:pPr>
            <w:r>
              <w:t xml:space="preserve">Naziv/kratak opis usluge u skladu s </w:t>
            </w:r>
            <w:r w:rsidR="003D2D36">
              <w:t>o</w:t>
            </w:r>
            <w:r>
              <w:t>vlastit</w:t>
            </w:r>
            <w:r w:rsidR="003D2D36">
              <w:t>o</w:t>
            </w:r>
            <w:r>
              <w:t>m</w:t>
            </w:r>
            <w:r w:rsidR="003D2D36">
              <w:t>višeslojnom om</w:t>
            </w:r>
            <w:r>
              <w:t>taksonomij</w:t>
            </w:r>
            <w:r w:rsidR="003D2D36">
              <w:t>om</w:t>
            </w:r>
            <w:r>
              <w:t xml:space="preserve"> (3. razina) banke kako je iskazano u </w:t>
            </w:r>
            <w:r w:rsidR="0072152B">
              <w:t xml:space="preserve">predlošku </w:t>
            </w:r>
            <w:r>
              <w:t xml:space="preserve">Z 08.01 (SERV 1) </w:t>
            </w:r>
            <w:r w:rsidR="0072152B">
              <w:t xml:space="preserve">stupcu 0020. </w:t>
            </w:r>
            <w:r>
              <w:t xml:space="preserve">Očekuje se </w:t>
            </w:r>
            <w:r w:rsidR="000358AA">
              <w:t>od e</w:t>
            </w:r>
            <w:r>
              <w:t>bank</w:t>
            </w:r>
            <w:r w:rsidR="000358AA">
              <w:t>e</w:t>
            </w:r>
            <w:r w:rsidR="000358AA">
              <w:t xml:space="preserve"> da će</w:t>
            </w:r>
            <w:r>
              <w:t xml:space="preserve"> izvješćivati o uslugama na detaljnijoj razini od izvješća za 2. razinu (c0010</w:t>
            </w:r>
            <w:r>
              <w:t>)</w:t>
            </w:r>
            <w:r w:rsidR="000E4FD1">
              <w:t>,</w:t>
            </w:r>
            <w:r>
              <w:t xml:space="preserve"> kako bi se svaka pojedina usluga definirala na precizan i ciljani način.</w:t>
            </w:r>
          </w:p>
          <w:p w14:paraId="7FE1C654" w14:textId="77777777" w:rsidR="00393915" w:rsidRDefault="00393915">
            <w:pPr>
              <w:spacing w:before="120" w:after="120" w:line="276" w:lineRule="auto"/>
              <w:rPr>
                <w:rFonts w:ascii="Times New Roman" w:hAnsi="Times New Roman"/>
                <w:sz w:val="20"/>
                <w:szCs w:val="20"/>
              </w:rPr>
            </w:pPr>
          </w:p>
        </w:tc>
      </w:tr>
      <w:tr w:rsidR="00393915" w14:paraId="7FE1C65A" w14:textId="77777777">
        <w:trPr>
          <w:trHeight w:val="450"/>
        </w:trPr>
        <w:tc>
          <w:tcPr>
            <w:tcW w:w="1418" w:type="dxa"/>
          </w:tcPr>
          <w:p w14:paraId="7FE1C656" w14:textId="77777777" w:rsidR="00393915" w:rsidRDefault="00F24D68">
            <w:pPr>
              <w:pStyle w:val="P68B1DB1-Normal62"/>
              <w:spacing w:before="120" w:after="120" w:line="276" w:lineRule="auto"/>
              <w:rPr>
                <w:b/>
              </w:rPr>
            </w:pPr>
            <w:r>
              <w:t>0030</w:t>
            </w:r>
          </w:p>
        </w:tc>
        <w:tc>
          <w:tcPr>
            <w:tcW w:w="7649" w:type="dxa"/>
          </w:tcPr>
          <w:p w14:paraId="7FE1C657" w14:textId="77777777" w:rsidR="00393915" w:rsidRDefault="00F24D68">
            <w:pPr>
              <w:pStyle w:val="P68B1DB1-Normal65"/>
              <w:spacing w:before="120" w:after="120" w:line="276" w:lineRule="auto"/>
              <w:rPr>
                <w:bCs/>
              </w:rPr>
            </w:pPr>
            <w:r>
              <w:rPr>
                <w:szCs w:val="20"/>
              </w:rPr>
              <w:t>Identifikacijska oznaka uloge</w:t>
            </w:r>
            <w:r>
              <w:t xml:space="preserve"> </w:t>
            </w:r>
          </w:p>
          <w:p w14:paraId="7FE1C658" w14:textId="77777777" w:rsidR="00393915" w:rsidRDefault="00F24D68">
            <w:pPr>
              <w:pStyle w:val="P68B1DB1-Normal64"/>
              <w:spacing w:before="120" w:after="120" w:line="276" w:lineRule="auto"/>
            </w:pPr>
            <w:r>
              <w:t>Identifikacijska oznaka uloge odnosi se na ulogu navedenu pod c0040.</w:t>
            </w:r>
          </w:p>
          <w:p w14:paraId="7FE1C659" w14:textId="77777777" w:rsidR="00393915" w:rsidRDefault="00393915">
            <w:pPr>
              <w:spacing w:before="120" w:after="120" w:line="276" w:lineRule="auto"/>
              <w:rPr>
                <w:rFonts w:ascii="Times New Roman" w:hAnsi="Times New Roman"/>
                <w:sz w:val="20"/>
                <w:szCs w:val="20"/>
              </w:rPr>
            </w:pPr>
          </w:p>
        </w:tc>
      </w:tr>
      <w:tr w:rsidR="00393915" w14:paraId="7FE1C65F" w14:textId="77777777">
        <w:trPr>
          <w:trHeight w:val="450"/>
        </w:trPr>
        <w:tc>
          <w:tcPr>
            <w:tcW w:w="1418" w:type="dxa"/>
          </w:tcPr>
          <w:p w14:paraId="7FE1C65B" w14:textId="77777777" w:rsidR="00393915" w:rsidRDefault="00F24D68">
            <w:pPr>
              <w:pStyle w:val="P68B1DB1-Normal62"/>
              <w:spacing w:before="120" w:after="120" w:line="276" w:lineRule="auto"/>
            </w:pPr>
            <w:r>
              <w:t>0040</w:t>
            </w:r>
          </w:p>
        </w:tc>
        <w:tc>
          <w:tcPr>
            <w:tcW w:w="7649" w:type="dxa"/>
          </w:tcPr>
          <w:p w14:paraId="7FE1C65C" w14:textId="77777777" w:rsidR="00393915" w:rsidRDefault="00F24D68">
            <w:pPr>
              <w:pStyle w:val="P68B1DB1-Normal61"/>
              <w:spacing w:before="120" w:after="120" w:line="276" w:lineRule="auto"/>
              <w:rPr>
                <w:bCs/>
              </w:rPr>
            </w:pPr>
            <w:r>
              <w:t>Naziv uloge</w:t>
            </w:r>
          </w:p>
          <w:p w14:paraId="7FE1C65D" w14:textId="77777777" w:rsidR="00393915" w:rsidRDefault="00F24D68">
            <w:pPr>
              <w:pStyle w:val="P68B1DB1-Normal64"/>
              <w:spacing w:line="276" w:lineRule="auto"/>
              <w:jc w:val="both"/>
            </w:pPr>
            <w:r>
              <w:t>Interni naziv koji se upotrebljava za određenu ulogu.</w:t>
            </w:r>
          </w:p>
          <w:p w14:paraId="7FE1C65E" w14:textId="77777777" w:rsidR="00393915" w:rsidRDefault="00393915">
            <w:pPr>
              <w:spacing w:before="120" w:after="120" w:line="276" w:lineRule="auto"/>
              <w:rPr>
                <w:rFonts w:ascii="Times New Roman" w:hAnsi="Times New Roman"/>
                <w:sz w:val="20"/>
                <w:szCs w:val="20"/>
              </w:rPr>
            </w:pPr>
          </w:p>
        </w:tc>
      </w:tr>
      <w:tr w:rsidR="00393915" w14:paraId="7FE1C664" w14:textId="77777777">
        <w:trPr>
          <w:trHeight w:val="450"/>
        </w:trPr>
        <w:tc>
          <w:tcPr>
            <w:tcW w:w="1418" w:type="dxa"/>
          </w:tcPr>
          <w:p w14:paraId="7FE1C660" w14:textId="77777777" w:rsidR="00393915" w:rsidRDefault="00F24D68">
            <w:pPr>
              <w:pStyle w:val="P68B1DB1-Normal62"/>
              <w:spacing w:before="120" w:after="120" w:line="276" w:lineRule="auto"/>
            </w:pPr>
            <w:r>
              <w:t>0050</w:t>
            </w:r>
          </w:p>
        </w:tc>
        <w:tc>
          <w:tcPr>
            <w:tcW w:w="7649" w:type="dxa"/>
          </w:tcPr>
          <w:p w14:paraId="7FE1C661" w14:textId="6E88DDFC" w:rsidR="00393915" w:rsidRDefault="00716B09">
            <w:pPr>
              <w:pStyle w:val="P68B1DB1-Normal61"/>
              <w:spacing w:before="120" w:after="120" w:line="276" w:lineRule="auto"/>
              <w:rPr>
                <w:bCs/>
              </w:rPr>
            </w:pPr>
            <w:r>
              <w:t>Odjel</w:t>
            </w:r>
            <w:r>
              <w:t>Odjel</w:t>
            </w:r>
          </w:p>
          <w:p w14:paraId="7FE1C662" w14:textId="77777777" w:rsidR="00393915" w:rsidRDefault="00F24D68">
            <w:pPr>
              <w:pStyle w:val="P68B1DB1-Normal64"/>
              <w:spacing w:line="276" w:lineRule="auto"/>
              <w:jc w:val="both"/>
            </w:pPr>
            <w:r>
              <w:t>Interno ime koje se upotrebljava za određeni odjel kojem pripada naziv uloge pod c0040.</w:t>
            </w:r>
          </w:p>
          <w:p w14:paraId="7FE1C663" w14:textId="77777777" w:rsidR="00393915" w:rsidRDefault="00393915">
            <w:pPr>
              <w:spacing w:line="276" w:lineRule="auto"/>
              <w:jc w:val="both"/>
              <w:rPr>
                <w:rFonts w:ascii="Times New Roman" w:hAnsi="Times New Roman"/>
                <w:iCs/>
                <w:sz w:val="20"/>
              </w:rPr>
            </w:pPr>
          </w:p>
        </w:tc>
      </w:tr>
      <w:tr w:rsidR="00393915" w14:paraId="7FE1C66C" w14:textId="77777777">
        <w:trPr>
          <w:trHeight w:val="450"/>
        </w:trPr>
        <w:tc>
          <w:tcPr>
            <w:tcW w:w="1418" w:type="dxa"/>
          </w:tcPr>
          <w:p w14:paraId="7FE1C665" w14:textId="77777777" w:rsidR="00393915" w:rsidRDefault="00F24D68">
            <w:pPr>
              <w:pStyle w:val="P68B1DB1-Normal62"/>
              <w:spacing w:before="120" w:after="120" w:line="276" w:lineRule="auto"/>
            </w:pPr>
            <w:r>
              <w:t>0060</w:t>
            </w:r>
          </w:p>
        </w:tc>
        <w:tc>
          <w:tcPr>
            <w:tcW w:w="7649" w:type="dxa"/>
          </w:tcPr>
          <w:p w14:paraId="7FE1C666" w14:textId="13B8EF15" w:rsidR="00393915" w:rsidRDefault="004A3FFC">
            <w:pPr>
              <w:pStyle w:val="P68B1DB1-Normal61"/>
              <w:spacing w:before="120" w:after="120" w:line="276" w:lineRule="auto"/>
              <w:rPr>
                <w:bCs/>
              </w:rPr>
            </w:pPr>
            <w:r>
              <w:t>Ključnost</w:t>
            </w:r>
            <w:r>
              <w:t>Ključnost</w:t>
            </w:r>
          </w:p>
          <w:p w14:paraId="7FE1C667" w14:textId="77777777" w:rsidR="00393915" w:rsidRDefault="00F24D68">
            <w:pPr>
              <w:pStyle w:val="P68B1DB1-Normal64"/>
              <w:spacing w:line="276" w:lineRule="auto"/>
              <w:jc w:val="both"/>
              <w:rPr>
                <w:iCs/>
              </w:rPr>
            </w:pPr>
            <w:r>
              <w:t>Iskazati jednu od sljedećih vrijednosti:</w:t>
            </w:r>
          </w:p>
          <w:p w14:paraId="7FE1C668" w14:textId="38B8B240" w:rsidR="00393915" w:rsidRDefault="00C13B74">
            <w:pPr>
              <w:pStyle w:val="P68B1DB1-ListParagraph58"/>
              <w:numPr>
                <w:ilvl w:val="0"/>
                <w:numId w:val="236"/>
              </w:numPr>
              <w:spacing w:line="276" w:lineRule="auto"/>
              <w:contextualSpacing/>
              <w:jc w:val="both"/>
              <w:rPr>
                <w:iCs/>
              </w:rPr>
            </w:pPr>
            <w:r>
              <w:t>Ključna</w:t>
            </w:r>
            <w:r>
              <w:t>Ključna</w:t>
            </w:r>
            <w:r w:rsidR="00F24D68">
              <w:t>: ako je usluga nužna za obavljanje jedne ili više ključnih funkcija, čiji bi prekid ozbiljno ometao ili spriječio obavljanje tih ključnih funkcija.</w:t>
            </w:r>
          </w:p>
          <w:p w14:paraId="7FE1C669" w14:textId="74BCAA25" w:rsidR="00393915" w:rsidRDefault="00C13B74">
            <w:pPr>
              <w:pStyle w:val="P68B1DB1-ListParagraph58"/>
              <w:numPr>
                <w:ilvl w:val="0"/>
                <w:numId w:val="236"/>
              </w:numPr>
              <w:spacing w:line="276" w:lineRule="auto"/>
              <w:contextualSpacing/>
              <w:jc w:val="both"/>
              <w:rPr>
                <w:iCs/>
              </w:rPr>
            </w:pPr>
            <w:r>
              <w:t>a</w:t>
            </w:r>
            <w:r w:rsidR="00F24D68">
              <w:t>Osnovn</w:t>
            </w:r>
            <w:r>
              <w:t>a</w:t>
            </w:r>
            <w:r w:rsidR="00F24D68">
              <w:t>: ako je usluga povezana s temeljnim linijama, čiji je kontinuitet nužan za učinkovitu provedbu sanacijske strategije i svako posljedično restrukturiranje.</w:t>
            </w:r>
          </w:p>
          <w:p w14:paraId="7FE1C66A" w14:textId="70566476" w:rsidR="00393915" w:rsidRDefault="00C13B74">
            <w:pPr>
              <w:pStyle w:val="P68B1DB1-ListParagraph58"/>
              <w:numPr>
                <w:ilvl w:val="0"/>
                <w:numId w:val="236"/>
              </w:numPr>
              <w:spacing w:line="276" w:lineRule="auto"/>
              <w:contextualSpacing/>
              <w:jc w:val="both"/>
              <w:rPr>
                <w:iCs/>
              </w:rPr>
            </w:pPr>
            <w:r>
              <w:lastRenderedPageBreak/>
              <w:t>a</w:t>
            </w:r>
            <w:r w:rsidR="00F24D68">
              <w:t>Ključn</w:t>
            </w:r>
            <w:r>
              <w:t>a</w:t>
            </w:r>
            <w:r w:rsidR="00F24D68">
              <w:t xml:space="preserve"> i </w:t>
            </w:r>
            <w:r>
              <w:t>osnovna</w:t>
            </w:r>
            <w:r>
              <w:t>osnovna</w:t>
            </w:r>
          </w:p>
          <w:p w14:paraId="7FE1C66B" w14:textId="77777777" w:rsidR="00393915" w:rsidRDefault="00393915">
            <w:pPr>
              <w:spacing w:before="120" w:after="120" w:line="276" w:lineRule="auto"/>
              <w:rPr>
                <w:rFonts w:ascii="Times New Roman" w:hAnsi="Times New Roman"/>
                <w:sz w:val="20"/>
                <w:szCs w:val="20"/>
              </w:rPr>
            </w:pPr>
          </w:p>
        </w:tc>
      </w:tr>
    </w:tbl>
    <w:p w14:paraId="7FE1C6D5" w14:textId="77777777" w:rsidR="00393915" w:rsidRDefault="00393915">
      <w:pPr>
        <w:rPr>
          <w:rFonts w:ascii="Times New Roman" w:hAnsi="Times New Roman" w:cs="Times New Roman"/>
        </w:rPr>
      </w:pPr>
    </w:p>
    <w:p w14:paraId="7FE1C6D6" w14:textId="22E1AE78" w:rsidR="00393915" w:rsidRDefault="00F24D68">
      <w:pPr>
        <w:pStyle w:val="P68B1DB1-Instructionsberschrift25"/>
        <w:numPr>
          <w:ilvl w:val="1"/>
          <w:numId w:val="49"/>
        </w:numPr>
        <w:ind w:left="357" w:hanging="357"/>
        <w:rPr>
          <w:rFonts w:eastAsia="Calibri"/>
          <w:szCs w:val="20"/>
        </w:rPr>
      </w:pPr>
      <w:bookmarkStart w:id="132" w:name="_Toc208244820"/>
      <w:r>
        <w:t xml:space="preserve">Predložak Z 08.04 – Ključne usluge – </w:t>
      </w:r>
      <w:r w:rsidR="00973286">
        <w:t>mapiranje i</w:t>
      </w:r>
      <w:r w:rsidR="00FA71A1">
        <w:t>h</w:t>
      </w:r>
      <w:r w:rsidR="00973286">
        <w:t>a</w:t>
      </w:r>
      <w:r>
        <w:t>ključn</w:t>
      </w:r>
      <w:r w:rsidR="00973286">
        <w:t>i</w:t>
      </w:r>
      <w:r w:rsidR="00FA71A1">
        <w:t>h</w:t>
      </w:r>
      <w:r>
        <w:t xml:space="preserve"> funkcij</w:t>
      </w:r>
      <w:r w:rsidR="00973286">
        <w:t>a</w:t>
      </w:r>
      <w:r>
        <w:t xml:space="preserve"> (SERV 4)</w:t>
      </w:r>
      <w:bookmarkEnd w:id="132"/>
    </w:p>
    <w:p w14:paraId="7FE1C6D7" w14:textId="77777777" w:rsidR="00393915" w:rsidRDefault="00F24D68">
      <w:pPr>
        <w:pStyle w:val="P68B1DB1-Instructionsberschrift269"/>
        <w:ind w:left="357"/>
      </w:pPr>
      <w:bookmarkStart w:id="133" w:name="_Toc164263859"/>
      <w:bookmarkStart w:id="134" w:name="_Toc208244821"/>
      <w:r>
        <w:t>Opće upute</w:t>
      </w:r>
      <w:bookmarkEnd w:id="133"/>
      <w:bookmarkEnd w:id="134"/>
    </w:p>
    <w:p w14:paraId="7FE1C6D8" w14:textId="77777777" w:rsidR="00393915" w:rsidRDefault="00393915">
      <w:pPr>
        <w:spacing w:line="276" w:lineRule="auto"/>
        <w:jc w:val="both"/>
        <w:rPr>
          <w:rFonts w:ascii="Times New Roman" w:eastAsia="Calibri" w:hAnsi="Times New Roman" w:cs="Times New Roman"/>
          <w:sz w:val="20"/>
          <w:szCs w:val="20"/>
        </w:rPr>
      </w:pPr>
    </w:p>
    <w:p w14:paraId="7FE1C6D9" w14:textId="77777777" w:rsidR="00393915" w:rsidRDefault="00F24D68">
      <w:pPr>
        <w:pStyle w:val="P68B1DB1-ListParagraph53"/>
        <w:numPr>
          <w:ilvl w:val="0"/>
          <w:numId w:val="267"/>
        </w:numPr>
        <w:ind w:left="1418"/>
        <w:contextualSpacing/>
        <w:jc w:val="both"/>
      </w:pPr>
      <w:r>
        <w:t>Informacije koje se moraju uključiti u ovom predlošku iskazuju se jednom za cijelu grupu, njima se navode ključne usluge koje prima bilo koji subjekt u grupi i povezuje ih se s ključnim funkcijama koje pruža grupa.</w:t>
      </w:r>
    </w:p>
    <w:p w14:paraId="7FE1C6DA" w14:textId="77777777" w:rsidR="00393915" w:rsidRDefault="00F24D68">
      <w:pPr>
        <w:pStyle w:val="P68B1DB1-ListParagraph53"/>
        <w:numPr>
          <w:ilvl w:val="0"/>
          <w:numId w:val="267"/>
        </w:numPr>
        <w:ind w:left="1418"/>
        <w:contextualSpacing/>
        <w:jc w:val="both"/>
      </w:pPr>
      <w:r>
        <w:t>Vrijednosti iskazane u stupcima 0010, 0020, 0030 i 0040 ovog predloška čine primarni ključ, koji mora biti jedinstven za svaki redak predloška.</w:t>
      </w:r>
    </w:p>
    <w:p w14:paraId="7FE1C6DB" w14:textId="77777777" w:rsidR="00393915" w:rsidRDefault="00393915">
      <w:pPr>
        <w:rPr>
          <w:rFonts w:ascii="Times New Roman" w:hAnsi="Times New Roman" w:cs="Times New Roman"/>
        </w:rPr>
      </w:pPr>
    </w:p>
    <w:tbl>
      <w:tblPr>
        <w:tblStyle w:val="TableGrid12"/>
        <w:tblW w:w="8926" w:type="dxa"/>
        <w:tblLook w:val="04A0" w:firstRow="1" w:lastRow="0" w:firstColumn="1" w:lastColumn="0" w:noHBand="0" w:noVBand="1"/>
      </w:tblPr>
      <w:tblGrid>
        <w:gridCol w:w="1418"/>
        <w:gridCol w:w="7508"/>
      </w:tblGrid>
      <w:tr w:rsidR="00393915" w14:paraId="7FE1C6DE" w14:textId="77777777">
        <w:trPr>
          <w:trHeight w:val="445"/>
          <w:tblHeader/>
        </w:trPr>
        <w:tc>
          <w:tcPr>
            <w:tcW w:w="1418" w:type="dxa"/>
            <w:shd w:val="clear" w:color="auto" w:fill="E7E6E6"/>
          </w:tcPr>
          <w:p w14:paraId="7FE1C6DC" w14:textId="77777777" w:rsidR="00393915" w:rsidRDefault="00F24D68">
            <w:pPr>
              <w:pStyle w:val="P68B1DB1-Normal61"/>
              <w:spacing w:before="120" w:after="120" w:line="276" w:lineRule="auto"/>
            </w:pPr>
            <w:r>
              <w:t>Stupci</w:t>
            </w:r>
          </w:p>
        </w:tc>
        <w:tc>
          <w:tcPr>
            <w:tcW w:w="7508" w:type="dxa"/>
            <w:shd w:val="clear" w:color="auto" w:fill="E7E6E6"/>
          </w:tcPr>
          <w:p w14:paraId="7FE1C6DD" w14:textId="77777777" w:rsidR="00393915" w:rsidRDefault="00F24D68">
            <w:pPr>
              <w:pStyle w:val="P68B1DB1-Normal61"/>
              <w:spacing w:before="120" w:after="120" w:line="276" w:lineRule="auto"/>
            </w:pPr>
            <w:r>
              <w:t>Upute</w:t>
            </w:r>
          </w:p>
        </w:tc>
      </w:tr>
      <w:tr w:rsidR="00393915" w14:paraId="7FE1C6E3" w14:textId="77777777">
        <w:trPr>
          <w:trHeight w:val="450"/>
        </w:trPr>
        <w:tc>
          <w:tcPr>
            <w:tcW w:w="1418" w:type="dxa"/>
            <w:shd w:val="clear" w:color="auto" w:fill="FFFFFF"/>
          </w:tcPr>
          <w:p w14:paraId="7FE1C6DF" w14:textId="77777777" w:rsidR="00393915" w:rsidRDefault="00F24D68">
            <w:pPr>
              <w:pStyle w:val="P68B1DB1-Normal62"/>
              <w:spacing w:before="120" w:after="120" w:line="276" w:lineRule="auto"/>
            </w:pPr>
            <w:r>
              <w:t>0005</w:t>
            </w:r>
          </w:p>
        </w:tc>
        <w:tc>
          <w:tcPr>
            <w:tcW w:w="7508" w:type="dxa"/>
            <w:shd w:val="clear" w:color="auto" w:fill="FFFFFF"/>
          </w:tcPr>
          <w:p w14:paraId="7FE1C6E0" w14:textId="3A7F50A5" w:rsidR="00393915" w:rsidRDefault="00F24D68">
            <w:pPr>
              <w:pStyle w:val="P68B1DB1-Normal61"/>
              <w:spacing w:before="120" w:after="120" w:line="276" w:lineRule="auto"/>
            </w:pPr>
            <w:r>
              <w:t xml:space="preserve">Identifikator usluge </w:t>
            </w:r>
          </w:p>
          <w:p w14:paraId="7FE1C6E1" w14:textId="77777777" w:rsidR="00393915" w:rsidRDefault="00F24D68">
            <w:pPr>
              <w:pStyle w:val="P68B1DB1-Normal62"/>
              <w:spacing w:before="120" w:after="120" w:line="276" w:lineRule="auto"/>
            </w:pPr>
            <w:r>
              <w:t>Upotrijebiti identifikacijsku oznaku usluge kako je navedena u predlošku Z 08.01 (SERV 1).</w:t>
            </w:r>
          </w:p>
          <w:p w14:paraId="7FE1C6E2" w14:textId="77777777" w:rsidR="00393915" w:rsidRDefault="00F24D68">
            <w:pPr>
              <w:pStyle w:val="P68B1DB1-Normal62"/>
              <w:spacing w:before="120" w:after="120" w:line="276" w:lineRule="auto"/>
              <w:rPr>
                <w:i/>
              </w:rPr>
            </w:pPr>
            <w:r>
              <w:t>Identifikacijska oznaka usluge odnosi se na uslugu navedenu pod c0020.</w:t>
            </w:r>
          </w:p>
        </w:tc>
      </w:tr>
      <w:tr w:rsidR="00393915" w14:paraId="7FE1C727" w14:textId="77777777">
        <w:trPr>
          <w:trHeight w:val="450"/>
        </w:trPr>
        <w:tc>
          <w:tcPr>
            <w:tcW w:w="1418" w:type="dxa"/>
            <w:shd w:val="clear" w:color="auto" w:fill="FFFFFF"/>
          </w:tcPr>
          <w:p w14:paraId="7FE1C6E4" w14:textId="77777777" w:rsidR="00393915" w:rsidRDefault="00F24D68">
            <w:pPr>
              <w:pStyle w:val="P68B1DB1-Normal62"/>
              <w:spacing w:before="120" w:after="120" w:line="276" w:lineRule="auto"/>
            </w:pPr>
            <w:r>
              <w:t>0010</w:t>
            </w:r>
          </w:p>
        </w:tc>
        <w:tc>
          <w:tcPr>
            <w:tcW w:w="7508" w:type="dxa"/>
            <w:shd w:val="clear" w:color="auto" w:fill="FFFFFF"/>
          </w:tcPr>
          <w:p w14:paraId="7FE1C6E5" w14:textId="77777777" w:rsidR="00393915" w:rsidRDefault="00F24D68">
            <w:pPr>
              <w:pStyle w:val="P68B1DB1-Normal61"/>
              <w:autoSpaceDE w:val="0"/>
              <w:autoSpaceDN w:val="0"/>
              <w:adjustRightInd w:val="0"/>
              <w:rPr>
                <w:rFonts w:eastAsia="MS Mincho"/>
                <w:bCs/>
              </w:rPr>
            </w:pPr>
            <w:r>
              <w:t xml:space="preserve">Vrsta usluge </w:t>
            </w:r>
          </w:p>
          <w:p w14:paraId="7FE1C6E6" w14:textId="328A5068" w:rsidR="00393915" w:rsidRDefault="00F24D68">
            <w:pPr>
              <w:pStyle w:val="P68B1DB1-Normal63"/>
              <w:autoSpaceDE w:val="0"/>
              <w:autoSpaceDN w:val="0"/>
              <w:adjustRightInd w:val="0"/>
            </w:pPr>
            <w:r>
              <w:t xml:space="preserve">Vrsta usluge mora biti jedna od vrsta usluga navedenih u prethodno navedenom predlošku Z 08.01 0010. </w:t>
            </w:r>
          </w:p>
          <w:p w14:paraId="7FE1C726" w14:textId="7C7FFCB5" w:rsidR="00393915" w:rsidRDefault="00393915">
            <w:pPr>
              <w:spacing w:before="120" w:after="120" w:line="276" w:lineRule="auto"/>
              <w:rPr>
                <w:rFonts w:ascii="Times New Roman" w:hAnsi="Times New Roman"/>
                <w:sz w:val="20"/>
                <w:szCs w:val="20"/>
              </w:rPr>
            </w:pPr>
          </w:p>
        </w:tc>
      </w:tr>
      <w:tr w:rsidR="00393915" w14:paraId="7FE1C72C" w14:textId="77777777">
        <w:trPr>
          <w:trHeight w:val="450"/>
        </w:trPr>
        <w:tc>
          <w:tcPr>
            <w:tcW w:w="1418" w:type="dxa"/>
            <w:shd w:val="clear" w:color="auto" w:fill="FFFFFF"/>
          </w:tcPr>
          <w:p w14:paraId="7FE1C728" w14:textId="77777777" w:rsidR="00393915" w:rsidRDefault="00F24D68">
            <w:pPr>
              <w:pStyle w:val="P68B1DB1-Normal62"/>
              <w:spacing w:before="120" w:after="120" w:line="276" w:lineRule="auto"/>
            </w:pPr>
            <w:r>
              <w:t>0020</w:t>
            </w:r>
          </w:p>
        </w:tc>
        <w:tc>
          <w:tcPr>
            <w:tcW w:w="7508" w:type="dxa"/>
            <w:shd w:val="clear" w:color="auto" w:fill="FFFFFF"/>
          </w:tcPr>
          <w:p w14:paraId="7FE1C729" w14:textId="77777777" w:rsidR="00393915" w:rsidRDefault="00F24D68">
            <w:pPr>
              <w:pStyle w:val="P68B1DB1-Normal65"/>
              <w:spacing w:line="276" w:lineRule="auto"/>
              <w:jc w:val="both"/>
            </w:pPr>
            <w:r>
              <w:rPr>
                <w:szCs w:val="20"/>
              </w:rPr>
              <w:t>Jedinstveni naziv usluge u skladu s taksonomijom banke</w:t>
            </w:r>
            <w:r>
              <w:t xml:space="preserve"> </w:t>
            </w:r>
          </w:p>
          <w:p w14:paraId="7FE1C72A" w14:textId="116A5810" w:rsidR="00393915" w:rsidRDefault="00F24D68">
            <w:pPr>
              <w:pStyle w:val="P68B1DB1-Normal64"/>
            </w:pPr>
            <w:r>
              <w:t xml:space="preserve">Naziv/kratak opis usluge u skladu s </w:t>
            </w:r>
            <w:r w:rsidR="005961E6">
              <w:t>o</w:t>
            </w:r>
            <w:r>
              <w:t>vlastit</w:t>
            </w:r>
            <w:r w:rsidR="005961E6">
              <w:t>o</w:t>
            </w:r>
            <w:r>
              <w:t>m</w:t>
            </w:r>
            <w:r w:rsidR="005961E6">
              <w:t>višeslojnom om</w:t>
            </w:r>
            <w:r>
              <w:t>taksonomij</w:t>
            </w:r>
            <w:r w:rsidR="005961E6">
              <w:t>om</w:t>
            </w:r>
            <w:r>
              <w:t xml:space="preserve"> (3. razina) banke kako je iskazano u</w:t>
            </w:r>
            <w:r w:rsidR="005961E6">
              <w:t xml:space="preserve"> predlošku</w:t>
            </w:r>
            <w:r>
              <w:t xml:space="preserve"> </w:t>
            </w:r>
            <w:r>
              <w:t xml:space="preserve">Z 08.01 (SERV 1) </w:t>
            </w:r>
            <w:r w:rsidR="005961E6">
              <w:t xml:space="preserve">stupcu 0020. </w:t>
            </w:r>
            <w:r>
              <w:t xml:space="preserve">Očekuje se </w:t>
            </w:r>
            <w:r w:rsidR="00316019">
              <w:t>ode</w:t>
            </w:r>
            <w:r w:rsidR="00316019">
              <w:t>od</w:t>
            </w:r>
            <w:r>
              <w:t xml:space="preserve"> bank</w:t>
            </w:r>
            <w:r w:rsidR="00316019">
              <w:t>e</w:t>
            </w:r>
            <w:r w:rsidR="00316019">
              <w:t xml:space="preserve"> da će</w:t>
            </w:r>
            <w:r>
              <w:t xml:space="preserve"> izvješćivati o uslugama na detaljnijoj razini od izvješća za 2. razinu (c0010</w:t>
            </w:r>
            <w:r>
              <w:t>)</w:t>
            </w:r>
            <w:r w:rsidR="000E4FD1">
              <w:t>,</w:t>
            </w:r>
            <w:r>
              <w:t xml:space="preserve"> kako bi se svaka pojedina usluga definirala na precizan i ciljani način.</w:t>
            </w:r>
          </w:p>
          <w:p w14:paraId="7FE1C72B" w14:textId="77777777" w:rsidR="00393915" w:rsidRDefault="00393915">
            <w:pPr>
              <w:spacing w:before="120" w:after="120" w:line="276" w:lineRule="auto"/>
              <w:rPr>
                <w:rFonts w:ascii="Times New Roman" w:hAnsi="Times New Roman"/>
                <w:sz w:val="20"/>
                <w:szCs w:val="20"/>
              </w:rPr>
            </w:pPr>
          </w:p>
        </w:tc>
      </w:tr>
      <w:tr w:rsidR="00393915" w14:paraId="7FE1C731" w14:textId="77777777">
        <w:trPr>
          <w:trHeight w:val="450"/>
        </w:trPr>
        <w:tc>
          <w:tcPr>
            <w:tcW w:w="1418" w:type="dxa"/>
            <w:shd w:val="clear" w:color="auto" w:fill="FFFFFF"/>
          </w:tcPr>
          <w:p w14:paraId="7FE1C72D" w14:textId="77777777" w:rsidR="00393915" w:rsidRDefault="00F24D68">
            <w:pPr>
              <w:pStyle w:val="P68B1DB1-Normal62"/>
              <w:spacing w:before="120" w:after="120" w:line="276" w:lineRule="auto"/>
            </w:pPr>
            <w:r>
              <w:t>0030 – 0040</w:t>
            </w:r>
          </w:p>
        </w:tc>
        <w:tc>
          <w:tcPr>
            <w:tcW w:w="7508" w:type="dxa"/>
            <w:shd w:val="clear" w:color="auto" w:fill="FFFFFF"/>
          </w:tcPr>
          <w:p w14:paraId="7FE1C72E" w14:textId="77777777" w:rsidR="00393915" w:rsidRDefault="00F24D68">
            <w:pPr>
              <w:pStyle w:val="P68B1DB1-Normal65"/>
              <w:spacing w:line="276" w:lineRule="auto"/>
              <w:jc w:val="both"/>
              <w:rPr>
                <w:bCs/>
              </w:rPr>
            </w:pPr>
            <w:r>
              <w:rPr>
                <w:szCs w:val="20"/>
              </w:rPr>
              <w:t>Ključna funkcija</w:t>
            </w:r>
            <w:r>
              <w:t xml:space="preserve"> </w:t>
            </w:r>
          </w:p>
          <w:p w14:paraId="7FE1C72F" w14:textId="77777777" w:rsidR="00393915" w:rsidRDefault="00F24D68">
            <w:pPr>
              <w:pStyle w:val="P68B1DB1-Normal64"/>
              <w:spacing w:line="276" w:lineRule="auto"/>
              <w:jc w:val="both"/>
            </w:pPr>
            <w:r>
              <w:t>Ključna funkcija čije bi izvršavanje trpjelo znatne prepreke ili bi bilo potpuno onemogućeno u slučaju prekida ključne usluge. To je jedna od funkcija koja je procijenjena kao ključna u predlošku Z 07.01 (FUNC 1).</w:t>
            </w:r>
          </w:p>
          <w:p w14:paraId="7FE1C730" w14:textId="77777777" w:rsidR="00393915" w:rsidRDefault="00393915">
            <w:pPr>
              <w:spacing w:line="276" w:lineRule="auto"/>
              <w:jc w:val="both"/>
              <w:rPr>
                <w:rFonts w:ascii="Times New Roman" w:hAnsi="Times New Roman"/>
                <w:sz w:val="20"/>
              </w:rPr>
            </w:pPr>
          </w:p>
        </w:tc>
      </w:tr>
      <w:tr w:rsidR="00393915" w14:paraId="7FE1C736" w14:textId="77777777">
        <w:trPr>
          <w:trHeight w:val="450"/>
        </w:trPr>
        <w:tc>
          <w:tcPr>
            <w:tcW w:w="1418" w:type="dxa"/>
            <w:shd w:val="clear" w:color="auto" w:fill="FFFFFF"/>
          </w:tcPr>
          <w:p w14:paraId="7FE1C732" w14:textId="77777777" w:rsidR="00393915" w:rsidRDefault="00F24D68">
            <w:pPr>
              <w:pStyle w:val="P68B1DB1-Normal64"/>
              <w:spacing w:before="120" w:after="120" w:line="276" w:lineRule="auto"/>
              <w:rPr>
                <w:szCs w:val="20"/>
              </w:rPr>
            </w:pPr>
            <w:r>
              <w:t>0030</w:t>
            </w:r>
          </w:p>
        </w:tc>
        <w:tc>
          <w:tcPr>
            <w:tcW w:w="7508" w:type="dxa"/>
            <w:shd w:val="clear" w:color="auto" w:fill="FFFFFF"/>
          </w:tcPr>
          <w:p w14:paraId="7FE1C733" w14:textId="77777777" w:rsidR="00393915" w:rsidRDefault="00F24D68">
            <w:pPr>
              <w:pStyle w:val="P68B1DB1-Normal65"/>
              <w:spacing w:line="276" w:lineRule="auto"/>
              <w:jc w:val="both"/>
              <w:rPr>
                <w:bCs/>
              </w:rPr>
            </w:pPr>
            <w:r>
              <w:t>Država</w:t>
            </w:r>
          </w:p>
          <w:p w14:paraId="7FE1C734" w14:textId="77777777" w:rsidR="00393915" w:rsidRDefault="00F24D68">
            <w:pPr>
              <w:pStyle w:val="P68B1DB1-Normal64"/>
              <w:spacing w:line="276" w:lineRule="auto"/>
              <w:jc w:val="both"/>
            </w:pPr>
            <w:r>
              <w:t>Država članica za koju je funkcija ključna, kako je iskazano u predlošku Z 07.01 (FUNC 1)</w:t>
            </w:r>
          </w:p>
          <w:p w14:paraId="7FE1C735" w14:textId="77777777" w:rsidR="00393915" w:rsidRDefault="00393915">
            <w:pPr>
              <w:spacing w:line="276" w:lineRule="auto"/>
              <w:jc w:val="both"/>
              <w:rPr>
                <w:rFonts w:ascii="Times New Roman" w:hAnsi="Times New Roman"/>
                <w:sz w:val="20"/>
              </w:rPr>
            </w:pPr>
          </w:p>
        </w:tc>
      </w:tr>
      <w:tr w:rsidR="00393915" w14:paraId="7FE1C73B" w14:textId="77777777">
        <w:trPr>
          <w:trHeight w:val="450"/>
        </w:trPr>
        <w:tc>
          <w:tcPr>
            <w:tcW w:w="1418" w:type="dxa"/>
            <w:shd w:val="clear" w:color="auto" w:fill="FFFFFF"/>
          </w:tcPr>
          <w:p w14:paraId="7FE1C737" w14:textId="77777777" w:rsidR="00393915" w:rsidRDefault="00F24D68">
            <w:pPr>
              <w:pStyle w:val="P68B1DB1-Normal64"/>
              <w:spacing w:before="120" w:after="120" w:line="276" w:lineRule="auto"/>
              <w:rPr>
                <w:szCs w:val="20"/>
              </w:rPr>
            </w:pPr>
            <w:r>
              <w:t>0040</w:t>
            </w:r>
          </w:p>
        </w:tc>
        <w:tc>
          <w:tcPr>
            <w:tcW w:w="7508" w:type="dxa"/>
            <w:shd w:val="clear" w:color="auto" w:fill="FFFFFF"/>
          </w:tcPr>
          <w:p w14:paraId="7FE1C738" w14:textId="223D1273" w:rsidR="00393915" w:rsidRDefault="00A901C2">
            <w:pPr>
              <w:pStyle w:val="P68B1DB1-Normal65"/>
              <w:spacing w:line="276" w:lineRule="auto"/>
              <w:jc w:val="both"/>
              <w:rPr>
                <w:bCs/>
              </w:rPr>
            </w:pPr>
            <w:r>
              <w:t>Iaoznaka</w:t>
            </w:r>
            <w:r>
              <w:t>Identifikacijska oznaka</w:t>
            </w:r>
          </w:p>
          <w:p w14:paraId="7FE1C739" w14:textId="77777777" w:rsidR="00393915" w:rsidRDefault="00F24D68">
            <w:pPr>
              <w:pStyle w:val="P68B1DB1-Normal64"/>
              <w:spacing w:line="276" w:lineRule="auto"/>
              <w:jc w:val="both"/>
            </w:pPr>
            <w:r>
              <w:t>Identifikacijska oznaka ključnih funkcija kako su prethodno utvrđene u poglavlju 2.7.1.4. i na koje se upućuje u predlošku Z 07.01 (FUNC 1)</w:t>
            </w:r>
          </w:p>
          <w:p w14:paraId="7FE1C73A" w14:textId="77777777" w:rsidR="00393915" w:rsidRDefault="00393915">
            <w:pPr>
              <w:spacing w:line="276" w:lineRule="auto"/>
              <w:jc w:val="both"/>
              <w:rPr>
                <w:rFonts w:ascii="Times New Roman" w:hAnsi="Times New Roman"/>
                <w:sz w:val="20"/>
              </w:rPr>
            </w:pPr>
          </w:p>
        </w:tc>
      </w:tr>
    </w:tbl>
    <w:p w14:paraId="7FE1C746" w14:textId="77777777" w:rsidR="00393915" w:rsidRDefault="00393915">
      <w:pPr>
        <w:rPr>
          <w:rFonts w:ascii="Times New Roman" w:hAnsi="Times New Roman" w:cs="Times New Roman"/>
        </w:rPr>
      </w:pPr>
    </w:p>
    <w:p w14:paraId="7FE1C747" w14:textId="77777777" w:rsidR="00393915" w:rsidRDefault="00393915">
      <w:pPr>
        <w:pStyle w:val="Instructionsberschrift2"/>
        <w:rPr>
          <w:rFonts w:ascii="Times New Roman" w:eastAsia="Calibri" w:hAnsi="Times New Roman" w:cs="Times New Roman"/>
          <w:szCs w:val="20"/>
        </w:rPr>
      </w:pPr>
    </w:p>
    <w:p w14:paraId="7FE1C748" w14:textId="3657926F" w:rsidR="00393915" w:rsidRDefault="00F24D68">
      <w:pPr>
        <w:pStyle w:val="P68B1DB1-Instructionsberschrift25"/>
        <w:numPr>
          <w:ilvl w:val="1"/>
          <w:numId w:val="49"/>
        </w:numPr>
        <w:ind w:left="357" w:hanging="357"/>
        <w:rPr>
          <w:rFonts w:eastAsia="Calibri"/>
          <w:szCs w:val="20"/>
        </w:rPr>
      </w:pPr>
      <w:bookmarkStart w:id="135" w:name="_Toc208244822"/>
      <w:r>
        <w:t xml:space="preserve">Predložak Z 08.05 – Osnovne usluge – </w:t>
      </w:r>
      <w:r w:rsidR="00C97EA9">
        <w:t xml:space="preserve">mapiranje </w:t>
      </w:r>
      <w:r>
        <w:t>temeljn</w:t>
      </w:r>
      <w:r w:rsidR="004322EF">
        <w:t>ih</w:t>
      </w:r>
      <w:r>
        <w:t xml:space="preserve"> linij</w:t>
      </w:r>
      <w:r w:rsidR="004322EF">
        <w:t>a</w:t>
      </w:r>
      <w:r>
        <w:t xml:space="preserve"> poslovanja</w:t>
      </w:r>
      <w:r>
        <w:t xml:space="preserve"> (SERV 5)</w:t>
      </w:r>
      <w:bookmarkEnd w:id="135"/>
    </w:p>
    <w:p w14:paraId="7FE1C749" w14:textId="77777777" w:rsidR="00393915" w:rsidRDefault="00F24D68">
      <w:pPr>
        <w:pStyle w:val="P68B1DB1-Normal70"/>
        <w:spacing w:line="276" w:lineRule="auto"/>
        <w:jc w:val="both"/>
        <w:rPr>
          <w:sz w:val="20"/>
          <w:szCs w:val="20"/>
        </w:rPr>
      </w:pPr>
      <w:r>
        <w:t>Upute za specifične pozicije</w:t>
      </w:r>
    </w:p>
    <w:p w14:paraId="7FE1C74A" w14:textId="030FE9F5" w:rsidR="00393915" w:rsidRDefault="00F24D68">
      <w:pPr>
        <w:pStyle w:val="P68B1DB1-Instructionsberschrift368"/>
        <w:numPr>
          <w:ilvl w:val="2"/>
          <w:numId w:val="210"/>
        </w:numPr>
        <w:ind w:left="1418"/>
        <w:contextualSpacing/>
        <w:jc w:val="both"/>
      </w:pPr>
      <w:r>
        <w:t xml:space="preserve">Informacije koje se moraju uključiti u ovom predlošku iskazuju se jednom za cijelu grupu, njima se navode </w:t>
      </w:r>
      <w:r w:rsidR="00A655E2">
        <w:t xml:space="preserve">osnovne </w:t>
      </w:r>
      <w:r>
        <w:t xml:space="preserve">usluge koje prima bilo koji subjekt u grupi i povezuje ih se s </w:t>
      </w:r>
      <w:r w:rsidR="00E41BC6">
        <w:t xml:space="preserve">temeljnim </w:t>
      </w:r>
      <w:r w:rsidR="00E41BC6">
        <w:t xml:space="preserve">poslovnim </w:t>
      </w:r>
      <w:r w:rsidR="00E41BC6">
        <w:t>linijama</w:t>
      </w:r>
      <w:r>
        <w:t xml:space="preserve"> </w:t>
      </w:r>
      <w:r w:rsidR="004322EF">
        <w:t>poslovanja</w:t>
      </w:r>
      <w:r>
        <w:t xml:space="preserve"> </w:t>
      </w:r>
      <w:r>
        <w:t>koje pruža grupa.</w:t>
      </w:r>
    </w:p>
    <w:p w14:paraId="7FE1C74B" w14:textId="77777777" w:rsidR="00393915" w:rsidRDefault="00F24D68">
      <w:pPr>
        <w:pStyle w:val="P68B1DB1-Instructionsberschrift368"/>
        <w:numPr>
          <w:ilvl w:val="2"/>
          <w:numId w:val="210"/>
        </w:numPr>
        <w:ind w:left="1418"/>
        <w:contextualSpacing/>
        <w:jc w:val="both"/>
      </w:pPr>
      <w:r>
        <w:t>Vrijednosti iskazane u stupcima 0010, 0020 i 0040 ovog predloška čine primarni ključ, koji mora biti jedinstven za svaki redak predloška.</w:t>
      </w:r>
    </w:p>
    <w:p w14:paraId="7FE1C74C" w14:textId="77777777" w:rsidR="00393915" w:rsidRDefault="00393915">
      <w:pPr>
        <w:rPr>
          <w:rFonts w:ascii="Times New Roman" w:hAnsi="Times New Roman" w:cs="Times New Roman"/>
        </w:rPr>
      </w:pPr>
    </w:p>
    <w:tbl>
      <w:tblPr>
        <w:tblStyle w:val="TableGrid13"/>
        <w:tblW w:w="9067" w:type="dxa"/>
        <w:tblLook w:val="04A0" w:firstRow="1" w:lastRow="0" w:firstColumn="1" w:lastColumn="0" w:noHBand="0" w:noVBand="1"/>
      </w:tblPr>
      <w:tblGrid>
        <w:gridCol w:w="1418"/>
        <w:gridCol w:w="7649"/>
      </w:tblGrid>
      <w:tr w:rsidR="00393915" w14:paraId="7FE1C74F" w14:textId="77777777">
        <w:trPr>
          <w:trHeight w:val="644"/>
          <w:tblHeader/>
        </w:trPr>
        <w:tc>
          <w:tcPr>
            <w:tcW w:w="1418" w:type="dxa"/>
            <w:shd w:val="clear" w:color="auto" w:fill="E7E6E6"/>
          </w:tcPr>
          <w:p w14:paraId="7FE1C74D" w14:textId="77777777" w:rsidR="00393915" w:rsidRDefault="00F24D68">
            <w:pPr>
              <w:pStyle w:val="P68B1DB1-Normal61"/>
              <w:spacing w:before="120" w:after="120" w:line="276" w:lineRule="auto"/>
            </w:pPr>
            <w:r>
              <w:t>Stupci</w:t>
            </w:r>
          </w:p>
        </w:tc>
        <w:tc>
          <w:tcPr>
            <w:tcW w:w="7649" w:type="dxa"/>
            <w:shd w:val="clear" w:color="auto" w:fill="E7E6E6"/>
          </w:tcPr>
          <w:p w14:paraId="7FE1C74E" w14:textId="77777777" w:rsidR="00393915" w:rsidRDefault="00F24D68">
            <w:pPr>
              <w:pStyle w:val="P68B1DB1-Normal61"/>
              <w:spacing w:before="120" w:after="120" w:line="276" w:lineRule="auto"/>
            </w:pPr>
            <w:r>
              <w:t>Upute</w:t>
            </w:r>
          </w:p>
        </w:tc>
      </w:tr>
      <w:tr w:rsidR="00393915" w14:paraId="7FE1C754" w14:textId="77777777">
        <w:trPr>
          <w:trHeight w:val="450"/>
        </w:trPr>
        <w:tc>
          <w:tcPr>
            <w:tcW w:w="1418" w:type="dxa"/>
            <w:shd w:val="clear" w:color="auto" w:fill="FFFFFF"/>
          </w:tcPr>
          <w:p w14:paraId="7FE1C750" w14:textId="77777777" w:rsidR="00393915" w:rsidRDefault="00F24D68">
            <w:pPr>
              <w:pStyle w:val="P68B1DB1-Normal62"/>
              <w:spacing w:before="120" w:after="120" w:line="276" w:lineRule="auto"/>
            </w:pPr>
            <w:r>
              <w:t>0005</w:t>
            </w:r>
          </w:p>
        </w:tc>
        <w:tc>
          <w:tcPr>
            <w:tcW w:w="7649" w:type="dxa"/>
            <w:shd w:val="clear" w:color="auto" w:fill="FFFFFF"/>
          </w:tcPr>
          <w:p w14:paraId="7FE1C751" w14:textId="148F0152" w:rsidR="00393915" w:rsidRDefault="00F24D68">
            <w:pPr>
              <w:pStyle w:val="P68B1DB1-Normal61"/>
              <w:spacing w:before="120" w:after="120" w:line="276" w:lineRule="auto"/>
            </w:pPr>
            <w:r>
              <w:t xml:space="preserve">Identifikator usluge </w:t>
            </w:r>
          </w:p>
          <w:p w14:paraId="7FE1C752" w14:textId="77777777" w:rsidR="00393915" w:rsidRDefault="00F24D68">
            <w:pPr>
              <w:pStyle w:val="P68B1DB1-Normal62"/>
              <w:spacing w:before="120" w:after="120" w:line="276" w:lineRule="auto"/>
            </w:pPr>
            <w:r>
              <w:t>Upotrijebiti identifikacijsku oznaku usluge kako je navedena u predlošku Z 08.01 (SERV 1).</w:t>
            </w:r>
          </w:p>
          <w:p w14:paraId="7FE1C753" w14:textId="77777777" w:rsidR="00393915" w:rsidRDefault="00F24D68">
            <w:pPr>
              <w:pStyle w:val="P68B1DB1-Normal62"/>
              <w:spacing w:before="120" w:after="120" w:line="276" w:lineRule="auto"/>
              <w:rPr>
                <w:i/>
              </w:rPr>
            </w:pPr>
            <w:r>
              <w:t>Identifikacijska oznaka usluge odnosi se na uslugu navedenu pod c0020.</w:t>
            </w:r>
          </w:p>
        </w:tc>
      </w:tr>
      <w:tr w:rsidR="00393915" w14:paraId="7FE1C798" w14:textId="77777777">
        <w:trPr>
          <w:trHeight w:val="450"/>
        </w:trPr>
        <w:tc>
          <w:tcPr>
            <w:tcW w:w="1418" w:type="dxa"/>
            <w:shd w:val="clear" w:color="auto" w:fill="FFFFFF"/>
          </w:tcPr>
          <w:p w14:paraId="7FE1C755" w14:textId="77777777" w:rsidR="00393915" w:rsidRDefault="00F24D68">
            <w:pPr>
              <w:pStyle w:val="P68B1DB1-Normal62"/>
              <w:spacing w:before="120" w:after="120" w:line="276" w:lineRule="auto"/>
            </w:pPr>
            <w:r>
              <w:t>0010</w:t>
            </w:r>
          </w:p>
        </w:tc>
        <w:tc>
          <w:tcPr>
            <w:tcW w:w="7649" w:type="dxa"/>
            <w:shd w:val="clear" w:color="auto" w:fill="FFFFFF"/>
          </w:tcPr>
          <w:p w14:paraId="7FE1C756" w14:textId="77777777" w:rsidR="00393915" w:rsidRDefault="00F24D68">
            <w:pPr>
              <w:pStyle w:val="P68B1DB1-Normal61"/>
              <w:autoSpaceDE w:val="0"/>
              <w:autoSpaceDN w:val="0"/>
              <w:adjustRightInd w:val="0"/>
              <w:rPr>
                <w:rFonts w:eastAsia="MS Mincho"/>
                <w:bCs/>
              </w:rPr>
            </w:pPr>
            <w:r>
              <w:t xml:space="preserve">Vrsta usluge </w:t>
            </w:r>
          </w:p>
          <w:p w14:paraId="7FE1C757" w14:textId="15BF69BF" w:rsidR="00393915" w:rsidRDefault="00F24D68">
            <w:pPr>
              <w:pStyle w:val="P68B1DB1-Normal63"/>
              <w:autoSpaceDE w:val="0"/>
              <w:autoSpaceDN w:val="0"/>
              <w:adjustRightInd w:val="0"/>
            </w:pPr>
            <w:r>
              <w:t xml:space="preserve">Vrsta usluge mora biti jedna od vrsta usluga navedenih u prethodno navedenom predlošku Z 08.01 0010. </w:t>
            </w:r>
          </w:p>
          <w:p w14:paraId="7FE1C797" w14:textId="77777777" w:rsidR="00393915" w:rsidRDefault="00393915">
            <w:pPr>
              <w:autoSpaceDE w:val="0"/>
              <w:autoSpaceDN w:val="0"/>
              <w:adjustRightInd w:val="0"/>
              <w:rPr>
                <w:rFonts w:ascii="Times New Roman" w:hAnsi="Times New Roman"/>
                <w:sz w:val="20"/>
                <w:szCs w:val="20"/>
              </w:rPr>
            </w:pPr>
          </w:p>
        </w:tc>
      </w:tr>
      <w:tr w:rsidR="00393915" w14:paraId="7FE1C79D" w14:textId="77777777">
        <w:trPr>
          <w:trHeight w:val="450"/>
        </w:trPr>
        <w:tc>
          <w:tcPr>
            <w:tcW w:w="1418" w:type="dxa"/>
            <w:shd w:val="clear" w:color="auto" w:fill="FFFFFF"/>
          </w:tcPr>
          <w:p w14:paraId="7FE1C799" w14:textId="77777777" w:rsidR="00393915" w:rsidRDefault="00F24D68">
            <w:pPr>
              <w:pStyle w:val="P68B1DB1-Normal62"/>
              <w:spacing w:before="120" w:after="120" w:line="276" w:lineRule="auto"/>
            </w:pPr>
            <w:r>
              <w:t>0020</w:t>
            </w:r>
          </w:p>
        </w:tc>
        <w:tc>
          <w:tcPr>
            <w:tcW w:w="7649" w:type="dxa"/>
            <w:shd w:val="clear" w:color="auto" w:fill="FFFFFF"/>
          </w:tcPr>
          <w:p w14:paraId="7FE1C79A" w14:textId="77777777" w:rsidR="00393915" w:rsidRDefault="00F24D68">
            <w:pPr>
              <w:pStyle w:val="P68B1DB1-Normal65"/>
              <w:spacing w:line="276" w:lineRule="auto"/>
              <w:jc w:val="both"/>
            </w:pPr>
            <w:r>
              <w:rPr>
                <w:szCs w:val="20"/>
              </w:rPr>
              <w:t>Jedinstveni naziv usluge u skladu s taksonomijom banke</w:t>
            </w:r>
            <w:r>
              <w:t xml:space="preserve"> </w:t>
            </w:r>
          </w:p>
          <w:p w14:paraId="7FE1C79B" w14:textId="7B89430E" w:rsidR="00393915" w:rsidRDefault="00F24D68">
            <w:pPr>
              <w:pStyle w:val="P68B1DB1-Normal64"/>
            </w:pPr>
            <w:r>
              <w:t xml:space="preserve">Naziv/kratak opis usluge u skladu s </w:t>
            </w:r>
            <w:r w:rsidR="007D124B">
              <w:t>o</w:t>
            </w:r>
            <w:r>
              <w:t>vlastit</w:t>
            </w:r>
            <w:r w:rsidR="007D124B">
              <w:t>o</w:t>
            </w:r>
            <w:r>
              <w:t>m</w:t>
            </w:r>
            <w:r w:rsidR="007D124B">
              <w:t>višeslojnom om</w:t>
            </w:r>
            <w:r>
              <w:t>taksonomij</w:t>
            </w:r>
            <w:r w:rsidR="007D124B">
              <w:t>om</w:t>
            </w:r>
            <w:r>
              <w:t xml:space="preserve"> (3. razina) banke kako je iskazano u </w:t>
            </w:r>
            <w:r w:rsidR="00BF3D82">
              <w:t xml:space="preserve">predlošku </w:t>
            </w:r>
            <w:r>
              <w:t xml:space="preserve">Z 08.01 (SERV 1) </w:t>
            </w:r>
            <w:r w:rsidR="00BF3D82">
              <w:t xml:space="preserve">stupcu 0020. </w:t>
            </w:r>
            <w:r>
              <w:t xml:space="preserve">Očekuje se </w:t>
            </w:r>
            <w:r w:rsidR="002B67DB">
              <w:t>od</w:t>
            </w:r>
            <w:r w:rsidR="002B67DB">
              <w:t>od</w:t>
            </w:r>
            <w:r>
              <w:t xml:space="preserve"> bank</w:t>
            </w:r>
            <w:r w:rsidR="002B67DB">
              <w:t>e da će</w:t>
            </w:r>
            <w:r w:rsidR="002B67DB">
              <w:t>će</w:t>
            </w:r>
            <w:r>
              <w:t xml:space="preserve"> izvješćivati o uslugama na detaljnijoj razini od izvješća za 2. razinu (c0010</w:t>
            </w:r>
            <w:r>
              <w:t>)</w:t>
            </w:r>
            <w:r w:rsidR="0039047C">
              <w:t>,</w:t>
            </w:r>
            <w:r>
              <w:t xml:space="preserve"> kako bi se svaka pojedina usluga definirala na precizan i ciljani način.</w:t>
            </w:r>
          </w:p>
          <w:p w14:paraId="7FE1C79C" w14:textId="77777777" w:rsidR="00393915" w:rsidRDefault="00393915">
            <w:pPr>
              <w:spacing w:before="120" w:after="120" w:line="276" w:lineRule="auto"/>
              <w:rPr>
                <w:rFonts w:ascii="Times New Roman" w:hAnsi="Times New Roman"/>
                <w:sz w:val="20"/>
                <w:szCs w:val="20"/>
              </w:rPr>
            </w:pPr>
          </w:p>
        </w:tc>
      </w:tr>
      <w:tr w:rsidR="00393915" w14:paraId="7FE1C7A2" w14:textId="77777777">
        <w:trPr>
          <w:trHeight w:val="450"/>
        </w:trPr>
        <w:tc>
          <w:tcPr>
            <w:tcW w:w="1418" w:type="dxa"/>
            <w:shd w:val="clear" w:color="auto" w:fill="FFFFFF"/>
          </w:tcPr>
          <w:p w14:paraId="7FE1C79E" w14:textId="77777777" w:rsidR="00393915" w:rsidRDefault="00F24D68">
            <w:pPr>
              <w:pStyle w:val="P68B1DB1-Normal64"/>
              <w:spacing w:before="120" w:after="120" w:line="276" w:lineRule="auto"/>
              <w:rPr>
                <w:szCs w:val="20"/>
              </w:rPr>
            </w:pPr>
            <w:r>
              <w:t>0030 – 0040</w:t>
            </w:r>
          </w:p>
        </w:tc>
        <w:tc>
          <w:tcPr>
            <w:tcW w:w="7649" w:type="dxa"/>
            <w:shd w:val="clear" w:color="auto" w:fill="FFFFFF"/>
          </w:tcPr>
          <w:p w14:paraId="7FE1C79F" w14:textId="6BA319E3" w:rsidR="00393915" w:rsidRDefault="00F24D68">
            <w:pPr>
              <w:pStyle w:val="P68B1DB1-Normal65"/>
              <w:spacing w:line="276" w:lineRule="auto"/>
              <w:jc w:val="both"/>
            </w:pPr>
            <w:r>
              <w:rPr>
                <w:szCs w:val="20"/>
              </w:rPr>
              <w:t xml:space="preserve">Temeljna </w:t>
            </w:r>
            <w:r w:rsidR="000E4FD1">
              <w:rPr>
                <w:szCs w:val="20"/>
              </w:rPr>
              <w:t>linija</w:t>
            </w:r>
            <w:r>
              <w:t xml:space="preserve"> </w:t>
            </w:r>
          </w:p>
          <w:p w14:paraId="7FE1C7A0" w14:textId="04C1BBA3" w:rsidR="00393915" w:rsidRDefault="00F24D68">
            <w:pPr>
              <w:pStyle w:val="P68B1DB1-Normal67"/>
              <w:spacing w:line="276" w:lineRule="auto"/>
              <w:jc w:val="both"/>
              <w:rPr>
                <w:sz w:val="20"/>
              </w:rPr>
            </w:pPr>
            <w:r>
              <w:rPr>
                <w:sz w:val="20"/>
              </w:rPr>
              <w:t xml:space="preserve">Temeljna </w:t>
            </w:r>
            <w:r w:rsidR="000E4FD1">
              <w:rPr>
                <w:sz w:val="20"/>
              </w:rPr>
              <w:t>linija</w:t>
            </w:r>
            <w:r>
              <w:rPr>
                <w:sz w:val="20"/>
              </w:rPr>
              <w:t xml:space="preserve"> u skladu s člankom 2. stavkom 1. točkom 36. i člankom 2. stavkom 2. Direktive 2016/778.</w:t>
            </w:r>
            <w:r>
              <w:t xml:space="preserve"> </w:t>
            </w:r>
          </w:p>
          <w:p w14:paraId="7FE1C7A1" w14:textId="77777777" w:rsidR="00393915" w:rsidRDefault="00393915">
            <w:pPr>
              <w:spacing w:line="276" w:lineRule="auto"/>
              <w:jc w:val="both"/>
              <w:rPr>
                <w:rFonts w:ascii="Times New Roman" w:hAnsi="Times New Roman"/>
                <w:sz w:val="20"/>
              </w:rPr>
            </w:pPr>
          </w:p>
        </w:tc>
      </w:tr>
      <w:tr w:rsidR="00393915" w14:paraId="7FE1C7A7" w14:textId="77777777">
        <w:trPr>
          <w:trHeight w:val="450"/>
        </w:trPr>
        <w:tc>
          <w:tcPr>
            <w:tcW w:w="1418" w:type="dxa"/>
            <w:shd w:val="clear" w:color="auto" w:fill="FFFFFF"/>
          </w:tcPr>
          <w:p w14:paraId="7FE1C7A3" w14:textId="77777777" w:rsidR="00393915" w:rsidRDefault="00F24D68">
            <w:pPr>
              <w:pStyle w:val="P68B1DB1-Normal64"/>
              <w:spacing w:before="120" w:after="120" w:line="276" w:lineRule="auto"/>
              <w:rPr>
                <w:szCs w:val="20"/>
              </w:rPr>
            </w:pPr>
            <w:r>
              <w:t>0030</w:t>
            </w:r>
          </w:p>
        </w:tc>
        <w:tc>
          <w:tcPr>
            <w:tcW w:w="7649" w:type="dxa"/>
            <w:shd w:val="clear" w:color="auto" w:fill="FFFFFF"/>
          </w:tcPr>
          <w:p w14:paraId="7FE1C7A4" w14:textId="77777777" w:rsidR="00393915" w:rsidRDefault="00F24D68">
            <w:pPr>
              <w:pStyle w:val="P68B1DB1-Normal65"/>
              <w:spacing w:line="276" w:lineRule="auto"/>
              <w:jc w:val="both"/>
              <w:rPr>
                <w:bCs/>
              </w:rPr>
            </w:pPr>
            <w:r>
              <w:t>Naziv</w:t>
            </w:r>
          </w:p>
          <w:p w14:paraId="7FE1C7A5" w14:textId="428ECAF9" w:rsidR="00393915" w:rsidRDefault="00F24D68">
            <w:pPr>
              <w:pStyle w:val="P68B1DB1-Normal64"/>
              <w:jc w:val="both"/>
            </w:pPr>
            <w:r>
              <w:t xml:space="preserve">Jedna je od temeljnih </w:t>
            </w:r>
            <w:r w:rsidR="006414B3">
              <w:t>linija</w:t>
            </w:r>
            <w:r>
              <w:t xml:space="preserve"> iskazanih u predlošku Z 07.03 0010.</w:t>
            </w:r>
          </w:p>
          <w:p w14:paraId="7FE1C7A6" w14:textId="77777777" w:rsidR="00393915" w:rsidRDefault="00393915">
            <w:pPr>
              <w:spacing w:line="276" w:lineRule="auto"/>
              <w:jc w:val="both"/>
              <w:rPr>
                <w:rFonts w:ascii="Times New Roman" w:hAnsi="Times New Roman"/>
                <w:sz w:val="20"/>
              </w:rPr>
            </w:pPr>
          </w:p>
        </w:tc>
      </w:tr>
      <w:tr w:rsidR="00393915" w14:paraId="7FE1C7AD" w14:textId="77777777">
        <w:trPr>
          <w:trHeight w:val="450"/>
        </w:trPr>
        <w:tc>
          <w:tcPr>
            <w:tcW w:w="1418" w:type="dxa"/>
            <w:shd w:val="clear" w:color="auto" w:fill="FFFFFF"/>
          </w:tcPr>
          <w:p w14:paraId="7FE1C7A8" w14:textId="77777777" w:rsidR="00393915" w:rsidRDefault="00F24D68">
            <w:pPr>
              <w:pStyle w:val="P68B1DB1-Normal64"/>
              <w:spacing w:before="120" w:after="120" w:line="276" w:lineRule="auto"/>
              <w:rPr>
                <w:szCs w:val="20"/>
              </w:rPr>
            </w:pPr>
            <w:r>
              <w:t>0040</w:t>
            </w:r>
          </w:p>
        </w:tc>
        <w:tc>
          <w:tcPr>
            <w:tcW w:w="7649" w:type="dxa"/>
            <w:shd w:val="clear" w:color="auto" w:fill="FFFFFF"/>
          </w:tcPr>
          <w:p w14:paraId="7FE1C7A9" w14:textId="07195535" w:rsidR="00393915" w:rsidRDefault="00D743C2">
            <w:pPr>
              <w:pStyle w:val="P68B1DB1-Normal65"/>
              <w:spacing w:line="276" w:lineRule="auto"/>
              <w:jc w:val="both"/>
              <w:rPr>
                <w:bCs/>
              </w:rPr>
            </w:pPr>
            <w:r>
              <w:t>Ia</w:t>
            </w:r>
            <w:r>
              <w:t>Identifikacijska</w:t>
            </w:r>
            <w:r>
              <w:t xml:space="preserve"> oznaka</w:t>
            </w:r>
          </w:p>
          <w:p w14:paraId="7FE1C7AA" w14:textId="31916088" w:rsidR="00393915" w:rsidRDefault="00F24D68">
            <w:pPr>
              <w:pStyle w:val="P68B1DB1-Normal64"/>
              <w:spacing w:line="276" w:lineRule="auto"/>
              <w:jc w:val="both"/>
            </w:pPr>
            <w:r>
              <w:t xml:space="preserve">Identifikacijska oznaka temeljnih </w:t>
            </w:r>
            <w:r w:rsidR="00783045">
              <w:t>linija</w:t>
            </w:r>
            <w:r>
              <w:t xml:space="preserve"> čiji je kontinuitet nužan za učinkovitu provedbu sanacijske strategije i svako posljedično restrukturiranje. Jedna je od identifikacijskih oznaka iskazanih u predlošku Z 07.03 0020. </w:t>
            </w:r>
          </w:p>
          <w:p w14:paraId="7FE1C7AB" w14:textId="77777777" w:rsidR="00393915" w:rsidRDefault="00393915">
            <w:pPr>
              <w:spacing w:line="276" w:lineRule="auto"/>
              <w:jc w:val="both"/>
              <w:rPr>
                <w:rFonts w:ascii="Times New Roman" w:hAnsi="Times New Roman"/>
                <w:sz w:val="20"/>
              </w:rPr>
            </w:pPr>
          </w:p>
          <w:p w14:paraId="7FE1C7AC" w14:textId="77777777" w:rsidR="00393915" w:rsidRDefault="00393915">
            <w:pPr>
              <w:spacing w:line="276" w:lineRule="auto"/>
              <w:jc w:val="both"/>
              <w:rPr>
                <w:rFonts w:ascii="Times New Roman" w:hAnsi="Times New Roman"/>
                <w:sz w:val="20"/>
              </w:rPr>
            </w:pPr>
          </w:p>
        </w:tc>
      </w:tr>
    </w:tbl>
    <w:p w14:paraId="7FE1C7B8" w14:textId="77777777" w:rsidR="00393915" w:rsidRDefault="00393915">
      <w:pPr>
        <w:rPr>
          <w:rFonts w:ascii="Times New Roman" w:hAnsi="Times New Roman" w:cs="Times New Roman"/>
        </w:rPr>
      </w:pPr>
    </w:p>
    <w:p w14:paraId="7FE1C7B9" w14:textId="77777777" w:rsidR="00393915" w:rsidRDefault="00393915">
      <w:pPr>
        <w:pStyle w:val="Instructionsberschrift2"/>
        <w:rPr>
          <w:rFonts w:ascii="Times New Roman" w:eastAsia="Calibri" w:hAnsi="Times New Roman" w:cs="Times New Roman"/>
          <w:szCs w:val="20"/>
        </w:rPr>
      </w:pPr>
    </w:p>
    <w:p w14:paraId="7FE1C7BA" w14:textId="31311600" w:rsidR="00393915" w:rsidRDefault="00F24D68">
      <w:pPr>
        <w:pStyle w:val="P68B1DB1-Instructionsberschrift271"/>
        <w:numPr>
          <w:ilvl w:val="1"/>
          <w:numId w:val="49"/>
        </w:numPr>
        <w:ind w:left="357" w:hanging="357"/>
      </w:pPr>
      <w:bookmarkStart w:id="136" w:name="_Toc208244823"/>
      <w:r>
        <w:t xml:space="preserve">Usluge </w:t>
      </w:r>
      <w:bookmarkEnd w:id="136"/>
      <w:r w:rsidR="00FC74F4">
        <w:t>infrastruktura</w:t>
      </w:r>
      <w:r w:rsidR="00FC74F4">
        <w:t>infrastruktura</w:t>
      </w:r>
      <w:r w:rsidR="00FC74F4">
        <w:t xml:space="preserve"> financijskih tržišta</w:t>
      </w:r>
      <w:r w:rsidR="00B069CA">
        <w:t xml:space="preserve"> (engl. FMI)</w:t>
      </w:r>
    </w:p>
    <w:p w14:paraId="7FE1C7BC" w14:textId="227D5127" w:rsidR="00393915" w:rsidRDefault="00F24D68">
      <w:pPr>
        <w:pStyle w:val="P68B1DB1-Numberedtitlelevel372"/>
      </w:pPr>
      <w:r>
        <w:t>Opće napomene</w:t>
      </w:r>
    </w:p>
    <w:p w14:paraId="7FE1C7BD" w14:textId="4325DA9D" w:rsidR="00393915" w:rsidRDefault="0021376F">
      <w:pPr>
        <w:pStyle w:val="P68B1DB1-InstructionsText26"/>
        <w:numPr>
          <w:ilvl w:val="2"/>
          <w:numId w:val="209"/>
        </w:numPr>
        <w:spacing w:before="0"/>
        <w:ind w:left="1276"/>
      </w:pPr>
      <w:r>
        <w:t>Izvijestiti</w:t>
      </w:r>
      <w:r w:rsidR="00F24D68">
        <w:t xml:space="preserve"> o svim izravnim i neizravnim pristupom infrastrukturama financijskog tržišta i sustavima iz stupca 0040 u nastavku. Ovaj predložak iskazuje se jednom za cijelu instituciju ili grupu.</w:t>
      </w:r>
    </w:p>
    <w:p w14:paraId="7FE1C7BE" w14:textId="2AC7024E" w:rsidR="00393915" w:rsidRDefault="00EA27BF">
      <w:pPr>
        <w:pStyle w:val="P68B1DB1-InstructionsText26"/>
        <w:numPr>
          <w:ilvl w:val="2"/>
          <w:numId w:val="209"/>
        </w:numPr>
        <w:spacing w:before="0"/>
        <w:ind w:left="1276"/>
      </w:pPr>
      <w:r>
        <w:lastRenderedPageBreak/>
        <w:t>Izvijestiti j</w:t>
      </w:r>
      <w:r>
        <w:t>j</w:t>
      </w:r>
      <w:r w:rsidR="00F24D68">
        <w:t>edan</w:t>
      </w:r>
      <w:r w:rsidR="00F24D68">
        <w:t xml:space="preserve"> obrazac za instituciju ili grupu. Svaki relevantni pravni subjekt koji izravno ili neizravno pristupa infrastrukturi financijskog tržišta posebno se prijavljuje kao korisnik. Izvješćuje se i o odnosima unutar grupe i o odnosima s trećim stranama.</w:t>
      </w:r>
    </w:p>
    <w:p w14:paraId="7FE1C7BF" w14:textId="5CCDA51A" w:rsidR="00393915" w:rsidRDefault="00F24D68">
      <w:pPr>
        <w:pStyle w:val="P68B1DB1-ListParagraph32"/>
        <w:numPr>
          <w:ilvl w:val="2"/>
          <w:numId w:val="209"/>
        </w:numPr>
        <w:ind w:left="1276"/>
      </w:pPr>
      <w:r>
        <w:t>Kombinacija vrijednosti iskazanih u stupcima 0030, 0040, 0070 i 0110 ovog predloška čini primarni ključ koji mora biti jedinstven za svaki redak predloška i iskazan je kao prva stupac svakog predloška.</w:t>
      </w:r>
    </w:p>
    <w:p w14:paraId="7FE1C7C0" w14:textId="77777777" w:rsidR="00393915" w:rsidRDefault="00393915">
      <w:pPr>
        <w:pStyle w:val="ListParagraph"/>
        <w:ind w:left="1276"/>
        <w:rPr>
          <w:rFonts w:ascii="Times New Roman" w:eastAsia="Times New Roman" w:hAnsi="Times New Roman"/>
          <w:sz w:val="20"/>
          <w:szCs w:val="20"/>
        </w:rPr>
      </w:pPr>
    </w:p>
    <w:p w14:paraId="7FE1C7C1" w14:textId="3A9691F5" w:rsidR="00393915" w:rsidRDefault="00F24D68">
      <w:pPr>
        <w:pStyle w:val="P68B1DB1-InstructionsText26"/>
        <w:numPr>
          <w:ilvl w:val="2"/>
          <w:numId w:val="209"/>
        </w:numPr>
        <w:spacing w:before="0"/>
        <w:ind w:left="1276"/>
      </w:pPr>
      <w:r>
        <w:t xml:space="preserve">Ako je potrebno navesti više od jedne stavke u poljima u slobodnom obliku, svaku stavku razdvojiti </w:t>
      </w:r>
      <w:r w:rsidR="00522529">
        <w:t xml:space="preserve">s </w:t>
      </w:r>
      <w:r>
        <w:t xml:space="preserve">točkom </w:t>
      </w:r>
      <w:r>
        <w:t>zarez</w:t>
      </w:r>
      <w:r>
        <w:t xml:space="preserve"> (;).</w:t>
      </w:r>
    </w:p>
    <w:p w14:paraId="7FE1C7C2" w14:textId="77777777" w:rsidR="00393915" w:rsidRDefault="00393915">
      <w:pPr>
        <w:pStyle w:val="Instructionsberschrift2"/>
        <w:ind w:left="357"/>
        <w:rPr>
          <w:rFonts w:ascii="Times New Roman" w:eastAsia="Calibri" w:hAnsi="Times New Roman" w:cs="Times New Roman"/>
          <w:szCs w:val="20"/>
        </w:rPr>
      </w:pPr>
    </w:p>
    <w:p w14:paraId="7FE1C7C3" w14:textId="2F212129" w:rsidR="00393915" w:rsidRDefault="00F24D68">
      <w:pPr>
        <w:pStyle w:val="P68B1DB1-Instructionsberschrift271"/>
        <w:numPr>
          <w:ilvl w:val="1"/>
          <w:numId w:val="49"/>
        </w:numPr>
        <w:ind w:left="357" w:hanging="357"/>
      </w:pPr>
      <w:bookmarkStart w:id="137" w:name="_Toc208244824"/>
      <w:r>
        <w:t xml:space="preserve">Predložak Z 09.01 – Usluge </w:t>
      </w:r>
      <w:r w:rsidR="008A70D1">
        <w:t>a</w:t>
      </w:r>
      <w:r>
        <w:t>infrastruktur</w:t>
      </w:r>
      <w:r w:rsidR="008A70D1">
        <w:t>a</w:t>
      </w:r>
      <w:r>
        <w:t xml:space="preserve"> financijskog tržišta – Pružatelji i korisnici (FMI 1)</w:t>
      </w:r>
      <w:bookmarkEnd w:id="137"/>
    </w:p>
    <w:p w14:paraId="7FE1C7C5" w14:textId="6BE08ACD" w:rsidR="00393915" w:rsidRDefault="00393915">
      <w:pPr>
        <w:pStyle w:val="Numberedtitlelevel3"/>
        <w:rPr>
          <w:rFonts w:ascii="Times New Roman" w:hAnsi="Times New Roman" w:cs="Times New Roman"/>
          <w:color w:val="000000" w:themeColor="text1"/>
          <w:szCs w:val="20"/>
        </w:rPr>
      </w:pPr>
    </w:p>
    <w:tbl>
      <w:tblPr>
        <w:tblW w:w="9015" w:type="dxa"/>
        <w:tblInd w:w="135" w:type="dxa"/>
        <w:tblLayout w:type="fixed"/>
        <w:tblLook w:val="04A0" w:firstRow="1" w:lastRow="0" w:firstColumn="1" w:lastColumn="0" w:noHBand="0" w:noVBand="1"/>
      </w:tblPr>
      <w:tblGrid>
        <w:gridCol w:w="1183"/>
        <w:gridCol w:w="7832"/>
      </w:tblGrid>
      <w:tr w:rsidR="00393915" w14:paraId="7FE1C7C8" w14:textId="77777777">
        <w:trPr>
          <w:tblHeader/>
        </w:trPr>
        <w:tc>
          <w:tcPr>
            <w:tcW w:w="1183" w:type="dxa"/>
            <w:tcBorders>
              <w:top w:val="single" w:sz="8" w:space="0" w:color="1A171C"/>
              <w:left w:val="nil"/>
              <w:bottom w:val="single" w:sz="4" w:space="0" w:color="auto"/>
              <w:right w:val="single" w:sz="8" w:space="0" w:color="1A171C"/>
            </w:tcBorders>
            <w:shd w:val="clear" w:color="auto" w:fill="D9D9D9" w:themeFill="background1" w:themeFillShade="D9"/>
          </w:tcPr>
          <w:p w14:paraId="7FE1C7C6" w14:textId="77777777" w:rsidR="00393915" w:rsidRDefault="00F24D68">
            <w:pPr>
              <w:pStyle w:val="P68B1DB1-TableParagraph17"/>
              <w:spacing w:before="108"/>
              <w:ind w:left="85"/>
            </w:pPr>
            <w:r>
              <w:t xml:space="preserve">Stupci </w:t>
            </w:r>
          </w:p>
        </w:tc>
        <w:tc>
          <w:tcPr>
            <w:tcW w:w="7832" w:type="dxa"/>
            <w:tcBorders>
              <w:top w:val="single" w:sz="8" w:space="0" w:color="1A171C"/>
              <w:left w:val="single" w:sz="8" w:space="0" w:color="1A171C"/>
              <w:bottom w:val="single" w:sz="8" w:space="0" w:color="auto"/>
              <w:right w:val="nil"/>
            </w:tcBorders>
            <w:shd w:val="clear" w:color="auto" w:fill="D9D9D9" w:themeFill="background1" w:themeFillShade="D9"/>
          </w:tcPr>
          <w:p w14:paraId="7FE1C7C7" w14:textId="77777777" w:rsidR="00393915" w:rsidRDefault="00F24D68">
            <w:pPr>
              <w:pStyle w:val="P68B1DB1-TableParagraph17"/>
              <w:spacing w:before="108"/>
              <w:ind w:left="85"/>
            </w:pPr>
            <w:r>
              <w:t xml:space="preserve">Upute </w:t>
            </w:r>
          </w:p>
        </w:tc>
      </w:tr>
      <w:tr w:rsidR="00393915" w14:paraId="7FE1C7CD" w14:textId="77777777">
        <w:tc>
          <w:tcPr>
            <w:tcW w:w="1183" w:type="dxa"/>
            <w:tcBorders>
              <w:top w:val="single" w:sz="4" w:space="0" w:color="auto"/>
              <w:bottom w:val="single" w:sz="4" w:space="0" w:color="auto"/>
              <w:right w:val="single" w:sz="4" w:space="0" w:color="auto"/>
            </w:tcBorders>
            <w:vAlign w:val="center"/>
          </w:tcPr>
          <w:p w14:paraId="7FE1C7C9" w14:textId="77777777" w:rsidR="00393915" w:rsidRDefault="00F24D68">
            <w:pPr>
              <w:pStyle w:val="P68B1DB1-Normal31"/>
            </w:pPr>
            <w:r>
              <w:t>0010</w:t>
            </w:r>
          </w:p>
        </w:tc>
        <w:tc>
          <w:tcPr>
            <w:tcW w:w="7832" w:type="dxa"/>
            <w:tcBorders>
              <w:top w:val="single" w:sz="8" w:space="0" w:color="auto"/>
              <w:left w:val="single" w:sz="4" w:space="0" w:color="auto"/>
              <w:bottom w:val="single" w:sz="8" w:space="0" w:color="auto"/>
            </w:tcBorders>
            <w:vAlign w:val="bottom"/>
          </w:tcPr>
          <w:p w14:paraId="7FE1C7CA" w14:textId="6954E060" w:rsidR="00393915" w:rsidRDefault="00F24D68">
            <w:pPr>
              <w:pStyle w:val="P68B1DB1-TableParagraph73"/>
              <w:spacing w:before="108"/>
              <w:jc w:val="both"/>
            </w:pPr>
            <w:r>
              <w:t xml:space="preserve">Identifikacijska oznaka koja predstavlja kombinaciju korisnika, </w:t>
            </w:r>
            <w:r w:rsidR="008A70D1">
              <w:t>a</w:t>
            </w:r>
            <w:r>
              <w:t>infrastruktur</w:t>
            </w:r>
            <w:r w:rsidR="008A70D1">
              <w:t>a</w:t>
            </w:r>
            <w:r>
              <w:t xml:space="preserve"> financijskog tržišta, vrste sustava i posrednika</w:t>
            </w:r>
          </w:p>
          <w:p w14:paraId="7FE1C7CB" w14:textId="3B60A869" w:rsidR="00393915" w:rsidRDefault="00F24D68">
            <w:pPr>
              <w:pStyle w:val="P68B1DB1-Normal31"/>
            </w:pPr>
            <w:r>
              <w:t xml:space="preserve">Koristite jednu identifikacijsku oznaku po retku koja odgovara jedinstvenoj kombinaciji korisnika, </w:t>
            </w:r>
            <w:r w:rsidR="008A70D1">
              <w:t>a</w:t>
            </w:r>
            <w:r>
              <w:t>infrastruktur</w:t>
            </w:r>
            <w:r w:rsidR="008A70D1">
              <w:t>a</w:t>
            </w:r>
            <w:r>
              <w:t xml:space="preserve"> financijskog tržišta, vrste sustava i posrednika. Ista identifikacijska oznaka, koja odgovara istoj kombinaciji, mora se upotrebljavati u obrascima od Z 09.01 do Z 09.04, </w:t>
            </w:r>
            <w:r w:rsidR="00EF6F66">
              <w:t>tamo</w:t>
            </w:r>
            <w:r w:rsidR="00EF6F66">
              <w:t>tamo</w:t>
            </w:r>
            <w:r w:rsidR="00EF6F66">
              <w:t xml:space="preserve"> gdje je</w:t>
            </w:r>
            <w:r>
              <w:t xml:space="preserve"> primjenjivo. </w:t>
            </w:r>
          </w:p>
          <w:p w14:paraId="7FE1C7CC" w14:textId="77777777" w:rsidR="00393915" w:rsidRDefault="00393915">
            <w:pPr>
              <w:rPr>
                <w:rFonts w:ascii="Times New Roman" w:eastAsia="Times New Roman" w:hAnsi="Times New Roman" w:cs="Times New Roman"/>
                <w:sz w:val="20"/>
                <w:szCs w:val="20"/>
              </w:rPr>
            </w:pPr>
          </w:p>
        </w:tc>
      </w:tr>
      <w:tr w:rsidR="00393915" w14:paraId="7FE1C7D0" w14:textId="77777777">
        <w:tc>
          <w:tcPr>
            <w:tcW w:w="1183" w:type="dxa"/>
            <w:tcBorders>
              <w:top w:val="single" w:sz="4" w:space="0" w:color="auto"/>
              <w:bottom w:val="single" w:sz="8" w:space="0" w:color="auto"/>
              <w:right w:val="single" w:sz="8" w:space="0" w:color="auto"/>
            </w:tcBorders>
            <w:vAlign w:val="center"/>
          </w:tcPr>
          <w:p w14:paraId="7FE1C7CE" w14:textId="77777777" w:rsidR="00393915" w:rsidRDefault="00F24D68">
            <w:pPr>
              <w:pStyle w:val="P68B1DB1-Normal74"/>
            </w:pPr>
            <w:r>
              <w:t>0020 – 0030</w:t>
            </w:r>
          </w:p>
        </w:tc>
        <w:tc>
          <w:tcPr>
            <w:tcW w:w="7832" w:type="dxa"/>
            <w:tcBorders>
              <w:top w:val="single" w:sz="8" w:space="0" w:color="auto"/>
              <w:left w:val="single" w:sz="8" w:space="0" w:color="auto"/>
              <w:bottom w:val="single" w:sz="8" w:space="0" w:color="auto"/>
            </w:tcBorders>
            <w:vAlign w:val="bottom"/>
          </w:tcPr>
          <w:p w14:paraId="7FE1C7CF" w14:textId="77777777" w:rsidR="00393915" w:rsidRDefault="00F24D68">
            <w:pPr>
              <w:pStyle w:val="P68B1DB1-TableParagraph75"/>
              <w:spacing w:before="108"/>
              <w:ind w:left="85"/>
              <w:jc w:val="both"/>
              <w:rPr>
                <w:color w:val="D13438"/>
                <w:u w:val="single"/>
              </w:rPr>
            </w:pPr>
            <w:r>
              <w:t>Korisnici</w:t>
            </w:r>
          </w:p>
        </w:tc>
      </w:tr>
      <w:tr w:rsidR="00393915" w14:paraId="7FE1C7D4" w14:textId="77777777">
        <w:tc>
          <w:tcPr>
            <w:tcW w:w="1183" w:type="dxa"/>
            <w:tcBorders>
              <w:top w:val="single" w:sz="4" w:space="0" w:color="auto"/>
              <w:bottom w:val="single" w:sz="8" w:space="0" w:color="auto"/>
              <w:right w:val="single" w:sz="8" w:space="0" w:color="auto"/>
            </w:tcBorders>
            <w:vAlign w:val="center"/>
          </w:tcPr>
          <w:p w14:paraId="7FE1C7D1" w14:textId="77777777" w:rsidR="00393915" w:rsidRDefault="00F24D68">
            <w:pPr>
              <w:pStyle w:val="P68B1DB1-Normal31"/>
            </w:pPr>
            <w:r>
              <w:t>0020</w:t>
            </w:r>
          </w:p>
        </w:tc>
        <w:tc>
          <w:tcPr>
            <w:tcW w:w="7832" w:type="dxa"/>
            <w:tcBorders>
              <w:top w:val="single" w:sz="8" w:space="0" w:color="auto"/>
              <w:left w:val="single" w:sz="8" w:space="0" w:color="auto"/>
              <w:bottom w:val="single" w:sz="8" w:space="0" w:color="auto"/>
            </w:tcBorders>
            <w:vAlign w:val="bottom"/>
          </w:tcPr>
          <w:p w14:paraId="7FE1C7D2" w14:textId="77777777" w:rsidR="00393915" w:rsidRDefault="00F24D68">
            <w:pPr>
              <w:pStyle w:val="P68B1DB1-TableParagraph73"/>
              <w:spacing w:before="108" w:after="120"/>
              <w:jc w:val="both"/>
            </w:pPr>
            <w:r>
              <w:t>Naziv subjekta</w:t>
            </w:r>
          </w:p>
          <w:p w14:paraId="7FE1C7D3" w14:textId="40755360" w:rsidR="00393915" w:rsidRDefault="00F24D68">
            <w:pPr>
              <w:pStyle w:val="P68B1DB1-TableParagraph40"/>
              <w:spacing w:before="108"/>
              <w:ind w:left="85"/>
              <w:jc w:val="both"/>
              <w:rPr>
                <w:b/>
                <w:bCs/>
                <w:i/>
                <w:iCs/>
                <w:color w:val="D13438"/>
                <w:u w:val="single"/>
              </w:rPr>
            </w:pPr>
            <w:r>
              <w:t xml:space="preserve">Naziv </w:t>
            </w:r>
            <w:r w:rsidR="00654221">
              <w:t>og</w:t>
            </w:r>
            <w:r>
              <w:t>pravn</w:t>
            </w:r>
            <w:r w:rsidR="00654221">
              <w:t>og</w:t>
            </w:r>
            <w:r>
              <w:t xml:space="preserve"> </w:t>
            </w:r>
            <w:r w:rsidR="00654221">
              <w:t xml:space="preserve">subjekta </w:t>
            </w:r>
            <w:r w:rsidR="00EA7096">
              <w:t>i</w:t>
            </w:r>
            <w:r>
              <w:t>koj</w:t>
            </w:r>
            <w:r w:rsidR="00EA7096">
              <w:t>i</w:t>
            </w:r>
            <w:r>
              <w:t xml:space="preserve"> koristi platne usluge, usluge skrbništva, namire, poravnanja ili trgovinskog repozitorija, kako je iskazano u predlošku Z 01.01 – </w:t>
            </w:r>
            <w:r>
              <w:t>Pravn</w:t>
            </w:r>
            <w:r w:rsidR="00582095">
              <w:t>i subjekti</w:t>
            </w:r>
            <w:r w:rsidR="00582095">
              <w:t>subjekti</w:t>
            </w:r>
            <w:r w:rsidR="00E34F66">
              <w:t xml:space="preserve"> </w:t>
            </w:r>
            <w:r>
              <w:t>(ORG 1</w:t>
            </w:r>
            <w:r w:rsidR="00654221">
              <w:t>:</w:t>
            </w:r>
            <w:r>
              <w:t>)</w:t>
            </w:r>
            <w:r w:rsidR="00654221">
              <w:t>:</w:t>
            </w:r>
            <w:r>
              <w:t xml:space="preserve"> službeni naziv kako je naveden u korporativnim aktima, uključujući navođenje pravnog oblika. </w:t>
            </w:r>
          </w:p>
        </w:tc>
      </w:tr>
      <w:tr w:rsidR="00393915" w14:paraId="7FE1C7D9" w14:textId="77777777">
        <w:tc>
          <w:tcPr>
            <w:tcW w:w="1183" w:type="dxa"/>
            <w:tcBorders>
              <w:top w:val="single" w:sz="8" w:space="0" w:color="auto"/>
              <w:bottom w:val="single" w:sz="8" w:space="0" w:color="auto"/>
              <w:right w:val="single" w:sz="8" w:space="0" w:color="auto"/>
            </w:tcBorders>
            <w:vAlign w:val="center"/>
          </w:tcPr>
          <w:p w14:paraId="7FE1C7D5" w14:textId="77777777" w:rsidR="00393915" w:rsidRDefault="00F24D68">
            <w:pPr>
              <w:pStyle w:val="P68B1DB1-Normal31"/>
            </w:pPr>
            <w:r>
              <w:t>0030</w:t>
            </w:r>
          </w:p>
        </w:tc>
        <w:tc>
          <w:tcPr>
            <w:tcW w:w="7832" w:type="dxa"/>
            <w:tcBorders>
              <w:top w:val="single" w:sz="8" w:space="0" w:color="auto"/>
              <w:left w:val="single" w:sz="8" w:space="0" w:color="auto"/>
              <w:bottom w:val="single" w:sz="8" w:space="0" w:color="auto"/>
            </w:tcBorders>
            <w:vAlign w:val="bottom"/>
          </w:tcPr>
          <w:p w14:paraId="7FE1C7D6" w14:textId="77777777" w:rsidR="00393915" w:rsidRDefault="00F24D68">
            <w:pPr>
              <w:pStyle w:val="P68B1DB1-TableParagraph73"/>
              <w:spacing w:before="108"/>
              <w:jc w:val="both"/>
            </w:pPr>
            <w:r>
              <w:t>Oznaka subjekta</w:t>
            </w:r>
          </w:p>
          <w:p w14:paraId="7FE1C7D7" w14:textId="74405DCD" w:rsidR="00393915" w:rsidRDefault="00BA26CE">
            <w:pPr>
              <w:pStyle w:val="P68B1DB1-TableParagraph40"/>
              <w:spacing w:before="108"/>
              <w:jc w:val="both"/>
            </w:pPr>
            <w:r>
              <w:t>adeseto</w:t>
            </w:r>
            <w:r w:rsidR="00F24D68">
              <w:t>Dv</w:t>
            </w:r>
            <w:r>
              <w:t>adeseto</w:t>
            </w:r>
            <w:r w:rsidR="00F24D68">
              <w:t>znamenkasta</w:t>
            </w:r>
            <w:r w:rsidR="00F24D68">
              <w:t xml:space="preserve"> alfanumerička</w:t>
            </w:r>
            <w:r w:rsidR="00F24D68">
              <w:t xml:space="preserve"> </w:t>
            </w:r>
            <w:r w:rsidR="00C62619">
              <w:t>LEI</w:t>
            </w:r>
            <w:r w:rsidR="00F24D68">
              <w:t xml:space="preserve"> oznaka pravnog subjekta koji upotrebljava usluge plaćanja, skrbništva, namire, poravnanja ili trgovinskog repozitorija, kako je navedeno u predlošku Z 01.01 – Pravni subjekti (ORG 1). </w:t>
            </w:r>
          </w:p>
          <w:p w14:paraId="7FE1C7D8" w14:textId="260ED5A6" w:rsidR="00393915" w:rsidRDefault="00F24D68">
            <w:pPr>
              <w:pStyle w:val="P68B1DB1-Normal31"/>
            </w:pPr>
            <w:r>
              <w:t xml:space="preserve">Ako ne postoji </w:t>
            </w:r>
            <w:r w:rsidR="00C62619">
              <w:t>LEI</w:t>
            </w:r>
            <w:r w:rsidR="00C62619">
              <w:t>LEI</w:t>
            </w:r>
            <w:r>
              <w:t>, mora se upotrijebiti jedinstvena identifikacijska oznaka monetarnih financijskih institucija ESB-a (</w:t>
            </w:r>
            <w:r w:rsidR="00D613CE">
              <w:t xml:space="preserve">engl. </w:t>
            </w:r>
            <w:r>
              <w:t xml:space="preserve">MFI ID) subjekta za upotrebu u RIAD-u. </w:t>
            </w:r>
          </w:p>
        </w:tc>
      </w:tr>
      <w:tr w:rsidR="00393915" w14:paraId="7FE1C7DC" w14:textId="77777777">
        <w:tc>
          <w:tcPr>
            <w:tcW w:w="1183" w:type="dxa"/>
            <w:tcBorders>
              <w:top w:val="single" w:sz="8" w:space="0" w:color="auto"/>
              <w:bottom w:val="single" w:sz="8" w:space="0" w:color="auto"/>
              <w:right w:val="single" w:sz="8" w:space="0" w:color="auto"/>
            </w:tcBorders>
            <w:vAlign w:val="center"/>
          </w:tcPr>
          <w:p w14:paraId="7FE1C7DA" w14:textId="77777777" w:rsidR="00393915" w:rsidRDefault="00F24D68">
            <w:pPr>
              <w:pStyle w:val="P68B1DB1-Normal74"/>
            </w:pPr>
            <w:r>
              <w:t>0040 – 0270</w:t>
            </w:r>
          </w:p>
        </w:tc>
        <w:tc>
          <w:tcPr>
            <w:tcW w:w="7832" w:type="dxa"/>
            <w:tcBorders>
              <w:top w:val="single" w:sz="8" w:space="0" w:color="auto"/>
              <w:left w:val="single" w:sz="8" w:space="0" w:color="auto"/>
              <w:bottom w:val="single" w:sz="8" w:space="0" w:color="auto"/>
            </w:tcBorders>
            <w:vAlign w:val="bottom"/>
          </w:tcPr>
          <w:p w14:paraId="7FE1C7DB" w14:textId="77777777" w:rsidR="00393915" w:rsidRDefault="00F24D68">
            <w:pPr>
              <w:pStyle w:val="P68B1DB1-TableParagraph75"/>
              <w:spacing w:before="108"/>
              <w:ind w:left="85"/>
              <w:jc w:val="both"/>
            </w:pPr>
            <w:r>
              <w:t>Pružatelj</w:t>
            </w:r>
          </w:p>
        </w:tc>
      </w:tr>
      <w:tr w:rsidR="00393915" w14:paraId="7FE1C7DF" w14:textId="77777777">
        <w:tc>
          <w:tcPr>
            <w:tcW w:w="1183" w:type="dxa"/>
            <w:tcBorders>
              <w:top w:val="single" w:sz="8" w:space="0" w:color="auto"/>
              <w:bottom w:val="single" w:sz="8" w:space="0" w:color="auto"/>
              <w:right w:val="single" w:sz="8" w:space="0" w:color="auto"/>
            </w:tcBorders>
            <w:vAlign w:val="center"/>
          </w:tcPr>
          <w:p w14:paraId="7FE1C7DD" w14:textId="77777777" w:rsidR="00393915" w:rsidRDefault="00F24D68">
            <w:pPr>
              <w:pStyle w:val="P68B1DB1-Normal74"/>
            </w:pPr>
            <w:r>
              <w:t>0040 – 0090</w:t>
            </w:r>
          </w:p>
        </w:tc>
        <w:tc>
          <w:tcPr>
            <w:tcW w:w="7832" w:type="dxa"/>
            <w:tcBorders>
              <w:top w:val="single" w:sz="8" w:space="0" w:color="auto"/>
              <w:left w:val="single" w:sz="8" w:space="0" w:color="auto"/>
              <w:bottom w:val="single" w:sz="8" w:space="0" w:color="auto"/>
            </w:tcBorders>
            <w:vAlign w:val="bottom"/>
          </w:tcPr>
          <w:p w14:paraId="7FE1C7DE" w14:textId="2226FD8D" w:rsidR="00393915" w:rsidRDefault="00F01B6D">
            <w:pPr>
              <w:pStyle w:val="P68B1DB1-TableParagraph75"/>
              <w:spacing w:before="108"/>
              <w:ind w:left="85"/>
              <w:jc w:val="both"/>
            </w:pPr>
            <w:r>
              <w:t>Infrastrukture</w:t>
            </w:r>
            <w:r>
              <w:t>Infrastrukture</w:t>
            </w:r>
            <w:r>
              <w:t xml:space="preserve"> financijskog tržišta</w:t>
            </w:r>
          </w:p>
        </w:tc>
      </w:tr>
      <w:tr w:rsidR="00393915" w14:paraId="7FE1C7ED" w14:textId="77777777">
        <w:tc>
          <w:tcPr>
            <w:tcW w:w="1183" w:type="dxa"/>
            <w:tcBorders>
              <w:top w:val="single" w:sz="8" w:space="0" w:color="auto"/>
              <w:bottom w:val="single" w:sz="8" w:space="0" w:color="auto"/>
              <w:right w:val="single" w:sz="8" w:space="0" w:color="auto"/>
            </w:tcBorders>
            <w:vAlign w:val="center"/>
          </w:tcPr>
          <w:p w14:paraId="7FE1C7E0" w14:textId="77777777" w:rsidR="00393915" w:rsidRDefault="00F24D68">
            <w:pPr>
              <w:pStyle w:val="P68B1DB1-Normal31"/>
            </w:pPr>
            <w:r>
              <w:t>0040</w:t>
            </w:r>
          </w:p>
        </w:tc>
        <w:tc>
          <w:tcPr>
            <w:tcW w:w="7832" w:type="dxa"/>
            <w:tcBorders>
              <w:top w:val="single" w:sz="8" w:space="0" w:color="auto"/>
              <w:left w:val="single" w:sz="8" w:space="0" w:color="auto"/>
              <w:bottom w:val="single" w:sz="8" w:space="0" w:color="auto"/>
            </w:tcBorders>
            <w:vAlign w:val="bottom"/>
          </w:tcPr>
          <w:p w14:paraId="7FE1C7E1" w14:textId="77777777" w:rsidR="00393915" w:rsidRDefault="00F24D68">
            <w:pPr>
              <w:pStyle w:val="P68B1DB1-TableParagraph73"/>
              <w:spacing w:before="108"/>
              <w:ind w:left="85"/>
              <w:jc w:val="both"/>
            </w:pPr>
            <w:r>
              <w:t>Vrsta sustava</w:t>
            </w:r>
          </w:p>
          <w:p w14:paraId="7FE1C7E2" w14:textId="77777777" w:rsidR="00393915" w:rsidRDefault="00F24D68">
            <w:pPr>
              <w:pStyle w:val="P68B1DB1-TableParagraph40"/>
              <w:spacing w:before="108"/>
              <w:ind w:left="85"/>
              <w:jc w:val="both"/>
            </w:pPr>
            <w:r>
              <w:t>Vrsta sustava koji pruža usluge korisniku. Odaberite jedan od sljedećih tipova:</w:t>
            </w:r>
          </w:p>
          <w:p w14:paraId="7FE1C7E3" w14:textId="64030D90" w:rsidR="00393915" w:rsidRDefault="00F24D68">
            <w:pPr>
              <w:pStyle w:val="P68B1DB1-TableParagraph40"/>
              <w:spacing w:before="108"/>
              <w:ind w:left="85"/>
              <w:jc w:val="both"/>
            </w:pPr>
            <w:r>
              <w:t xml:space="preserve">Platni sustavi </w:t>
            </w:r>
          </w:p>
          <w:p w14:paraId="7FE1C7E4" w14:textId="7E799D8E" w:rsidR="00393915" w:rsidRDefault="00F24D68">
            <w:pPr>
              <w:pStyle w:val="P68B1DB1-TableParagraph40"/>
              <w:spacing w:before="108"/>
              <w:ind w:left="85"/>
              <w:jc w:val="both"/>
            </w:pPr>
            <w:r>
              <w:t>„</w:t>
            </w:r>
            <w:r w:rsidR="00E238F7">
              <w:t xml:space="preserve">središnji depozitoriji vrijednosnih papira (engl. </w:t>
            </w:r>
            <w:r>
              <w:t>CSD-ovi</w:t>
            </w:r>
            <w:r w:rsidR="00E238F7">
              <w:t>)</w:t>
            </w:r>
            <w:r>
              <w:t xml:space="preserve"> i </w:t>
            </w:r>
            <w:r w:rsidR="00E238F7">
              <w:t xml:space="preserve">međunarodni središnji depozitoriji vrijednosnih papira (engl. </w:t>
            </w:r>
            <w:r>
              <w:t>ICSD-ovi</w:t>
            </w:r>
            <w:r w:rsidR="00E238F7">
              <w:t>)</w:t>
            </w:r>
            <w:r>
              <w:t>”</w:t>
            </w:r>
          </w:p>
          <w:p w14:paraId="7FE1C7E5" w14:textId="513B4E7C" w:rsidR="00393915" w:rsidRDefault="00F24D68">
            <w:pPr>
              <w:pStyle w:val="P68B1DB1-TableParagraph40"/>
              <w:spacing w:before="108"/>
              <w:ind w:left="85"/>
              <w:jc w:val="both"/>
            </w:pPr>
            <w:r>
              <w:t>„Sustav za namiru vrijednosnih papira”</w:t>
            </w:r>
          </w:p>
          <w:p w14:paraId="7FE1C7E6" w14:textId="61451372" w:rsidR="00393915" w:rsidRDefault="00F24D68">
            <w:pPr>
              <w:pStyle w:val="TableParagraph"/>
              <w:spacing w:before="108"/>
              <w:ind w:left="85"/>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„Središnje druge ugovorne strane za poravnanje vrijednosnih papira”</w:t>
            </w:r>
            <w:r>
              <w:rPr>
                <w:rStyle w:val="FootnoteReference"/>
                <w:rFonts w:ascii="Times New Roman" w:eastAsia="Times New Roman" w:hAnsi="Times New Roman" w:cs="Times New Roman"/>
              </w:rPr>
              <w:footnoteReference w:id="29"/>
            </w:r>
          </w:p>
          <w:p w14:paraId="7FE1C7E7" w14:textId="75E09D2C" w:rsidR="00393915" w:rsidRDefault="00F24D68">
            <w:pPr>
              <w:pStyle w:val="P68B1DB1-TableParagraph40"/>
              <w:spacing w:before="108"/>
              <w:ind w:left="85"/>
              <w:jc w:val="both"/>
            </w:pPr>
            <w:r>
              <w:lastRenderedPageBreak/>
              <w:t>„Središnje druge ugovorne strane za poravnanje izvedenica”</w:t>
            </w:r>
          </w:p>
          <w:p w14:paraId="7FE1C7E8" w14:textId="44FAA23C" w:rsidR="00393915" w:rsidRDefault="00F24D68">
            <w:pPr>
              <w:pStyle w:val="P68B1DB1-TableParagraph40"/>
              <w:spacing w:before="108"/>
              <w:ind w:left="85"/>
              <w:jc w:val="both"/>
            </w:pPr>
            <w:r>
              <w:t>„Registrirani trgovinski repozitoriji”.</w:t>
            </w:r>
          </w:p>
          <w:p w14:paraId="7FE1C7E9" w14:textId="424A35E7" w:rsidR="00393915" w:rsidRDefault="00F24D68">
            <w:pPr>
              <w:pStyle w:val="TableParagraph"/>
              <w:spacing w:before="108"/>
              <w:ind w:left="85"/>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„Multilateralni sustavi za trgovanje”</w:t>
            </w:r>
            <w:r>
              <w:rPr>
                <w:rStyle w:val="FootnoteReference"/>
                <w:rFonts w:ascii="Times New Roman" w:eastAsia="Times New Roman" w:hAnsi="Times New Roman" w:cs="Times New Roman"/>
                <w:sz w:val="20"/>
                <w:szCs w:val="20"/>
              </w:rPr>
              <w:footnoteReference w:id="30"/>
            </w:r>
          </w:p>
          <w:p w14:paraId="7FE1C7EB" w14:textId="5888CB1D" w:rsidR="00393915" w:rsidRDefault="00F24D68">
            <w:pPr>
              <w:pStyle w:val="P68B1DB1-TableParagraph40"/>
              <w:spacing w:before="108"/>
              <w:ind w:left="85"/>
              <w:jc w:val="both"/>
            </w:pPr>
            <w:r>
              <w:t xml:space="preserve">„Sustavi kartica koji se koriste za </w:t>
            </w:r>
            <w:r w:rsidR="006B0EBC">
              <w:t>maloprodajna</w:t>
            </w:r>
            <w:r>
              <w:t xml:space="preserve"> </w:t>
            </w:r>
            <w:r>
              <w:t>plaćanja”</w:t>
            </w:r>
          </w:p>
          <w:p w14:paraId="7FE1C7EC" w14:textId="69997621" w:rsidR="00393915" w:rsidRDefault="00F24D68">
            <w:pPr>
              <w:pStyle w:val="P68B1DB1-TableParagraph40"/>
              <w:spacing w:before="108"/>
              <w:ind w:left="85"/>
              <w:jc w:val="both"/>
            </w:pPr>
            <w:r>
              <w:t>„Nije primjenjivo” – za druge usluge plaćanja, poravnanja, namire ili skrbništva koje pruža subjekt koji ne pripada nijednoj od prethodno navedenih kategorija, npr. korespondentne banke i/ili skrbničke banke za koje institucija ne može utvrditi krajnje infrastrukture financijskog tržišta. U stupcu 0110 navodi se pružena usluga.</w:t>
            </w:r>
          </w:p>
        </w:tc>
      </w:tr>
      <w:tr w:rsidR="00393915" w14:paraId="7FE1C7F4" w14:textId="77777777">
        <w:tc>
          <w:tcPr>
            <w:tcW w:w="1183" w:type="dxa"/>
            <w:tcBorders>
              <w:top w:val="single" w:sz="8" w:space="0" w:color="auto"/>
              <w:bottom w:val="single" w:sz="8" w:space="0" w:color="auto"/>
              <w:right w:val="single" w:sz="8" w:space="0" w:color="auto"/>
            </w:tcBorders>
            <w:vAlign w:val="center"/>
          </w:tcPr>
          <w:p w14:paraId="7FE1C7EE" w14:textId="77777777" w:rsidR="00393915" w:rsidRDefault="00F24D68">
            <w:pPr>
              <w:pStyle w:val="P68B1DB1-Normal31"/>
            </w:pPr>
            <w:r>
              <w:lastRenderedPageBreak/>
              <w:t>0050 – 0060</w:t>
            </w:r>
          </w:p>
        </w:tc>
        <w:tc>
          <w:tcPr>
            <w:tcW w:w="7832" w:type="dxa"/>
            <w:tcBorders>
              <w:top w:val="single" w:sz="8" w:space="0" w:color="auto"/>
              <w:left w:val="single" w:sz="8" w:space="0" w:color="auto"/>
              <w:bottom w:val="single" w:sz="8" w:space="0" w:color="auto"/>
            </w:tcBorders>
            <w:vAlign w:val="bottom"/>
          </w:tcPr>
          <w:p w14:paraId="7FE1C7EF" w14:textId="12E4EB3C" w:rsidR="00393915" w:rsidRDefault="00F24D68">
            <w:pPr>
              <w:pStyle w:val="P68B1DB1-TableParagraph73"/>
              <w:spacing w:before="108"/>
              <w:ind w:left="85"/>
              <w:jc w:val="both"/>
            </w:pPr>
            <w:r>
              <w:t xml:space="preserve">Naziv </w:t>
            </w:r>
            <w:r w:rsidR="009A0139">
              <w:t>infrastrukture</w:t>
            </w:r>
            <w:r w:rsidR="009A0139">
              <w:t>infrastrukture</w:t>
            </w:r>
            <w:r w:rsidR="009A0139">
              <w:t xml:space="preserve"> financijskog tržišta</w:t>
            </w:r>
          </w:p>
          <w:p w14:paraId="7FE1C7F0" w14:textId="73210C26" w:rsidR="00393915" w:rsidRDefault="00710929">
            <w:pPr>
              <w:pStyle w:val="P68B1DB1-TableParagraph40"/>
              <w:spacing w:before="108"/>
              <w:ind w:left="85"/>
              <w:jc w:val="both"/>
            </w:pPr>
            <w:r>
              <w:t xml:space="preserve">Komercijalni </w:t>
            </w:r>
            <w:r w:rsidR="00F24D68">
              <w:t xml:space="preserve">naziv infrastrukture financijskog tržišta. </w:t>
            </w:r>
          </w:p>
          <w:p w14:paraId="7FE1C7F1" w14:textId="6A71A5BE" w:rsidR="00393915" w:rsidRDefault="00F24D68">
            <w:pPr>
              <w:pStyle w:val="P68B1DB1-TableParagraph40"/>
              <w:numPr>
                <w:ilvl w:val="0"/>
                <w:numId w:val="246"/>
              </w:numPr>
              <w:spacing w:before="108"/>
              <w:jc w:val="both"/>
            </w:pPr>
            <w:r>
              <w:t>Ako je prisutan u stupcu 0050, unaprijed definirani naziv infrastrukture financijskog tržišta naveden u Prilogu I. ovim uputama;</w:t>
            </w:r>
          </w:p>
          <w:p w14:paraId="7FE1C7F2" w14:textId="55DC0637" w:rsidR="00393915" w:rsidRDefault="00F24D68">
            <w:pPr>
              <w:pStyle w:val="P68B1DB1-TableParagraph40"/>
              <w:numPr>
                <w:ilvl w:val="0"/>
                <w:numId w:val="246"/>
              </w:numPr>
              <w:spacing w:before="108" w:after="120"/>
              <w:ind w:left="442" w:hanging="357"/>
              <w:jc w:val="both"/>
            </w:pPr>
            <w:r>
              <w:t xml:space="preserve">Ako nije prisutan u stupcu 0050, </w:t>
            </w:r>
            <w:r w:rsidR="004A1994">
              <w:t xml:space="preserve">naziv </w:t>
            </w:r>
            <w:r>
              <w:t xml:space="preserve">u stupcu 0060 za slobodan unos teksta. </w:t>
            </w:r>
          </w:p>
          <w:p w14:paraId="7FE1C7F3" w14:textId="77777777" w:rsidR="00393915" w:rsidRDefault="00F24D68">
            <w:pPr>
              <w:pStyle w:val="P68B1DB1-Normal31"/>
            </w:pPr>
            <w:r>
              <w:t xml:space="preserve">Ako je u stupcu 0040 iskazano „Nije primjenjivo”, ovi se stupci ostavljaju prazni. </w:t>
            </w:r>
          </w:p>
        </w:tc>
      </w:tr>
      <w:tr w:rsidR="00393915" w14:paraId="7FE1C7FB" w14:textId="77777777">
        <w:tc>
          <w:tcPr>
            <w:tcW w:w="1183" w:type="dxa"/>
            <w:tcBorders>
              <w:top w:val="single" w:sz="8" w:space="0" w:color="auto"/>
              <w:bottom w:val="single" w:sz="8" w:space="0" w:color="auto"/>
              <w:right w:val="single" w:sz="8" w:space="0" w:color="auto"/>
            </w:tcBorders>
            <w:vAlign w:val="center"/>
          </w:tcPr>
          <w:p w14:paraId="7FE1C7F5" w14:textId="77777777" w:rsidR="00393915" w:rsidRDefault="00F24D68">
            <w:pPr>
              <w:pStyle w:val="P68B1DB1-Normal31"/>
            </w:pPr>
            <w:r>
              <w:t>0070</w:t>
            </w:r>
          </w:p>
        </w:tc>
        <w:tc>
          <w:tcPr>
            <w:tcW w:w="7832" w:type="dxa"/>
            <w:tcBorders>
              <w:top w:val="single" w:sz="8" w:space="0" w:color="auto"/>
              <w:left w:val="single" w:sz="8" w:space="0" w:color="auto"/>
              <w:bottom w:val="single" w:sz="8" w:space="0" w:color="auto"/>
            </w:tcBorders>
            <w:vAlign w:val="bottom"/>
          </w:tcPr>
          <w:p w14:paraId="7FE1C7F6" w14:textId="77777777" w:rsidR="00393915" w:rsidRDefault="00F24D68">
            <w:pPr>
              <w:pStyle w:val="P68B1DB1-TableParagraph73"/>
              <w:spacing w:before="108"/>
              <w:ind w:left="85"/>
              <w:jc w:val="both"/>
            </w:pPr>
            <w:r>
              <w:t>Oznaka infrastrukture financijskog tržišta</w:t>
            </w:r>
          </w:p>
          <w:p w14:paraId="7FE1C7F7" w14:textId="74E741EC" w:rsidR="00393915" w:rsidRDefault="00F24D68">
            <w:pPr>
              <w:pStyle w:val="P68B1DB1-TableParagraph40"/>
              <w:spacing w:before="108"/>
              <w:ind w:left="85"/>
              <w:jc w:val="both"/>
            </w:pPr>
            <w:r>
              <w:t xml:space="preserve">Alfanumerička </w:t>
            </w:r>
            <w:r w:rsidR="008A7AA6">
              <w:t xml:space="preserve">LEI </w:t>
            </w:r>
            <w:r>
              <w:t xml:space="preserve">oznaka FMI-ja od 20 znamenki. </w:t>
            </w:r>
          </w:p>
          <w:p w14:paraId="7FE1C7F8" w14:textId="2956E698" w:rsidR="00393915" w:rsidRDefault="00F24D68">
            <w:pPr>
              <w:pStyle w:val="P68B1DB1-TableParagraph40"/>
              <w:spacing w:before="108"/>
              <w:ind w:left="85"/>
              <w:jc w:val="both"/>
            </w:pPr>
            <w:r>
              <w:t>Ako</w:t>
            </w:r>
            <w:r>
              <w:t xml:space="preserve"> </w:t>
            </w:r>
            <w:r w:rsidR="008A7AA6">
              <w:t>LEI</w:t>
            </w:r>
            <w:r>
              <w:t xml:space="preserve"> oznaka FMI-ja nije dostupna, upotrijebite </w:t>
            </w:r>
            <w:r w:rsidR="008A7AA6">
              <w:t xml:space="preserve">LEI </w:t>
            </w:r>
            <w:r>
              <w:t xml:space="preserve">oznaku </w:t>
            </w:r>
            <w:r w:rsidR="00BF3D96">
              <w:t>upravitelja</w:t>
            </w:r>
            <w:r w:rsidR="00BF3D96">
              <w:t>upravitelja</w:t>
            </w:r>
            <w:r>
              <w:t xml:space="preserve">. </w:t>
            </w:r>
          </w:p>
          <w:p w14:paraId="7FE1C7F9" w14:textId="05D91DE7" w:rsidR="00393915" w:rsidRDefault="00F24D68">
            <w:pPr>
              <w:pStyle w:val="P68B1DB1-TableParagraph40"/>
              <w:spacing w:before="108"/>
              <w:ind w:left="85"/>
              <w:jc w:val="both"/>
            </w:pPr>
            <w:r>
              <w:t>Ako se u stupcu 0040 navodi „Nije primjenjivo (vrsta sustava infrastrukture financijskog tržišta)” ili ako infrastruktura financijskog tržišta nema oznaku, u ovom stupcu navodi se „</w:t>
            </w:r>
            <w:r w:rsidR="00BC39E9">
              <w:t>NP</w:t>
            </w:r>
            <w:r w:rsidR="00BC39E9">
              <w:t>NP</w:t>
            </w:r>
            <w:r>
              <w:t>”.</w:t>
            </w:r>
          </w:p>
          <w:p w14:paraId="7FE1C7FA" w14:textId="77777777" w:rsidR="00393915" w:rsidRDefault="00393915">
            <w:pPr>
              <w:rPr>
                <w:rFonts w:ascii="Times New Roman" w:eastAsia="Times New Roman" w:hAnsi="Times New Roman" w:cs="Times New Roman"/>
                <w:color w:val="D13438"/>
                <w:sz w:val="20"/>
                <w:szCs w:val="20"/>
                <w:u w:val="single"/>
              </w:rPr>
            </w:pPr>
          </w:p>
        </w:tc>
      </w:tr>
      <w:tr w:rsidR="00393915" w14:paraId="7FE1C800" w14:textId="77777777">
        <w:tc>
          <w:tcPr>
            <w:tcW w:w="1183" w:type="dxa"/>
            <w:tcBorders>
              <w:top w:val="single" w:sz="8" w:space="0" w:color="auto"/>
              <w:bottom w:val="single" w:sz="8" w:space="0" w:color="auto"/>
              <w:right w:val="single" w:sz="8" w:space="0" w:color="auto"/>
            </w:tcBorders>
            <w:vAlign w:val="center"/>
          </w:tcPr>
          <w:p w14:paraId="7FE1C7FC" w14:textId="77777777" w:rsidR="00393915" w:rsidRDefault="00F24D68">
            <w:pPr>
              <w:pStyle w:val="P68B1DB1-Normal31"/>
            </w:pPr>
            <w:r>
              <w:t>0080</w:t>
            </w:r>
          </w:p>
        </w:tc>
        <w:tc>
          <w:tcPr>
            <w:tcW w:w="7832" w:type="dxa"/>
            <w:tcBorders>
              <w:top w:val="single" w:sz="8" w:space="0" w:color="auto"/>
              <w:left w:val="single" w:sz="8" w:space="0" w:color="auto"/>
              <w:bottom w:val="single" w:sz="8" w:space="0" w:color="auto"/>
            </w:tcBorders>
            <w:vAlign w:val="bottom"/>
          </w:tcPr>
          <w:p w14:paraId="7FE1C7FD" w14:textId="77777777" w:rsidR="00393915" w:rsidRDefault="00F24D68">
            <w:pPr>
              <w:pStyle w:val="P68B1DB1-Normal76"/>
              <w:spacing w:after="120"/>
            </w:pPr>
            <w:r>
              <w:t>Upravitelj infrastrukture financijskog tržišta</w:t>
            </w:r>
          </w:p>
          <w:p w14:paraId="7FE1C7FE" w14:textId="755CE1BC" w:rsidR="00393915" w:rsidRDefault="00BF3D96">
            <w:pPr>
              <w:pStyle w:val="P68B1DB1-Normal31"/>
              <w:rPr>
                <w:b/>
              </w:rPr>
            </w:pPr>
            <w:r>
              <w:t>Naziv</w:t>
            </w:r>
            <w:r>
              <w:t>Naziv</w:t>
            </w:r>
            <w:r>
              <w:t xml:space="preserve"> upravitelja</w:t>
            </w:r>
            <w:r w:rsidR="00F24D68">
              <w:t xml:space="preserve"> infrastrukture financijskog tržišta. </w:t>
            </w:r>
          </w:p>
          <w:p w14:paraId="7FE1C7FF" w14:textId="77777777" w:rsidR="00393915" w:rsidRDefault="00393915">
            <w:pPr>
              <w:rPr>
                <w:rFonts w:ascii="Times New Roman" w:hAnsi="Times New Roman" w:cs="Times New Roman"/>
                <w:color w:val="D13438"/>
                <w:sz w:val="20"/>
                <w:szCs w:val="20"/>
                <w:highlight w:val="yellow"/>
                <w:u w:val="single"/>
              </w:rPr>
            </w:pPr>
          </w:p>
        </w:tc>
      </w:tr>
      <w:tr w:rsidR="00393915" w14:paraId="7FE1C808" w14:textId="77777777">
        <w:tc>
          <w:tcPr>
            <w:tcW w:w="1183" w:type="dxa"/>
            <w:tcBorders>
              <w:top w:val="single" w:sz="8" w:space="0" w:color="auto"/>
              <w:bottom w:val="single" w:sz="8" w:space="0" w:color="auto"/>
              <w:right w:val="single" w:sz="8" w:space="0" w:color="auto"/>
            </w:tcBorders>
            <w:vAlign w:val="center"/>
          </w:tcPr>
          <w:p w14:paraId="7FE1C801" w14:textId="77777777" w:rsidR="00393915" w:rsidRDefault="00F24D68">
            <w:pPr>
              <w:pStyle w:val="P68B1DB1-Normal31"/>
            </w:pPr>
            <w:r>
              <w:t>0090</w:t>
            </w:r>
          </w:p>
        </w:tc>
        <w:tc>
          <w:tcPr>
            <w:tcW w:w="7832" w:type="dxa"/>
            <w:tcBorders>
              <w:top w:val="single" w:sz="8" w:space="0" w:color="auto"/>
              <w:left w:val="single" w:sz="8" w:space="0" w:color="auto"/>
              <w:bottom w:val="single" w:sz="8" w:space="0" w:color="auto"/>
            </w:tcBorders>
            <w:vAlign w:val="bottom"/>
          </w:tcPr>
          <w:p w14:paraId="7FE1C802" w14:textId="77777777" w:rsidR="00393915" w:rsidRDefault="00F24D68">
            <w:pPr>
              <w:pStyle w:val="P68B1DB1-Normal76"/>
            </w:pPr>
            <w:r>
              <w:t>Način sudjelovanja</w:t>
            </w:r>
          </w:p>
          <w:p w14:paraId="7FE1C803" w14:textId="77777777" w:rsidR="00393915" w:rsidRDefault="00F24D68">
            <w:pPr>
              <w:pStyle w:val="TableParagraph"/>
              <w:spacing w:before="108"/>
              <w:ind w:left="85"/>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Iskazati jednu od sljedećih vrijednosti</w:t>
            </w:r>
            <w:r>
              <w:rPr>
                <w:rStyle w:val="FootnoteReference"/>
                <w:rFonts w:ascii="Times New Roman" w:eastAsia="Times New Roman" w:hAnsi="Times New Roman" w:cs="Times New Roman"/>
              </w:rPr>
              <w:footnoteReference w:id="31"/>
            </w:r>
            <w:r>
              <w:rPr>
                <w:rFonts w:ascii="Times New Roman" w:eastAsia="Times New Roman" w:hAnsi="Times New Roman" w:cs="Times New Roman"/>
                <w:sz w:val="20"/>
                <w:szCs w:val="20"/>
              </w:rPr>
              <w:t>:</w:t>
            </w:r>
          </w:p>
          <w:p w14:paraId="7FE1C804" w14:textId="77777777" w:rsidR="00393915" w:rsidRDefault="00F24D68">
            <w:pPr>
              <w:pStyle w:val="P68B1DB1-TableParagraph40"/>
              <w:numPr>
                <w:ilvl w:val="0"/>
                <w:numId w:val="181"/>
              </w:numPr>
              <w:spacing w:before="108"/>
              <w:jc w:val="both"/>
            </w:pPr>
            <w:r>
              <w:t xml:space="preserve">„Izravno” u slučaju izravnog sudjelovanja u infrastrukturi financijskog tržišta ili članstva u njemu. </w:t>
            </w:r>
          </w:p>
          <w:p w14:paraId="7FE1C805" w14:textId="77777777" w:rsidR="00393915" w:rsidRDefault="00F24D68">
            <w:pPr>
              <w:pStyle w:val="P68B1DB1-TableParagraph40"/>
              <w:numPr>
                <w:ilvl w:val="0"/>
                <w:numId w:val="181"/>
              </w:numPr>
              <w:spacing w:before="108"/>
              <w:jc w:val="both"/>
            </w:pPr>
            <w:r>
              <w:t xml:space="preserve">„Neizravno” u slučaju neizravnog sudjelovanja u infrastrukturi financijskog tržišta ili članstva u njemu. </w:t>
            </w:r>
          </w:p>
          <w:p w14:paraId="7FE1C806" w14:textId="074CD9B1" w:rsidR="00393915" w:rsidRDefault="00F24D68">
            <w:pPr>
              <w:pStyle w:val="P68B1DB1-TableParagraph40"/>
              <w:numPr>
                <w:ilvl w:val="0"/>
                <w:numId w:val="181"/>
              </w:numPr>
              <w:spacing w:before="108"/>
              <w:jc w:val="both"/>
              <w:rPr>
                <w:b/>
              </w:rPr>
            </w:pPr>
            <w:r>
              <w:t xml:space="preserve">„Nije primjenjivo (način sudjelovanja u infrastrukturi financijskog tržišta)” ako je u stupcu 0040 iskazano „nije primjenjivo (vrsta sustava </w:t>
            </w:r>
            <w:r w:rsidR="003D5091">
              <w:t>infrastrukture</w:t>
            </w:r>
            <w:r w:rsidR="003D5091">
              <w:t>infrastrukture</w:t>
            </w:r>
            <w:r w:rsidR="003D5091">
              <w:t xml:space="preserve"> financijskog tržišta</w:t>
            </w:r>
            <w:r>
              <w:t>)”.</w:t>
            </w:r>
          </w:p>
          <w:p w14:paraId="7FE1C807" w14:textId="77777777" w:rsidR="00393915" w:rsidRDefault="00393915">
            <w:pPr>
              <w:pStyle w:val="TableParagraph"/>
              <w:spacing w:before="108"/>
              <w:ind w:left="85"/>
              <w:jc w:val="both"/>
              <w:rPr>
                <w:rFonts w:ascii="Times New Roman" w:eastAsia="Times New Roman" w:hAnsi="Times New Roman" w:cs="Times New Roman"/>
                <w:b/>
                <w:sz w:val="20"/>
                <w:szCs w:val="20"/>
              </w:rPr>
            </w:pPr>
          </w:p>
        </w:tc>
      </w:tr>
      <w:tr w:rsidR="00393915" w14:paraId="7FE1C80B" w14:textId="77777777">
        <w:tc>
          <w:tcPr>
            <w:tcW w:w="1183" w:type="dxa"/>
            <w:tcBorders>
              <w:top w:val="single" w:sz="8" w:space="0" w:color="auto"/>
              <w:bottom w:val="single" w:sz="8" w:space="0" w:color="auto"/>
              <w:right w:val="single" w:sz="8" w:space="0" w:color="auto"/>
            </w:tcBorders>
            <w:vAlign w:val="center"/>
          </w:tcPr>
          <w:p w14:paraId="7FE1C809" w14:textId="77777777" w:rsidR="00393915" w:rsidRDefault="00F24D68">
            <w:pPr>
              <w:pStyle w:val="P68B1DB1-Normal74"/>
            </w:pPr>
            <w:r>
              <w:t>0100 – 0110</w:t>
            </w:r>
          </w:p>
        </w:tc>
        <w:tc>
          <w:tcPr>
            <w:tcW w:w="7832" w:type="dxa"/>
            <w:tcBorders>
              <w:top w:val="single" w:sz="8" w:space="0" w:color="auto"/>
              <w:left w:val="single" w:sz="8" w:space="0" w:color="auto"/>
              <w:bottom w:val="single" w:sz="8" w:space="0" w:color="auto"/>
            </w:tcBorders>
            <w:vAlign w:val="bottom"/>
          </w:tcPr>
          <w:p w14:paraId="7FE1C80A" w14:textId="77777777" w:rsidR="00393915" w:rsidRDefault="00F24D68">
            <w:pPr>
              <w:pStyle w:val="P68B1DB1-TableParagraph75"/>
              <w:spacing w:before="108"/>
              <w:ind w:left="85"/>
              <w:jc w:val="both"/>
            </w:pPr>
            <w:r>
              <w:t>Posrednik</w:t>
            </w:r>
          </w:p>
        </w:tc>
      </w:tr>
      <w:tr w:rsidR="00393915" w14:paraId="7FE1C811" w14:textId="77777777">
        <w:tc>
          <w:tcPr>
            <w:tcW w:w="1183" w:type="dxa"/>
            <w:tcBorders>
              <w:top w:val="single" w:sz="8" w:space="0" w:color="auto"/>
              <w:bottom w:val="single" w:sz="8" w:space="0" w:color="auto"/>
              <w:right w:val="single" w:sz="8" w:space="0" w:color="auto"/>
            </w:tcBorders>
            <w:vAlign w:val="center"/>
          </w:tcPr>
          <w:p w14:paraId="7FE1C80C" w14:textId="77777777" w:rsidR="00393915" w:rsidRDefault="00F24D68">
            <w:pPr>
              <w:pStyle w:val="P68B1DB1-Normal31"/>
            </w:pPr>
            <w:r>
              <w:t>0100</w:t>
            </w:r>
          </w:p>
        </w:tc>
        <w:tc>
          <w:tcPr>
            <w:tcW w:w="7832" w:type="dxa"/>
            <w:tcBorders>
              <w:top w:val="single" w:sz="8" w:space="0" w:color="auto"/>
              <w:left w:val="single" w:sz="8" w:space="0" w:color="auto"/>
              <w:bottom w:val="single" w:sz="8" w:space="0" w:color="auto"/>
            </w:tcBorders>
            <w:vAlign w:val="bottom"/>
          </w:tcPr>
          <w:p w14:paraId="7FE1C80D" w14:textId="2A482076" w:rsidR="00393915" w:rsidRDefault="00E70445">
            <w:pPr>
              <w:pStyle w:val="P68B1DB1-Normal76"/>
            </w:pPr>
            <w:r>
              <w:t xml:space="preserve">Naziv </w:t>
            </w:r>
            <w:r w:rsidR="00F24D68">
              <w:t>posrednika</w:t>
            </w:r>
          </w:p>
          <w:p w14:paraId="7FE1C80E" w14:textId="2C121B72" w:rsidR="00393915" w:rsidRDefault="00E70445">
            <w:pPr>
              <w:pStyle w:val="P68B1DB1-TableParagraph40"/>
              <w:spacing w:before="108"/>
              <w:ind w:left="85"/>
              <w:jc w:val="both"/>
            </w:pPr>
            <w:r>
              <w:lastRenderedPageBreak/>
              <w:t>Komercijalni</w:t>
            </w:r>
            <w:r w:rsidR="00F24D68">
              <w:t xml:space="preserve"> naziv posrednika s kojim korisnik ima ugovorni odnos i koji pružatelji pristupa infrastrukturi financijskog tržišta. Iskazuje se ako je u stupcu 0100 „Učinak sudjelovanja” iskazuje se „Neizravno” ili „Nije primjenjivo (način sudjelovanja u infrastrukturi financijskog tržišta)”. </w:t>
            </w:r>
          </w:p>
          <w:p w14:paraId="7FE1C80F" w14:textId="77777777" w:rsidR="00393915" w:rsidRDefault="00F24D68">
            <w:pPr>
              <w:pStyle w:val="P68B1DB1-TableParagraph40"/>
              <w:spacing w:before="108"/>
              <w:ind w:left="85"/>
              <w:jc w:val="both"/>
            </w:pPr>
            <w:r>
              <w:t>Ako posrednik nudi neizravan pristup nekoliko infrastruktura financijskog tržišta, popunite jedan redak po infrastrukturi financijskog tržišta za koju posrednik nudi neizravan pristup.</w:t>
            </w:r>
          </w:p>
          <w:p w14:paraId="7FE1C810" w14:textId="77777777" w:rsidR="00393915" w:rsidRDefault="00F24D68">
            <w:pPr>
              <w:pStyle w:val="P68B1DB1-TableParagraph40"/>
              <w:spacing w:before="108"/>
              <w:ind w:left="85"/>
              <w:jc w:val="both"/>
              <w:rPr>
                <w:b/>
              </w:rPr>
            </w:pPr>
            <w:r>
              <w:t>Ako je u stupcu 0090 iskazano „Direktno”, ovaj se stupac ostavlja praznim.</w:t>
            </w:r>
          </w:p>
        </w:tc>
      </w:tr>
      <w:tr w:rsidR="00393915" w14:paraId="7FE1C819" w14:textId="77777777">
        <w:tc>
          <w:tcPr>
            <w:tcW w:w="1183" w:type="dxa"/>
            <w:tcBorders>
              <w:top w:val="single" w:sz="8" w:space="0" w:color="auto"/>
              <w:bottom w:val="single" w:sz="8" w:space="0" w:color="auto"/>
              <w:right w:val="single" w:sz="8" w:space="0" w:color="auto"/>
            </w:tcBorders>
            <w:vAlign w:val="center"/>
          </w:tcPr>
          <w:p w14:paraId="7FE1C812" w14:textId="77777777" w:rsidR="00393915" w:rsidRDefault="00F24D68">
            <w:pPr>
              <w:pStyle w:val="P68B1DB1-Normal31"/>
            </w:pPr>
            <w:r>
              <w:lastRenderedPageBreak/>
              <w:t>0110</w:t>
            </w:r>
          </w:p>
        </w:tc>
        <w:tc>
          <w:tcPr>
            <w:tcW w:w="7832" w:type="dxa"/>
            <w:tcBorders>
              <w:top w:val="single" w:sz="8" w:space="0" w:color="auto"/>
              <w:left w:val="single" w:sz="8" w:space="0" w:color="auto"/>
              <w:bottom w:val="single" w:sz="8" w:space="0" w:color="auto"/>
            </w:tcBorders>
            <w:vAlign w:val="bottom"/>
          </w:tcPr>
          <w:p w14:paraId="7FE1C813" w14:textId="77777777" w:rsidR="00393915" w:rsidRDefault="00F24D68">
            <w:pPr>
              <w:pStyle w:val="P68B1DB1-Normal76"/>
            </w:pPr>
            <w:r>
              <w:t>Oznaka posrednika</w:t>
            </w:r>
          </w:p>
          <w:p w14:paraId="7FE1C814" w14:textId="017FED58" w:rsidR="00393915" w:rsidRDefault="00F24D68">
            <w:pPr>
              <w:pStyle w:val="P68B1DB1-TableParagraph40"/>
              <w:spacing w:before="108"/>
              <w:ind w:left="85"/>
              <w:jc w:val="both"/>
            </w:pPr>
            <w:r>
              <w:t>Dv</w:t>
            </w:r>
            <w:r w:rsidR="007044E1">
              <w:t>adeset</w:t>
            </w:r>
            <w:r>
              <w:t>oznamenkasta</w:t>
            </w:r>
            <w:r>
              <w:t xml:space="preserve"> alfanumerička </w:t>
            </w:r>
            <w:r w:rsidR="007044E1">
              <w:t xml:space="preserve">LEI </w:t>
            </w:r>
            <w:r>
              <w:t xml:space="preserve">oznaka posrednika. </w:t>
            </w:r>
          </w:p>
          <w:p w14:paraId="7FE1C815" w14:textId="23C0FB3F" w:rsidR="00393915" w:rsidRDefault="00F24D68">
            <w:pPr>
              <w:pStyle w:val="P68B1DB1-TableParagraph13"/>
              <w:spacing w:before="108"/>
              <w:ind w:left="85"/>
              <w:jc w:val="both"/>
              <w:rPr>
                <w:rFonts w:eastAsia="Cambria"/>
              </w:rPr>
            </w:pPr>
            <w:r>
              <w:t xml:space="preserve">Vrsta oznake po mogućnosti je </w:t>
            </w:r>
            <w:r w:rsidR="00BC5DA1">
              <w:t xml:space="preserve">LEI </w:t>
            </w:r>
            <w:r>
              <w:t>oznaka.</w:t>
            </w:r>
          </w:p>
          <w:p w14:paraId="7FE1C816" w14:textId="77777777" w:rsidR="00393915" w:rsidRDefault="00F24D68">
            <w:pPr>
              <w:pStyle w:val="P68B1DB1-TableParagraph17"/>
              <w:spacing w:before="108"/>
            </w:pPr>
            <w:r>
              <w:t xml:space="preserve">  Ako LEI nije dostupan, navesti identifikacijsku oznaku MFI-ja ili, ako nije dostupna, navesti nacionalnu oznaku.</w:t>
            </w:r>
          </w:p>
          <w:p w14:paraId="7FE1C817" w14:textId="3F55AEB3" w:rsidR="00393915" w:rsidRDefault="00F24D68">
            <w:pPr>
              <w:pStyle w:val="P68B1DB1-TableParagraph41"/>
              <w:spacing w:before="108"/>
              <w:ind w:left="85"/>
              <w:jc w:val="both"/>
              <w:rPr>
                <w:rFonts w:ascii="Times New Roman" w:eastAsia="Times New Roman" w:hAnsi="Times New Roman" w:cs="Times New Roman"/>
              </w:rPr>
            </w:pPr>
            <w:r>
              <w:rPr>
                <w:rFonts w:ascii="Times New Roman" w:hAnsi="Times New Roman" w:cs="Times New Roman"/>
                <w:color w:val="000000" w:themeColor="text1"/>
              </w:rPr>
              <w:t>Subjekti se prema potrebi dosljedno utvrđuju u obrascima od Z 09.01 do Z 09.05.</w:t>
            </w:r>
            <w:r>
              <w:rPr>
                <w:rFonts w:ascii="Times New Roman" w:eastAsia="Times New Roman" w:hAnsi="Times New Roman" w:cs="Times New Roman"/>
              </w:rPr>
              <w:t xml:space="preserve"> </w:t>
            </w:r>
          </w:p>
          <w:p w14:paraId="7FE1C818" w14:textId="77777777" w:rsidR="00393915" w:rsidRDefault="00F24D68">
            <w:pPr>
              <w:pStyle w:val="P68B1DB1-TableParagraph40"/>
              <w:spacing w:before="108"/>
              <w:ind w:left="85"/>
              <w:jc w:val="both"/>
              <w:rPr>
                <w:b/>
              </w:rPr>
            </w:pPr>
            <w:r>
              <w:t>Ako je u stupcu 0090 iskazano „Direktno”, ovaj se stupac ostavlja praznim.</w:t>
            </w:r>
          </w:p>
        </w:tc>
      </w:tr>
      <w:tr w:rsidR="00393915" w14:paraId="7FE1C81C" w14:textId="77777777">
        <w:tc>
          <w:tcPr>
            <w:tcW w:w="1183" w:type="dxa"/>
            <w:tcBorders>
              <w:top w:val="single" w:sz="8" w:space="0" w:color="auto"/>
              <w:bottom w:val="single" w:sz="8" w:space="0" w:color="auto"/>
              <w:right w:val="single" w:sz="8" w:space="0" w:color="auto"/>
            </w:tcBorders>
            <w:vAlign w:val="center"/>
          </w:tcPr>
          <w:p w14:paraId="7FE1C81A" w14:textId="77777777" w:rsidR="00393915" w:rsidRDefault="00F24D68">
            <w:pPr>
              <w:pStyle w:val="P68B1DB1-Normal74"/>
            </w:pPr>
            <w:r>
              <w:t>0120 – 0260</w:t>
            </w:r>
          </w:p>
        </w:tc>
        <w:tc>
          <w:tcPr>
            <w:tcW w:w="7832" w:type="dxa"/>
            <w:tcBorders>
              <w:top w:val="single" w:sz="8" w:space="0" w:color="auto"/>
              <w:left w:val="single" w:sz="8" w:space="0" w:color="auto"/>
              <w:bottom w:val="single" w:sz="8" w:space="0" w:color="auto"/>
            </w:tcBorders>
            <w:vAlign w:val="bottom"/>
          </w:tcPr>
          <w:p w14:paraId="7FE1C81B" w14:textId="77777777" w:rsidR="00393915" w:rsidRDefault="00F24D68">
            <w:pPr>
              <w:pStyle w:val="P68B1DB1-Normal77"/>
              <w:rPr>
                <w:color w:val="D13438"/>
                <w:u w:val="single"/>
              </w:rPr>
            </w:pPr>
            <w:r>
              <w:t>Ugovori i usluge</w:t>
            </w:r>
          </w:p>
        </w:tc>
      </w:tr>
      <w:tr w:rsidR="00393915" w14:paraId="7FE1C820" w14:textId="77777777">
        <w:tc>
          <w:tcPr>
            <w:tcW w:w="1183" w:type="dxa"/>
            <w:tcBorders>
              <w:top w:val="single" w:sz="8" w:space="0" w:color="auto"/>
              <w:bottom w:val="single" w:sz="8" w:space="0" w:color="auto"/>
              <w:right w:val="single" w:sz="8" w:space="0" w:color="auto"/>
            </w:tcBorders>
            <w:vAlign w:val="center"/>
          </w:tcPr>
          <w:p w14:paraId="7FE1C81D" w14:textId="77777777" w:rsidR="00393915" w:rsidRDefault="00F24D68">
            <w:pPr>
              <w:pStyle w:val="P68B1DB1-Normal31"/>
            </w:pPr>
            <w:r>
              <w:t>0120</w:t>
            </w:r>
          </w:p>
        </w:tc>
        <w:tc>
          <w:tcPr>
            <w:tcW w:w="7832" w:type="dxa"/>
            <w:tcBorders>
              <w:top w:val="single" w:sz="8" w:space="0" w:color="auto"/>
              <w:left w:val="single" w:sz="8" w:space="0" w:color="auto"/>
              <w:bottom w:val="single" w:sz="8" w:space="0" w:color="auto"/>
            </w:tcBorders>
            <w:vAlign w:val="bottom"/>
          </w:tcPr>
          <w:p w14:paraId="7FE1C81E" w14:textId="77777777" w:rsidR="00393915" w:rsidRDefault="00F24D68">
            <w:pPr>
              <w:pStyle w:val="P68B1DB1-TableParagraph73"/>
              <w:spacing w:before="108"/>
              <w:ind w:left="85"/>
              <w:jc w:val="both"/>
            </w:pPr>
            <w:r>
              <w:t>Identifikacijska oznaka ugovora</w:t>
            </w:r>
          </w:p>
          <w:p w14:paraId="7FE1C81F" w14:textId="116259A3" w:rsidR="00393915" w:rsidRDefault="003D1876">
            <w:pPr>
              <w:pStyle w:val="P68B1DB1-TableParagraph40"/>
              <w:spacing w:before="108"/>
              <w:jc w:val="both"/>
              <w:rPr>
                <w:b/>
              </w:rPr>
            </w:pPr>
            <w:r>
              <w:t>Korisnikova i</w:t>
            </w:r>
            <w:r>
              <w:t>i</w:t>
            </w:r>
            <w:r w:rsidR="00F24D68">
              <w:t>nterna</w:t>
            </w:r>
            <w:r w:rsidR="00F24D68">
              <w:t xml:space="preserve"> identifikacijska oznaka ugovora kojom se uređuje odnos s infrastrukturama financijskog tržišta/posrednikom koji pruža uslugu.</w:t>
            </w:r>
          </w:p>
        </w:tc>
      </w:tr>
      <w:tr w:rsidR="00393915" w14:paraId="7FE1C826" w14:textId="77777777">
        <w:tc>
          <w:tcPr>
            <w:tcW w:w="1183" w:type="dxa"/>
            <w:tcBorders>
              <w:top w:val="single" w:sz="8" w:space="0" w:color="auto"/>
              <w:bottom w:val="single" w:sz="8" w:space="0" w:color="auto"/>
              <w:right w:val="single" w:sz="8" w:space="0" w:color="auto"/>
            </w:tcBorders>
            <w:vAlign w:val="center"/>
          </w:tcPr>
          <w:p w14:paraId="7FE1C821" w14:textId="77777777" w:rsidR="00393915" w:rsidRDefault="00F24D68">
            <w:pPr>
              <w:pStyle w:val="P68B1DB1-Normal31"/>
            </w:pPr>
            <w:r>
              <w:t>0130</w:t>
            </w:r>
          </w:p>
        </w:tc>
        <w:tc>
          <w:tcPr>
            <w:tcW w:w="7832" w:type="dxa"/>
            <w:tcBorders>
              <w:top w:val="single" w:sz="8" w:space="0" w:color="auto"/>
              <w:left w:val="single" w:sz="8" w:space="0" w:color="auto"/>
              <w:bottom w:val="single" w:sz="8" w:space="0" w:color="auto"/>
            </w:tcBorders>
            <w:vAlign w:val="bottom"/>
          </w:tcPr>
          <w:p w14:paraId="7FE1C822" w14:textId="77777777" w:rsidR="00393915" w:rsidRDefault="00F24D68">
            <w:pPr>
              <w:pStyle w:val="P68B1DB1-TableParagraph73"/>
              <w:spacing w:before="108"/>
              <w:ind w:left="85"/>
              <w:jc w:val="both"/>
              <w:rPr>
                <w:bCs/>
              </w:rPr>
            </w:pPr>
            <w:r>
              <w:t>Mjerodavno pravo</w:t>
            </w:r>
          </w:p>
          <w:p w14:paraId="7FE1C823" w14:textId="77777777" w:rsidR="00393915" w:rsidRDefault="00F24D68">
            <w:pPr>
              <w:pStyle w:val="P68B1DB1-TableParagraph40"/>
              <w:spacing w:before="108"/>
              <w:ind w:left="85"/>
              <w:jc w:val="both"/>
            </w:pPr>
            <w:r>
              <w:t xml:space="preserve">Identifikacijska oznaka ISO 3166 – 1 alfa-2 države čije je pravo mjerodavno za ugovorno odnose s FMI. </w:t>
            </w:r>
          </w:p>
          <w:p w14:paraId="7FE1C824" w14:textId="77777777" w:rsidR="00393915" w:rsidRDefault="00F24D68">
            <w:pPr>
              <w:pStyle w:val="P68B1DB1-TableParagraph40"/>
              <w:numPr>
                <w:ilvl w:val="0"/>
                <w:numId w:val="247"/>
              </w:numPr>
              <w:spacing w:before="108"/>
              <w:jc w:val="both"/>
              <w:rPr>
                <w:b/>
                <w:bCs/>
              </w:rPr>
            </w:pPr>
            <w:r>
              <w:t>Za izravne pristupe mjerodavno pravo ugovora između infrastrukture financijskog tržišta i korisnika</w:t>
            </w:r>
          </w:p>
          <w:p w14:paraId="7FE1C825" w14:textId="77777777" w:rsidR="00393915" w:rsidRDefault="00F24D68">
            <w:pPr>
              <w:pStyle w:val="P68B1DB1-TableParagraph40"/>
              <w:numPr>
                <w:ilvl w:val="0"/>
                <w:numId w:val="247"/>
              </w:numPr>
              <w:spacing w:before="108"/>
              <w:jc w:val="both"/>
            </w:pPr>
            <w:r>
              <w:t>Za neizravne pristupe mjerodavno pravo ugovora između posrednika i korisnika.</w:t>
            </w:r>
          </w:p>
        </w:tc>
      </w:tr>
      <w:tr w:rsidR="00393915" w14:paraId="7FE1C82E" w14:textId="77777777">
        <w:tc>
          <w:tcPr>
            <w:tcW w:w="1183" w:type="dxa"/>
            <w:tcBorders>
              <w:top w:val="single" w:sz="8" w:space="0" w:color="auto"/>
              <w:bottom w:val="single" w:sz="8" w:space="0" w:color="auto"/>
              <w:right w:val="single" w:sz="8" w:space="0" w:color="auto"/>
            </w:tcBorders>
            <w:vAlign w:val="center"/>
          </w:tcPr>
          <w:p w14:paraId="7FE1C827" w14:textId="77777777" w:rsidR="00393915" w:rsidRDefault="00F24D68">
            <w:pPr>
              <w:pStyle w:val="P68B1DB1-Normal31"/>
            </w:pPr>
            <w:r>
              <w:t>0140</w:t>
            </w:r>
          </w:p>
        </w:tc>
        <w:tc>
          <w:tcPr>
            <w:tcW w:w="7832" w:type="dxa"/>
            <w:tcBorders>
              <w:top w:val="single" w:sz="8" w:space="0" w:color="auto"/>
              <w:left w:val="single" w:sz="8" w:space="0" w:color="auto"/>
              <w:bottom w:val="single" w:sz="8" w:space="0" w:color="auto"/>
            </w:tcBorders>
            <w:vAlign w:val="bottom"/>
          </w:tcPr>
          <w:p w14:paraId="7FE1C828" w14:textId="77777777" w:rsidR="00393915" w:rsidRDefault="00F24D68">
            <w:pPr>
              <w:pStyle w:val="P68B1DB1-TableParagraph73"/>
              <w:spacing w:before="108"/>
              <w:ind w:left="85"/>
              <w:jc w:val="both"/>
              <w:rPr>
                <w:bCs/>
              </w:rPr>
            </w:pPr>
            <w:r>
              <w:t xml:space="preserve">Ugovor otporan na sanaciju </w:t>
            </w:r>
          </w:p>
          <w:p w14:paraId="7FE1C829" w14:textId="77777777" w:rsidR="00393915" w:rsidRDefault="00F24D68">
            <w:pPr>
              <w:pStyle w:val="P68B1DB1-TableParagraph40"/>
              <w:spacing w:before="108"/>
              <w:ind w:left="85"/>
              <w:jc w:val="both"/>
            </w:pPr>
            <w:r>
              <w:t>Iskazati jednu od sljedećih vrijednosti:</w:t>
            </w:r>
          </w:p>
          <w:p w14:paraId="7FE1C82A" w14:textId="6A33252E" w:rsidR="00393915" w:rsidRDefault="00F24D68">
            <w:pPr>
              <w:pStyle w:val="TableParagraph"/>
              <w:spacing w:before="108"/>
              <w:ind w:left="85"/>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„Da” – ako je izvještajni subjekt procijenio da je ugovor otporan na sanaciju</w:t>
            </w:r>
            <w:r>
              <w:rPr>
                <w:rStyle w:val="FootnoteReference"/>
                <w:rFonts w:ascii="Times New Roman" w:eastAsia="Times New Roman" w:hAnsi="Times New Roman" w:cs="Times New Roman"/>
              </w:rPr>
              <w:footnoteReference w:id="32"/>
            </w:r>
            <w:r>
              <w:rPr>
                <w:rFonts w:ascii="Times New Roman" w:eastAsia="Times New Roman" w:hAnsi="Times New Roman" w:cs="Times New Roman"/>
                <w:sz w:val="20"/>
                <w:szCs w:val="20"/>
              </w:rPr>
              <w:t>.</w:t>
            </w:r>
          </w:p>
          <w:p w14:paraId="7FE1C82B" w14:textId="47263BD7" w:rsidR="00393915" w:rsidRDefault="00F24D68">
            <w:pPr>
              <w:pStyle w:val="P68B1DB1-TableParagraph40"/>
              <w:spacing w:before="108"/>
              <w:ind w:left="85"/>
              <w:jc w:val="both"/>
            </w:pPr>
            <w:r>
              <w:t>„Ne” – ako je izvještajni subjekt procijenio da ugovor nije otporan na sanaciju.</w:t>
            </w:r>
          </w:p>
          <w:p w14:paraId="7FE1C82C" w14:textId="02E418EA" w:rsidR="00393915" w:rsidRDefault="00F24D68">
            <w:pPr>
              <w:pStyle w:val="P68B1DB1-TableParagraph40"/>
              <w:spacing w:before="108"/>
              <w:ind w:left="85"/>
              <w:jc w:val="both"/>
            </w:pPr>
            <w:r>
              <w:t xml:space="preserve">„Nije </w:t>
            </w:r>
            <w:r w:rsidR="005B11F3">
              <w:t>pr</w:t>
            </w:r>
            <w:r>
              <w:t>ocijenjeno</w:t>
            </w:r>
            <w:r>
              <w:t>” – ako informacije nisu dostupne.</w:t>
            </w:r>
          </w:p>
          <w:p w14:paraId="7FE1C82D" w14:textId="7FCD9825" w:rsidR="00393915" w:rsidRDefault="00C1067F">
            <w:pPr>
              <w:pStyle w:val="P68B1DB1-TableParagraph40"/>
              <w:spacing w:before="108"/>
              <w:ind w:left="85"/>
              <w:jc w:val="both"/>
              <w:rPr>
                <w:b/>
                <w:bCs/>
                <w:i/>
                <w:iCs/>
                <w:u w:val="single"/>
              </w:rPr>
            </w:pPr>
            <w:r>
              <w:t>ijestiti</w:t>
            </w:r>
            <w:r w:rsidR="00F24D68">
              <w:t>Izv</w:t>
            </w:r>
            <w:r>
              <w:t>ijestiti</w:t>
            </w:r>
            <w:r w:rsidR="00F24D68">
              <w:t xml:space="preserve"> </w:t>
            </w:r>
            <w:r w:rsidR="00F24D68">
              <w:t xml:space="preserve">samo za posrednike. </w:t>
            </w:r>
            <w:r w:rsidR="005B11F3">
              <w:t xml:space="preserve">Izvijestiti </w:t>
            </w:r>
            <w:r w:rsidR="00F24D68">
              <w:t xml:space="preserve">„Y” za sve ugovore na temelju prava EGP-a.  </w:t>
            </w:r>
          </w:p>
        </w:tc>
      </w:tr>
      <w:tr w:rsidR="00393915" w14:paraId="7FE1C833" w14:textId="77777777">
        <w:tc>
          <w:tcPr>
            <w:tcW w:w="1183" w:type="dxa"/>
            <w:tcBorders>
              <w:top w:val="single" w:sz="8" w:space="0" w:color="auto"/>
              <w:bottom w:val="single" w:sz="8" w:space="0" w:color="auto"/>
              <w:right w:val="single" w:sz="8" w:space="0" w:color="auto"/>
            </w:tcBorders>
            <w:vAlign w:val="center"/>
          </w:tcPr>
          <w:p w14:paraId="7FE1C82F" w14:textId="77777777" w:rsidR="00393915" w:rsidRDefault="00F24D68">
            <w:pPr>
              <w:pStyle w:val="P68B1DB1-Normal31"/>
            </w:pPr>
            <w:r>
              <w:t>0150 – 0200</w:t>
            </w:r>
          </w:p>
        </w:tc>
        <w:tc>
          <w:tcPr>
            <w:tcW w:w="7832" w:type="dxa"/>
            <w:tcBorders>
              <w:top w:val="single" w:sz="8" w:space="0" w:color="auto"/>
              <w:left w:val="single" w:sz="8" w:space="0" w:color="auto"/>
              <w:bottom w:val="single" w:sz="8" w:space="0" w:color="auto"/>
            </w:tcBorders>
            <w:vAlign w:val="bottom"/>
          </w:tcPr>
          <w:p w14:paraId="7FE1C830" w14:textId="77777777" w:rsidR="00393915" w:rsidRDefault="00F24D68">
            <w:pPr>
              <w:pStyle w:val="P68B1DB1-TableParagraph73"/>
              <w:spacing w:before="108"/>
              <w:ind w:left="85"/>
              <w:jc w:val="both"/>
            </w:pPr>
            <w:r>
              <w:t>Valute relevantne za izvještajni subjekt</w:t>
            </w:r>
          </w:p>
          <w:p w14:paraId="7FE1C831" w14:textId="77777777" w:rsidR="00393915" w:rsidRDefault="00F24D68">
            <w:pPr>
              <w:pStyle w:val="P68B1DB1-TableParagraph40"/>
              <w:spacing w:before="108"/>
              <w:ind w:left="85"/>
              <w:jc w:val="both"/>
            </w:pPr>
            <w:r>
              <w:t>Valute u kojima su transakcije izvještajnog subjekta prihvaćene i namirene u sustavu. Iskazuju se samo valute koje čine najmanje 5 % ukupnog poslovanja institucije koja izvješćuje s infrastrukturama financijskog tržišta/posrednikom.</w:t>
            </w:r>
          </w:p>
          <w:p w14:paraId="7FE1C832" w14:textId="5F391EA0" w:rsidR="00393915" w:rsidRDefault="00DB5E8C">
            <w:pPr>
              <w:pStyle w:val="P68B1DB1-TableParagraph40"/>
              <w:spacing w:before="108"/>
              <w:ind w:left="85"/>
              <w:jc w:val="both"/>
              <w:rPr>
                <w:b/>
              </w:rPr>
            </w:pPr>
            <w:r>
              <w:t>i</w:t>
            </w:r>
            <w:r w:rsidR="00F24D68">
              <w:t>Stupc</w:t>
            </w:r>
            <w:r>
              <w:t>i</w:t>
            </w:r>
            <w:r w:rsidR="00F24D68">
              <w:t xml:space="preserve"> 150 – 200 međusobno se ne </w:t>
            </w:r>
            <w:r w:rsidR="00C179C5">
              <w:t>u</w:t>
            </w:r>
            <w:r w:rsidR="00F24D68">
              <w:t>isključuj</w:t>
            </w:r>
            <w:r w:rsidR="00C179C5">
              <w:t>u</w:t>
            </w:r>
            <w:r w:rsidR="00F24D68">
              <w:t>. Za „ostale valute” (stupac 0170): ISO 4217 – troslovna oznaka valute/valuta.</w:t>
            </w:r>
          </w:p>
        </w:tc>
      </w:tr>
      <w:tr w:rsidR="00393915" w14:paraId="7FE1C837" w14:textId="77777777">
        <w:tc>
          <w:tcPr>
            <w:tcW w:w="1183" w:type="dxa"/>
            <w:tcBorders>
              <w:top w:val="single" w:sz="8" w:space="0" w:color="auto"/>
              <w:bottom w:val="single" w:sz="8" w:space="0" w:color="auto"/>
              <w:right w:val="single" w:sz="8" w:space="0" w:color="auto"/>
            </w:tcBorders>
            <w:vAlign w:val="center"/>
          </w:tcPr>
          <w:p w14:paraId="7FE1C834" w14:textId="77777777" w:rsidR="00393915" w:rsidRDefault="00F24D68">
            <w:pPr>
              <w:pStyle w:val="P68B1DB1-Normal31"/>
            </w:pPr>
            <w:r>
              <w:t>0210</w:t>
            </w:r>
          </w:p>
        </w:tc>
        <w:tc>
          <w:tcPr>
            <w:tcW w:w="7832" w:type="dxa"/>
            <w:tcBorders>
              <w:top w:val="single" w:sz="8" w:space="0" w:color="auto"/>
              <w:left w:val="single" w:sz="8" w:space="0" w:color="auto"/>
              <w:bottom w:val="single" w:sz="8" w:space="0" w:color="auto"/>
            </w:tcBorders>
            <w:vAlign w:val="bottom"/>
          </w:tcPr>
          <w:p w14:paraId="7FE1C835" w14:textId="77777777" w:rsidR="00393915" w:rsidRDefault="00F24D68">
            <w:pPr>
              <w:pStyle w:val="P68B1DB1-TableParagraph73"/>
              <w:spacing w:before="108"/>
              <w:ind w:left="85"/>
              <w:jc w:val="both"/>
            </w:pPr>
            <w:r>
              <w:t>Usluge koje se pružaju infrastrukturi financijskog tržišta/posredniku</w:t>
            </w:r>
          </w:p>
          <w:p w14:paraId="7FE1C836" w14:textId="3146C58F" w:rsidR="00393915" w:rsidRDefault="00614B21">
            <w:pPr>
              <w:pStyle w:val="P68B1DB1-TableParagraph40"/>
              <w:spacing w:before="108"/>
              <w:ind w:left="85"/>
              <w:jc w:val="both"/>
            </w:pPr>
            <w:r>
              <w:t>Izvijestiti</w:t>
            </w:r>
            <w:r w:rsidR="00F24D68">
              <w:t xml:space="preserve"> samo ako korisnik pruža usluge infrastrukturi financijskog tržišta/posredniku kao što su pružatelj cijena, pružatelj likvidnosti, gotovinska namira (navesti valutu), skrbništvo, neizravan pristup (stranim) </w:t>
            </w:r>
            <w:r w:rsidR="00920EEB">
              <w:t>središnjim</w:t>
            </w:r>
            <w:r w:rsidR="00920EEB">
              <w:t>središnjim</w:t>
            </w:r>
            <w:r w:rsidR="00920EEB">
              <w:t xml:space="preserve"> depozitorijima vrijednosnih papira</w:t>
            </w:r>
            <w:r w:rsidR="00F24D68">
              <w:t xml:space="preserve">, investicijska druga ugovorna strana, drugo. </w:t>
            </w:r>
          </w:p>
        </w:tc>
      </w:tr>
      <w:tr w:rsidR="00393915" w14:paraId="7FE1C83B" w14:textId="77777777">
        <w:tc>
          <w:tcPr>
            <w:tcW w:w="1183" w:type="dxa"/>
            <w:tcBorders>
              <w:top w:val="single" w:sz="8" w:space="0" w:color="auto"/>
              <w:bottom w:val="single" w:sz="8" w:space="0" w:color="auto"/>
              <w:right w:val="single" w:sz="8" w:space="0" w:color="auto"/>
            </w:tcBorders>
            <w:vAlign w:val="center"/>
          </w:tcPr>
          <w:p w14:paraId="7FE1C838" w14:textId="77777777" w:rsidR="00393915" w:rsidRDefault="00F24D68">
            <w:pPr>
              <w:pStyle w:val="P68B1DB1-Normal31"/>
            </w:pPr>
            <w:r>
              <w:lastRenderedPageBreak/>
              <w:t>0220</w:t>
            </w:r>
          </w:p>
        </w:tc>
        <w:tc>
          <w:tcPr>
            <w:tcW w:w="7832" w:type="dxa"/>
            <w:tcBorders>
              <w:top w:val="single" w:sz="8" w:space="0" w:color="auto"/>
              <w:left w:val="single" w:sz="8" w:space="0" w:color="auto"/>
              <w:bottom w:val="single" w:sz="8" w:space="0" w:color="auto"/>
            </w:tcBorders>
            <w:vAlign w:val="bottom"/>
          </w:tcPr>
          <w:p w14:paraId="7FE1C839" w14:textId="0315DF29" w:rsidR="00393915" w:rsidRDefault="00F24D68">
            <w:pPr>
              <w:pStyle w:val="P68B1DB1-TableParagraph73"/>
              <w:spacing w:before="108"/>
              <w:ind w:left="85"/>
              <w:jc w:val="both"/>
            </w:pPr>
            <w:r>
              <w:t xml:space="preserve">Usluga koju pruža </w:t>
            </w:r>
            <w:r w:rsidR="00BE11E7">
              <w:t>infrastruktura</w:t>
            </w:r>
            <w:r w:rsidR="00BE11E7">
              <w:t>infrastruktura</w:t>
            </w:r>
            <w:r w:rsidR="00BE11E7">
              <w:t xml:space="preserve"> financijskog tržišta</w:t>
            </w:r>
            <w:r>
              <w:t>/posrednik</w:t>
            </w:r>
          </w:p>
          <w:p w14:paraId="7FE1C83A" w14:textId="791EE40F" w:rsidR="00393915" w:rsidRDefault="00F24D68">
            <w:pPr>
              <w:pStyle w:val="P68B1DB1-TableParagraph40"/>
              <w:spacing w:before="108"/>
              <w:ind w:left="85"/>
              <w:jc w:val="both"/>
            </w:pPr>
            <w:r>
              <w:t>Usluge koje infrastruktura financijskog tržišta/posrednik pruža izvještajnom subjektu. Navesti ako je 0040 „</w:t>
            </w:r>
            <w:r w:rsidR="004821C2">
              <w:t>NP</w:t>
            </w:r>
            <w:r w:rsidR="004821C2">
              <w:t>NP</w:t>
            </w:r>
            <w:r>
              <w:t>”.</w:t>
            </w:r>
          </w:p>
        </w:tc>
      </w:tr>
      <w:tr w:rsidR="00393915" w14:paraId="7FE1C83E" w14:textId="77777777">
        <w:tc>
          <w:tcPr>
            <w:tcW w:w="1183" w:type="dxa"/>
            <w:tcBorders>
              <w:top w:val="single" w:sz="8" w:space="0" w:color="auto"/>
              <w:bottom w:val="single" w:sz="8" w:space="0" w:color="auto"/>
              <w:right w:val="single" w:sz="8" w:space="0" w:color="auto"/>
            </w:tcBorders>
            <w:vAlign w:val="center"/>
          </w:tcPr>
          <w:p w14:paraId="7FE1C83C" w14:textId="77777777" w:rsidR="00393915" w:rsidRDefault="00F24D68">
            <w:pPr>
              <w:pStyle w:val="P68B1DB1-Normal74"/>
            </w:pPr>
            <w:r>
              <w:t>0230 – 0250</w:t>
            </w:r>
          </w:p>
        </w:tc>
        <w:tc>
          <w:tcPr>
            <w:tcW w:w="7832" w:type="dxa"/>
            <w:tcBorders>
              <w:top w:val="single" w:sz="8" w:space="0" w:color="auto"/>
              <w:left w:val="single" w:sz="8" w:space="0" w:color="auto"/>
              <w:bottom w:val="single" w:sz="8" w:space="0" w:color="auto"/>
            </w:tcBorders>
            <w:vAlign w:val="bottom"/>
          </w:tcPr>
          <w:p w14:paraId="7FE1C83D" w14:textId="77777777" w:rsidR="00393915" w:rsidRDefault="00F24D68">
            <w:pPr>
              <w:pStyle w:val="P68B1DB1-TableParagraph75"/>
              <w:spacing w:before="108"/>
              <w:ind w:left="85"/>
              <w:jc w:val="both"/>
            </w:pPr>
            <w:r>
              <w:t>Pružatelji usluga</w:t>
            </w:r>
          </w:p>
        </w:tc>
      </w:tr>
      <w:tr w:rsidR="00393915" w14:paraId="7FE1C843" w14:textId="77777777">
        <w:tc>
          <w:tcPr>
            <w:tcW w:w="1183" w:type="dxa"/>
            <w:tcBorders>
              <w:top w:val="single" w:sz="8" w:space="0" w:color="auto"/>
              <w:bottom w:val="single" w:sz="8" w:space="0" w:color="auto"/>
              <w:right w:val="single" w:sz="8" w:space="0" w:color="auto"/>
            </w:tcBorders>
            <w:vAlign w:val="center"/>
          </w:tcPr>
          <w:p w14:paraId="7FE1C83F" w14:textId="77777777" w:rsidR="00393915" w:rsidRDefault="00F24D68">
            <w:pPr>
              <w:pStyle w:val="P68B1DB1-Normal31"/>
            </w:pPr>
            <w:r>
              <w:t>0230 – 0250</w:t>
            </w:r>
          </w:p>
        </w:tc>
        <w:tc>
          <w:tcPr>
            <w:tcW w:w="7832" w:type="dxa"/>
            <w:tcBorders>
              <w:top w:val="single" w:sz="8" w:space="0" w:color="auto"/>
              <w:left w:val="single" w:sz="8" w:space="0" w:color="auto"/>
              <w:bottom w:val="single" w:sz="8" w:space="0" w:color="auto"/>
            </w:tcBorders>
            <w:vAlign w:val="bottom"/>
          </w:tcPr>
          <w:p w14:paraId="7FE1C840" w14:textId="77777777" w:rsidR="00393915" w:rsidRDefault="00F24D68">
            <w:pPr>
              <w:pStyle w:val="P68B1DB1-TableParagraph73"/>
              <w:spacing w:before="108"/>
              <w:ind w:left="85"/>
              <w:jc w:val="both"/>
            </w:pPr>
            <w:r>
              <w:t>Pružatelji komunikacijskih usluga,</w:t>
            </w:r>
          </w:p>
          <w:p w14:paraId="7FE1C841" w14:textId="7B818514" w:rsidR="00393915" w:rsidRDefault="00F24D68">
            <w:pPr>
              <w:pStyle w:val="P68B1DB1-TableParagraph40"/>
              <w:spacing w:before="108"/>
              <w:ind w:left="85"/>
              <w:jc w:val="both"/>
            </w:pPr>
            <w:r>
              <w:t xml:space="preserve">Pružatelji komunikacijskih usluga kojima se institucija koristi za pristup infrastrukturi financijskog tržišta. Stupci 230 – 250 međusobno se ne isključuju. </w:t>
            </w:r>
          </w:p>
          <w:p w14:paraId="32DB4B00" w14:textId="31200E2F" w:rsidR="00393915" w:rsidRDefault="00F24D68">
            <w:pPr>
              <w:pStyle w:val="P68B1DB1-TableParagraph40"/>
              <w:spacing w:before="108"/>
              <w:ind w:left="85"/>
              <w:jc w:val="both"/>
            </w:pPr>
            <w:r>
              <w:t xml:space="preserve">Za „stabilnost </w:t>
            </w:r>
            <w:r w:rsidR="00E22A21">
              <w:t>infrastrukture</w:t>
            </w:r>
            <w:r w:rsidR="00E22A21">
              <w:t>infrastrukture</w:t>
            </w:r>
            <w:r w:rsidR="00E22A21">
              <w:t xml:space="preserve"> financijskog tržišta</w:t>
            </w:r>
            <w:r>
              <w:t>”-c0230 i „SWIFT” – c0240, izvješće:</w:t>
            </w:r>
          </w:p>
          <w:p w14:paraId="1D0FFCBE" w14:textId="35CCFFDC" w:rsidR="00393915" w:rsidRDefault="00F24D68">
            <w:pPr>
              <w:pStyle w:val="P68B1DB1-TableParagraph40"/>
              <w:numPr>
                <w:ilvl w:val="0"/>
                <w:numId w:val="181"/>
              </w:numPr>
              <w:spacing w:before="108"/>
              <w:jc w:val="both"/>
            </w:pPr>
            <w:r>
              <w:t>Da</w:t>
            </w:r>
          </w:p>
          <w:p w14:paraId="26472FE9" w14:textId="14806C26" w:rsidR="00393915" w:rsidRDefault="00E22A21">
            <w:pPr>
              <w:pStyle w:val="P68B1DB1-TableParagraph40"/>
              <w:numPr>
                <w:ilvl w:val="0"/>
                <w:numId w:val="181"/>
              </w:numPr>
              <w:spacing w:before="108"/>
              <w:jc w:val="both"/>
            </w:pPr>
            <w:r>
              <w:t>Ne</w:t>
            </w:r>
          </w:p>
          <w:p w14:paraId="7FE1C842" w14:textId="1DC19D63" w:rsidR="00393915" w:rsidRDefault="00F24D68">
            <w:pPr>
              <w:pStyle w:val="P68B1DB1-TableParagraph40"/>
              <w:spacing w:before="108"/>
              <w:ind w:left="85"/>
              <w:jc w:val="both"/>
            </w:pPr>
            <w:r>
              <w:t xml:space="preserve">Za „Ostale pružatelje komunikacijskih usluga” – c0250: navesti </w:t>
            </w:r>
            <w:r w:rsidR="00662236">
              <w:t xml:space="preserve">komercijalni </w:t>
            </w:r>
            <w:r>
              <w:t>naziv pružatelja usluga.</w:t>
            </w:r>
          </w:p>
        </w:tc>
      </w:tr>
      <w:tr w:rsidR="00393915" w14:paraId="7FE1C846" w14:textId="77777777">
        <w:tc>
          <w:tcPr>
            <w:tcW w:w="1183" w:type="dxa"/>
            <w:tcBorders>
              <w:top w:val="single" w:sz="8" w:space="0" w:color="auto"/>
              <w:bottom w:val="single" w:sz="8" w:space="0" w:color="auto"/>
              <w:right w:val="single" w:sz="8" w:space="0" w:color="auto"/>
            </w:tcBorders>
            <w:vAlign w:val="center"/>
          </w:tcPr>
          <w:p w14:paraId="7FE1C844" w14:textId="77777777" w:rsidR="00393915" w:rsidRDefault="00F24D68">
            <w:pPr>
              <w:pStyle w:val="P68B1DB1-Normal74"/>
            </w:pPr>
            <w:r>
              <w:t>0260 – 0270</w:t>
            </w:r>
          </w:p>
        </w:tc>
        <w:tc>
          <w:tcPr>
            <w:tcW w:w="7832" w:type="dxa"/>
            <w:tcBorders>
              <w:top w:val="single" w:sz="8" w:space="0" w:color="auto"/>
              <w:left w:val="single" w:sz="8" w:space="0" w:color="auto"/>
              <w:bottom w:val="single" w:sz="8" w:space="0" w:color="auto"/>
            </w:tcBorders>
            <w:vAlign w:val="bottom"/>
          </w:tcPr>
          <w:p w14:paraId="7FE1C845" w14:textId="77777777" w:rsidR="00393915" w:rsidRDefault="00F24D68">
            <w:pPr>
              <w:pStyle w:val="P68B1DB1-TableParagraph75"/>
              <w:spacing w:before="108"/>
              <w:ind w:left="85"/>
              <w:jc w:val="both"/>
            </w:pPr>
            <w:r>
              <w:t>Drugi pružatelji usluga koji omogućuju pristup infrastrukturi financijskog tržišta</w:t>
            </w:r>
          </w:p>
        </w:tc>
      </w:tr>
      <w:tr w:rsidR="00393915" w14:paraId="7FE1C84A" w14:textId="77777777">
        <w:tc>
          <w:tcPr>
            <w:tcW w:w="1183" w:type="dxa"/>
            <w:tcBorders>
              <w:top w:val="single" w:sz="8" w:space="0" w:color="auto"/>
              <w:bottom w:val="single" w:sz="8" w:space="0" w:color="auto"/>
              <w:right w:val="single" w:sz="8" w:space="0" w:color="auto"/>
            </w:tcBorders>
            <w:vAlign w:val="center"/>
          </w:tcPr>
          <w:p w14:paraId="7FE1C847" w14:textId="77777777" w:rsidR="00393915" w:rsidRDefault="00F24D68">
            <w:pPr>
              <w:pStyle w:val="P68B1DB1-Normal31"/>
            </w:pPr>
            <w:r>
              <w:t>0260</w:t>
            </w:r>
          </w:p>
        </w:tc>
        <w:tc>
          <w:tcPr>
            <w:tcW w:w="7832" w:type="dxa"/>
            <w:tcBorders>
              <w:top w:val="single" w:sz="8" w:space="0" w:color="auto"/>
              <w:left w:val="single" w:sz="8" w:space="0" w:color="auto"/>
              <w:bottom w:val="single" w:sz="8" w:space="0" w:color="auto"/>
            </w:tcBorders>
            <w:vAlign w:val="bottom"/>
          </w:tcPr>
          <w:p w14:paraId="7FE1C848" w14:textId="77777777" w:rsidR="00393915" w:rsidRDefault="00F24D68">
            <w:pPr>
              <w:pStyle w:val="P68B1DB1-TableParagraph73"/>
              <w:spacing w:before="108"/>
              <w:ind w:left="85"/>
            </w:pPr>
            <w:r>
              <w:t xml:space="preserve">Nazivi dodatnih pružatelja usluga </w:t>
            </w:r>
          </w:p>
          <w:p w14:paraId="7FE1C849" w14:textId="07A1334C" w:rsidR="00393915" w:rsidRDefault="00F24D68">
            <w:pPr>
              <w:pStyle w:val="P68B1DB1-TableParagraph40"/>
              <w:spacing w:before="108"/>
              <w:ind w:left="85"/>
              <w:jc w:val="both"/>
              <w:rPr>
                <w:b/>
              </w:rPr>
            </w:pPr>
            <w:r>
              <w:t xml:space="preserve">Dobavljači, osim posrednika, koji su korisniku nužni, ako je primjenjivo: banka namire, </w:t>
            </w:r>
            <w:r w:rsidR="000F21EC" w:rsidRPr="000F21EC">
              <w:t>gotovinski korespondent / nostro agent</w:t>
            </w:r>
            <w:r>
              <w:t xml:space="preserve">, pružatelj likvidnosti.  </w:t>
            </w:r>
            <w:r>
              <w:br/>
            </w:r>
            <w:r w:rsidR="00F34A9B">
              <w:t xml:space="preserve">Komercijalni </w:t>
            </w:r>
            <w:r>
              <w:t>naziv pružatelja usluga.</w:t>
            </w:r>
          </w:p>
        </w:tc>
      </w:tr>
      <w:tr w:rsidR="00393915" w14:paraId="7FE1C84E" w14:textId="77777777">
        <w:tc>
          <w:tcPr>
            <w:tcW w:w="1183" w:type="dxa"/>
            <w:tcBorders>
              <w:top w:val="single" w:sz="8" w:space="0" w:color="auto"/>
              <w:bottom w:val="single" w:sz="8" w:space="0" w:color="auto"/>
              <w:right w:val="single" w:sz="8" w:space="0" w:color="auto"/>
            </w:tcBorders>
            <w:vAlign w:val="center"/>
          </w:tcPr>
          <w:p w14:paraId="7FE1C84B" w14:textId="77777777" w:rsidR="00393915" w:rsidRDefault="00F24D68">
            <w:pPr>
              <w:pStyle w:val="P68B1DB1-Normal31"/>
            </w:pPr>
            <w:r>
              <w:t>0270</w:t>
            </w:r>
          </w:p>
        </w:tc>
        <w:tc>
          <w:tcPr>
            <w:tcW w:w="7832" w:type="dxa"/>
            <w:tcBorders>
              <w:top w:val="single" w:sz="8" w:space="0" w:color="auto"/>
              <w:left w:val="single" w:sz="8" w:space="0" w:color="auto"/>
              <w:bottom w:val="single" w:sz="8" w:space="0" w:color="auto"/>
            </w:tcBorders>
            <w:vAlign w:val="bottom"/>
          </w:tcPr>
          <w:p w14:paraId="7FE1C84C" w14:textId="77777777" w:rsidR="00393915" w:rsidRDefault="00F24D68">
            <w:pPr>
              <w:pStyle w:val="P68B1DB1-TableParagraph73"/>
              <w:spacing w:before="108"/>
              <w:ind w:left="85"/>
              <w:jc w:val="both"/>
            </w:pPr>
            <w:r>
              <w:t xml:space="preserve">Dodatne usluge </w:t>
            </w:r>
          </w:p>
          <w:p w14:paraId="7FE1C84D" w14:textId="77777777" w:rsidR="00393915" w:rsidRDefault="00F24D68">
            <w:pPr>
              <w:pStyle w:val="P68B1DB1-TableParagraph40"/>
              <w:spacing w:before="108"/>
              <w:ind w:left="85"/>
              <w:jc w:val="both"/>
              <w:rPr>
                <w:b/>
              </w:rPr>
            </w:pPr>
            <w:r>
              <w:t xml:space="preserve">Usluge pružatelja navedene u 0260. </w:t>
            </w:r>
          </w:p>
        </w:tc>
      </w:tr>
      <w:tr w:rsidR="00393915" w14:paraId="7FE1C855" w14:textId="77777777">
        <w:tc>
          <w:tcPr>
            <w:tcW w:w="1183" w:type="dxa"/>
            <w:tcBorders>
              <w:top w:val="single" w:sz="8" w:space="0" w:color="auto"/>
              <w:bottom w:val="single" w:sz="8" w:space="0" w:color="auto"/>
              <w:right w:val="single" w:sz="8" w:space="0" w:color="auto"/>
            </w:tcBorders>
            <w:vAlign w:val="center"/>
          </w:tcPr>
          <w:p w14:paraId="7FE1C84F" w14:textId="77777777" w:rsidR="00393915" w:rsidRDefault="00F24D68">
            <w:pPr>
              <w:pStyle w:val="P68B1DB1-Normal31"/>
            </w:pPr>
            <w:r>
              <w:t>0280</w:t>
            </w:r>
          </w:p>
        </w:tc>
        <w:tc>
          <w:tcPr>
            <w:tcW w:w="7832" w:type="dxa"/>
            <w:tcBorders>
              <w:top w:val="single" w:sz="8" w:space="0" w:color="auto"/>
              <w:left w:val="single" w:sz="8" w:space="0" w:color="auto"/>
              <w:bottom w:val="single" w:sz="8" w:space="0" w:color="auto"/>
            </w:tcBorders>
            <w:vAlign w:val="bottom"/>
          </w:tcPr>
          <w:p w14:paraId="7FE1C850" w14:textId="4E398D87" w:rsidR="00393915" w:rsidRDefault="00F24D68">
            <w:pPr>
              <w:pStyle w:val="P68B1DB1-TableParagraph73"/>
              <w:spacing w:before="108"/>
              <w:ind w:left="85"/>
              <w:jc w:val="both"/>
            </w:pPr>
            <w:r>
              <w:t xml:space="preserve">Kontaktna točka na </w:t>
            </w:r>
            <w:r w:rsidR="00A50F8B" w:rsidRPr="00A50F8B">
              <w:t xml:space="preserve">infrastrukturi financijskog tržišta </w:t>
            </w:r>
            <w:r>
              <w:t>/posredniku</w:t>
            </w:r>
          </w:p>
          <w:p w14:paraId="7FE1C851" w14:textId="7868804F" w:rsidR="00393915" w:rsidRDefault="00F24D68">
            <w:pPr>
              <w:pStyle w:val="P68B1DB1-TableParagraph40"/>
              <w:spacing w:before="108"/>
              <w:ind w:left="85"/>
              <w:jc w:val="both"/>
            </w:pPr>
            <w:r>
              <w:t xml:space="preserve">Kontaktna točka </w:t>
            </w:r>
            <w:r w:rsidR="00F92B8B">
              <w:t xml:space="preserve">pri </w:t>
            </w:r>
            <w:r>
              <w:t xml:space="preserve">infrastrukturi financijskog tržišta u slučaju sanacije subjekta koji izvješćuje. </w:t>
            </w:r>
            <w:r w:rsidR="003C7269">
              <w:t>Navesti</w:t>
            </w:r>
            <w:r w:rsidR="003C7269">
              <w:t>Navesti</w:t>
            </w:r>
            <w:r>
              <w:t>:</w:t>
            </w:r>
          </w:p>
          <w:p w14:paraId="7FE1C852" w14:textId="77777777" w:rsidR="00393915" w:rsidRDefault="00F24D68">
            <w:pPr>
              <w:pStyle w:val="P68B1DB1-TableParagraph40"/>
              <w:numPr>
                <w:ilvl w:val="0"/>
                <w:numId w:val="181"/>
              </w:numPr>
              <w:ind w:left="799" w:hanging="357"/>
              <w:jc w:val="both"/>
            </w:pPr>
            <w:r>
              <w:t>Naziv</w:t>
            </w:r>
          </w:p>
          <w:p w14:paraId="7FE1C853" w14:textId="77777777" w:rsidR="00393915" w:rsidRDefault="00F24D68">
            <w:pPr>
              <w:pStyle w:val="P68B1DB1-TableParagraph40"/>
              <w:numPr>
                <w:ilvl w:val="0"/>
                <w:numId w:val="181"/>
              </w:numPr>
              <w:ind w:left="799" w:hanging="357"/>
              <w:jc w:val="both"/>
            </w:pPr>
            <w:r>
              <w:t>Naziv radnog mjesta</w:t>
            </w:r>
          </w:p>
          <w:p w14:paraId="7FE1C854" w14:textId="5FE95CD9" w:rsidR="00393915" w:rsidRDefault="00F24D68">
            <w:pPr>
              <w:pStyle w:val="P68B1DB1-TableParagraph40"/>
              <w:numPr>
                <w:ilvl w:val="0"/>
                <w:numId w:val="181"/>
              </w:numPr>
              <w:ind w:left="799" w:hanging="357"/>
              <w:jc w:val="both"/>
            </w:pPr>
            <w:r>
              <w:t>E-adresa</w:t>
            </w:r>
          </w:p>
        </w:tc>
      </w:tr>
    </w:tbl>
    <w:p w14:paraId="7FE1C856" w14:textId="77777777" w:rsidR="00393915" w:rsidRDefault="00F24D68">
      <w:pPr>
        <w:pStyle w:val="P68B1DB1-Normal78"/>
      </w:pPr>
      <w:r>
        <w:br/>
      </w:r>
      <w:r>
        <w:br/>
      </w:r>
    </w:p>
    <w:p w14:paraId="7FE1C857" w14:textId="77777777" w:rsidR="00393915" w:rsidRDefault="00F24D68">
      <w:pPr>
        <w:spacing w:line="257" w:lineRule="auto"/>
        <w:jc w:val="both"/>
        <w:rPr>
          <w:rFonts w:ascii="Times New Roman" w:eastAsia="Verdana" w:hAnsi="Times New Roman" w:cs="Times New Roman"/>
          <w:sz w:val="20"/>
          <w:szCs w:val="20"/>
        </w:rPr>
      </w:pPr>
      <w:hyperlink r:id="rId12" w:anchor="_ftnref1" w:history="1">
        <w:r>
          <w:rPr>
            <w:rStyle w:val="Hyperlink"/>
            <w:rFonts w:ascii="Times New Roman" w:eastAsia="Verdana" w:hAnsi="Times New Roman" w:cs="Times New Roman"/>
            <w:sz w:val="20"/>
            <w:szCs w:val="20"/>
            <w:vertAlign w:val="superscript"/>
          </w:rPr>
          <w:t>[1.]</w:t>
        </w:r>
      </w:hyperlink>
      <w:r>
        <w:rPr>
          <w:rFonts w:ascii="Times New Roman" w:eastAsia="Verdana" w:hAnsi="Times New Roman" w:cs="Times New Roman"/>
          <w:sz w:val="20"/>
          <w:szCs w:val="20"/>
        </w:rPr>
        <w:t xml:space="preserve"> Kao što je jedinstvena identifikacijska oznaka monetarnih financijskih institucija ESB-a (MFI ID) subjekta za upotrebu u RIAD-u.</w:t>
      </w:r>
    </w:p>
    <w:p w14:paraId="7FE1C858" w14:textId="77777777" w:rsidR="00393915" w:rsidRDefault="00F24D68">
      <w:pPr>
        <w:spacing w:line="257" w:lineRule="auto"/>
        <w:jc w:val="both"/>
        <w:rPr>
          <w:rFonts w:ascii="Times New Roman" w:eastAsia="Verdana" w:hAnsi="Times New Roman" w:cs="Times New Roman"/>
          <w:sz w:val="20"/>
          <w:szCs w:val="20"/>
        </w:rPr>
      </w:pPr>
      <w:hyperlink r:id="rId13" w:anchor="_ftnref2" w:history="1">
        <w:r>
          <w:rPr>
            <w:rStyle w:val="Hyperlink"/>
            <w:rFonts w:ascii="Times New Roman" w:eastAsia="Verdana" w:hAnsi="Times New Roman" w:cs="Times New Roman"/>
            <w:sz w:val="20"/>
            <w:szCs w:val="20"/>
            <w:vertAlign w:val="superscript"/>
          </w:rPr>
          <w:t>[2]</w:t>
        </w:r>
      </w:hyperlink>
      <w:r>
        <w:rPr>
          <w:rFonts w:ascii="Times New Roman" w:eastAsia="Verdana" w:hAnsi="Times New Roman" w:cs="Times New Roman"/>
          <w:sz w:val="20"/>
          <w:szCs w:val="20"/>
        </w:rPr>
        <w:t xml:space="preserve"> Pojmovnik ESB-a u vezi s platnim sustavima, sustavima poravnanja i namire, prosinac 2009.</w:t>
      </w:r>
    </w:p>
    <w:p w14:paraId="7FE1C859" w14:textId="50DF4C2F" w:rsidR="00393915" w:rsidRDefault="00F24D68">
      <w:pPr>
        <w:spacing w:line="257" w:lineRule="auto"/>
        <w:jc w:val="both"/>
        <w:rPr>
          <w:rFonts w:ascii="Times New Roman" w:eastAsia="Verdana" w:hAnsi="Times New Roman" w:cs="Times New Roman"/>
          <w:sz w:val="20"/>
          <w:szCs w:val="20"/>
        </w:rPr>
      </w:pPr>
      <w:hyperlink r:id="rId14" w:anchor="_ftnref3" w:history="1">
        <w:r>
          <w:rPr>
            <w:rStyle w:val="Hyperlink"/>
            <w:rFonts w:ascii="Times New Roman" w:eastAsia="Verdana" w:hAnsi="Times New Roman" w:cs="Times New Roman"/>
            <w:sz w:val="20"/>
            <w:szCs w:val="20"/>
            <w:vertAlign w:val="superscript"/>
          </w:rPr>
          <w:t>[3]</w:t>
        </w:r>
      </w:hyperlink>
      <w:r>
        <w:rPr>
          <w:rFonts w:ascii="Times New Roman" w:eastAsia="Verdana" w:hAnsi="Times New Roman" w:cs="Times New Roman"/>
          <w:sz w:val="20"/>
          <w:szCs w:val="20"/>
        </w:rPr>
        <w:t xml:space="preserve"> </w:t>
      </w:r>
      <w:r w:rsidR="00B163A7">
        <w:rPr>
          <w:rFonts w:ascii="Times New Roman" w:eastAsia="Verdana" w:hAnsi="Times New Roman" w:cs="Times New Roman"/>
          <w:sz w:val="20"/>
          <w:szCs w:val="20"/>
        </w:rPr>
        <w:t>Ibid</w:t>
      </w:r>
      <w:r w:rsidR="00B163A7">
        <w:rPr>
          <w:rFonts w:ascii="Times New Roman" w:eastAsia="Verdana" w:hAnsi="Times New Roman" w:cs="Times New Roman"/>
          <w:sz w:val="20"/>
          <w:szCs w:val="20"/>
        </w:rPr>
        <w:t>Ibid</w:t>
      </w:r>
      <w:r>
        <w:rPr>
          <w:rFonts w:ascii="Times New Roman" w:eastAsia="Verdana" w:hAnsi="Times New Roman" w:cs="Times New Roman"/>
          <w:sz w:val="20"/>
          <w:szCs w:val="20"/>
        </w:rPr>
        <w:t>.</w:t>
      </w:r>
    </w:p>
    <w:p w14:paraId="7FE1C85A" w14:textId="77777777" w:rsidR="00393915" w:rsidRDefault="00F24D68">
      <w:pPr>
        <w:spacing w:line="257" w:lineRule="auto"/>
        <w:jc w:val="both"/>
        <w:rPr>
          <w:rFonts w:ascii="Times New Roman" w:hAnsi="Times New Roman" w:cs="Times New Roman"/>
        </w:rPr>
      </w:pPr>
      <w:hyperlink r:id="rId15" w:anchor="_ftnref4" w:history="1">
        <w:r>
          <w:rPr>
            <w:rStyle w:val="Hyperlink"/>
            <w:rFonts w:ascii="Times New Roman" w:eastAsia="Verdana" w:hAnsi="Times New Roman" w:cs="Times New Roman"/>
            <w:sz w:val="20"/>
            <w:szCs w:val="20"/>
            <w:vertAlign w:val="superscript"/>
          </w:rPr>
          <w:t>[4]</w:t>
        </w:r>
      </w:hyperlink>
      <w:r>
        <w:rPr>
          <w:rFonts w:ascii="Times New Roman" w:eastAsia="Verdana" w:hAnsi="Times New Roman" w:cs="Times New Roman"/>
          <w:sz w:val="20"/>
          <w:szCs w:val="20"/>
        </w:rPr>
        <w:t xml:space="preserve"> Kao što je jedinstvena identifikacijska oznaka monetarnih financijskih institucija ESB-a (MFI ID) subjekta za upotrebu u RIAD-u.</w:t>
      </w:r>
    </w:p>
    <w:p w14:paraId="7FE1C8BF" w14:textId="77777777" w:rsidR="00393915" w:rsidRDefault="00393915">
      <w:pPr>
        <w:rPr>
          <w:rFonts w:ascii="Times New Roman" w:hAnsi="Times New Roman" w:cs="Times New Roman"/>
        </w:rPr>
      </w:pPr>
    </w:p>
    <w:p w14:paraId="7FE1C8C0" w14:textId="77777777" w:rsidR="00393915" w:rsidRDefault="00393915">
      <w:pPr>
        <w:rPr>
          <w:rFonts w:ascii="Times New Roman" w:hAnsi="Times New Roman"/>
          <w:sz w:val="20"/>
          <w:szCs w:val="20"/>
          <w:u w:val="single"/>
        </w:rPr>
      </w:pPr>
    </w:p>
    <w:p w14:paraId="7FE1C8C1" w14:textId="49BE2856" w:rsidR="00393915" w:rsidRDefault="00F24D68">
      <w:pPr>
        <w:pStyle w:val="P68B1DB1-Instructionsberschrift25"/>
        <w:numPr>
          <w:ilvl w:val="1"/>
          <w:numId w:val="49"/>
        </w:numPr>
        <w:ind w:left="357" w:hanging="357"/>
        <w:rPr>
          <w:rFonts w:eastAsia="Calibri"/>
          <w:szCs w:val="20"/>
        </w:rPr>
      </w:pPr>
      <w:bookmarkStart w:id="138" w:name="_Toc208244825"/>
      <w:r>
        <w:t xml:space="preserve">Predložak Z 09.02 – </w:t>
      </w:r>
      <w:r w:rsidR="00F574E3">
        <w:t xml:space="preserve">Mapiranje </w:t>
      </w:r>
      <w:r w:rsidR="00737A9D">
        <w:t>ključnih</w:t>
      </w:r>
      <w:r w:rsidR="00F574E3">
        <w:t xml:space="preserve"> </w:t>
      </w:r>
      <w:r>
        <w:t xml:space="preserve">i </w:t>
      </w:r>
      <w:r w:rsidR="00737A9D">
        <w:t>osnovnih ih</w:t>
      </w:r>
      <w:r>
        <w:t>infrastruktura financijsk</w:t>
      </w:r>
      <w:r w:rsidR="00737A9D">
        <w:t>ih</w:t>
      </w:r>
      <w:r>
        <w:t xml:space="preserve"> tržišta (FMI 2)</w:t>
      </w:r>
      <w:bookmarkEnd w:id="138"/>
    </w:p>
    <w:p w14:paraId="7FE1C8C3" w14:textId="7F059A05" w:rsidR="00393915" w:rsidRDefault="00F574E3">
      <w:pPr>
        <w:pStyle w:val="P68B1DB1-InstructionsText279"/>
        <w:numPr>
          <w:ilvl w:val="2"/>
          <w:numId w:val="209"/>
        </w:numPr>
        <w:spacing w:before="0"/>
        <w:ind w:left="1276"/>
      </w:pPr>
      <w:r>
        <w:t>Pružatelji kh</w:t>
      </w:r>
      <w:r>
        <w:t>k</w:t>
      </w:r>
      <w:r w:rsidR="00F24D68">
        <w:t>ljučni</w:t>
      </w:r>
      <w:r>
        <w:t>h</w:t>
      </w:r>
      <w:r w:rsidR="00F24D68">
        <w:t xml:space="preserve"> i </w:t>
      </w:r>
      <w:r>
        <w:t xml:space="preserve">osnovnih </w:t>
      </w:r>
      <w:r w:rsidR="00F24D68">
        <w:t xml:space="preserve">usluga infrastrukture financijskog tržišta su usluge infrastrukture financijskog tržišta kojima se pristupa izravno ili neizravno, čiji prekid može predstavljati ozbiljnu prepreku ili spriječiti obavljanje jedne ili više ključnih funkcija ili temeljnih </w:t>
      </w:r>
      <w:r>
        <w:t>poslovnih</w:t>
      </w:r>
      <w:r w:rsidR="00F24D68">
        <w:t xml:space="preserve"> </w:t>
      </w:r>
      <w:r w:rsidR="00F24D68">
        <w:t>linija korisnika.</w:t>
      </w:r>
    </w:p>
    <w:p w14:paraId="7FE1C8C4" w14:textId="2E66A99F" w:rsidR="00393915" w:rsidRDefault="00F24D68">
      <w:pPr>
        <w:pStyle w:val="P68B1DB1-ListParagraph80"/>
        <w:numPr>
          <w:ilvl w:val="2"/>
          <w:numId w:val="209"/>
        </w:numPr>
        <w:ind w:left="1276"/>
      </w:pPr>
      <w:r>
        <w:lastRenderedPageBreak/>
        <w:t xml:space="preserve">U ovom listu </w:t>
      </w:r>
      <w:r w:rsidR="00A05F09">
        <w:t xml:space="preserve">izvijestiti </w:t>
      </w:r>
      <w:r>
        <w:t xml:space="preserve">samo </w:t>
      </w:r>
      <w:r w:rsidR="00A05F09">
        <w:t>o imama</w:t>
      </w:r>
      <w:r>
        <w:t>on</w:t>
      </w:r>
      <w:r w:rsidR="00A05F09">
        <w:t>im</w:t>
      </w:r>
      <w:r>
        <w:t xml:space="preserve"> infrastruktur</w:t>
      </w:r>
      <w:r w:rsidR="00A05F09">
        <w:t>ama</w:t>
      </w:r>
      <w:r>
        <w:t xml:space="preserve"> financijskog tržišta </w:t>
      </w:r>
      <w:r w:rsidR="00A05F09" w:rsidRPr="00A05F09">
        <w:t xml:space="preserve">svih tipova sustava koje izvještajni subjekt smatra </w:t>
      </w:r>
      <w:r w:rsidR="00A05F09">
        <w:t>ključnim</w:t>
      </w:r>
      <w:r w:rsidR="00A05F09" w:rsidRPr="00A05F09">
        <w:t xml:space="preserve"> ili </w:t>
      </w:r>
      <w:r w:rsidR="00A05F09">
        <w:t xml:space="preserve">osnovnim. </w:t>
      </w:r>
      <w:r>
        <w:t>.</w:t>
      </w:r>
      <w:r>
        <w:t xml:space="preserve"> Nemojte uključiti druge infrastrukture financijskog tržišta koje nisu ni </w:t>
      </w:r>
      <w:r w:rsidR="00A05F09">
        <w:t xml:space="preserve">ključne </w:t>
      </w:r>
      <w:r>
        <w:t xml:space="preserve">ni </w:t>
      </w:r>
      <w:r w:rsidR="00A05F09">
        <w:t>osnovne</w:t>
      </w:r>
      <w:r w:rsidR="00A05F09">
        <w:t>osnovne</w:t>
      </w:r>
      <w:r>
        <w:t>.</w:t>
      </w:r>
    </w:p>
    <w:p w14:paraId="7FE1C8C5" w14:textId="77777777" w:rsidR="00393915" w:rsidRDefault="00393915">
      <w:pPr>
        <w:pStyle w:val="ListParagraph"/>
        <w:ind w:left="1276"/>
        <w:rPr>
          <w:rFonts w:ascii="Times New Roman" w:eastAsiaTheme="majorEastAsia" w:hAnsi="Times New Roman"/>
          <w:sz w:val="20"/>
          <w:szCs w:val="20"/>
        </w:rPr>
      </w:pPr>
    </w:p>
    <w:p w14:paraId="7FE1C8C6" w14:textId="3385FC93" w:rsidR="00393915" w:rsidRDefault="00F24D68">
      <w:pPr>
        <w:pStyle w:val="P68B1DB1-InstructionsText279"/>
        <w:numPr>
          <w:ilvl w:val="2"/>
          <w:numId w:val="209"/>
        </w:numPr>
        <w:spacing w:before="0"/>
        <w:ind w:left="1276"/>
      </w:pPr>
      <w:r>
        <w:t xml:space="preserve">Za potrebe određivanja ključnih i </w:t>
      </w:r>
      <w:r w:rsidR="00CE55AF">
        <w:t xml:space="preserve">osnovnih </w:t>
      </w:r>
      <w:r>
        <w:t xml:space="preserve">infrastruktura financijskog tržišta uzima se u obzir mogućnost istodobnog prekida sudjelovanja.  </w:t>
      </w:r>
    </w:p>
    <w:p w14:paraId="7FE1C8C7" w14:textId="77777777" w:rsidR="00393915" w:rsidRDefault="00393915">
      <w:pPr>
        <w:pStyle w:val="Instructionsberschrift2"/>
        <w:ind w:left="1434"/>
        <w:rPr>
          <w:rFonts w:ascii="Times New Roman" w:hAnsi="Times New Roman" w:cs="Times New Roman"/>
        </w:rPr>
      </w:pPr>
    </w:p>
    <w:tbl>
      <w:tblPr>
        <w:tblW w:w="9015" w:type="dxa"/>
        <w:tblInd w:w="135" w:type="dxa"/>
        <w:tblLayout w:type="fixed"/>
        <w:tblLook w:val="04A0" w:firstRow="1" w:lastRow="0" w:firstColumn="1" w:lastColumn="0" w:noHBand="0" w:noVBand="1"/>
      </w:tblPr>
      <w:tblGrid>
        <w:gridCol w:w="1183"/>
        <w:gridCol w:w="7832"/>
      </w:tblGrid>
      <w:tr w:rsidR="00393915" w14:paraId="7FE1C8CA" w14:textId="77777777">
        <w:trPr>
          <w:tblHeader/>
        </w:trPr>
        <w:tc>
          <w:tcPr>
            <w:tcW w:w="1183" w:type="dxa"/>
            <w:tcBorders>
              <w:top w:val="single" w:sz="8" w:space="0" w:color="1A171C"/>
              <w:left w:val="nil"/>
              <w:bottom w:val="single" w:sz="8" w:space="0" w:color="1A171C"/>
              <w:right w:val="single" w:sz="8" w:space="0" w:color="1A171C"/>
            </w:tcBorders>
            <w:shd w:val="clear" w:color="auto" w:fill="D9D9D9" w:themeFill="background1" w:themeFillShade="D9"/>
          </w:tcPr>
          <w:p w14:paraId="7FE1C8C8" w14:textId="77777777" w:rsidR="00393915" w:rsidRDefault="00F24D68">
            <w:pPr>
              <w:pStyle w:val="P68B1DB1-TableParagraph17"/>
              <w:spacing w:before="108"/>
              <w:ind w:left="85"/>
            </w:pPr>
            <w:r>
              <w:t xml:space="preserve">Stupci </w:t>
            </w:r>
          </w:p>
        </w:tc>
        <w:tc>
          <w:tcPr>
            <w:tcW w:w="7832" w:type="dxa"/>
            <w:tcBorders>
              <w:top w:val="single" w:sz="8" w:space="0" w:color="1A171C"/>
              <w:left w:val="single" w:sz="8" w:space="0" w:color="1A171C"/>
              <w:bottom w:val="single" w:sz="8" w:space="0" w:color="1A171C"/>
              <w:right w:val="nil"/>
            </w:tcBorders>
            <w:shd w:val="clear" w:color="auto" w:fill="D9D9D9" w:themeFill="background1" w:themeFillShade="D9"/>
          </w:tcPr>
          <w:p w14:paraId="7FE1C8C9" w14:textId="77777777" w:rsidR="00393915" w:rsidRDefault="00F24D68">
            <w:pPr>
              <w:pStyle w:val="P68B1DB1-TableParagraph17"/>
              <w:spacing w:before="108"/>
              <w:ind w:left="85"/>
            </w:pPr>
            <w:r>
              <w:t xml:space="preserve">Upute </w:t>
            </w:r>
          </w:p>
        </w:tc>
      </w:tr>
      <w:tr w:rsidR="00393915" w14:paraId="7FE1C8CE" w14:textId="77777777">
        <w:tc>
          <w:tcPr>
            <w:tcW w:w="1183" w:type="dxa"/>
            <w:tcBorders>
              <w:top w:val="single" w:sz="8" w:space="0" w:color="1A171C"/>
              <w:bottom w:val="single" w:sz="8" w:space="0" w:color="auto"/>
              <w:right w:val="single" w:sz="8" w:space="0" w:color="auto"/>
            </w:tcBorders>
            <w:vAlign w:val="center"/>
          </w:tcPr>
          <w:p w14:paraId="7FE1C8CB" w14:textId="77777777" w:rsidR="00393915" w:rsidRDefault="00F24D68">
            <w:pPr>
              <w:pStyle w:val="P68B1DB1-Normal31"/>
            </w:pPr>
            <w:r>
              <w:t>0010</w:t>
            </w:r>
          </w:p>
        </w:tc>
        <w:tc>
          <w:tcPr>
            <w:tcW w:w="7832" w:type="dxa"/>
            <w:tcBorders>
              <w:top w:val="single" w:sz="8" w:space="0" w:color="1A171C"/>
              <w:left w:val="single" w:sz="8" w:space="0" w:color="auto"/>
              <w:bottom w:val="single" w:sz="8" w:space="0" w:color="auto"/>
            </w:tcBorders>
            <w:vAlign w:val="bottom"/>
          </w:tcPr>
          <w:p w14:paraId="7FE1C8CC" w14:textId="77777777" w:rsidR="00393915" w:rsidRDefault="00F24D68">
            <w:pPr>
              <w:pStyle w:val="P68B1DB1-TableParagraph73"/>
              <w:spacing w:before="108"/>
              <w:ind w:left="85"/>
              <w:jc w:val="both"/>
            </w:pPr>
            <w:r>
              <w:t>Identifikacijska oznaka koja predstavlja kombinaciju korisnika, infrastrukture financijskog tržišta, vrste sustava i posrednika</w:t>
            </w:r>
          </w:p>
          <w:p w14:paraId="7FE1C8CD" w14:textId="389563D7" w:rsidR="00393915" w:rsidRDefault="00F24D68">
            <w:pPr>
              <w:pStyle w:val="P68B1DB1-TableParagraph40"/>
              <w:spacing w:before="108"/>
              <w:ind w:left="85"/>
              <w:jc w:val="both"/>
              <w:rPr>
                <w:b/>
              </w:rPr>
            </w:pPr>
            <w:r>
              <w:t>Koristite jednu identifikacijsku oznaku po retku koja odgovara jedinstvenoj kombinaciji korisnika, infrastrukture financijskog tržišta, vrste sustava i posrednika. Ista identifikacijska oznaka, koja odgovara istoj kombinaciji, mora se upotrebljavati u obrascima od Z 09.01 do Z 09.05, ako je primjenjivo.</w:t>
            </w:r>
          </w:p>
        </w:tc>
      </w:tr>
      <w:tr w:rsidR="00393915" w14:paraId="7FE1C8D1" w14:textId="77777777">
        <w:tc>
          <w:tcPr>
            <w:tcW w:w="1183" w:type="dxa"/>
            <w:tcBorders>
              <w:top w:val="single" w:sz="8" w:space="0" w:color="auto"/>
              <w:bottom w:val="single" w:sz="8" w:space="0" w:color="auto"/>
              <w:right w:val="single" w:sz="8" w:space="0" w:color="auto"/>
            </w:tcBorders>
            <w:vAlign w:val="center"/>
          </w:tcPr>
          <w:p w14:paraId="7FE1C8CF" w14:textId="77777777" w:rsidR="00393915" w:rsidRDefault="00F24D68">
            <w:pPr>
              <w:pStyle w:val="P68B1DB1-Normal74"/>
            </w:pPr>
            <w:r>
              <w:t>0020 – 0040</w:t>
            </w:r>
          </w:p>
        </w:tc>
        <w:tc>
          <w:tcPr>
            <w:tcW w:w="7832" w:type="dxa"/>
            <w:tcBorders>
              <w:top w:val="single" w:sz="8" w:space="0" w:color="auto"/>
              <w:left w:val="single" w:sz="8" w:space="0" w:color="auto"/>
              <w:bottom w:val="single" w:sz="8" w:space="0" w:color="auto"/>
            </w:tcBorders>
            <w:vAlign w:val="bottom"/>
          </w:tcPr>
          <w:p w14:paraId="7FE1C8D0" w14:textId="77777777" w:rsidR="00393915" w:rsidRDefault="00F24D68">
            <w:pPr>
              <w:pStyle w:val="P68B1DB1-TableParagraph75"/>
              <w:spacing w:before="108"/>
              <w:ind w:left="85"/>
              <w:jc w:val="both"/>
              <w:rPr>
                <w:bCs/>
                <w:iCs/>
              </w:rPr>
            </w:pPr>
            <w:r>
              <w:t>Ključne infrastrukture financijskog tržišta</w:t>
            </w:r>
          </w:p>
        </w:tc>
      </w:tr>
      <w:tr w:rsidR="00393915" w14:paraId="7FE1C8D7" w14:textId="77777777">
        <w:tc>
          <w:tcPr>
            <w:tcW w:w="1183" w:type="dxa"/>
            <w:tcBorders>
              <w:top w:val="single" w:sz="8" w:space="0" w:color="auto"/>
              <w:bottom w:val="single" w:sz="8" w:space="0" w:color="auto"/>
              <w:right w:val="single" w:sz="8" w:space="0" w:color="auto"/>
            </w:tcBorders>
            <w:vAlign w:val="center"/>
          </w:tcPr>
          <w:p w14:paraId="7FE1C8D2" w14:textId="77777777" w:rsidR="00393915" w:rsidRDefault="00F24D68">
            <w:pPr>
              <w:pStyle w:val="P68B1DB1-Normal31"/>
            </w:pPr>
            <w:r>
              <w:t>0020</w:t>
            </w:r>
          </w:p>
        </w:tc>
        <w:tc>
          <w:tcPr>
            <w:tcW w:w="7832" w:type="dxa"/>
            <w:tcBorders>
              <w:top w:val="single" w:sz="8" w:space="0" w:color="auto"/>
              <w:left w:val="single" w:sz="8" w:space="0" w:color="auto"/>
              <w:bottom w:val="single" w:sz="8" w:space="0" w:color="auto"/>
            </w:tcBorders>
            <w:vAlign w:val="bottom"/>
          </w:tcPr>
          <w:p w14:paraId="7FE1C8D3" w14:textId="363755A4" w:rsidR="00393915" w:rsidRDefault="002901DA">
            <w:pPr>
              <w:pStyle w:val="P68B1DB1-TableParagraph73"/>
              <w:spacing w:before="108"/>
              <w:ind w:left="85"/>
              <w:jc w:val="both"/>
            </w:pPr>
            <w:r>
              <w:t xml:space="preserve">Ključna </w:t>
            </w:r>
            <w:r w:rsidR="00F24D68">
              <w:t>infrastruktura financijskog tržišta: DA/NE</w:t>
            </w:r>
          </w:p>
          <w:p w14:paraId="7FE1C8D4" w14:textId="4439D1A6" w:rsidR="00393915" w:rsidRDefault="00F24D68">
            <w:pPr>
              <w:pStyle w:val="P68B1DB1-TableParagraph40"/>
              <w:numPr>
                <w:ilvl w:val="0"/>
                <w:numId w:val="248"/>
              </w:numPr>
              <w:spacing w:before="108"/>
              <w:jc w:val="both"/>
            </w:pPr>
            <w:r>
              <w:t>„Da” ako je infrastruktura financijskog tržišta ključna</w:t>
            </w:r>
          </w:p>
          <w:p w14:paraId="7FE1C8D5" w14:textId="792CB29B" w:rsidR="00393915" w:rsidRDefault="00F24D68">
            <w:pPr>
              <w:pStyle w:val="P68B1DB1-TableParagraph40"/>
              <w:numPr>
                <w:ilvl w:val="0"/>
                <w:numId w:val="248"/>
              </w:numPr>
              <w:spacing w:before="108"/>
              <w:jc w:val="both"/>
              <w:rPr>
                <w:b/>
                <w:bCs/>
              </w:rPr>
            </w:pPr>
            <w:r>
              <w:t>„Ne” ako infrastruktura financijskog tržišta nije kritična</w:t>
            </w:r>
            <w:r>
              <w:rPr>
                <w:b/>
              </w:rPr>
              <w:t xml:space="preserve"> </w:t>
            </w:r>
          </w:p>
          <w:p w14:paraId="7FE1C8D6" w14:textId="77777777" w:rsidR="00393915" w:rsidRDefault="00F24D68">
            <w:pPr>
              <w:pStyle w:val="P68B1DB1-TableParagraph40"/>
              <w:spacing w:before="108"/>
              <w:ind w:left="85"/>
              <w:jc w:val="both"/>
            </w:pPr>
            <w:r>
              <w:t>Stupci 0020 i 0050 međusobno se ne isključuju.</w:t>
            </w:r>
          </w:p>
        </w:tc>
      </w:tr>
      <w:tr w:rsidR="00393915" w14:paraId="7FE1C8DB" w14:textId="77777777">
        <w:tc>
          <w:tcPr>
            <w:tcW w:w="1183" w:type="dxa"/>
            <w:tcBorders>
              <w:top w:val="single" w:sz="8" w:space="0" w:color="auto"/>
              <w:bottom w:val="single" w:sz="8" w:space="0" w:color="auto"/>
              <w:right w:val="single" w:sz="8" w:space="0" w:color="auto"/>
            </w:tcBorders>
            <w:vAlign w:val="center"/>
          </w:tcPr>
          <w:p w14:paraId="7FE1C8D8" w14:textId="77777777" w:rsidR="00393915" w:rsidRDefault="00F24D68">
            <w:pPr>
              <w:pStyle w:val="P68B1DB1-Normal31"/>
            </w:pPr>
            <w:r>
              <w:t>0030</w:t>
            </w:r>
          </w:p>
        </w:tc>
        <w:tc>
          <w:tcPr>
            <w:tcW w:w="7832" w:type="dxa"/>
            <w:tcBorders>
              <w:top w:val="single" w:sz="8" w:space="0" w:color="auto"/>
              <w:left w:val="single" w:sz="8" w:space="0" w:color="auto"/>
              <w:bottom w:val="single" w:sz="8" w:space="0" w:color="auto"/>
            </w:tcBorders>
            <w:vAlign w:val="bottom"/>
          </w:tcPr>
          <w:p w14:paraId="7FE1C8D9" w14:textId="77777777" w:rsidR="00393915" w:rsidRDefault="00F24D68">
            <w:pPr>
              <w:pStyle w:val="P68B1DB1-TableParagraph73"/>
              <w:spacing w:before="108"/>
              <w:ind w:left="85"/>
              <w:jc w:val="both"/>
            </w:pPr>
            <w:r>
              <w:t>Država</w:t>
            </w:r>
          </w:p>
          <w:p w14:paraId="7FE1C8DA" w14:textId="56240ABE" w:rsidR="00393915" w:rsidRDefault="00F24D68">
            <w:pPr>
              <w:pStyle w:val="P68B1DB1-TableParagraph40"/>
              <w:spacing w:before="108"/>
              <w:ind w:left="85"/>
              <w:jc w:val="both"/>
            </w:pPr>
            <w:r>
              <w:t xml:space="preserve">Država u kojoj je osigurana ključna funkcija, kako je iskazano u predlošku Z 07.01 </w:t>
            </w:r>
          </w:p>
        </w:tc>
      </w:tr>
      <w:tr w:rsidR="00393915" w14:paraId="7FE1C8E0" w14:textId="77777777">
        <w:tc>
          <w:tcPr>
            <w:tcW w:w="1183" w:type="dxa"/>
            <w:tcBorders>
              <w:top w:val="single" w:sz="8" w:space="0" w:color="auto"/>
              <w:bottom w:val="single" w:sz="8" w:space="0" w:color="auto"/>
              <w:right w:val="single" w:sz="8" w:space="0" w:color="auto"/>
            </w:tcBorders>
            <w:vAlign w:val="center"/>
          </w:tcPr>
          <w:p w14:paraId="7FE1C8DC" w14:textId="77777777" w:rsidR="00393915" w:rsidRDefault="00F24D68">
            <w:pPr>
              <w:pStyle w:val="P68B1DB1-Normal31"/>
              <w:rPr>
                <w:b/>
                <w:i/>
              </w:rPr>
            </w:pPr>
            <w:r>
              <w:t>0040</w:t>
            </w:r>
          </w:p>
        </w:tc>
        <w:tc>
          <w:tcPr>
            <w:tcW w:w="7832" w:type="dxa"/>
            <w:tcBorders>
              <w:top w:val="single" w:sz="8" w:space="0" w:color="auto"/>
              <w:left w:val="single" w:sz="8" w:space="0" w:color="auto"/>
              <w:bottom w:val="single" w:sz="8" w:space="0" w:color="auto"/>
            </w:tcBorders>
            <w:vAlign w:val="bottom"/>
          </w:tcPr>
          <w:p w14:paraId="7FE1C8DD" w14:textId="77777777" w:rsidR="00393915" w:rsidRDefault="00F24D68">
            <w:pPr>
              <w:pStyle w:val="P68B1DB1-TableParagraph73"/>
              <w:spacing w:before="108"/>
              <w:ind w:left="85"/>
              <w:jc w:val="both"/>
            </w:pPr>
            <w:r>
              <w:t>Identifikacijska oznaka ključne funkcije</w:t>
            </w:r>
          </w:p>
          <w:p w14:paraId="7FE1C8DE" w14:textId="77777777" w:rsidR="00393915" w:rsidRDefault="00F24D68">
            <w:pPr>
              <w:pStyle w:val="P68B1DB1-TableParagraph40"/>
              <w:spacing w:before="108"/>
              <w:ind w:left="85"/>
              <w:jc w:val="both"/>
            </w:pPr>
            <w:r>
              <w:t>Ključne funkcije koje subjekt obavlja i čije bi obavljanje bilo otežano ili spriječeno prekidom pristupa pružatelju usluga infrastrukture financijskog tržišta.</w:t>
            </w:r>
          </w:p>
          <w:p w14:paraId="79796B83" w14:textId="298E6F56" w:rsidR="00393915" w:rsidRDefault="00F24D68">
            <w:pPr>
              <w:pStyle w:val="P68B1DB1-TableParagraph40"/>
              <w:spacing w:before="108"/>
              <w:ind w:left="85"/>
              <w:jc w:val="both"/>
              <w:rPr>
                <w:b/>
                <w:bCs/>
              </w:rPr>
            </w:pPr>
            <w:r>
              <w:t>Identifikacijska oznaka ključnih funkcija kako je navedena u predlošku Z07.01</w:t>
            </w:r>
            <w:r>
              <w:rPr>
                <w:b/>
              </w:rPr>
              <w:t>:</w:t>
            </w:r>
          </w:p>
          <w:p w14:paraId="58520404" w14:textId="77777777" w:rsidR="00393915" w:rsidRDefault="00393915">
            <w:pPr>
              <w:pStyle w:val="TableParagraph"/>
              <w:spacing w:before="108"/>
              <w:ind w:left="85"/>
              <w:jc w:val="both"/>
              <w:rPr>
                <w:rFonts w:ascii="Times New Roman" w:eastAsia="Times New Roman" w:hAnsi="Times New Roman" w:cs="Times New Roman"/>
                <w:b/>
                <w:bCs/>
                <w:sz w:val="20"/>
                <w:szCs w:val="20"/>
              </w:rPr>
            </w:pPr>
          </w:p>
          <w:p w14:paraId="0E718D7B" w14:textId="77777777" w:rsidR="00393915" w:rsidRDefault="00F24D68">
            <w:pPr>
              <w:pStyle w:val="P68B1DB1-Normal19"/>
              <w:rPr>
                <w:rFonts w:eastAsiaTheme="minorHAnsi"/>
              </w:rPr>
            </w:pPr>
            <w:r>
              <w:t>Depoziti</w:t>
            </w:r>
          </w:p>
          <w:p w14:paraId="354D6B7F" w14:textId="77777777" w:rsidR="00393915" w:rsidRDefault="00F24D68">
            <w:pPr>
              <w:pStyle w:val="P68B1DB1-Normal19"/>
              <w:ind w:left="708"/>
            </w:pPr>
            <w:r>
              <w:t>Depoziti kućanstava</w:t>
            </w:r>
          </w:p>
          <w:p w14:paraId="71C89914" w14:textId="77777777" w:rsidR="00393915" w:rsidRDefault="00F24D68">
            <w:pPr>
              <w:pStyle w:val="P68B1DB1-Normal19"/>
              <w:ind w:left="708"/>
            </w:pPr>
            <w:r>
              <w:t xml:space="preserve">Depoziti nefinancijskih društava </w:t>
            </w:r>
          </w:p>
          <w:p w14:paraId="7621A95F" w14:textId="599DCCFE" w:rsidR="00393915" w:rsidRDefault="00F24D68">
            <w:pPr>
              <w:pStyle w:val="P68B1DB1-Normal19"/>
              <w:ind w:left="1405"/>
            </w:pPr>
            <w:r>
              <w:t xml:space="preserve">Depoziti nefinancijskih </w:t>
            </w:r>
            <w:r w:rsidR="00D86940">
              <w:t>malih</w:t>
            </w:r>
            <w:r w:rsidR="00D86940">
              <w:t>malih</w:t>
            </w:r>
            <w:r w:rsidR="00D86940">
              <w:t xml:space="preserve"> i srednjih poduzeća</w:t>
            </w:r>
          </w:p>
          <w:p w14:paraId="046B913C" w14:textId="15CE1DF1" w:rsidR="00393915" w:rsidRDefault="00F24D68">
            <w:pPr>
              <w:pStyle w:val="P68B1DB1-Normal19"/>
              <w:ind w:left="1405"/>
            </w:pPr>
            <w:r>
              <w:t xml:space="preserve">Depoziti nefinancijskih društava koja nisu </w:t>
            </w:r>
            <w:r w:rsidR="003E1E85">
              <w:t>mala</w:t>
            </w:r>
            <w:r w:rsidR="003E1E85">
              <w:t>mala</w:t>
            </w:r>
            <w:r w:rsidR="003E1E85">
              <w:t xml:space="preserve"> i srednja poduzeća</w:t>
            </w:r>
          </w:p>
          <w:p w14:paraId="2DAF57AE" w14:textId="77777777" w:rsidR="00393915" w:rsidRDefault="00F24D68">
            <w:pPr>
              <w:pStyle w:val="P68B1DB1-Normal19"/>
              <w:ind w:left="708"/>
            </w:pPr>
            <w:r>
              <w:t>Depoziti opće države</w:t>
            </w:r>
          </w:p>
          <w:p w14:paraId="3AC3807C" w14:textId="77777777" w:rsidR="00393915" w:rsidRDefault="00F24D68">
            <w:pPr>
              <w:pStyle w:val="P68B1DB1-Normal19"/>
              <w:ind w:left="708"/>
            </w:pPr>
            <w:r>
              <w:t>Depoziti iz drugih sektora/druga ugovornih strana (1)</w:t>
            </w:r>
          </w:p>
          <w:p w14:paraId="7924D974" w14:textId="77777777" w:rsidR="00393915" w:rsidRDefault="00F24D68">
            <w:pPr>
              <w:pStyle w:val="P68B1DB1-Normal19"/>
              <w:ind w:left="708"/>
            </w:pPr>
            <w:r>
              <w:t>Depoziti iz drugih sektora/druga ugovornih strana (2)</w:t>
            </w:r>
          </w:p>
          <w:p w14:paraId="15B73120" w14:textId="77777777" w:rsidR="00393915" w:rsidRDefault="00F24D68">
            <w:pPr>
              <w:pStyle w:val="P68B1DB1-Normal19"/>
              <w:ind w:left="708"/>
            </w:pPr>
            <w:r>
              <w:t>Depoziti iz drugih sektora/druga ugovornih strana (3)</w:t>
            </w:r>
          </w:p>
          <w:p w14:paraId="2FE46760" w14:textId="77777777" w:rsidR="00393915" w:rsidRDefault="00393915">
            <w:pPr>
              <w:rPr>
                <w:rFonts w:ascii="Times New Roman" w:hAnsi="Times New Roman" w:cs="Times New Roman"/>
                <w:sz w:val="20"/>
                <w:szCs w:val="20"/>
              </w:rPr>
            </w:pPr>
          </w:p>
          <w:p w14:paraId="685EA40A" w14:textId="1F5F6F15" w:rsidR="00393915" w:rsidRDefault="006F6D97">
            <w:pPr>
              <w:pStyle w:val="P68B1DB1-Normal19"/>
            </w:pPr>
            <w:r>
              <w:t>Kreditiranje</w:t>
            </w:r>
            <w:r>
              <w:t>Kreditiranje</w:t>
            </w:r>
          </w:p>
          <w:p w14:paraId="11C80F7E" w14:textId="4D52061A" w:rsidR="00393915" w:rsidRDefault="006F6D97">
            <w:pPr>
              <w:pStyle w:val="P68B1DB1-Normal19"/>
              <w:ind w:left="708"/>
            </w:pPr>
            <w:r>
              <w:t>Kreditiranjeaa</w:t>
            </w:r>
            <w:r>
              <w:t>Kreditiranje</w:t>
            </w:r>
            <w:r w:rsidR="00F24D68">
              <w:t xml:space="preserve"> kućanst</w:t>
            </w:r>
            <w:r>
              <w:t>a</w:t>
            </w:r>
            <w:r w:rsidR="00F24D68">
              <w:t>v</w:t>
            </w:r>
            <w:r>
              <w:t>a</w:t>
            </w:r>
          </w:p>
          <w:p w14:paraId="430711EA" w14:textId="5A8F2208" w:rsidR="00393915" w:rsidRDefault="006F6D97">
            <w:pPr>
              <w:pStyle w:val="P68B1DB1-Normal19"/>
              <w:ind w:left="1416"/>
            </w:pPr>
            <w:r>
              <w:t>Kreditiranje kućanstava</w:t>
            </w:r>
            <w:r w:rsidDel="006F6D97">
              <w:t xml:space="preserve"> </w:t>
            </w:r>
            <w:r w:rsidR="00F24D68">
              <w:t>za kupnju nekretnine</w:t>
            </w:r>
          </w:p>
          <w:p w14:paraId="0147203E" w14:textId="187F0877" w:rsidR="00393915" w:rsidRDefault="006F6D97">
            <w:pPr>
              <w:pStyle w:val="P68B1DB1-Normal19"/>
              <w:ind w:left="1416"/>
            </w:pPr>
            <w:r>
              <w:t>Kreditiranje kućanstava</w:t>
            </w:r>
            <w:r>
              <w:t>kućanstava</w:t>
            </w:r>
            <w:r w:rsidR="005771C0">
              <w:t>,</w:t>
            </w:r>
            <w:r w:rsidR="009F5D17">
              <w:t xml:space="preserve"> </w:t>
            </w:r>
            <w:r w:rsidR="00880CEE">
              <w:t>osim</w:t>
            </w:r>
            <w:r w:rsidR="00F24D68">
              <w:t xml:space="preserve"> za </w:t>
            </w:r>
            <w:r w:rsidR="000343E2">
              <w:t>upnju</w:t>
            </w:r>
            <w:r w:rsidR="00F24D68">
              <w:t>k</w:t>
            </w:r>
            <w:r w:rsidR="000343E2">
              <w:t>upnju</w:t>
            </w:r>
            <w:r w:rsidR="00F24D68">
              <w:t>nekretnina</w:t>
            </w:r>
          </w:p>
          <w:p w14:paraId="20ACA306" w14:textId="487F5BDE" w:rsidR="00393915" w:rsidRDefault="00537955">
            <w:pPr>
              <w:pStyle w:val="P68B1DB1-Normal19"/>
              <w:ind w:left="708"/>
            </w:pPr>
            <w:r>
              <w:t>Kreditiranje hdruštava</w:t>
            </w:r>
            <w:r w:rsidR="00F24D68">
              <w:t>nefinancijski</w:t>
            </w:r>
            <w:r>
              <w:t>h</w:t>
            </w:r>
            <w:r w:rsidR="00F24D68">
              <w:t xml:space="preserve"> </w:t>
            </w:r>
            <w:r>
              <w:t>društava</w:t>
            </w:r>
          </w:p>
          <w:p w14:paraId="19F6CF03" w14:textId="2B22DED7" w:rsidR="00393915" w:rsidRDefault="00F24D68">
            <w:pPr>
              <w:pStyle w:val="P68B1DB1-Normal19"/>
              <w:ind w:left="1416"/>
            </w:pPr>
            <w:r>
              <w:t xml:space="preserve">Kreditiranje nefinancijskih </w:t>
            </w:r>
            <w:r w:rsidR="0012019C">
              <w:t>malih i srednjih poduzeća</w:t>
            </w:r>
            <w:r w:rsidR="0012019C">
              <w:t>poduzeća</w:t>
            </w:r>
          </w:p>
          <w:p w14:paraId="25F641FD" w14:textId="77777777" w:rsidR="0066796B" w:rsidRDefault="00F24D68" w:rsidP="0066796B">
            <w:pPr>
              <w:pStyle w:val="P68B1DB1-Normal19"/>
              <w:ind w:left="1405"/>
            </w:pPr>
            <w:r>
              <w:t xml:space="preserve">Kreditiranje nefinancijskih društava koja nisu </w:t>
            </w:r>
            <w:r w:rsidR="0066796B">
              <w:t>mala i srednja poduzeća</w:t>
            </w:r>
          </w:p>
          <w:p w14:paraId="2C705D0D" w14:textId="73CBB6E5" w:rsidR="00393915" w:rsidRDefault="00393915">
            <w:pPr>
              <w:pStyle w:val="P68B1DB1-Normal19"/>
              <w:ind w:left="1416"/>
            </w:pPr>
          </w:p>
          <w:p w14:paraId="6DAE8B55" w14:textId="77777777" w:rsidR="00393915" w:rsidRDefault="00F24D68">
            <w:pPr>
              <w:pStyle w:val="P68B1DB1-Normal19"/>
              <w:ind w:left="708"/>
            </w:pPr>
            <w:r>
              <w:t>Kreditiranje opće države</w:t>
            </w:r>
          </w:p>
          <w:p w14:paraId="5C2428A3" w14:textId="69345265" w:rsidR="00393915" w:rsidRDefault="00AD5BE1">
            <w:pPr>
              <w:pStyle w:val="P68B1DB1-Normal19"/>
              <w:ind w:left="708"/>
            </w:pPr>
            <w:r w:rsidRPr="00AD5BE1">
              <w:t>Kreditiranje drugih sektora/drugih ugovornih</w:t>
            </w:r>
            <w:r w:rsidR="000861EC">
              <w:t xml:space="preserve"> strana</w:t>
            </w:r>
            <w:r w:rsidR="000861EC">
              <w:t>strana</w:t>
            </w:r>
            <w:r w:rsidR="00F24D68">
              <w:t xml:space="preserve"> (1)</w:t>
            </w:r>
          </w:p>
          <w:p w14:paraId="7237D4E5" w14:textId="0726807E" w:rsidR="00393915" w:rsidRDefault="00AD5BE1">
            <w:pPr>
              <w:pStyle w:val="P68B1DB1-Normal19"/>
              <w:ind w:left="708"/>
            </w:pPr>
            <w:r w:rsidRPr="00AD5BE1">
              <w:t xml:space="preserve">Kreditiranje drugih sektora/drugih ugovornih </w:t>
            </w:r>
            <w:r w:rsidR="000861EC">
              <w:t xml:space="preserve">strana </w:t>
            </w:r>
            <w:r w:rsidR="00F24D68">
              <w:t>(2)</w:t>
            </w:r>
          </w:p>
          <w:p w14:paraId="62EF53AB" w14:textId="66337808" w:rsidR="00393915" w:rsidRDefault="00F24D68">
            <w:pPr>
              <w:pStyle w:val="P68B1DB1-Normal19"/>
              <w:ind w:left="708"/>
            </w:pPr>
            <w:r>
              <w:t xml:space="preserve">Kreditiranje </w:t>
            </w:r>
            <w:r w:rsidR="006F6D97">
              <w:t>h</w:t>
            </w:r>
            <w:r w:rsidR="00AD5BE1">
              <w:t>hh</w:t>
            </w:r>
            <w:r>
              <w:t>drugi</w:t>
            </w:r>
            <w:r w:rsidR="006F6D97">
              <w:t>h</w:t>
            </w:r>
            <w:r>
              <w:t xml:space="preserve"> sektora/drugi</w:t>
            </w:r>
            <w:r w:rsidR="00AD5BE1">
              <w:t>h</w:t>
            </w:r>
            <w:r>
              <w:t xml:space="preserve"> ugovorni</w:t>
            </w:r>
            <w:r w:rsidR="00AD5BE1">
              <w:t>h</w:t>
            </w:r>
            <w:r>
              <w:t xml:space="preserve"> strana</w:t>
            </w:r>
            <w:r>
              <w:t xml:space="preserve"> (3)</w:t>
            </w:r>
          </w:p>
          <w:p w14:paraId="1269B857" w14:textId="77777777" w:rsidR="00393915" w:rsidRDefault="00393915">
            <w:pPr>
              <w:rPr>
                <w:rFonts w:ascii="Times New Roman" w:hAnsi="Times New Roman" w:cs="Times New Roman"/>
                <w:sz w:val="20"/>
                <w:szCs w:val="20"/>
              </w:rPr>
            </w:pPr>
          </w:p>
          <w:p w14:paraId="7CD1A6B0" w14:textId="77777777" w:rsidR="00393915" w:rsidRDefault="00F24D68">
            <w:pPr>
              <w:pStyle w:val="P68B1DB1-Normal19"/>
            </w:pPr>
            <w:r>
              <w:lastRenderedPageBreak/>
              <w:t xml:space="preserve">Plaćanje, gotovina, namira, poravnanje, skrbništvo </w:t>
            </w:r>
          </w:p>
          <w:p w14:paraId="11F499EA" w14:textId="77777777" w:rsidR="00393915" w:rsidRDefault="00F24D68">
            <w:pPr>
              <w:pStyle w:val="P68B1DB1-Normal19"/>
              <w:ind w:left="708"/>
            </w:pPr>
            <w:r>
              <w:t>Platne usluge koje se pružaju monetarnim financijskim institucijama</w:t>
            </w:r>
          </w:p>
          <w:p w14:paraId="6FC14FBE" w14:textId="4F1706DC" w:rsidR="00393915" w:rsidRDefault="00F24D68">
            <w:pPr>
              <w:pStyle w:val="P68B1DB1-Normal19"/>
              <w:ind w:left="708"/>
            </w:pPr>
            <w:bookmarkStart w:id="139" w:name="_Hlk192600698"/>
            <w:r>
              <w:t>Platne usluge koje se pružaju klijentima koji nisu monetarne financijske institucije</w:t>
            </w:r>
          </w:p>
          <w:p w14:paraId="00631538" w14:textId="19B66DC4" w:rsidR="007001A5" w:rsidRDefault="00F24D68">
            <w:pPr>
              <w:pStyle w:val="P68B1DB1-Normal19"/>
              <w:ind w:left="1405"/>
            </w:pPr>
            <w:r>
              <w:t>Platne usluge koje se pružaju</w:t>
            </w:r>
            <w:r w:rsidR="002B4F20">
              <w:t xml:space="preserve"> nemonetarnim financijskim</w:t>
            </w:r>
            <w:r w:rsidR="007001A5" w:rsidRPr="007001A5">
              <w:t xml:space="preserve"> institucijama za kućanstva</w:t>
            </w:r>
            <w:r w:rsidR="007001A5" w:rsidRPr="007001A5">
              <w:t>kućanstva</w:t>
            </w:r>
          </w:p>
          <w:p w14:paraId="1F8BC691" w14:textId="069DC010" w:rsidR="00393915" w:rsidRDefault="00F24D68">
            <w:pPr>
              <w:pStyle w:val="P68B1DB1-Normal19"/>
              <w:ind w:left="1405"/>
            </w:pPr>
            <w:r>
              <w:t xml:space="preserve">Platne usluge </w:t>
            </w:r>
            <w:r w:rsidR="007001A5" w:rsidRPr="007001A5">
              <w:t>nefinancijskim</w:t>
            </w:r>
            <w:r w:rsidR="007001A5" w:rsidRPr="007001A5">
              <w:t xml:space="preserve"> </w:t>
            </w:r>
            <w:r>
              <w:t>institucijama za nefinancijska društva</w:t>
            </w:r>
          </w:p>
          <w:p w14:paraId="0A94DCBF" w14:textId="0F74A675" w:rsidR="007001A5" w:rsidRDefault="00F24D68">
            <w:pPr>
              <w:pStyle w:val="P68B1DB1-Normal19"/>
              <w:ind w:left="1972"/>
            </w:pPr>
            <w:r>
              <w:t xml:space="preserve">Platne usluge </w:t>
            </w:r>
            <w:r w:rsidR="00D20153">
              <w:t>ne</w:t>
            </w:r>
            <w:r>
              <w:t>financijskim</w:t>
            </w:r>
            <w:r>
              <w:t xml:space="preserve"> institucijama za </w:t>
            </w:r>
            <w:r>
              <w:t>nefinancijsk</w:t>
            </w:r>
            <w:r w:rsidR="00D20153">
              <w:t>a mala i srednjapoduzeća</w:t>
            </w:r>
            <w:r w:rsidR="00D20153">
              <w:t>srednja</w:t>
            </w:r>
            <w:r>
              <w:t xml:space="preserve"> </w:t>
            </w:r>
            <w:r w:rsidR="00D20153">
              <w:t>poduzeća</w:t>
            </w:r>
          </w:p>
          <w:p w14:paraId="416F0C20" w14:textId="0CA70446" w:rsidR="00393915" w:rsidRDefault="00F24D68">
            <w:pPr>
              <w:pStyle w:val="P68B1DB1-Normal19"/>
              <w:ind w:left="1972"/>
            </w:pPr>
            <w:r>
              <w:t xml:space="preserve">Platne usluge </w:t>
            </w:r>
            <w:r w:rsidR="00371934">
              <w:t>nemonetarnim</w:t>
            </w:r>
            <w:r w:rsidR="00790DC4">
              <w:t xml:space="preserve"> financijskim</w:t>
            </w:r>
            <w:r w:rsidR="00C50A54" w:rsidRPr="00C50A54">
              <w:t xml:space="preserve"> institucijama za nefinancijska </w:t>
            </w:r>
            <w:r w:rsidR="00C50A54">
              <w:t xml:space="preserve">društva koja nisu </w:t>
            </w:r>
            <w:r w:rsidR="00C50A54" w:rsidRPr="00C50A54">
              <w:t>mala i srednja poduzeća</w:t>
            </w:r>
            <w:r w:rsidR="00C50A54" w:rsidRPr="00C50A54">
              <w:t>poduzeća</w:t>
            </w:r>
            <w:bookmarkEnd w:id="139"/>
          </w:p>
          <w:p w14:paraId="661D0C87" w14:textId="77777777" w:rsidR="00393915" w:rsidRDefault="00F24D68">
            <w:pPr>
              <w:pStyle w:val="P68B1DB1-Normal19"/>
              <w:ind w:left="708"/>
            </w:pPr>
            <w:r>
              <w:t>Gotovinske usluge</w:t>
            </w:r>
          </w:p>
          <w:p w14:paraId="03769573" w14:textId="77777777" w:rsidR="00393915" w:rsidRDefault="00F24D68">
            <w:pPr>
              <w:pStyle w:val="P68B1DB1-Normal19"/>
              <w:ind w:left="708"/>
            </w:pPr>
            <w:r>
              <w:t>Usluge namire vrijednosnih papira</w:t>
            </w:r>
          </w:p>
          <w:p w14:paraId="775020A9" w14:textId="77777777" w:rsidR="00393915" w:rsidRDefault="00F24D68">
            <w:pPr>
              <w:pStyle w:val="P68B1DB1-Normal19"/>
              <w:ind w:left="708"/>
            </w:pPr>
            <w:r>
              <w:t>Usluge poravnanja preko središnje druge ugovorne strane</w:t>
            </w:r>
          </w:p>
          <w:p w14:paraId="5801E2F6" w14:textId="77777777" w:rsidR="00393915" w:rsidRDefault="00F24D68">
            <w:pPr>
              <w:pStyle w:val="P68B1DB1-Normal19"/>
              <w:ind w:left="708"/>
            </w:pPr>
            <w:r>
              <w:t>Usluge pohrane vrijednosnih papira</w:t>
            </w:r>
          </w:p>
          <w:p w14:paraId="5B6CE30A" w14:textId="77777777" w:rsidR="00393915" w:rsidRDefault="00F24D68">
            <w:pPr>
              <w:pStyle w:val="P68B1DB1-Normal19"/>
              <w:ind w:left="708"/>
            </w:pPr>
            <w:r>
              <w:t>Ostale usluge/djelatnosti/funkcije (1) u pogledu plaćanja, gotovine, namire, poravnanja i skrbništva</w:t>
            </w:r>
          </w:p>
          <w:p w14:paraId="7B4ED125" w14:textId="77777777" w:rsidR="00393915" w:rsidRDefault="00F24D68">
            <w:pPr>
              <w:pStyle w:val="P68B1DB1-Normal19"/>
              <w:ind w:left="708"/>
            </w:pPr>
            <w:r>
              <w:t>Ostale usluge/djelatnosti/funkcije (2) u pogledu plaćanja, gotovine, namire, poravnanja i skrbništva</w:t>
            </w:r>
          </w:p>
          <w:p w14:paraId="19BA6278" w14:textId="77777777" w:rsidR="00393915" w:rsidRDefault="00F24D68">
            <w:pPr>
              <w:pStyle w:val="P68B1DB1-Normal19"/>
              <w:ind w:left="708"/>
            </w:pPr>
            <w:r>
              <w:t>Ostale usluge/djelatnosti/funkcije (3) u pogledu plaćanja, gotovine, namire, poravnanja i skrbništva</w:t>
            </w:r>
          </w:p>
          <w:p w14:paraId="1E6049F9" w14:textId="77777777" w:rsidR="00393915" w:rsidRDefault="00393915">
            <w:pPr>
              <w:rPr>
                <w:rFonts w:ascii="Times New Roman" w:hAnsi="Times New Roman" w:cs="Times New Roman"/>
                <w:sz w:val="20"/>
                <w:szCs w:val="20"/>
              </w:rPr>
            </w:pPr>
          </w:p>
          <w:p w14:paraId="6F0287A8" w14:textId="77777777" w:rsidR="00393915" w:rsidRDefault="00F24D68">
            <w:pPr>
              <w:pStyle w:val="P68B1DB1-Normal19"/>
            </w:pPr>
            <w:r>
              <w:t>Tržišta kapitala</w:t>
            </w:r>
          </w:p>
          <w:p w14:paraId="4F1B2CB2" w14:textId="7E5BB63F" w:rsidR="00393915" w:rsidRDefault="004E0769">
            <w:pPr>
              <w:pStyle w:val="P68B1DB1-Normal19"/>
              <w:ind w:left="708"/>
            </w:pPr>
            <w:r w:rsidRPr="004E0769">
              <w:t xml:space="preserve">Izvedenice koje se drže radi trgovanja </w:t>
            </w:r>
          </w:p>
          <w:p w14:paraId="608E7B75" w14:textId="1F6B9C04" w:rsidR="00393915" w:rsidRDefault="00F24D68">
            <w:pPr>
              <w:pStyle w:val="P68B1DB1-Normal19"/>
              <w:ind w:left="1416"/>
            </w:pPr>
            <w:r>
              <w:t xml:space="preserve">Izvedenice koje se drže radi trgovanja </w:t>
            </w:r>
            <w:r w:rsidR="00BB0D8A">
              <w:t>na</w:t>
            </w:r>
            <w:r w:rsidR="00BB0D8A">
              <w:t>na</w:t>
            </w:r>
            <w:r>
              <w:t xml:space="preserve"> OTC</w:t>
            </w:r>
            <w:r w:rsidR="00BB0D8A">
              <w:t>-u</w:t>
            </w:r>
          </w:p>
          <w:p w14:paraId="55232CB1" w14:textId="7E4D10C1" w:rsidR="00393915" w:rsidRDefault="00F24D68">
            <w:pPr>
              <w:pStyle w:val="P68B1DB1-Normal19"/>
              <w:ind w:left="1416"/>
            </w:pPr>
            <w:r>
              <w:t xml:space="preserve">Izvedenice koje se drže radi trgovanja </w:t>
            </w:r>
            <w:r w:rsidR="00BB0D8A">
              <w:t xml:space="preserve">izvan </w:t>
            </w:r>
            <w:r>
              <w:t>OTC</w:t>
            </w:r>
            <w:r w:rsidR="00BB0D8A">
              <w:t>-a</w:t>
            </w:r>
          </w:p>
          <w:p w14:paraId="41765F70" w14:textId="77777777" w:rsidR="00393915" w:rsidRDefault="00F24D68">
            <w:pPr>
              <w:pStyle w:val="P68B1DB1-Normal19"/>
              <w:ind w:left="708"/>
            </w:pPr>
            <w:r>
              <w:t>Sekundarna tržišta/trgovanje:</w:t>
            </w:r>
          </w:p>
          <w:p w14:paraId="75381D0F" w14:textId="6D88AB01" w:rsidR="00393915" w:rsidRDefault="00F24D68">
            <w:pPr>
              <w:pStyle w:val="P68B1DB1-Normal19"/>
              <w:ind w:left="708"/>
            </w:pPr>
            <w:r>
              <w:t>Primarna tržišta/</w:t>
            </w:r>
            <w:r w:rsidR="00565D33">
              <w:t>ugovaranje</w:t>
            </w:r>
            <w:r w:rsidR="00565D33">
              <w:t>ugovaranje</w:t>
            </w:r>
          </w:p>
          <w:p w14:paraId="04BFAC55" w14:textId="77777777" w:rsidR="00393915" w:rsidRDefault="00F24D68">
            <w:pPr>
              <w:pStyle w:val="P68B1DB1-Normal19"/>
              <w:ind w:left="708"/>
            </w:pPr>
            <w:r>
              <w:t>Ostale usluge/aktivnosti/funkcije (1) u kapitalnim tržištima</w:t>
            </w:r>
          </w:p>
          <w:p w14:paraId="4842F14D" w14:textId="77777777" w:rsidR="00393915" w:rsidRDefault="00F24D68">
            <w:pPr>
              <w:pStyle w:val="P68B1DB1-Normal19"/>
              <w:ind w:left="708"/>
            </w:pPr>
            <w:r>
              <w:t>Ostale usluge/aktivnosti/funkcije (2) u kapitalnim tržištima</w:t>
            </w:r>
          </w:p>
          <w:p w14:paraId="4B2FE832" w14:textId="77777777" w:rsidR="00393915" w:rsidRDefault="00F24D68">
            <w:pPr>
              <w:pStyle w:val="P68B1DB1-Normal19"/>
              <w:ind w:left="708"/>
            </w:pPr>
            <w:r>
              <w:t>Ostale usluge/aktivnosti/funkcije (3) u kapitalnim tržištima</w:t>
            </w:r>
          </w:p>
          <w:p w14:paraId="07EB9C1C" w14:textId="77777777" w:rsidR="00393915" w:rsidRDefault="00393915">
            <w:pPr>
              <w:ind w:left="708"/>
              <w:rPr>
                <w:rFonts w:ascii="Times New Roman" w:hAnsi="Times New Roman" w:cs="Times New Roman"/>
                <w:sz w:val="20"/>
                <w:szCs w:val="20"/>
              </w:rPr>
            </w:pPr>
          </w:p>
          <w:p w14:paraId="74D09EC2" w14:textId="5D1DA8CD" w:rsidR="00393915" w:rsidRDefault="00F02101">
            <w:pPr>
              <w:pStyle w:val="P68B1DB1-Normal19"/>
            </w:pPr>
            <w:r>
              <w:t>Financiranje</w:t>
            </w:r>
            <w:r>
              <w:t>Financiranje</w:t>
            </w:r>
            <w:r>
              <w:t xml:space="preserve"> institucionalnih </w:t>
            </w:r>
            <w:r w:rsidR="005E3341">
              <w:t>klijenata</w:t>
            </w:r>
          </w:p>
          <w:p w14:paraId="02676859" w14:textId="1D76ACF4" w:rsidR="00393915" w:rsidRDefault="00326F20">
            <w:pPr>
              <w:pStyle w:val="P68B1DB1-ListParagraph60"/>
            </w:pPr>
            <w:r>
              <w:t>Pozajmljivanje</w:t>
            </w:r>
          </w:p>
          <w:p w14:paraId="541AD926" w14:textId="77777777" w:rsidR="00393915" w:rsidRDefault="00F24D68">
            <w:pPr>
              <w:pStyle w:val="P68B1DB1-ListParagraph60"/>
            </w:pPr>
            <w:r>
              <w:t>Izvedenice (imovina)</w:t>
            </w:r>
          </w:p>
          <w:p w14:paraId="25097734" w14:textId="6CD5BE8A" w:rsidR="00393915" w:rsidRDefault="002B1226">
            <w:pPr>
              <w:pStyle w:val="P68B1DB1-ListParagraph60"/>
            </w:pPr>
            <w:r>
              <w:t>Kreditiranje</w:t>
            </w:r>
            <w:r>
              <w:t>Kreditiranje</w:t>
            </w:r>
          </w:p>
          <w:p w14:paraId="772EBBB0" w14:textId="77777777" w:rsidR="00393915" w:rsidRDefault="00F24D68">
            <w:pPr>
              <w:pStyle w:val="P68B1DB1-ListParagraph60"/>
            </w:pPr>
            <w:r>
              <w:t>Izvedenice (obveze)</w:t>
            </w:r>
          </w:p>
          <w:p w14:paraId="56E338CF" w14:textId="5EFBB349" w:rsidR="00393915" w:rsidRDefault="00F24D68">
            <w:pPr>
              <w:pStyle w:val="P68B1DB1-ListParagraph60"/>
            </w:pPr>
            <w:r>
              <w:t xml:space="preserve">Ostale vrste proizvoda (1) </w:t>
            </w:r>
            <w:r w:rsidR="005E3341">
              <w:t xml:space="preserve"> kod financiranja institucionalnih klijenata</w:t>
            </w:r>
          </w:p>
          <w:p w14:paraId="6607505D" w14:textId="7919DACC" w:rsidR="00393915" w:rsidRDefault="00F24D68">
            <w:pPr>
              <w:pStyle w:val="P68B1DB1-ListParagraph60"/>
            </w:pPr>
            <w:r>
              <w:t xml:space="preserve">Ostale vrste proizvoda (2) </w:t>
            </w:r>
            <w:r w:rsidR="005E3341">
              <w:t xml:space="preserve">kod </w:t>
            </w:r>
            <w:r w:rsidR="005E3341" w:rsidRPr="005E3341">
              <w:t>financiranja institucionalnih klijenata</w:t>
            </w:r>
          </w:p>
          <w:p w14:paraId="41A2E098" w14:textId="6FEBB7CC" w:rsidR="00393915" w:rsidRDefault="00F24D68">
            <w:pPr>
              <w:pStyle w:val="P68B1DB1-ListParagraph60"/>
            </w:pPr>
            <w:r>
              <w:t xml:space="preserve">Ostale vrste proizvoda (3) </w:t>
            </w:r>
            <w:r w:rsidR="005E3341">
              <w:t>kod</w:t>
            </w:r>
            <w:r>
              <w:t xml:space="preserve"> </w:t>
            </w:r>
            <w:r w:rsidR="005E3341" w:rsidRPr="005E3341">
              <w:t>financiranja institucionalnih klijenata</w:t>
            </w:r>
          </w:p>
          <w:p w14:paraId="7FE1C8DF" w14:textId="2134965F" w:rsidR="00393915" w:rsidRDefault="00393915">
            <w:pPr>
              <w:pStyle w:val="TableParagraph"/>
              <w:spacing w:before="108"/>
              <w:ind w:left="85"/>
              <w:jc w:val="both"/>
              <w:rPr>
                <w:rFonts w:ascii="Times New Roman" w:eastAsia="Times New Roman" w:hAnsi="Times New Roman" w:cs="Times New Roman"/>
                <w:b/>
                <w:bCs/>
                <w:i/>
                <w:iCs/>
                <w:sz w:val="20"/>
                <w:szCs w:val="20"/>
              </w:rPr>
            </w:pPr>
          </w:p>
        </w:tc>
      </w:tr>
      <w:tr w:rsidR="00393915" w14:paraId="7FE1C8E3" w14:textId="77777777">
        <w:tc>
          <w:tcPr>
            <w:tcW w:w="1183" w:type="dxa"/>
            <w:tcBorders>
              <w:top w:val="single" w:sz="8" w:space="0" w:color="auto"/>
              <w:bottom w:val="single" w:sz="8" w:space="0" w:color="auto"/>
              <w:right w:val="single" w:sz="8" w:space="0" w:color="auto"/>
            </w:tcBorders>
            <w:vAlign w:val="center"/>
          </w:tcPr>
          <w:p w14:paraId="7FE1C8E1" w14:textId="77777777" w:rsidR="00393915" w:rsidRDefault="00F24D68">
            <w:pPr>
              <w:pStyle w:val="P68B1DB1-Normal31"/>
            </w:pPr>
            <w:r>
              <w:lastRenderedPageBreak/>
              <w:t>0050 – 0060</w:t>
            </w:r>
          </w:p>
        </w:tc>
        <w:tc>
          <w:tcPr>
            <w:tcW w:w="7832" w:type="dxa"/>
            <w:tcBorders>
              <w:top w:val="single" w:sz="8" w:space="0" w:color="auto"/>
              <w:left w:val="single" w:sz="8" w:space="0" w:color="auto"/>
              <w:bottom w:val="single" w:sz="8" w:space="0" w:color="auto"/>
            </w:tcBorders>
            <w:vAlign w:val="bottom"/>
          </w:tcPr>
          <w:p w14:paraId="7FE1C8E2" w14:textId="40F6F855" w:rsidR="00393915" w:rsidRDefault="002066BA">
            <w:pPr>
              <w:pStyle w:val="P68B1DB1-Heading481"/>
              <w:numPr>
                <w:ilvl w:val="3"/>
                <w:numId w:val="0"/>
              </w:numPr>
              <w:ind w:left="360"/>
            </w:pPr>
            <w:r>
              <w:t xml:space="preserve">Osnovne </w:t>
            </w:r>
            <w:r w:rsidR="00F24D68">
              <w:t>infrastrukture financijskog tržišta</w:t>
            </w:r>
          </w:p>
        </w:tc>
      </w:tr>
      <w:tr w:rsidR="00393915" w14:paraId="7FE1C8E9" w14:textId="77777777">
        <w:tc>
          <w:tcPr>
            <w:tcW w:w="1183" w:type="dxa"/>
            <w:tcBorders>
              <w:top w:val="single" w:sz="8" w:space="0" w:color="auto"/>
              <w:bottom w:val="single" w:sz="8" w:space="0" w:color="auto"/>
              <w:right w:val="single" w:sz="8" w:space="0" w:color="auto"/>
            </w:tcBorders>
            <w:vAlign w:val="center"/>
          </w:tcPr>
          <w:p w14:paraId="7FE1C8E4" w14:textId="77777777" w:rsidR="00393915" w:rsidRDefault="00F24D68">
            <w:pPr>
              <w:pStyle w:val="P68B1DB1-Normal31"/>
              <w:rPr>
                <w:strike/>
              </w:rPr>
            </w:pPr>
            <w:r>
              <w:t>0050</w:t>
            </w:r>
          </w:p>
        </w:tc>
        <w:tc>
          <w:tcPr>
            <w:tcW w:w="7832" w:type="dxa"/>
            <w:tcBorders>
              <w:top w:val="single" w:sz="8" w:space="0" w:color="auto"/>
              <w:left w:val="single" w:sz="8" w:space="0" w:color="auto"/>
              <w:bottom w:val="single" w:sz="8" w:space="0" w:color="auto"/>
            </w:tcBorders>
            <w:vAlign w:val="bottom"/>
          </w:tcPr>
          <w:p w14:paraId="7FE1C8E5" w14:textId="5DA1AC05" w:rsidR="00393915" w:rsidRDefault="002066BA">
            <w:pPr>
              <w:pStyle w:val="P68B1DB1-TableParagraph73"/>
              <w:spacing w:before="108"/>
              <w:ind w:left="85"/>
              <w:jc w:val="both"/>
            </w:pPr>
            <w:r>
              <w:t xml:space="preserve">Osnovna </w:t>
            </w:r>
            <w:r w:rsidR="00F24D68">
              <w:t>infrastruktura financijskog tržišta: DA/NE</w:t>
            </w:r>
          </w:p>
          <w:p w14:paraId="7FE1C8E6" w14:textId="1E511F2C" w:rsidR="00393915" w:rsidRDefault="00F24D68">
            <w:pPr>
              <w:pStyle w:val="P68B1DB1-TableParagraph40"/>
              <w:numPr>
                <w:ilvl w:val="0"/>
                <w:numId w:val="248"/>
              </w:numPr>
              <w:spacing w:before="108"/>
              <w:jc w:val="both"/>
            </w:pPr>
            <w:r>
              <w:t xml:space="preserve">„Da” ako je infrastruktura financijskog tržišta </w:t>
            </w:r>
            <w:r w:rsidR="00313D56">
              <w:t>osnovna</w:t>
            </w:r>
            <w:r w:rsidR="00313D56">
              <w:t>osnovna</w:t>
            </w:r>
          </w:p>
          <w:p w14:paraId="7FE1C8E7" w14:textId="2925AF48" w:rsidR="00393915" w:rsidRDefault="00F24D68">
            <w:pPr>
              <w:pStyle w:val="P68B1DB1-TableParagraph40"/>
              <w:numPr>
                <w:ilvl w:val="0"/>
                <w:numId w:val="248"/>
              </w:numPr>
              <w:spacing w:before="108"/>
              <w:jc w:val="both"/>
            </w:pPr>
            <w:r>
              <w:t xml:space="preserve">„Ne” ako infrastruktura financijskog tržišta nije </w:t>
            </w:r>
            <w:r w:rsidR="00313D56">
              <w:t>osnovna</w:t>
            </w:r>
            <w:r w:rsidR="00313D56">
              <w:t>osnovna</w:t>
            </w:r>
          </w:p>
          <w:p w14:paraId="7FE1C8E8" w14:textId="77777777" w:rsidR="00393915" w:rsidRDefault="00F24D68">
            <w:pPr>
              <w:pStyle w:val="P68B1DB1-Heading482"/>
              <w:numPr>
                <w:ilvl w:val="3"/>
                <w:numId w:val="0"/>
              </w:numPr>
              <w:ind w:left="360"/>
            </w:pPr>
            <w:r>
              <w:t>Stupci 0020 i 0050 međusobno se ne isključuju.</w:t>
            </w:r>
          </w:p>
        </w:tc>
      </w:tr>
      <w:tr w:rsidR="00393915" w14:paraId="7FE1C8EE" w14:textId="77777777">
        <w:tc>
          <w:tcPr>
            <w:tcW w:w="1183" w:type="dxa"/>
            <w:tcBorders>
              <w:top w:val="single" w:sz="8" w:space="0" w:color="auto"/>
              <w:bottom w:val="single" w:sz="8" w:space="0" w:color="auto"/>
              <w:right w:val="single" w:sz="8" w:space="0" w:color="auto"/>
            </w:tcBorders>
            <w:vAlign w:val="center"/>
          </w:tcPr>
          <w:p w14:paraId="7FE1C8EA" w14:textId="77777777" w:rsidR="00393915" w:rsidRDefault="00F24D68">
            <w:pPr>
              <w:pStyle w:val="P68B1DB1-Normal31"/>
            </w:pPr>
            <w:r>
              <w:t>0060</w:t>
            </w:r>
          </w:p>
        </w:tc>
        <w:tc>
          <w:tcPr>
            <w:tcW w:w="7832" w:type="dxa"/>
            <w:tcBorders>
              <w:top w:val="single" w:sz="8" w:space="0" w:color="auto"/>
              <w:left w:val="single" w:sz="8" w:space="0" w:color="auto"/>
              <w:bottom w:val="single" w:sz="8" w:space="0" w:color="auto"/>
            </w:tcBorders>
            <w:vAlign w:val="bottom"/>
          </w:tcPr>
          <w:p w14:paraId="7FE1C8EB" w14:textId="2301B1A3" w:rsidR="00393915" w:rsidRDefault="00F24D68">
            <w:pPr>
              <w:pStyle w:val="P68B1DB1-TableParagraph73"/>
              <w:spacing w:before="108"/>
              <w:ind w:left="85"/>
              <w:jc w:val="both"/>
            </w:pPr>
            <w:r>
              <w:t xml:space="preserve">Identifikacijska oznaka temeljne linije </w:t>
            </w:r>
          </w:p>
          <w:p w14:paraId="7FE1C8EC" w14:textId="32E9F945" w:rsidR="00393915" w:rsidRDefault="00F24D68">
            <w:pPr>
              <w:pStyle w:val="P68B1DB1-TableParagraph40"/>
              <w:spacing w:before="108"/>
              <w:ind w:left="85"/>
              <w:jc w:val="both"/>
              <w:rPr>
                <w:u w:val="single"/>
              </w:rPr>
            </w:pPr>
            <w:r>
              <w:t>Temeljne</w:t>
            </w:r>
            <w:r>
              <w:t xml:space="preserve"> </w:t>
            </w:r>
            <w:r>
              <w:t>linije koje obavlja korisnik i čije bi obavljanje bilo otežano ili spriječeno prekidom pristupa pružatelju usluga infrastrukture financijskog tržišta.</w:t>
            </w:r>
          </w:p>
          <w:p w14:paraId="7FE1C8ED" w14:textId="77777777" w:rsidR="00393915" w:rsidRDefault="00F24D68">
            <w:pPr>
              <w:pStyle w:val="P68B1DB1-TableParagraph40"/>
              <w:spacing w:before="108"/>
              <w:ind w:left="85"/>
              <w:jc w:val="both"/>
              <w:rPr>
                <w:b/>
                <w:bCs/>
              </w:rPr>
            </w:pPr>
            <w:r>
              <w:t>Identifikacijska oznaka temeljne linije poslovanja kako je iskazana u stupcu 0010. predloška Z 07.03.</w:t>
            </w:r>
          </w:p>
        </w:tc>
      </w:tr>
    </w:tbl>
    <w:p w14:paraId="7FE1C8EF" w14:textId="77777777" w:rsidR="00393915" w:rsidRDefault="00393915">
      <w:pPr>
        <w:pStyle w:val="Instructionsberschrift2"/>
        <w:ind w:left="357"/>
        <w:rPr>
          <w:rFonts w:ascii="Times New Roman" w:eastAsia="Calibri" w:hAnsi="Times New Roman" w:cs="Times New Roman"/>
          <w:szCs w:val="20"/>
        </w:rPr>
      </w:pPr>
    </w:p>
    <w:p w14:paraId="7FE1C8F0" w14:textId="77777777" w:rsidR="00393915" w:rsidRDefault="00F24D68">
      <w:pPr>
        <w:pStyle w:val="P68B1DB1-Instructionsberschrift271"/>
        <w:numPr>
          <w:ilvl w:val="1"/>
          <w:numId w:val="49"/>
        </w:numPr>
        <w:ind w:left="357" w:hanging="357"/>
      </w:pPr>
      <w:bookmarkStart w:id="140" w:name="_Toc208244826"/>
      <w:r>
        <w:t>Z 09.03 – Usluge infrastrukture financijskog tržišta – ključna mjerila (FMI 3)</w:t>
      </w:r>
      <w:bookmarkEnd w:id="140"/>
    </w:p>
    <w:p w14:paraId="7FE1C8F1" w14:textId="77777777" w:rsidR="00393915" w:rsidRDefault="00F24D68">
      <w:pPr>
        <w:pStyle w:val="P68B1DB1-Numberedtitlelevel383"/>
      </w:pPr>
      <w:r>
        <w:t>Upute za specifične pozicije</w:t>
      </w:r>
    </w:p>
    <w:p w14:paraId="7FE1C8F2" w14:textId="29ACCC86" w:rsidR="00393915" w:rsidRDefault="00A9326C">
      <w:pPr>
        <w:pStyle w:val="InstructionsText2"/>
        <w:spacing w:before="0"/>
        <w:ind w:left="1418"/>
        <w:rPr>
          <w:rFonts w:ascii="Times New Roman" w:eastAsiaTheme="majorEastAsia" w:hAnsi="Times New Roman" w:cs="Times New Roman"/>
          <w:sz w:val="20"/>
          <w:szCs w:val="20"/>
        </w:rPr>
      </w:pPr>
      <w:r>
        <w:rPr>
          <w:rFonts w:ascii="Times New Roman" w:eastAsiaTheme="majorEastAsia" w:hAnsi="Times New Roman" w:cs="Times New Roman"/>
          <w:sz w:val="20"/>
          <w:szCs w:val="20"/>
        </w:rPr>
        <w:t>Izvijestiti s</w:t>
      </w:r>
      <w:r>
        <w:rPr>
          <w:rFonts w:ascii="Times New Roman" w:eastAsiaTheme="majorEastAsia" w:hAnsi="Times New Roman" w:cs="Times New Roman"/>
          <w:sz w:val="20"/>
          <w:szCs w:val="20"/>
        </w:rPr>
        <w:t>s</w:t>
      </w:r>
      <w:r w:rsidR="00F24D68">
        <w:rPr>
          <w:rFonts w:ascii="Times New Roman" w:eastAsiaTheme="majorEastAsia" w:hAnsi="Times New Roman" w:cs="Times New Roman"/>
          <w:sz w:val="20"/>
          <w:szCs w:val="20"/>
        </w:rPr>
        <w:t>amo</w:t>
      </w:r>
      <w:r w:rsidR="00F24D68">
        <w:rPr>
          <w:rFonts w:ascii="Times New Roman" w:eastAsiaTheme="majorEastAsia" w:hAnsi="Times New Roman" w:cs="Times New Roman"/>
          <w:sz w:val="20"/>
          <w:szCs w:val="20"/>
        </w:rPr>
        <w:t>za platne sustave, (međunarodne) središnje depozitorije vrijednosnih papira, usluge namire za transakcije vrijednosnim papirima, središnje druge ugovorne strane, središnje druge ugovorne strane vrijednosne papire, osim ako je navedeno drukčije</w:t>
      </w:r>
      <w:r w:rsidR="00F24D68">
        <w:rPr>
          <w:rStyle w:val="FootnoteReference"/>
          <w:rFonts w:eastAsiaTheme="majorEastAsia" w:cs="Times New Roman"/>
        </w:rPr>
        <w:footnoteReference w:id="33"/>
      </w:r>
      <w:r w:rsidR="00F24D68">
        <w:rPr>
          <w:rFonts w:ascii="Times New Roman" w:eastAsiaTheme="majorEastAsia" w:hAnsi="Times New Roman" w:cs="Times New Roman"/>
          <w:sz w:val="20"/>
          <w:szCs w:val="20"/>
        </w:rPr>
        <w:t>.</w:t>
      </w:r>
    </w:p>
    <w:tbl>
      <w:tblPr>
        <w:tblW w:w="9015" w:type="dxa"/>
        <w:tblInd w:w="135" w:type="dxa"/>
        <w:tblLayout w:type="fixed"/>
        <w:tblLook w:val="04A0" w:firstRow="1" w:lastRow="0" w:firstColumn="1" w:lastColumn="0" w:noHBand="0" w:noVBand="1"/>
      </w:tblPr>
      <w:tblGrid>
        <w:gridCol w:w="1183"/>
        <w:gridCol w:w="7832"/>
      </w:tblGrid>
      <w:tr w:rsidR="00393915" w14:paraId="7FE1C8F5" w14:textId="77777777">
        <w:trPr>
          <w:tblHeader/>
        </w:trPr>
        <w:tc>
          <w:tcPr>
            <w:tcW w:w="1183" w:type="dxa"/>
            <w:tcBorders>
              <w:top w:val="single" w:sz="8" w:space="0" w:color="1A171C"/>
              <w:left w:val="nil"/>
              <w:bottom w:val="single" w:sz="8" w:space="0" w:color="1A171C"/>
              <w:right w:val="single" w:sz="8" w:space="0" w:color="1A171C"/>
            </w:tcBorders>
            <w:shd w:val="clear" w:color="auto" w:fill="D9D9D9" w:themeFill="background1" w:themeFillShade="D9"/>
          </w:tcPr>
          <w:p w14:paraId="7FE1C8F3" w14:textId="77777777" w:rsidR="00393915" w:rsidRDefault="00F24D68">
            <w:pPr>
              <w:pStyle w:val="P68B1DB1-TableParagraph17"/>
              <w:spacing w:before="108"/>
              <w:ind w:left="85"/>
            </w:pPr>
            <w:r>
              <w:t xml:space="preserve">Stupci </w:t>
            </w:r>
          </w:p>
        </w:tc>
        <w:tc>
          <w:tcPr>
            <w:tcW w:w="7832" w:type="dxa"/>
            <w:tcBorders>
              <w:top w:val="single" w:sz="8" w:space="0" w:color="1A171C"/>
              <w:left w:val="single" w:sz="8" w:space="0" w:color="1A171C"/>
              <w:bottom w:val="single" w:sz="8" w:space="0" w:color="1A171C"/>
              <w:right w:val="nil"/>
            </w:tcBorders>
            <w:shd w:val="clear" w:color="auto" w:fill="D9D9D9" w:themeFill="background1" w:themeFillShade="D9"/>
          </w:tcPr>
          <w:p w14:paraId="7FE1C8F4" w14:textId="77777777" w:rsidR="00393915" w:rsidRDefault="00F24D68">
            <w:pPr>
              <w:pStyle w:val="P68B1DB1-TableParagraph17"/>
              <w:spacing w:before="108"/>
              <w:ind w:left="85"/>
            </w:pPr>
            <w:r>
              <w:t xml:space="preserve">Upute </w:t>
            </w:r>
          </w:p>
        </w:tc>
      </w:tr>
      <w:tr w:rsidR="00393915" w14:paraId="7FE1C8F9" w14:textId="77777777">
        <w:tc>
          <w:tcPr>
            <w:tcW w:w="1183" w:type="dxa"/>
            <w:tcBorders>
              <w:top w:val="single" w:sz="8" w:space="0" w:color="1A171C"/>
              <w:bottom w:val="single" w:sz="8" w:space="0" w:color="auto"/>
              <w:right w:val="single" w:sz="8" w:space="0" w:color="auto"/>
            </w:tcBorders>
            <w:vAlign w:val="center"/>
          </w:tcPr>
          <w:p w14:paraId="7FE1C8F6" w14:textId="77777777" w:rsidR="00393915" w:rsidRDefault="00F24D68">
            <w:pPr>
              <w:pStyle w:val="P68B1DB1-Normal31"/>
            </w:pPr>
            <w:r>
              <w:t>0010</w:t>
            </w:r>
          </w:p>
        </w:tc>
        <w:tc>
          <w:tcPr>
            <w:tcW w:w="7832" w:type="dxa"/>
            <w:tcBorders>
              <w:top w:val="single" w:sz="8" w:space="0" w:color="1A171C"/>
              <w:left w:val="single" w:sz="8" w:space="0" w:color="auto"/>
              <w:bottom w:val="single" w:sz="8" w:space="0" w:color="auto"/>
            </w:tcBorders>
            <w:vAlign w:val="bottom"/>
          </w:tcPr>
          <w:p w14:paraId="7FE1C8F7" w14:textId="77777777" w:rsidR="00393915" w:rsidRDefault="00F24D68">
            <w:pPr>
              <w:pStyle w:val="P68B1DB1-TableParagraph73"/>
              <w:spacing w:before="108"/>
              <w:jc w:val="both"/>
            </w:pPr>
            <w:r>
              <w:t>Identifikacijska oznaka koja predstavlja kombinaciju korisnika, infrastrukture financijskog tržišta, vrste sustava i posrednika</w:t>
            </w:r>
          </w:p>
          <w:p w14:paraId="7FE1C8F8" w14:textId="314C2ABF" w:rsidR="00393915" w:rsidRDefault="00F24D68">
            <w:pPr>
              <w:pStyle w:val="P68B1DB1-TableParagraph40"/>
              <w:spacing w:before="108"/>
              <w:jc w:val="both"/>
              <w:rPr>
                <w:b/>
                <w:bCs/>
                <w:i/>
                <w:iCs/>
              </w:rPr>
            </w:pPr>
            <w:r>
              <w:t>Koristite jednu identifikacijsku oznaku po retku koja odgovara jedinstvenoj kombinaciji korisnika, infrastrukture financijskog tržišta, vrste sustava i posrednika. Ista identifikacijska oznaka, koja odgovara istoj kombinaciji, mora se upotrebljavati u obrascima od Z 09.01 do Z 09.05, ako je primjenjivo.</w:t>
            </w:r>
          </w:p>
        </w:tc>
      </w:tr>
      <w:tr w:rsidR="00393915" w14:paraId="7FE1C8FD" w14:textId="77777777">
        <w:tc>
          <w:tcPr>
            <w:tcW w:w="1183" w:type="dxa"/>
            <w:tcBorders>
              <w:top w:val="single" w:sz="8" w:space="0" w:color="auto"/>
              <w:bottom w:val="single" w:sz="8" w:space="0" w:color="auto"/>
              <w:right w:val="single" w:sz="8" w:space="0" w:color="auto"/>
            </w:tcBorders>
            <w:vAlign w:val="center"/>
          </w:tcPr>
          <w:p w14:paraId="7FE1C8FA" w14:textId="77777777" w:rsidR="00393915" w:rsidRDefault="00F24D68">
            <w:pPr>
              <w:pStyle w:val="P68B1DB1-Normal31"/>
              <w:rPr>
                <w:strike/>
              </w:rPr>
            </w:pPr>
            <w:r>
              <w:t>0020</w:t>
            </w:r>
          </w:p>
        </w:tc>
        <w:tc>
          <w:tcPr>
            <w:tcW w:w="7832" w:type="dxa"/>
            <w:tcBorders>
              <w:top w:val="single" w:sz="8" w:space="0" w:color="auto"/>
              <w:left w:val="single" w:sz="8" w:space="0" w:color="auto"/>
              <w:bottom w:val="single" w:sz="8" w:space="0" w:color="auto"/>
            </w:tcBorders>
            <w:vAlign w:val="bottom"/>
          </w:tcPr>
          <w:p w14:paraId="7FE1C8FB" w14:textId="77777777" w:rsidR="00393915" w:rsidRDefault="00F24D68">
            <w:pPr>
              <w:pStyle w:val="P68B1DB1-TableParagraph73"/>
              <w:spacing w:before="108"/>
              <w:jc w:val="both"/>
            </w:pPr>
            <w:r>
              <w:t>Segment</w:t>
            </w:r>
          </w:p>
          <w:p w14:paraId="7FE1C8FC" w14:textId="55B3C65A" w:rsidR="00393915" w:rsidRDefault="00F24D68">
            <w:pPr>
              <w:pStyle w:val="P68B1DB1-TableParagraph40"/>
              <w:spacing w:before="108"/>
              <w:ind w:left="85"/>
              <w:jc w:val="both"/>
              <w:rPr>
                <w:b/>
                <w:bCs/>
                <w:i/>
                <w:iCs/>
                <w:strike/>
              </w:rPr>
            </w:pPr>
            <w:r>
              <w:t xml:space="preserve">Tržišni segmenti u kojima je korisnik aktivan. Jedan redak po segmentu. </w:t>
            </w:r>
            <w:r w:rsidR="00C34BA3">
              <w:t xml:space="preserve">Izvijestiti samo za </w:t>
            </w:r>
            <w:r>
              <w:t xml:space="preserve">središnje druge ugovorne strane. </w:t>
            </w:r>
          </w:p>
        </w:tc>
      </w:tr>
      <w:tr w:rsidR="00393915" w14:paraId="7FE1C902" w14:textId="77777777">
        <w:tc>
          <w:tcPr>
            <w:tcW w:w="1183" w:type="dxa"/>
            <w:tcBorders>
              <w:top w:val="single" w:sz="8" w:space="0" w:color="auto"/>
              <w:bottom w:val="single" w:sz="8" w:space="0" w:color="auto"/>
              <w:right w:val="single" w:sz="8" w:space="0" w:color="auto"/>
            </w:tcBorders>
            <w:vAlign w:val="center"/>
          </w:tcPr>
          <w:p w14:paraId="7FE1C8FE" w14:textId="77777777" w:rsidR="00393915" w:rsidRDefault="00F24D68">
            <w:pPr>
              <w:pStyle w:val="P68B1DB1-Normal31"/>
            </w:pPr>
            <w:r>
              <w:t>0030</w:t>
            </w:r>
          </w:p>
        </w:tc>
        <w:tc>
          <w:tcPr>
            <w:tcW w:w="7832" w:type="dxa"/>
            <w:tcBorders>
              <w:top w:val="single" w:sz="8" w:space="0" w:color="auto"/>
              <w:left w:val="single" w:sz="8" w:space="0" w:color="auto"/>
              <w:bottom w:val="single" w:sz="8" w:space="0" w:color="auto"/>
            </w:tcBorders>
            <w:vAlign w:val="bottom"/>
          </w:tcPr>
          <w:p w14:paraId="7FE1C8FF" w14:textId="77777777" w:rsidR="00393915" w:rsidRDefault="00F24D68">
            <w:pPr>
              <w:pStyle w:val="P68B1DB1-TableParagraph73"/>
              <w:spacing w:before="108"/>
              <w:jc w:val="both"/>
            </w:pPr>
            <w:r>
              <w:t>Doprinos fondu za neispunjene obveze</w:t>
            </w:r>
          </w:p>
          <w:p w14:paraId="7FE1C900" w14:textId="6CCD5FCE" w:rsidR="00393915" w:rsidRDefault="00F24D68">
            <w:pPr>
              <w:pStyle w:val="P68B1DB1-TableParagraph40"/>
              <w:spacing w:before="108"/>
              <w:jc w:val="both"/>
            </w:pPr>
            <w:r>
              <w:t>Uplata u fond</w:t>
            </w:r>
            <w:r w:rsidR="007B3111">
              <w:t xml:space="preserve"> za neispunjene obveze</w:t>
            </w:r>
            <w:r>
              <w:t>.</w:t>
            </w:r>
            <w:r>
              <w:t xml:space="preserve"> Prosječni iznos tijekom godine. </w:t>
            </w:r>
          </w:p>
          <w:p w14:paraId="7FE1C901" w14:textId="1DE15E5F" w:rsidR="00393915" w:rsidRDefault="0040774E">
            <w:pPr>
              <w:pStyle w:val="P68B1DB1-TableParagraph40"/>
              <w:spacing w:before="108"/>
              <w:ind w:left="85"/>
              <w:jc w:val="both"/>
              <w:rPr>
                <w:b/>
                <w:bCs/>
                <w:i/>
                <w:iCs/>
              </w:rPr>
            </w:pPr>
            <w:r>
              <w:t>Izvijestiti</w:t>
            </w:r>
            <w:r>
              <w:t>Izvijestiti</w:t>
            </w:r>
            <w:r w:rsidR="00F24D68">
              <w:t xml:space="preserve"> samo za središnje druge ugovorne strane.</w:t>
            </w:r>
          </w:p>
        </w:tc>
      </w:tr>
      <w:tr w:rsidR="00393915" w14:paraId="7FE1C906" w14:textId="77777777">
        <w:tc>
          <w:tcPr>
            <w:tcW w:w="1183" w:type="dxa"/>
            <w:tcBorders>
              <w:top w:val="single" w:sz="8" w:space="0" w:color="auto"/>
              <w:bottom w:val="single" w:sz="8" w:space="0" w:color="auto"/>
              <w:right w:val="single" w:sz="8" w:space="0" w:color="auto"/>
            </w:tcBorders>
            <w:vAlign w:val="center"/>
          </w:tcPr>
          <w:p w14:paraId="7FE1C903" w14:textId="77777777" w:rsidR="00393915" w:rsidRDefault="00F24D68">
            <w:pPr>
              <w:pStyle w:val="P68B1DB1-Normal31"/>
            </w:pPr>
            <w:r>
              <w:t>0040 – 0050</w:t>
            </w:r>
          </w:p>
        </w:tc>
        <w:tc>
          <w:tcPr>
            <w:tcW w:w="7832" w:type="dxa"/>
            <w:tcBorders>
              <w:top w:val="single" w:sz="8" w:space="0" w:color="auto"/>
              <w:left w:val="single" w:sz="8" w:space="0" w:color="auto"/>
              <w:bottom w:val="single" w:sz="8" w:space="0" w:color="auto"/>
            </w:tcBorders>
            <w:vAlign w:val="bottom"/>
          </w:tcPr>
          <w:p w14:paraId="7FE1C904" w14:textId="63CC55B1" w:rsidR="00393915" w:rsidRDefault="00F24D68">
            <w:pPr>
              <w:pStyle w:val="P68B1DB1-TableParagraph73"/>
              <w:spacing w:before="108"/>
              <w:jc w:val="both"/>
              <w:rPr>
                <w:bCs/>
              </w:rPr>
            </w:pPr>
            <w:r>
              <w:t>Inicijalni iznos nadoknade na vlasničkim računima i računima klijenata</w:t>
            </w:r>
          </w:p>
          <w:p w14:paraId="7FE1C905" w14:textId="69EE11CA" w:rsidR="00393915" w:rsidRDefault="00F24D68">
            <w:pPr>
              <w:pStyle w:val="P68B1DB1-TableParagraph40"/>
              <w:spacing w:before="108"/>
              <w:ind w:left="85"/>
              <w:jc w:val="both"/>
              <w:rPr>
                <w:b/>
              </w:rPr>
            </w:pPr>
            <w:r>
              <w:t xml:space="preserve">Dani inicijalni iznos nadoknade, podijeljen po internim računima i računima klijenata. Prosječni iznos tijekom godine. </w:t>
            </w:r>
            <w:r w:rsidR="001D7CE5">
              <w:t>Izvijestiti</w:t>
            </w:r>
            <w:r w:rsidR="001D7CE5">
              <w:t>Izvijestiti</w:t>
            </w:r>
            <w:r>
              <w:t xml:space="preserve"> samo za središnje druge ugovorne strane. Stupac 0050 uključuje vrijednosti zbirnog i pojedinačnog računa klijenta.</w:t>
            </w:r>
          </w:p>
        </w:tc>
      </w:tr>
      <w:tr w:rsidR="00393915" w14:paraId="7FE1C90D" w14:textId="77777777">
        <w:tc>
          <w:tcPr>
            <w:tcW w:w="1183" w:type="dxa"/>
            <w:tcBorders>
              <w:top w:val="single" w:sz="8" w:space="0" w:color="auto"/>
              <w:bottom w:val="single" w:sz="8" w:space="0" w:color="auto"/>
              <w:right w:val="single" w:sz="8" w:space="0" w:color="auto"/>
            </w:tcBorders>
            <w:vAlign w:val="center"/>
          </w:tcPr>
          <w:p w14:paraId="7FE1C907" w14:textId="1157106F" w:rsidR="00393915" w:rsidRDefault="00F24D68">
            <w:pPr>
              <w:pStyle w:val="P68B1DB1-Normal31"/>
            </w:pPr>
            <w:r>
              <w:t>0060 – 0070</w:t>
            </w:r>
          </w:p>
        </w:tc>
        <w:tc>
          <w:tcPr>
            <w:tcW w:w="7832" w:type="dxa"/>
            <w:tcBorders>
              <w:top w:val="single" w:sz="8" w:space="0" w:color="auto"/>
              <w:left w:val="single" w:sz="8" w:space="0" w:color="auto"/>
              <w:bottom w:val="single" w:sz="8" w:space="0" w:color="auto"/>
            </w:tcBorders>
            <w:vAlign w:val="bottom"/>
          </w:tcPr>
          <w:p w14:paraId="7FE1C908" w14:textId="77777777" w:rsidR="00393915" w:rsidRDefault="00F24D68">
            <w:pPr>
              <w:pStyle w:val="P68B1DB1-TableParagraph73"/>
              <w:spacing w:before="108"/>
              <w:ind w:left="85"/>
              <w:jc w:val="both"/>
            </w:pPr>
            <w:r>
              <w:t>Vrijednost pozicija na vlasničkim računima i računima klijenata</w:t>
            </w:r>
          </w:p>
          <w:p w14:paraId="7FE1C909" w14:textId="2BD6C643" w:rsidR="00393915" w:rsidRDefault="00E92311">
            <w:pPr>
              <w:pStyle w:val="P68B1DB1-TableParagraph40"/>
              <w:spacing w:before="108"/>
              <w:ind w:left="85"/>
              <w:jc w:val="both"/>
            </w:pPr>
            <w:r>
              <w:t xml:space="preserve">Izvijestiti </w:t>
            </w:r>
            <w:r w:rsidR="00F24D68">
              <w:t xml:space="preserve"> samo za središnje druge ugovorne strane i (</w:t>
            </w:r>
            <w:r w:rsidR="006508D6" w:rsidRPr="006508D6">
              <w:t>međunarodn</w:t>
            </w:r>
            <w:r w:rsidR="006508D6">
              <w:t>e)</w:t>
            </w:r>
            <w:r w:rsidR="006508D6" w:rsidRPr="006508D6">
              <w:t xml:space="preserve"> središnj</w:t>
            </w:r>
            <w:r w:rsidR="006508D6">
              <w:t>e</w:t>
            </w:r>
            <w:r w:rsidR="006508D6" w:rsidRPr="006508D6">
              <w:t xml:space="preserve"> depozitorij</w:t>
            </w:r>
            <w:r w:rsidR="006508D6">
              <w:t>e</w:t>
            </w:r>
            <w:r w:rsidR="006508D6" w:rsidRPr="006508D6">
              <w:t xml:space="preserve"> vrijednosnih papira </w:t>
            </w:r>
            <w:r w:rsidR="00F24D68">
              <w:t>. Stupac 0070 uključuje vrijednosti zbirnog i pojedinačnog računa klijenta.</w:t>
            </w:r>
          </w:p>
          <w:p w14:paraId="7FE1C90A" w14:textId="77777777" w:rsidR="00393915" w:rsidRDefault="00F24D68">
            <w:pPr>
              <w:pStyle w:val="TableParagraph"/>
              <w:numPr>
                <w:ilvl w:val="0"/>
                <w:numId w:val="249"/>
              </w:numPr>
              <w:spacing w:before="108"/>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Središnje druge ugovorne strane: Vrijednost pozicija kod središnjih drugih ugovornih strana u odgovarajućim vrstama računa</w:t>
            </w:r>
            <w:r>
              <w:rPr>
                <w:rStyle w:val="FootnoteReference"/>
                <w:rFonts w:ascii="Times New Roman" w:eastAsia="Times New Roman" w:hAnsi="Times New Roman" w:cs="Times New Roman"/>
              </w:rPr>
              <w:footnoteReference w:id="34"/>
            </w:r>
            <w:r>
              <w:rPr>
                <w:rFonts w:ascii="Times New Roman" w:eastAsia="Times New Roman" w:hAnsi="Times New Roman" w:cs="Times New Roman"/>
                <w:sz w:val="20"/>
                <w:szCs w:val="20"/>
              </w:rPr>
              <w:t xml:space="preserve">. </w:t>
            </w:r>
          </w:p>
          <w:p w14:paraId="7FE1C90B" w14:textId="6980D074" w:rsidR="00393915" w:rsidRDefault="007A3692">
            <w:pPr>
              <w:pStyle w:val="P68B1DB1-TableParagraph40"/>
              <w:numPr>
                <w:ilvl w:val="0"/>
                <w:numId w:val="249"/>
              </w:numPr>
              <w:spacing w:before="108"/>
              <w:jc w:val="both"/>
            </w:pPr>
            <w:r w:rsidRPr="007A3692">
              <w:t>(međunarodn</w:t>
            </w:r>
            <w:r>
              <w:t>i</w:t>
            </w:r>
            <w:r w:rsidRPr="007A3692">
              <w:t>) središnj</w:t>
            </w:r>
            <w:r>
              <w:t>i</w:t>
            </w:r>
            <w:r w:rsidRPr="007A3692">
              <w:t xml:space="preserve"> depozitorij</w:t>
            </w:r>
            <w:r>
              <w:t>i</w:t>
            </w:r>
            <w:r w:rsidRPr="007A3692">
              <w:t xml:space="preserve"> vrijednosnih papira</w:t>
            </w:r>
            <w:r w:rsidR="00F24D68">
              <w:t xml:space="preserve">: Vrijednost vrijednosnih papira koji se drže na odgovarajućim vrstama računa. </w:t>
            </w:r>
          </w:p>
          <w:p w14:paraId="7FE1C90C" w14:textId="77777777" w:rsidR="00393915" w:rsidRDefault="00F24D68">
            <w:pPr>
              <w:pStyle w:val="P68B1DB1-TableParagraph40"/>
              <w:spacing w:before="108"/>
              <w:ind w:left="85"/>
              <w:jc w:val="both"/>
              <w:rPr>
                <w:b/>
              </w:rPr>
            </w:pPr>
            <w:r>
              <w:t xml:space="preserve">Prosječna vrijednost na kraju dana namire tijekom prethodne godine. </w:t>
            </w:r>
          </w:p>
        </w:tc>
      </w:tr>
      <w:tr w:rsidR="00393915" w14:paraId="7FE1C912" w14:textId="77777777">
        <w:tc>
          <w:tcPr>
            <w:tcW w:w="1183" w:type="dxa"/>
            <w:tcBorders>
              <w:top w:val="single" w:sz="8" w:space="0" w:color="auto"/>
              <w:bottom w:val="single" w:sz="8" w:space="0" w:color="auto"/>
              <w:right w:val="single" w:sz="8" w:space="0" w:color="auto"/>
            </w:tcBorders>
            <w:vAlign w:val="center"/>
          </w:tcPr>
          <w:p w14:paraId="7FE1C90E" w14:textId="3E4BBED3" w:rsidR="00393915" w:rsidRDefault="00F24D68">
            <w:pPr>
              <w:pStyle w:val="P68B1DB1-Normal31"/>
              <w:rPr>
                <w:strike/>
              </w:rPr>
            </w:pPr>
            <w:r>
              <w:t>0080 – 0090</w:t>
            </w:r>
          </w:p>
        </w:tc>
        <w:tc>
          <w:tcPr>
            <w:tcW w:w="7832" w:type="dxa"/>
            <w:tcBorders>
              <w:top w:val="single" w:sz="8" w:space="0" w:color="auto"/>
              <w:left w:val="single" w:sz="8" w:space="0" w:color="auto"/>
              <w:bottom w:val="single" w:sz="8" w:space="0" w:color="auto"/>
            </w:tcBorders>
            <w:vAlign w:val="bottom"/>
          </w:tcPr>
          <w:p w14:paraId="7FE1C90F" w14:textId="77777777" w:rsidR="00393915" w:rsidRDefault="00F24D68">
            <w:pPr>
              <w:pStyle w:val="P68B1DB1-TableParagraph73"/>
              <w:spacing w:before="108"/>
              <w:ind w:left="85"/>
              <w:jc w:val="both"/>
            </w:pPr>
            <w:r>
              <w:t xml:space="preserve">Broj klijenata </w:t>
            </w:r>
          </w:p>
          <w:p w14:paraId="7FE1C910" w14:textId="0DC9EEDD" w:rsidR="00393915" w:rsidRDefault="00F24D68">
            <w:pPr>
              <w:pStyle w:val="P68B1DB1-TableParagraph40"/>
              <w:spacing w:before="108"/>
              <w:ind w:left="85"/>
              <w:jc w:val="both"/>
            </w:pPr>
            <w:r>
              <w:t>Izvješćuje se samo za središnje druge ugovorne strane i (</w:t>
            </w:r>
            <w:r w:rsidR="0095548D" w:rsidRPr="006508D6">
              <w:t>međunarodn</w:t>
            </w:r>
            <w:r w:rsidR="0095548D">
              <w:t>e)</w:t>
            </w:r>
            <w:r w:rsidR="0095548D" w:rsidRPr="006508D6">
              <w:t xml:space="preserve"> središnj</w:t>
            </w:r>
            <w:r w:rsidR="0095548D">
              <w:t>e</w:t>
            </w:r>
            <w:r w:rsidR="0095548D" w:rsidRPr="006508D6">
              <w:t xml:space="preserve"> depozitorij</w:t>
            </w:r>
            <w:r w:rsidR="0095548D">
              <w:t>e</w:t>
            </w:r>
            <w:r w:rsidR="0095548D" w:rsidRPr="006508D6">
              <w:t xml:space="preserve"> vrijednosnih papira </w:t>
            </w:r>
            <w:r>
              <w:t xml:space="preserve">. </w:t>
            </w:r>
          </w:p>
          <w:p w14:paraId="7FE1C911" w14:textId="77777777" w:rsidR="00393915" w:rsidRDefault="00F24D68">
            <w:pPr>
              <w:pStyle w:val="P68B1DB1-Heading482"/>
              <w:numPr>
                <w:ilvl w:val="3"/>
                <w:numId w:val="0"/>
              </w:numPr>
              <w:ind w:left="360"/>
              <w:rPr>
                <w:strike/>
                <w:color w:val="D13438"/>
              </w:rPr>
            </w:pPr>
            <w:r>
              <w:t>Ukupan broj klijenata uključenih u različite vrste računa klijenta.</w:t>
            </w:r>
          </w:p>
        </w:tc>
      </w:tr>
      <w:tr w:rsidR="00393915" w14:paraId="7FE1C916" w14:textId="77777777">
        <w:tc>
          <w:tcPr>
            <w:tcW w:w="1183" w:type="dxa"/>
            <w:tcBorders>
              <w:top w:val="single" w:sz="8" w:space="0" w:color="auto"/>
              <w:bottom w:val="single" w:sz="8" w:space="0" w:color="auto"/>
              <w:right w:val="single" w:sz="8" w:space="0" w:color="auto"/>
            </w:tcBorders>
            <w:vAlign w:val="center"/>
          </w:tcPr>
          <w:p w14:paraId="7FE1C913" w14:textId="7AE482AF" w:rsidR="00393915" w:rsidRDefault="00F24D68">
            <w:pPr>
              <w:pStyle w:val="P68B1DB1-Normal31"/>
              <w:rPr>
                <w:strike/>
              </w:rPr>
            </w:pPr>
            <w:r>
              <w:t>0100 – 0110</w:t>
            </w:r>
          </w:p>
        </w:tc>
        <w:tc>
          <w:tcPr>
            <w:tcW w:w="7832" w:type="dxa"/>
            <w:tcBorders>
              <w:top w:val="single" w:sz="8" w:space="0" w:color="auto"/>
              <w:left w:val="single" w:sz="8" w:space="0" w:color="auto"/>
              <w:bottom w:val="single" w:sz="8" w:space="0" w:color="auto"/>
            </w:tcBorders>
            <w:vAlign w:val="bottom"/>
          </w:tcPr>
          <w:p w14:paraId="7FE1C914" w14:textId="77777777" w:rsidR="00393915" w:rsidRDefault="00F24D68">
            <w:pPr>
              <w:pStyle w:val="P68B1DB1-TableParagraph73"/>
              <w:spacing w:before="108"/>
              <w:ind w:left="85"/>
              <w:jc w:val="both"/>
            </w:pPr>
            <w:r>
              <w:t>Broj transakcija na vlasničkim računima i računima klijenata</w:t>
            </w:r>
          </w:p>
          <w:p w14:paraId="7FE1C915" w14:textId="77777777" w:rsidR="00393915" w:rsidRDefault="00F24D68">
            <w:pPr>
              <w:pStyle w:val="P68B1DB1-Heading482"/>
              <w:numPr>
                <w:ilvl w:val="3"/>
                <w:numId w:val="0"/>
              </w:numPr>
              <w:ind w:left="360"/>
              <w:rPr>
                <w:strike/>
                <w:color w:val="D13438"/>
                <w:u w:val="single"/>
              </w:rPr>
            </w:pPr>
            <w:r>
              <w:lastRenderedPageBreak/>
              <w:t xml:space="preserve">Ukupan broj transakcija izvršenih tijekom godine za odgovarajuće vrste računa. </w:t>
            </w:r>
          </w:p>
        </w:tc>
      </w:tr>
      <w:tr w:rsidR="00393915" w14:paraId="7FE1C921" w14:textId="77777777">
        <w:tc>
          <w:tcPr>
            <w:tcW w:w="1183" w:type="dxa"/>
            <w:tcBorders>
              <w:top w:val="single" w:sz="8" w:space="0" w:color="auto"/>
              <w:bottom w:val="single" w:sz="8" w:space="0" w:color="auto"/>
              <w:right w:val="single" w:sz="8" w:space="0" w:color="auto"/>
            </w:tcBorders>
            <w:vAlign w:val="center"/>
          </w:tcPr>
          <w:p w14:paraId="7FE1C917" w14:textId="2B767234" w:rsidR="00393915" w:rsidRDefault="00F24D68">
            <w:pPr>
              <w:pStyle w:val="P68B1DB1-Normal31"/>
              <w:rPr>
                <w:strike/>
              </w:rPr>
            </w:pPr>
            <w:r>
              <w:lastRenderedPageBreak/>
              <w:t>0120 – 0130</w:t>
            </w:r>
          </w:p>
        </w:tc>
        <w:tc>
          <w:tcPr>
            <w:tcW w:w="7832" w:type="dxa"/>
            <w:tcBorders>
              <w:top w:val="single" w:sz="8" w:space="0" w:color="auto"/>
              <w:left w:val="single" w:sz="8" w:space="0" w:color="auto"/>
              <w:bottom w:val="single" w:sz="8" w:space="0" w:color="auto"/>
            </w:tcBorders>
            <w:vAlign w:val="bottom"/>
          </w:tcPr>
          <w:p w14:paraId="7FE1C918" w14:textId="77777777" w:rsidR="00393915" w:rsidRDefault="00F24D68">
            <w:pPr>
              <w:pStyle w:val="P68B1DB1-TableParagraph73"/>
              <w:spacing w:before="108"/>
              <w:ind w:left="85"/>
              <w:jc w:val="both"/>
            </w:pPr>
            <w:r>
              <w:t>Vrijednost transakcija na vlasničkim računima i računima klijenata</w:t>
            </w:r>
          </w:p>
          <w:p w14:paraId="7FE1C919" w14:textId="7A080DD4" w:rsidR="00393915" w:rsidRDefault="00F24D68">
            <w:pPr>
              <w:pStyle w:val="P68B1DB1-TableParagraph40"/>
              <w:spacing w:before="108"/>
              <w:ind w:left="85"/>
              <w:jc w:val="both"/>
            </w:pPr>
            <w:r>
              <w:t xml:space="preserve">Vrijednost transakcija u izvještajnoj godini s odgovarajućih vrsta računa. Stupac 0130 uključuje i skupne i odvojene vrijednosti računa klijenata. </w:t>
            </w:r>
          </w:p>
          <w:p w14:paraId="7FE1C91A" w14:textId="672399FC" w:rsidR="00393915" w:rsidRDefault="00F24D68">
            <w:pPr>
              <w:pStyle w:val="TableParagraph"/>
              <w:spacing w:before="108"/>
              <w:ind w:left="85"/>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Izvješće za </w:t>
            </w:r>
            <w:r w:rsidR="0095548D">
              <w:rPr>
                <w:rFonts w:ascii="Times New Roman" w:eastAsia="Times New Roman" w:hAnsi="Times New Roman" w:cs="Times New Roman"/>
                <w:sz w:val="20"/>
                <w:szCs w:val="20"/>
              </w:rPr>
              <w:t>platni</w:t>
            </w:r>
            <w:r w:rsidR="0095548D">
              <w:rPr>
                <w:rFonts w:ascii="Times New Roman" w:eastAsia="Times New Roman" w:hAnsi="Times New Roman" w:cs="Times New Roman"/>
                <w:sz w:val="20"/>
                <w:szCs w:val="20"/>
              </w:rPr>
              <w:t>platni</w:t>
            </w:r>
            <w:r w:rsidR="0095548D">
              <w:rPr>
                <w:rFonts w:ascii="Times New Roman" w:eastAsia="Times New Roman" w:hAnsi="Times New Roman" w:cs="Times New Roman"/>
                <w:sz w:val="20"/>
                <w:szCs w:val="20"/>
              </w:rPr>
              <w:t xml:space="preserve"> sustav</w:t>
            </w:r>
            <w:r>
              <w:rPr>
                <w:rFonts w:ascii="Times New Roman" w:eastAsia="Times New Roman" w:hAnsi="Times New Roman" w:cs="Times New Roman"/>
                <w:sz w:val="20"/>
                <w:szCs w:val="20"/>
              </w:rPr>
              <w:t xml:space="preserve">, </w:t>
            </w:r>
            <w:r w:rsidR="0095548D">
              <w:rPr>
                <w:rFonts w:ascii="Times New Roman" w:eastAsia="Times New Roman" w:hAnsi="Times New Roman" w:cs="Times New Roman"/>
                <w:sz w:val="20"/>
                <w:szCs w:val="20"/>
              </w:rPr>
              <w:t>središnju</w:t>
            </w:r>
            <w:r w:rsidR="0095548D">
              <w:rPr>
                <w:rFonts w:ascii="Times New Roman" w:eastAsia="Times New Roman" w:hAnsi="Times New Roman" w:cs="Times New Roman"/>
                <w:sz w:val="20"/>
                <w:szCs w:val="20"/>
              </w:rPr>
              <w:t>središnju</w:t>
            </w:r>
            <w:r w:rsidR="0095548D">
              <w:rPr>
                <w:rFonts w:ascii="Times New Roman" w:eastAsia="Times New Roman" w:hAnsi="Times New Roman" w:cs="Times New Roman"/>
                <w:sz w:val="20"/>
                <w:szCs w:val="20"/>
              </w:rPr>
              <w:t xml:space="preserve"> drugu ugovornu stranu i</w:t>
            </w:r>
            <w:r w:rsidR="00B6640C">
              <w:rPr>
                <w:rFonts w:ascii="Times New Roman" w:eastAsia="Times New Roman" w:hAnsi="Times New Roman" w:cs="Times New Roman"/>
                <w:sz w:val="20"/>
                <w:szCs w:val="20"/>
              </w:rPr>
              <w:t xml:space="preserve"> </w:t>
            </w:r>
            <w:r w:rsidR="0095548D" w:rsidRPr="00F83F66">
              <w:rPr>
                <w:rFonts w:ascii="Times New Roman" w:eastAsia="Times New Roman" w:hAnsi="Times New Roman" w:cs="Times New Roman"/>
                <w:sz w:val="20"/>
                <w:szCs w:val="20"/>
              </w:rPr>
              <w:t>(</w:t>
            </w:r>
            <w:r w:rsidR="0095548D" w:rsidRPr="00F15538">
              <w:rPr>
                <w:rFonts w:ascii="Times New Roman" w:eastAsia="Times New Roman" w:hAnsi="Times New Roman" w:cs="Times New Roman"/>
                <w:sz w:val="20"/>
                <w:szCs w:val="20"/>
              </w:rPr>
              <w:t>(</w:t>
            </w:r>
            <w:r w:rsidR="0095548D" w:rsidRPr="00F83F66">
              <w:rPr>
                <w:rFonts w:ascii="Times New Roman" w:hAnsi="Times New Roman"/>
                <w:sz w:val="20"/>
              </w:rPr>
              <w:t xml:space="preserve">međunarodne) središnje depozitorije vrijednosnih papira </w:t>
            </w:r>
            <w:r>
              <w:rPr>
                <w:rStyle w:val="FootnoteReference"/>
                <w:rFonts w:ascii="Times New Roman" w:eastAsia="Times New Roman" w:hAnsi="Times New Roman" w:cs="Times New Roman"/>
              </w:rPr>
              <w:footnoteReference w:id="35"/>
            </w:r>
            <w:r w:rsidRPr="00F83F66">
              <w:rPr>
                <w:rFonts w:ascii="Times New Roman" w:hAnsi="Times New Roman"/>
              </w:rPr>
              <w:t>.</w:t>
            </w:r>
          </w:p>
          <w:p w14:paraId="7FE1C91B" w14:textId="5BD73502" w:rsidR="00393915" w:rsidRDefault="00D52D16">
            <w:pPr>
              <w:pStyle w:val="P68B1DB1-TableParagraph40"/>
              <w:numPr>
                <w:ilvl w:val="0"/>
                <w:numId w:val="250"/>
              </w:numPr>
              <w:spacing w:before="108"/>
              <w:jc w:val="both"/>
            </w:pPr>
            <w:r>
              <w:t>platni</w:t>
            </w:r>
            <w:r>
              <w:t>platni</w:t>
            </w:r>
            <w:r>
              <w:t xml:space="preserve"> sustav</w:t>
            </w:r>
            <w:r w:rsidR="00F24D68">
              <w:t>: Vrijednost poslanih transakcija.</w:t>
            </w:r>
          </w:p>
          <w:p w14:paraId="7FE1C91C" w14:textId="77777777" w:rsidR="00393915" w:rsidRDefault="00F24D68">
            <w:pPr>
              <w:pStyle w:val="P68B1DB1-TableParagraph40"/>
              <w:numPr>
                <w:ilvl w:val="0"/>
                <w:numId w:val="250"/>
              </w:numPr>
              <w:spacing w:before="108"/>
              <w:jc w:val="both"/>
            </w:pPr>
            <w:r>
              <w:t>Središnje druge ugovorne strane: Ukupna vrijednost transakcija izvršenih tijekom godine. Za izvedenice središnje druge ugovorne strane:</w:t>
            </w:r>
          </w:p>
          <w:p w14:paraId="7FE1C91D" w14:textId="6A196D1C" w:rsidR="00393915" w:rsidRDefault="00F24D68">
            <w:pPr>
              <w:pStyle w:val="P68B1DB1-TableParagraph40"/>
              <w:numPr>
                <w:ilvl w:val="1"/>
                <w:numId w:val="250"/>
              </w:numPr>
              <w:spacing w:before="108"/>
              <w:jc w:val="both"/>
            </w:pPr>
            <w:r>
              <w:t>Opcije = cijena</w:t>
            </w:r>
            <w:r w:rsidR="004340BE">
              <w:t xml:space="preserve"> izvršenja</w:t>
            </w:r>
            <w:r>
              <w:t>;</w:t>
            </w:r>
          </w:p>
          <w:p w14:paraId="7FE1C91E" w14:textId="6C7BADC6" w:rsidR="00393915" w:rsidRDefault="00F24D68">
            <w:pPr>
              <w:pStyle w:val="P68B1DB1-TableParagraph40"/>
              <w:numPr>
                <w:ilvl w:val="1"/>
                <w:numId w:val="250"/>
              </w:numPr>
              <w:spacing w:before="108"/>
              <w:jc w:val="both"/>
            </w:pPr>
            <w:r>
              <w:t xml:space="preserve">Budućnosnice = vrijednost odnosnog instrumenta u trenutku transakcije ili, ako postoji </w:t>
            </w:r>
            <w:r w:rsidR="00F87471">
              <w:t>nominalna</w:t>
            </w:r>
            <w:r w:rsidR="00F87471">
              <w:t>nominalna</w:t>
            </w:r>
            <w:r w:rsidR="00F87471">
              <w:t xml:space="preserve"> vrijednost</w:t>
            </w:r>
            <w:r>
              <w:t>, tržišna cijena budućnosnica u trenutku transakcije.</w:t>
            </w:r>
          </w:p>
          <w:p w14:paraId="7FE1C91F" w14:textId="77777777" w:rsidR="00393915" w:rsidRDefault="00F24D68">
            <w:pPr>
              <w:pStyle w:val="P68B1DB1-TableParagraph40"/>
              <w:numPr>
                <w:ilvl w:val="1"/>
                <w:numId w:val="250"/>
              </w:numPr>
              <w:spacing w:before="108"/>
              <w:jc w:val="both"/>
            </w:pPr>
            <w:r>
              <w:t>Ugovori o razmjeni = ukupna tržišna vrijednost nepodmirenih transakcija na kraju godine.</w:t>
            </w:r>
          </w:p>
          <w:p w14:paraId="7FE1C920" w14:textId="5FC686A1" w:rsidR="00393915" w:rsidRDefault="00AD2964">
            <w:pPr>
              <w:pStyle w:val="P68B1DB1-TableParagraph40"/>
              <w:numPr>
                <w:ilvl w:val="0"/>
                <w:numId w:val="250"/>
              </w:numPr>
              <w:spacing w:before="108"/>
              <w:jc w:val="both"/>
              <w:rPr>
                <w:strike/>
                <w:color w:val="D13438"/>
                <w:u w:val="single"/>
              </w:rPr>
            </w:pPr>
            <w:r w:rsidRPr="00AD2964">
              <w:t>(međunarodn</w:t>
            </w:r>
            <w:r>
              <w:t>i</w:t>
            </w:r>
            <w:r w:rsidRPr="00AD2964">
              <w:t>) središnj</w:t>
            </w:r>
            <w:r>
              <w:t>i</w:t>
            </w:r>
            <w:r w:rsidRPr="00AD2964">
              <w:t xml:space="preserve"> depozitorij</w:t>
            </w:r>
            <w:r>
              <w:t>i</w:t>
            </w:r>
            <w:r w:rsidRPr="00AD2964">
              <w:t xml:space="preserve"> vrijednosnih papira</w:t>
            </w:r>
            <w:r w:rsidR="00F24D68">
              <w:t xml:space="preserve">: Ukupna vrijednost uputa za isporuku. </w:t>
            </w:r>
          </w:p>
        </w:tc>
      </w:tr>
      <w:tr w:rsidR="00393915" w14:paraId="7FE1C926" w14:textId="77777777">
        <w:tc>
          <w:tcPr>
            <w:tcW w:w="1183" w:type="dxa"/>
            <w:tcBorders>
              <w:top w:val="single" w:sz="8" w:space="0" w:color="auto"/>
              <w:bottom w:val="single" w:sz="8" w:space="0" w:color="auto"/>
              <w:right w:val="single" w:sz="8" w:space="0" w:color="auto"/>
            </w:tcBorders>
            <w:vAlign w:val="center"/>
          </w:tcPr>
          <w:p w14:paraId="7FE1C922" w14:textId="1240362A" w:rsidR="00393915" w:rsidRDefault="00F24D68">
            <w:pPr>
              <w:pStyle w:val="P68B1DB1-Normal31"/>
              <w:rPr>
                <w:strike/>
              </w:rPr>
            </w:pPr>
            <w:r>
              <w:t>0140</w:t>
            </w:r>
          </w:p>
        </w:tc>
        <w:tc>
          <w:tcPr>
            <w:tcW w:w="7832" w:type="dxa"/>
            <w:tcBorders>
              <w:top w:val="single" w:sz="8" w:space="0" w:color="auto"/>
              <w:left w:val="single" w:sz="8" w:space="0" w:color="auto"/>
              <w:bottom w:val="single" w:sz="8" w:space="0" w:color="auto"/>
            </w:tcBorders>
            <w:vAlign w:val="bottom"/>
          </w:tcPr>
          <w:p w14:paraId="7FE1C923" w14:textId="1E14D10A" w:rsidR="00393915" w:rsidRDefault="00825D69">
            <w:pPr>
              <w:pStyle w:val="P68B1DB1-TableParagraph73"/>
              <w:spacing w:before="108" w:after="120"/>
              <w:ind w:left="85"/>
              <w:jc w:val="both"/>
            </w:pPr>
            <w:r>
              <w:t>anominalna</w:t>
            </w:r>
            <w:r w:rsidR="00F24D68">
              <w:t>Kumulativn</w:t>
            </w:r>
            <w:r>
              <w:t>a</w:t>
            </w:r>
            <w:r w:rsidR="00F24D68">
              <w:t xml:space="preserve"> </w:t>
            </w:r>
            <w:r>
              <w:t>nominalna</w:t>
            </w:r>
            <w:r>
              <w:t xml:space="preserve"> vrijednost</w:t>
            </w:r>
          </w:p>
          <w:p w14:paraId="7FE1C924" w14:textId="1FA43EFB" w:rsidR="00393915" w:rsidRDefault="00F24D68">
            <w:pPr>
              <w:pStyle w:val="P68B1DB1-TableParagraph40"/>
              <w:spacing w:before="108"/>
              <w:ind w:left="85"/>
              <w:jc w:val="both"/>
            </w:pPr>
            <w:r>
              <w:t xml:space="preserve">Zbroj </w:t>
            </w:r>
            <w:r w:rsidR="004E5499">
              <w:t>nominalnih</w:t>
            </w:r>
            <w:r w:rsidR="004E5499">
              <w:t>nominalnih</w:t>
            </w:r>
            <w:r w:rsidR="004E5499">
              <w:t xml:space="preserve"> vrijednosti</w:t>
            </w:r>
            <w:r>
              <w:t xml:space="preserve"> transakcija izvršenih tijekom godine, za interne račune i račune klijenata. Izvješće u milijardama EUR. </w:t>
            </w:r>
          </w:p>
          <w:p w14:paraId="7FE1C925" w14:textId="77777777" w:rsidR="00393915" w:rsidRDefault="00F24D68">
            <w:pPr>
              <w:pStyle w:val="P68B1DB1-Heading482"/>
              <w:numPr>
                <w:ilvl w:val="3"/>
                <w:numId w:val="0"/>
              </w:numPr>
              <w:ind w:left="360"/>
              <w:rPr>
                <w:strike/>
                <w:color w:val="D13438"/>
                <w:u w:val="single"/>
              </w:rPr>
            </w:pPr>
            <w:r>
              <w:t>Samo za izvedenice središnje druge ugovorne strane.</w:t>
            </w:r>
          </w:p>
        </w:tc>
      </w:tr>
      <w:tr w:rsidR="00393915" w14:paraId="7FE1C92A" w14:textId="77777777">
        <w:tc>
          <w:tcPr>
            <w:tcW w:w="1183" w:type="dxa"/>
            <w:tcBorders>
              <w:top w:val="single" w:sz="8" w:space="0" w:color="auto"/>
              <w:bottom w:val="single" w:sz="8" w:space="0" w:color="auto"/>
              <w:right w:val="single" w:sz="8" w:space="0" w:color="auto"/>
            </w:tcBorders>
            <w:vAlign w:val="center"/>
          </w:tcPr>
          <w:p w14:paraId="7FE1C927" w14:textId="446A9A90" w:rsidR="00393915" w:rsidRDefault="00F24D68">
            <w:pPr>
              <w:pStyle w:val="P68B1DB1-Normal31"/>
              <w:rPr>
                <w:strike/>
              </w:rPr>
            </w:pPr>
            <w:r>
              <w:t>0150</w:t>
            </w:r>
          </w:p>
        </w:tc>
        <w:tc>
          <w:tcPr>
            <w:tcW w:w="7832" w:type="dxa"/>
            <w:tcBorders>
              <w:top w:val="single" w:sz="8" w:space="0" w:color="auto"/>
              <w:left w:val="single" w:sz="8" w:space="0" w:color="auto"/>
              <w:bottom w:val="single" w:sz="8" w:space="0" w:color="auto"/>
            </w:tcBorders>
            <w:vAlign w:val="bottom"/>
          </w:tcPr>
          <w:p w14:paraId="7FE1C928" w14:textId="77777777" w:rsidR="00393915" w:rsidRDefault="00F24D68">
            <w:pPr>
              <w:pStyle w:val="P68B1DB1-TableParagraph73"/>
              <w:spacing w:before="108"/>
              <w:ind w:left="85"/>
              <w:jc w:val="both"/>
            </w:pPr>
            <w:r>
              <w:t>Kreditna linija</w:t>
            </w:r>
          </w:p>
          <w:p w14:paraId="7FE1C929" w14:textId="77777777" w:rsidR="00393915" w:rsidRDefault="00F24D68">
            <w:pPr>
              <w:pStyle w:val="P68B1DB1-Heading482"/>
              <w:numPr>
                <w:ilvl w:val="3"/>
                <w:numId w:val="0"/>
              </w:numPr>
              <w:ind w:left="360"/>
              <w:rPr>
                <w:strike/>
                <w:color w:val="D13438"/>
                <w:u w:val="single"/>
              </w:rPr>
            </w:pPr>
            <w:r>
              <w:t xml:space="preserve">Obvezujuće ili neobvezujuće kreditne linije koju je odobrio sustav u slučaju izravnog pristupa ili posrednik ili drugi pružatelj likvidnosti u slučaju neizravnog pristupa. Za neobjavljene iznose, najveća moguća uporaba tijekom godine. </w:t>
            </w:r>
          </w:p>
        </w:tc>
      </w:tr>
      <w:tr w:rsidR="00393915" w14:paraId="7FE1C931" w14:textId="77777777">
        <w:tc>
          <w:tcPr>
            <w:tcW w:w="1183" w:type="dxa"/>
            <w:tcBorders>
              <w:top w:val="single" w:sz="8" w:space="0" w:color="auto"/>
              <w:bottom w:val="single" w:sz="8" w:space="0" w:color="auto"/>
              <w:right w:val="single" w:sz="8" w:space="0" w:color="auto"/>
            </w:tcBorders>
            <w:vAlign w:val="center"/>
          </w:tcPr>
          <w:p w14:paraId="7FE1C92B" w14:textId="48B84DB8" w:rsidR="00393915" w:rsidRDefault="00F24D68">
            <w:pPr>
              <w:pStyle w:val="P68B1DB1-Normal31"/>
              <w:rPr>
                <w:strike/>
              </w:rPr>
            </w:pPr>
            <w:r>
              <w:t>0160</w:t>
            </w:r>
          </w:p>
        </w:tc>
        <w:tc>
          <w:tcPr>
            <w:tcW w:w="7832" w:type="dxa"/>
            <w:tcBorders>
              <w:top w:val="single" w:sz="8" w:space="0" w:color="auto"/>
              <w:left w:val="single" w:sz="8" w:space="0" w:color="auto"/>
              <w:bottom w:val="single" w:sz="8" w:space="0" w:color="auto"/>
            </w:tcBorders>
            <w:vAlign w:val="bottom"/>
          </w:tcPr>
          <w:p w14:paraId="7FE1C92C" w14:textId="77777777" w:rsidR="00393915" w:rsidRDefault="00F24D68">
            <w:pPr>
              <w:pStyle w:val="P68B1DB1-TableParagraph73"/>
              <w:spacing w:before="108"/>
              <w:ind w:left="85"/>
              <w:jc w:val="both"/>
            </w:pPr>
            <w:r>
              <w:t>Vršna vrijednost likvidnosnih ili kolateralnih zahtjeva</w:t>
            </w:r>
          </w:p>
          <w:p w14:paraId="7FE1C92D" w14:textId="539CD9D0" w:rsidR="00393915" w:rsidRDefault="00612065">
            <w:pPr>
              <w:pStyle w:val="P68B1DB1-TableParagraph40"/>
              <w:spacing w:before="108"/>
              <w:ind w:left="85"/>
              <w:jc w:val="both"/>
            </w:pPr>
            <w:r>
              <w:t>Izvijestiti</w:t>
            </w:r>
            <w:r>
              <w:t>Izvijestiti</w:t>
            </w:r>
            <w:r w:rsidR="00F24D68">
              <w:t xml:space="preserve"> samo za </w:t>
            </w:r>
            <w:r>
              <w:t xml:space="preserve">platni sustav, </w:t>
            </w:r>
            <w:r w:rsidRPr="00DC682A">
              <w:t>(međunarodn</w:t>
            </w:r>
            <w:r>
              <w:t>i</w:t>
            </w:r>
            <w:r w:rsidRPr="00DC682A">
              <w:t>) središnj</w:t>
            </w:r>
            <w:r>
              <w:t>i</w:t>
            </w:r>
            <w:r w:rsidRPr="00DC682A">
              <w:t xml:space="preserve"> depozitorij vrijednosnih papira</w:t>
            </w:r>
            <w:r>
              <w:t>,</w:t>
            </w:r>
            <w:r w:rsidRPr="00DC682A">
              <w:t xml:space="preserve"> </w:t>
            </w:r>
            <w:r w:rsidR="00F24D68">
              <w:t>središnje druge ugovorne strane, ovisno o slučaju. Vršna vrijednost tijekom prethodne godine.</w:t>
            </w:r>
          </w:p>
          <w:p w14:paraId="7FE1C92E" w14:textId="342E7AD2" w:rsidR="00393915" w:rsidRDefault="00F24D68">
            <w:pPr>
              <w:pStyle w:val="P68B1DB1-TableParagraph40"/>
              <w:numPr>
                <w:ilvl w:val="0"/>
                <w:numId w:val="251"/>
              </w:numPr>
              <w:spacing w:before="108"/>
              <w:jc w:val="both"/>
            </w:pPr>
            <w:r>
              <w:t>Za (</w:t>
            </w:r>
            <w:r w:rsidR="00FA6A34" w:rsidRPr="00DC682A">
              <w:t>međunarodn</w:t>
            </w:r>
            <w:r w:rsidR="00FA6A34">
              <w:t>e</w:t>
            </w:r>
            <w:r w:rsidR="00FA6A34" w:rsidRPr="00DC682A">
              <w:t>) središnj</w:t>
            </w:r>
            <w:r w:rsidR="00FA6A34">
              <w:t>e</w:t>
            </w:r>
            <w:r w:rsidR="00FA6A34" w:rsidRPr="00DC682A">
              <w:t xml:space="preserve"> depozitorij</w:t>
            </w:r>
            <w:r w:rsidR="00FA6A34">
              <w:t>e</w:t>
            </w:r>
            <w:r w:rsidR="00FA6A34" w:rsidRPr="00DC682A">
              <w:t xml:space="preserve"> vrijednosnih papira</w:t>
            </w:r>
            <w:r w:rsidR="00FA6A34" w:rsidDel="00FA6A34">
              <w:t xml:space="preserve"> </w:t>
            </w:r>
            <w:r w:rsidR="00FA6A34">
              <w:t>platne</w:t>
            </w:r>
            <w:r>
              <w:t xml:space="preserve">i </w:t>
            </w:r>
            <w:r w:rsidR="00FA6A34">
              <w:t>platne</w:t>
            </w:r>
            <w:r w:rsidR="00FA6A34">
              <w:t xml:space="preserve"> sustave</w:t>
            </w:r>
            <w:r>
              <w:t xml:space="preserve">: </w:t>
            </w:r>
            <w:r w:rsidR="008F74D0">
              <w:t>vrhunac</w:t>
            </w:r>
            <w:r w:rsidR="008F74D0">
              <w:t>vrhunac</w:t>
            </w:r>
            <w:r w:rsidR="008F74D0">
              <w:t xml:space="preserve"> korištenja</w:t>
            </w:r>
            <w:r>
              <w:t xml:space="preserve"> kreditne linije.  </w:t>
            </w:r>
          </w:p>
          <w:p w14:paraId="7FE1C92F" w14:textId="17C1F5C7" w:rsidR="00393915" w:rsidRDefault="00F24D68">
            <w:pPr>
              <w:pStyle w:val="P68B1DB1-TableParagraph40"/>
              <w:numPr>
                <w:ilvl w:val="0"/>
                <w:numId w:val="251"/>
              </w:numPr>
              <w:spacing w:before="108"/>
              <w:jc w:val="both"/>
            </w:pPr>
            <w:r>
              <w:t xml:space="preserve">Za središnje druge ugovorne strane: </w:t>
            </w:r>
            <w:r w:rsidR="00B11485">
              <w:t>vrhunac</w:t>
            </w:r>
            <w:r w:rsidR="00B11485">
              <w:t>vrhunac</w:t>
            </w:r>
            <w:r>
              <w:t xml:space="preserve"> zahtjeva </w:t>
            </w:r>
            <w:r w:rsidR="00B11485">
              <w:t>zažom</w:t>
            </w:r>
            <w:r w:rsidR="00B11485">
              <w:t>za</w:t>
            </w:r>
            <w:r>
              <w:t xml:space="preserve"> mar</w:t>
            </w:r>
            <w:r w:rsidR="00B11485">
              <w:t>žom</w:t>
            </w:r>
            <w:r>
              <w:t>.</w:t>
            </w:r>
          </w:p>
          <w:p w14:paraId="7FE1C930" w14:textId="77777777" w:rsidR="00393915" w:rsidRDefault="00F24D68">
            <w:pPr>
              <w:pStyle w:val="P68B1DB1-TableParagraph40"/>
              <w:numPr>
                <w:ilvl w:val="0"/>
                <w:numId w:val="251"/>
              </w:numPr>
              <w:spacing w:before="108"/>
              <w:jc w:val="both"/>
              <w:rPr>
                <w:strike/>
                <w:color w:val="D13438"/>
                <w:u w:val="single"/>
              </w:rPr>
            </w:pPr>
            <w:r>
              <w:t>Za neizravne pristupe: najveći iznos financijskih sredstava potrebnih posredniku.</w:t>
            </w:r>
          </w:p>
        </w:tc>
      </w:tr>
      <w:tr w:rsidR="00393915" w14:paraId="7FE1C935" w14:textId="77777777">
        <w:tc>
          <w:tcPr>
            <w:tcW w:w="1183" w:type="dxa"/>
            <w:tcBorders>
              <w:top w:val="single" w:sz="8" w:space="0" w:color="auto"/>
              <w:bottom w:val="single" w:sz="8" w:space="0" w:color="auto"/>
              <w:right w:val="single" w:sz="8" w:space="0" w:color="auto"/>
            </w:tcBorders>
            <w:vAlign w:val="center"/>
          </w:tcPr>
          <w:p w14:paraId="7FE1C932" w14:textId="618A69A7" w:rsidR="00393915" w:rsidRDefault="00F24D68">
            <w:pPr>
              <w:pStyle w:val="P68B1DB1-Normal31"/>
              <w:rPr>
                <w:strike/>
              </w:rPr>
            </w:pPr>
            <w:r>
              <w:t>0170</w:t>
            </w:r>
          </w:p>
        </w:tc>
        <w:tc>
          <w:tcPr>
            <w:tcW w:w="7832" w:type="dxa"/>
            <w:tcBorders>
              <w:top w:val="single" w:sz="8" w:space="0" w:color="auto"/>
              <w:left w:val="single" w:sz="8" w:space="0" w:color="auto"/>
              <w:bottom w:val="single" w:sz="8" w:space="0" w:color="auto"/>
            </w:tcBorders>
            <w:vAlign w:val="bottom"/>
          </w:tcPr>
          <w:p w14:paraId="7FE1C933" w14:textId="77777777" w:rsidR="00393915" w:rsidRDefault="00F24D68">
            <w:pPr>
              <w:pStyle w:val="P68B1DB1-TableParagraph73"/>
              <w:spacing w:before="108"/>
              <w:ind w:left="85"/>
              <w:jc w:val="both"/>
            </w:pPr>
            <w:r>
              <w:t>Procijenjeni dodatni likvidnosni ili kolateralni zahtjevi u stresnim uvjetima</w:t>
            </w:r>
          </w:p>
          <w:p w14:paraId="7FE1C934" w14:textId="06FE9010" w:rsidR="00393915" w:rsidRDefault="00F24D68">
            <w:pPr>
              <w:pStyle w:val="P68B1DB1-Heading482"/>
              <w:numPr>
                <w:ilvl w:val="3"/>
                <w:numId w:val="0"/>
              </w:numPr>
              <w:ind w:left="360"/>
              <w:rPr>
                <w:strike/>
                <w:color w:val="D13438"/>
                <w:u w:val="single"/>
              </w:rPr>
            </w:pPr>
            <w:r>
              <w:t xml:space="preserve">Procjena potencijalne dodatne likvidnosti ili kolaterala iznad </w:t>
            </w:r>
            <w:r w:rsidR="00FA586F">
              <w:t>vršnog</w:t>
            </w:r>
            <w:r w:rsidR="00FA586F">
              <w:t>vršnog</w:t>
            </w:r>
            <w:r w:rsidR="00FA586F">
              <w:t xml:space="preserve"> zahtjeva</w:t>
            </w:r>
            <w:r>
              <w:t xml:space="preserve"> u stupcu 0160 s kojima se korisnik može suočiti u situaciji ozbiljnog stresa. </w:t>
            </w:r>
          </w:p>
        </w:tc>
      </w:tr>
    </w:tbl>
    <w:p w14:paraId="7FE1C936" w14:textId="77777777" w:rsidR="00393915" w:rsidRDefault="00393915">
      <w:pPr>
        <w:pStyle w:val="Instructionsberschrift2"/>
        <w:ind w:left="357"/>
        <w:rPr>
          <w:rFonts w:ascii="Times New Roman" w:eastAsia="Calibri" w:hAnsi="Times New Roman" w:cs="Times New Roman"/>
          <w:szCs w:val="20"/>
        </w:rPr>
      </w:pPr>
    </w:p>
    <w:p w14:paraId="7FE1C937" w14:textId="77777777" w:rsidR="00393915" w:rsidRDefault="00F24D68">
      <w:pPr>
        <w:pStyle w:val="P68B1DB1-Instructionsberschrift271"/>
        <w:numPr>
          <w:ilvl w:val="1"/>
          <w:numId w:val="49"/>
        </w:numPr>
        <w:ind w:left="357" w:hanging="357"/>
      </w:pPr>
      <w:bookmarkStart w:id="141" w:name="_Toc208244827"/>
      <w:r>
        <w:t>Predložak Z 09.04 – Usluge infrastrukture financijskog tržišta – CCP-ovi – alternativni pružatelji usluga (FMI 4)</w:t>
      </w:r>
      <w:bookmarkEnd w:id="141"/>
    </w:p>
    <w:tbl>
      <w:tblPr>
        <w:tblW w:w="0" w:type="auto"/>
        <w:tblInd w:w="135" w:type="dxa"/>
        <w:tblLook w:val="04A0" w:firstRow="1" w:lastRow="0" w:firstColumn="1" w:lastColumn="0" w:noHBand="0" w:noVBand="1"/>
      </w:tblPr>
      <w:tblGrid>
        <w:gridCol w:w="1178"/>
        <w:gridCol w:w="7713"/>
      </w:tblGrid>
      <w:tr w:rsidR="00393915" w14:paraId="7FE1CBEC" w14:textId="77777777">
        <w:tc>
          <w:tcPr>
            <w:tcW w:w="1178" w:type="dxa"/>
            <w:tcBorders>
              <w:top w:val="single" w:sz="8" w:space="0" w:color="1A171C"/>
              <w:left w:val="nil"/>
              <w:bottom w:val="single" w:sz="8" w:space="0" w:color="1A171C"/>
              <w:right w:val="single" w:sz="8" w:space="0" w:color="1A171C"/>
            </w:tcBorders>
            <w:shd w:val="clear" w:color="auto" w:fill="D9D9D9" w:themeFill="background1" w:themeFillShade="D9"/>
          </w:tcPr>
          <w:p w14:paraId="7FE1CBEA" w14:textId="77777777" w:rsidR="00393915" w:rsidRDefault="00F24D68">
            <w:pPr>
              <w:pStyle w:val="P68B1DB1-TableParagraph17"/>
              <w:spacing w:before="108"/>
              <w:ind w:left="85"/>
            </w:pPr>
            <w:bookmarkStart w:id="142" w:name="_Toc162265152"/>
            <w:bookmarkStart w:id="143" w:name="_Toc162265682"/>
            <w:bookmarkStart w:id="144" w:name="_Toc162265752"/>
            <w:bookmarkStart w:id="145" w:name="_Toc162266097"/>
            <w:bookmarkStart w:id="146" w:name="_Toc163639558"/>
            <w:bookmarkStart w:id="147" w:name="_Toc162265153"/>
            <w:bookmarkStart w:id="148" w:name="_Toc162265683"/>
            <w:bookmarkStart w:id="149" w:name="_Toc162265753"/>
            <w:bookmarkStart w:id="150" w:name="_Toc162266098"/>
            <w:bookmarkStart w:id="151" w:name="_Toc163639559"/>
            <w:bookmarkStart w:id="152" w:name="_Toc160027996"/>
            <w:bookmarkStart w:id="153" w:name="_Toc160028068"/>
            <w:bookmarkStart w:id="154" w:name="_Toc160028140"/>
            <w:bookmarkStart w:id="155" w:name="_Toc161034556"/>
            <w:bookmarkStart w:id="156" w:name="_Toc162265154"/>
            <w:bookmarkStart w:id="157" w:name="_Toc162265684"/>
            <w:bookmarkStart w:id="158" w:name="_Toc162265754"/>
            <w:bookmarkStart w:id="159" w:name="_Toc162266099"/>
            <w:bookmarkStart w:id="160" w:name="_Toc163639560"/>
            <w:bookmarkStart w:id="161" w:name="_Toc189493010"/>
            <w:bookmarkStart w:id="162" w:name="_Toc192249287"/>
            <w:bookmarkStart w:id="163" w:name="_Toc189493015"/>
            <w:bookmarkStart w:id="164" w:name="_Toc192249292"/>
            <w:bookmarkStart w:id="165" w:name="_Toc189493098"/>
            <w:bookmarkStart w:id="166" w:name="_Toc192249375"/>
            <w:bookmarkStart w:id="167" w:name="_Toc189493105"/>
            <w:bookmarkStart w:id="168" w:name="_Toc192249382"/>
            <w:bookmarkStart w:id="169" w:name="_Toc160027999"/>
            <w:bookmarkStart w:id="170" w:name="_Toc160028071"/>
            <w:bookmarkStart w:id="171" w:name="_Toc160028143"/>
            <w:bookmarkStart w:id="172" w:name="_Toc161034559"/>
            <w:bookmarkStart w:id="173" w:name="_Toc162265157"/>
            <w:bookmarkStart w:id="174" w:name="_Toc162265687"/>
            <w:bookmarkStart w:id="175" w:name="_Toc162265757"/>
            <w:bookmarkStart w:id="176" w:name="_Toc162266102"/>
            <w:bookmarkStart w:id="177" w:name="_Toc163639563"/>
            <w:bookmarkStart w:id="178" w:name="_Toc160028000"/>
            <w:bookmarkStart w:id="179" w:name="_Toc160028072"/>
            <w:bookmarkStart w:id="180" w:name="_Toc160028144"/>
            <w:bookmarkStart w:id="181" w:name="_Toc161034560"/>
            <w:bookmarkStart w:id="182" w:name="_Toc162265158"/>
            <w:bookmarkStart w:id="183" w:name="_Toc162265688"/>
            <w:bookmarkStart w:id="184" w:name="_Toc162265758"/>
            <w:bookmarkStart w:id="185" w:name="_Toc162266103"/>
            <w:bookmarkStart w:id="186" w:name="_Toc163639564"/>
            <w:bookmarkStart w:id="187" w:name="_Toc160028001"/>
            <w:bookmarkStart w:id="188" w:name="_Toc160028073"/>
            <w:bookmarkStart w:id="189" w:name="_Toc160028145"/>
            <w:bookmarkStart w:id="190" w:name="_Toc161034561"/>
            <w:bookmarkStart w:id="191" w:name="_Toc162265159"/>
            <w:bookmarkStart w:id="192" w:name="_Toc162265689"/>
            <w:bookmarkStart w:id="193" w:name="_Toc162265759"/>
            <w:bookmarkStart w:id="194" w:name="_Toc162266104"/>
            <w:bookmarkStart w:id="195" w:name="_Toc163639565"/>
            <w:bookmarkStart w:id="196" w:name="_Toc81454197"/>
            <w:bookmarkStart w:id="197" w:name="_Toc81485512"/>
            <w:bookmarkStart w:id="198" w:name="_Toc81485589"/>
            <w:bookmarkStart w:id="199" w:name="_Toc81485710"/>
            <w:bookmarkStart w:id="200" w:name="_Toc81485994"/>
            <w:bookmarkStart w:id="201" w:name="_Toc160028002"/>
            <w:bookmarkStart w:id="202" w:name="_Toc160028074"/>
            <w:bookmarkStart w:id="203" w:name="_Toc160028146"/>
            <w:bookmarkStart w:id="204" w:name="_Toc161034562"/>
            <w:bookmarkStart w:id="205" w:name="_Toc162265160"/>
            <w:bookmarkStart w:id="206" w:name="_Toc162265690"/>
            <w:bookmarkStart w:id="207" w:name="_Toc162265760"/>
            <w:bookmarkStart w:id="208" w:name="_Toc162266105"/>
            <w:bookmarkStart w:id="209" w:name="_Toc163639566"/>
            <w:bookmarkStart w:id="210" w:name="_Toc81454198"/>
            <w:bookmarkStart w:id="211" w:name="_Toc81485513"/>
            <w:bookmarkStart w:id="212" w:name="_Toc81485590"/>
            <w:bookmarkStart w:id="213" w:name="_Toc81485711"/>
            <w:bookmarkStart w:id="214" w:name="_Toc81485995"/>
            <w:bookmarkStart w:id="215" w:name="_Toc160028003"/>
            <w:bookmarkStart w:id="216" w:name="_Toc160028075"/>
            <w:bookmarkStart w:id="217" w:name="_Toc160028147"/>
            <w:bookmarkStart w:id="218" w:name="_Toc161034563"/>
            <w:bookmarkStart w:id="219" w:name="_Toc162265161"/>
            <w:bookmarkStart w:id="220" w:name="_Toc162265691"/>
            <w:bookmarkStart w:id="221" w:name="_Toc162265761"/>
            <w:bookmarkStart w:id="222" w:name="_Toc162266106"/>
            <w:bookmarkStart w:id="223" w:name="_Toc163639567"/>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r>
              <w:t xml:space="preserve">Stupci </w:t>
            </w:r>
          </w:p>
        </w:tc>
        <w:tc>
          <w:tcPr>
            <w:tcW w:w="7713" w:type="dxa"/>
            <w:tcBorders>
              <w:top w:val="single" w:sz="8" w:space="0" w:color="1A171C"/>
              <w:left w:val="single" w:sz="8" w:space="0" w:color="1A171C"/>
              <w:bottom w:val="single" w:sz="8" w:space="0" w:color="1A171C"/>
              <w:right w:val="nil"/>
            </w:tcBorders>
            <w:shd w:val="clear" w:color="auto" w:fill="D9D9D9" w:themeFill="background1" w:themeFillShade="D9"/>
          </w:tcPr>
          <w:p w14:paraId="7FE1CBEB" w14:textId="77777777" w:rsidR="00393915" w:rsidRDefault="00F24D68">
            <w:pPr>
              <w:pStyle w:val="P68B1DB1-TableParagraph17"/>
              <w:spacing w:before="108"/>
              <w:ind w:left="85"/>
            </w:pPr>
            <w:r>
              <w:t xml:space="preserve">Upute </w:t>
            </w:r>
          </w:p>
        </w:tc>
      </w:tr>
      <w:tr w:rsidR="00393915" w14:paraId="7FE1CBF3" w14:textId="77777777">
        <w:tc>
          <w:tcPr>
            <w:tcW w:w="1178" w:type="dxa"/>
            <w:tcBorders>
              <w:top w:val="single" w:sz="8" w:space="0" w:color="1A171C"/>
              <w:bottom w:val="single" w:sz="8" w:space="0" w:color="auto"/>
              <w:right w:val="single" w:sz="8" w:space="0" w:color="auto"/>
            </w:tcBorders>
            <w:vAlign w:val="center"/>
          </w:tcPr>
          <w:p w14:paraId="7FE1CBED" w14:textId="2655C4FA" w:rsidR="00393915" w:rsidRDefault="00F24D68">
            <w:pPr>
              <w:pStyle w:val="P68B1DB1-Normal31"/>
            </w:pPr>
            <w:r>
              <w:t>0010</w:t>
            </w:r>
          </w:p>
        </w:tc>
        <w:tc>
          <w:tcPr>
            <w:tcW w:w="7713" w:type="dxa"/>
            <w:tcBorders>
              <w:top w:val="single" w:sz="8" w:space="0" w:color="1A171C"/>
              <w:left w:val="single" w:sz="8" w:space="0" w:color="auto"/>
              <w:bottom w:val="single" w:sz="8" w:space="0" w:color="auto"/>
            </w:tcBorders>
            <w:vAlign w:val="bottom"/>
          </w:tcPr>
          <w:p w14:paraId="7FE1CBEE" w14:textId="77777777" w:rsidR="00393915" w:rsidRDefault="00F24D68">
            <w:pPr>
              <w:pStyle w:val="P68B1DB1-TableParagraph73"/>
              <w:spacing w:before="108"/>
              <w:ind w:left="85"/>
              <w:jc w:val="both"/>
            </w:pPr>
            <w:r>
              <w:t>Identifikacijska oznaka koja predstavlja kombinaciju korisnika, infrastrukture financijskog tržišta, vrste sustava i posrednika</w:t>
            </w:r>
          </w:p>
          <w:p w14:paraId="7FE1CBEF" w14:textId="2166D4DC" w:rsidR="00393915" w:rsidRDefault="00F24D68">
            <w:pPr>
              <w:pStyle w:val="P68B1DB1-TableParagraph40"/>
              <w:spacing w:before="108"/>
              <w:ind w:left="85"/>
              <w:jc w:val="both"/>
            </w:pPr>
            <w:r>
              <w:t xml:space="preserve">Identifikacijska oznaka središnje druge ugovorne strane kako je navedena u predlošku Z 09.01, stupcu 0010. </w:t>
            </w:r>
          </w:p>
          <w:p w14:paraId="7FE1CBF2" w14:textId="465FF70B" w:rsidR="00393915" w:rsidRDefault="00164149">
            <w:pPr>
              <w:pStyle w:val="P68B1DB1-TableParagraph40"/>
              <w:spacing w:before="108"/>
              <w:ind w:left="85"/>
              <w:jc w:val="both"/>
              <w:rPr>
                <w:b/>
                <w:bCs/>
                <w:i/>
                <w:iCs/>
              </w:rPr>
            </w:pPr>
            <w:r>
              <w:t>Izvijestiti s</w:t>
            </w:r>
            <w:r>
              <w:t>s</w:t>
            </w:r>
            <w:r w:rsidR="00F24D68">
              <w:t>amo</w:t>
            </w:r>
            <w:r w:rsidR="00F24D68">
              <w:t xml:space="preserve"> za središnje druge ugovorne strane kojima </w:t>
            </w:r>
            <w:r>
              <w:t>se</w:t>
            </w:r>
            <w:r>
              <w:t>se</w:t>
            </w:r>
            <w:r>
              <w:t xml:space="preserve"> pristupa</w:t>
            </w:r>
            <w:r w:rsidR="00F24D68">
              <w:t xml:space="preserve"> izravno ili neizravno. </w:t>
            </w:r>
            <w:r>
              <w:t xml:space="preserve">Izvijestiti </w:t>
            </w:r>
            <w:r w:rsidR="00E61D29">
              <w:t>o svim pristupima imimimama</w:t>
            </w:r>
            <w:r w:rsidR="00F24D68">
              <w:t>središnj</w:t>
            </w:r>
            <w:r w:rsidR="00E61D29">
              <w:t>im</w:t>
            </w:r>
            <w:r w:rsidR="00F24D68">
              <w:t xml:space="preserve"> drug</w:t>
            </w:r>
            <w:r w:rsidR="00E61D29">
              <w:t>im</w:t>
            </w:r>
            <w:r w:rsidR="00F24D68">
              <w:t xml:space="preserve"> ugovorn</w:t>
            </w:r>
            <w:r w:rsidR="00E61D29">
              <w:t>im</w:t>
            </w:r>
            <w:r w:rsidR="00F24D68">
              <w:t xml:space="preserve"> stran</w:t>
            </w:r>
            <w:r w:rsidR="00E61D29">
              <w:t>ama</w:t>
            </w:r>
            <w:r w:rsidR="00F24D68">
              <w:t>.</w:t>
            </w:r>
          </w:p>
        </w:tc>
      </w:tr>
      <w:tr w:rsidR="00393915" w14:paraId="7FE1CBF9" w14:textId="77777777">
        <w:tc>
          <w:tcPr>
            <w:tcW w:w="1178" w:type="dxa"/>
            <w:tcBorders>
              <w:top w:val="single" w:sz="8" w:space="0" w:color="auto"/>
              <w:bottom w:val="single" w:sz="8" w:space="0" w:color="auto"/>
              <w:right w:val="single" w:sz="8" w:space="0" w:color="auto"/>
            </w:tcBorders>
            <w:vAlign w:val="center"/>
          </w:tcPr>
          <w:p w14:paraId="7FE1CBF4" w14:textId="1F2D5BBA" w:rsidR="00393915" w:rsidRDefault="00F24D68">
            <w:pPr>
              <w:pStyle w:val="P68B1DB1-Normal31"/>
            </w:pPr>
            <w:r>
              <w:t>0020</w:t>
            </w:r>
          </w:p>
        </w:tc>
        <w:tc>
          <w:tcPr>
            <w:tcW w:w="7713" w:type="dxa"/>
            <w:tcBorders>
              <w:top w:val="single" w:sz="8" w:space="0" w:color="auto"/>
              <w:left w:val="single" w:sz="8" w:space="0" w:color="auto"/>
              <w:bottom w:val="single" w:sz="8" w:space="0" w:color="auto"/>
            </w:tcBorders>
            <w:vAlign w:val="bottom"/>
          </w:tcPr>
          <w:p w14:paraId="7FE1CBF5" w14:textId="77777777" w:rsidR="00393915" w:rsidRDefault="00F24D68">
            <w:pPr>
              <w:pStyle w:val="P68B1DB1-TableParagraph73"/>
              <w:spacing w:before="108"/>
              <w:ind w:left="85"/>
              <w:jc w:val="both"/>
              <w:rPr>
                <w:bCs/>
              </w:rPr>
            </w:pPr>
            <w:r>
              <w:t>Vrsta proizvoda</w:t>
            </w:r>
          </w:p>
          <w:p w14:paraId="7FE1CBF8" w14:textId="6A953151" w:rsidR="00393915" w:rsidRDefault="00F24D68">
            <w:pPr>
              <w:pStyle w:val="P68B1DB1-TableParagraph40"/>
              <w:spacing w:before="108"/>
              <w:ind w:left="85"/>
              <w:jc w:val="both"/>
              <w:rPr>
                <w:b/>
                <w:bCs/>
                <w:i/>
                <w:iCs/>
              </w:rPr>
            </w:pPr>
            <w:r>
              <w:t xml:space="preserve">Vrsta proizvoda obuhvaćena sporazumom o poravnanju. </w:t>
            </w:r>
            <w:r w:rsidR="00D87126">
              <w:t>Izvijestiti</w:t>
            </w:r>
            <w:r w:rsidR="00D87126">
              <w:t>Izvijestiti</w:t>
            </w:r>
            <w:r>
              <w:t xml:space="preserve"> na odgovarajućoj razini granularnosti potrebnoj za analizu zamjenjivosti. </w:t>
            </w:r>
          </w:p>
        </w:tc>
      </w:tr>
      <w:tr w:rsidR="00393915" w14:paraId="7FE1CC03" w14:textId="77777777">
        <w:tc>
          <w:tcPr>
            <w:tcW w:w="1178" w:type="dxa"/>
            <w:tcBorders>
              <w:top w:val="single" w:sz="8" w:space="0" w:color="auto"/>
              <w:bottom w:val="single" w:sz="8" w:space="0" w:color="auto"/>
              <w:right w:val="single" w:sz="8" w:space="0" w:color="auto"/>
            </w:tcBorders>
            <w:vAlign w:val="center"/>
          </w:tcPr>
          <w:p w14:paraId="7FE1CBFA" w14:textId="37C17AD0" w:rsidR="00393915" w:rsidRDefault="00F24D68">
            <w:pPr>
              <w:pStyle w:val="P68B1DB1-Normal31"/>
            </w:pPr>
            <w:r>
              <w:t>0030</w:t>
            </w:r>
          </w:p>
        </w:tc>
        <w:tc>
          <w:tcPr>
            <w:tcW w:w="7713" w:type="dxa"/>
            <w:tcBorders>
              <w:top w:val="single" w:sz="8" w:space="0" w:color="auto"/>
              <w:left w:val="single" w:sz="8" w:space="0" w:color="auto"/>
              <w:bottom w:val="single" w:sz="8" w:space="0" w:color="auto"/>
            </w:tcBorders>
            <w:vAlign w:val="bottom"/>
          </w:tcPr>
          <w:p w14:paraId="7FE1CBFB" w14:textId="77777777" w:rsidR="00393915" w:rsidRDefault="00F24D68">
            <w:pPr>
              <w:pStyle w:val="P68B1DB1-TableParagraph73"/>
              <w:spacing w:before="108"/>
              <w:ind w:left="85"/>
              <w:jc w:val="both"/>
            </w:pPr>
            <w:r>
              <w:t>Da/Ne</w:t>
            </w:r>
          </w:p>
          <w:p w14:paraId="7FE1CBFC" w14:textId="7891E5D6" w:rsidR="00393915" w:rsidRDefault="00F24D68">
            <w:pPr>
              <w:pStyle w:val="P68B1DB1-TableParagraph40"/>
              <w:spacing w:before="108"/>
              <w:ind w:left="85"/>
              <w:jc w:val="both"/>
            </w:pPr>
            <w:r>
              <w:t xml:space="preserve">Mogućnost korisnika da zamijeni pružatelja usluga poravnanja u stupcu 0020 predloška Z 09.01 alternativnim infrastrukturama financijskog tržišta/posrednikom s kojim na izvještajni datum ima ugovorni odnos. </w:t>
            </w:r>
          </w:p>
          <w:p w14:paraId="7FE1CBFE" w14:textId="1F022B26" w:rsidR="00393915" w:rsidRDefault="00F24D68">
            <w:pPr>
              <w:pStyle w:val="P68B1DB1-TableParagraph40"/>
              <w:numPr>
                <w:ilvl w:val="0"/>
                <w:numId w:val="256"/>
              </w:numPr>
              <w:spacing w:before="108"/>
              <w:jc w:val="both"/>
            </w:pPr>
            <w:r>
              <w:t>„Da” ako je zamjena moguća</w:t>
            </w:r>
          </w:p>
          <w:p w14:paraId="7FE1CBFF" w14:textId="719E31EA" w:rsidR="00393915" w:rsidRDefault="00F24D68">
            <w:pPr>
              <w:pStyle w:val="P68B1DB1-TableParagraph40"/>
              <w:numPr>
                <w:ilvl w:val="0"/>
                <w:numId w:val="256"/>
              </w:numPr>
              <w:spacing w:before="108"/>
              <w:jc w:val="both"/>
            </w:pPr>
            <w:r>
              <w:t>„Ne” ako zamjena nije moguća</w:t>
            </w:r>
          </w:p>
          <w:p w14:paraId="7FE1CC02" w14:textId="77777777" w:rsidR="00393915" w:rsidRDefault="00393915">
            <w:pPr>
              <w:pStyle w:val="TableParagraph"/>
              <w:spacing w:before="108"/>
              <w:jc w:val="both"/>
              <w:rPr>
                <w:rFonts w:ascii="Times New Roman" w:eastAsia="Times New Roman" w:hAnsi="Times New Roman" w:cs="Times New Roman"/>
                <w:b/>
                <w:sz w:val="20"/>
                <w:szCs w:val="20"/>
              </w:rPr>
            </w:pPr>
          </w:p>
        </w:tc>
      </w:tr>
      <w:tr w:rsidR="00393915" w14:paraId="7FE1CC08" w14:textId="77777777">
        <w:tc>
          <w:tcPr>
            <w:tcW w:w="1178" w:type="dxa"/>
            <w:tcBorders>
              <w:top w:val="single" w:sz="8" w:space="0" w:color="auto"/>
              <w:bottom w:val="single" w:sz="8" w:space="0" w:color="auto"/>
              <w:right w:val="single" w:sz="8" w:space="0" w:color="auto"/>
            </w:tcBorders>
            <w:vAlign w:val="center"/>
          </w:tcPr>
          <w:p w14:paraId="7FE1CC04" w14:textId="77777777" w:rsidR="00393915" w:rsidRDefault="00F24D68">
            <w:pPr>
              <w:pStyle w:val="P68B1DB1-Normal31"/>
            </w:pPr>
            <w:r>
              <w:t>0040</w:t>
            </w:r>
          </w:p>
        </w:tc>
        <w:tc>
          <w:tcPr>
            <w:tcW w:w="7713" w:type="dxa"/>
            <w:tcBorders>
              <w:top w:val="single" w:sz="8" w:space="0" w:color="auto"/>
              <w:left w:val="single" w:sz="8" w:space="0" w:color="auto"/>
              <w:bottom w:val="single" w:sz="8" w:space="0" w:color="auto"/>
            </w:tcBorders>
            <w:vAlign w:val="bottom"/>
          </w:tcPr>
          <w:p w14:paraId="7FE1CC05" w14:textId="77777777" w:rsidR="00393915" w:rsidRDefault="00F24D68">
            <w:pPr>
              <w:pStyle w:val="P68B1DB1-TableParagraph73"/>
              <w:spacing w:before="108" w:after="120"/>
              <w:jc w:val="both"/>
              <w:rPr>
                <w:bCs/>
              </w:rPr>
            </w:pPr>
            <w:r>
              <w:t>Alternativni pružatelj usluga</w:t>
            </w:r>
          </w:p>
          <w:p w14:paraId="7FE1CC06" w14:textId="102B34C9" w:rsidR="00393915" w:rsidRDefault="004A53EB">
            <w:pPr>
              <w:pStyle w:val="P68B1DB1-Normal31"/>
              <w:spacing w:line="276" w:lineRule="auto"/>
              <w:jc w:val="both"/>
            </w:pPr>
            <w:r>
              <w:t>Naziv</w:t>
            </w:r>
            <w:r>
              <w:t>Naziv</w:t>
            </w:r>
            <w:r w:rsidR="00F24D68">
              <w:t xml:space="preserve"> infrastrukture financijskog tržišta/posrednika identificiranog kao moguća zamjena. </w:t>
            </w:r>
          </w:p>
          <w:p w14:paraId="7FE1CC07" w14:textId="6494C82D" w:rsidR="00393915" w:rsidRDefault="00777474">
            <w:pPr>
              <w:pStyle w:val="P68B1DB1-TableParagraph40"/>
              <w:spacing w:before="108"/>
              <w:ind w:left="85"/>
              <w:jc w:val="both"/>
              <w:rPr>
                <w:b/>
                <w:bCs/>
              </w:rPr>
            </w:pPr>
            <w:r>
              <w:t xml:space="preserve">Izvijestiti </w:t>
            </w:r>
            <w:r w:rsidR="00F24D68">
              <w:t>samo ako je stupac 0030 u predlošku Z 09.04 Da.</w:t>
            </w:r>
          </w:p>
        </w:tc>
      </w:tr>
      <w:tr w:rsidR="00393915" w14:paraId="7FE1CC0D" w14:textId="77777777">
        <w:tc>
          <w:tcPr>
            <w:tcW w:w="1178" w:type="dxa"/>
            <w:tcBorders>
              <w:top w:val="single" w:sz="8" w:space="0" w:color="auto"/>
              <w:bottom w:val="single" w:sz="8" w:space="0" w:color="auto"/>
              <w:right w:val="single" w:sz="8" w:space="0" w:color="auto"/>
            </w:tcBorders>
            <w:vAlign w:val="center"/>
          </w:tcPr>
          <w:p w14:paraId="7FE1CC09" w14:textId="77777777" w:rsidR="00393915" w:rsidRDefault="00F24D68">
            <w:pPr>
              <w:pStyle w:val="P68B1DB1-Normal31"/>
            </w:pPr>
            <w:r>
              <w:t>0050</w:t>
            </w:r>
          </w:p>
        </w:tc>
        <w:tc>
          <w:tcPr>
            <w:tcW w:w="7713" w:type="dxa"/>
            <w:tcBorders>
              <w:top w:val="single" w:sz="8" w:space="0" w:color="auto"/>
              <w:left w:val="single" w:sz="8" w:space="0" w:color="auto"/>
              <w:bottom w:val="single" w:sz="8" w:space="0" w:color="auto"/>
            </w:tcBorders>
            <w:vAlign w:val="bottom"/>
          </w:tcPr>
          <w:p w14:paraId="7FE1CC0A" w14:textId="26D0F077" w:rsidR="00393915" w:rsidRDefault="0024311B">
            <w:pPr>
              <w:pStyle w:val="P68B1DB1-TableParagraph73"/>
              <w:spacing w:before="108"/>
              <w:jc w:val="both"/>
              <w:rPr>
                <w:bCs/>
              </w:rPr>
            </w:pPr>
            <w:r>
              <w:t>Identifikacijskih oznaka aog</w:t>
            </w:r>
            <w:r>
              <w:t>a</w:t>
            </w:r>
            <w:r w:rsidR="00F24D68">
              <w:t>lternativn</w:t>
            </w:r>
            <w:r>
              <w:t>og</w:t>
            </w:r>
            <w:r w:rsidR="00F24D68">
              <w:t xml:space="preserve"> pružatelj</w:t>
            </w:r>
            <w:r>
              <w:t>a</w:t>
            </w:r>
            <w:r w:rsidR="00F24D68">
              <w:t xml:space="preserve"> </w:t>
            </w:r>
          </w:p>
          <w:p w14:paraId="7FE1CC0B" w14:textId="38A5DA80" w:rsidR="00393915" w:rsidRDefault="00F24D68">
            <w:pPr>
              <w:pStyle w:val="P68B1DB1-Normal31"/>
              <w:spacing w:after="120" w:line="276" w:lineRule="auto"/>
              <w:jc w:val="both"/>
              <w:rPr>
                <w:b/>
                <w:bCs/>
              </w:rPr>
            </w:pPr>
            <w:r>
              <w:t xml:space="preserve">Jedinstvena identifikacijska oznaka koja predstavlja kombinaciju korisnika, infrastrukture financijskog tržišta, vrste sustava i posrednika alternativnog pružatelja usluga s kojim korisnik ima </w:t>
            </w:r>
            <w:r w:rsidR="00520256">
              <w:t xml:space="preserve">uspostavljen </w:t>
            </w:r>
            <w:r>
              <w:t>ugovorni odnos kako je iskazano u stupcu 0010. predloška Z 09.01.</w:t>
            </w:r>
            <w:r>
              <w:rPr>
                <w:b/>
              </w:rPr>
              <w:t xml:space="preserve"> </w:t>
            </w:r>
          </w:p>
          <w:p w14:paraId="7FE1CC0C" w14:textId="4DBC2F19" w:rsidR="00393915" w:rsidRDefault="00E3705F">
            <w:pPr>
              <w:pStyle w:val="P68B1DB1-TableParagraph40"/>
              <w:spacing w:before="108"/>
              <w:ind w:left="85"/>
              <w:jc w:val="both"/>
              <w:rPr>
                <w:b/>
                <w:bCs/>
              </w:rPr>
            </w:pPr>
            <w:r>
              <w:t xml:space="preserve">Izvijestiti </w:t>
            </w:r>
            <w:r w:rsidR="00F24D68">
              <w:t>samo ako je stupac 0030 u predlošku Z 09.04 Da.</w:t>
            </w:r>
          </w:p>
        </w:tc>
      </w:tr>
    </w:tbl>
    <w:p w14:paraId="7FE1CECA" w14:textId="77777777" w:rsidR="00393915" w:rsidRDefault="00393915">
      <w:pPr>
        <w:rPr>
          <w:rFonts w:ascii="Times New Roman" w:hAnsi="Times New Roman" w:cs="Times New Roman"/>
          <w:b/>
          <w:color w:val="000000" w:themeColor="text1"/>
          <w:sz w:val="20"/>
          <w:szCs w:val="20"/>
          <w:u w:val="single"/>
        </w:rPr>
      </w:pPr>
      <w:bookmarkStart w:id="224" w:name="_Toc80891744"/>
      <w:bookmarkStart w:id="225" w:name="_Toc81454206"/>
      <w:bookmarkStart w:id="226" w:name="_Toc81485521"/>
      <w:bookmarkStart w:id="227" w:name="_Toc81485598"/>
      <w:bookmarkStart w:id="228" w:name="_Toc81485719"/>
      <w:bookmarkStart w:id="229" w:name="_Toc81486003"/>
      <w:bookmarkStart w:id="230" w:name="_Toc160028011"/>
      <w:bookmarkStart w:id="231" w:name="_Toc160028083"/>
      <w:bookmarkStart w:id="232" w:name="_Toc160028155"/>
      <w:bookmarkStart w:id="233" w:name="_Toc80891746"/>
      <w:bookmarkStart w:id="234" w:name="_Toc81454208"/>
      <w:bookmarkStart w:id="235" w:name="_Toc81485523"/>
      <w:bookmarkStart w:id="236" w:name="_Toc81485600"/>
      <w:bookmarkStart w:id="237" w:name="_Toc81485721"/>
      <w:bookmarkStart w:id="238" w:name="_Toc81486005"/>
      <w:bookmarkStart w:id="239" w:name="_Toc160028013"/>
      <w:bookmarkStart w:id="240" w:name="_Toc160028085"/>
      <w:bookmarkStart w:id="241" w:name="_Toc160028157"/>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p>
    <w:p w14:paraId="7FE1CF06" w14:textId="77777777" w:rsidR="00393915" w:rsidRDefault="00393915">
      <w:pPr>
        <w:pStyle w:val="Instructionsberschrift2"/>
        <w:ind w:left="357"/>
        <w:rPr>
          <w:rFonts w:ascii="Times New Roman" w:eastAsia="Calibri" w:hAnsi="Times New Roman" w:cs="Times New Roman"/>
          <w:szCs w:val="20"/>
        </w:rPr>
      </w:pPr>
    </w:p>
    <w:p w14:paraId="7FE1CF07" w14:textId="77777777" w:rsidR="00393915" w:rsidRDefault="00F24D68">
      <w:pPr>
        <w:pStyle w:val="P68B1DB1-Instructionsberschrift284"/>
        <w:numPr>
          <w:ilvl w:val="1"/>
          <w:numId w:val="49"/>
        </w:numPr>
        <w:spacing w:before="0"/>
        <w:ind w:left="357" w:hanging="357"/>
      </w:pPr>
      <w:bookmarkStart w:id="242" w:name="_Toc208244828"/>
      <w:r>
        <w:t>Analiza odgovornosti</w:t>
      </w:r>
      <w:bookmarkEnd w:id="242"/>
    </w:p>
    <w:p w14:paraId="7FE1CF08" w14:textId="53CCE3BD" w:rsidR="00393915" w:rsidRDefault="00F24D68">
      <w:pPr>
        <w:pStyle w:val="Instructionsberschrift2"/>
        <w:numPr>
          <w:ilvl w:val="1"/>
          <w:numId w:val="49"/>
        </w:numPr>
        <w:spacing w:before="0"/>
        <w:ind w:left="357" w:hanging="357"/>
        <w:rPr>
          <w:rFonts w:ascii="Times New Roman" w:hAnsi="Times New Roman" w:cs="Times New Roman"/>
        </w:rPr>
      </w:pPr>
      <w:bookmarkStart w:id="243" w:name="_Toc208244829"/>
      <w:r>
        <w:rPr>
          <w:rFonts w:ascii="Times New Roman" w:hAnsi="Times New Roman" w:cs="Times New Roman"/>
          <w:color w:val="000000" w:themeColor="text1"/>
        </w:rPr>
        <w:t>Z 11.00 Obveze unutar grupe</w:t>
      </w:r>
      <w:r>
        <w:rPr>
          <w:rFonts w:ascii="Times New Roman" w:eastAsia="Calibri" w:hAnsi="Times New Roman" w:cs="Times New Roman"/>
          <w:szCs w:val="20"/>
        </w:rPr>
        <w:t xml:space="preserve"> (LIAB-G-1)</w:t>
      </w:r>
      <w:bookmarkEnd w:id="243"/>
    </w:p>
    <w:p w14:paraId="7FE1CF0A" w14:textId="69A86E79" w:rsidR="00393915" w:rsidRDefault="00F24D68">
      <w:pPr>
        <w:pStyle w:val="P68B1DB1-Numberedtitlelevel385"/>
      </w:pPr>
      <w:bookmarkStart w:id="244" w:name="_Toc81454213"/>
      <w:r>
        <w:t>Opće napomene</w:t>
      </w:r>
    </w:p>
    <w:p w14:paraId="7FE1CF0B" w14:textId="77777777" w:rsidR="00393915" w:rsidRDefault="00F24D68">
      <w:pPr>
        <w:pStyle w:val="P68B1DB1-InstructionsText26"/>
        <w:numPr>
          <w:ilvl w:val="2"/>
          <w:numId w:val="209"/>
        </w:numPr>
        <w:spacing w:before="0"/>
        <w:ind w:left="1276"/>
        <w:rPr>
          <w:rFonts w:eastAsiaTheme="majorEastAsia"/>
        </w:rPr>
      </w:pPr>
      <w:r>
        <w:t>U ovoj tablici potrebne su informacije o unutargrupnim obvezama koje obuhvaćaju sav regulatorni kapital i obveze.</w:t>
      </w:r>
    </w:p>
    <w:p w14:paraId="7FE1CF0C" w14:textId="4049DE4D" w:rsidR="00393915" w:rsidRDefault="00F24D68">
      <w:pPr>
        <w:pStyle w:val="P68B1DB1-InstructionsText26"/>
        <w:numPr>
          <w:ilvl w:val="2"/>
          <w:numId w:val="209"/>
        </w:numPr>
        <w:spacing w:before="0"/>
        <w:ind w:left="1276"/>
        <w:rPr>
          <w:rFonts w:eastAsiaTheme="majorEastAsia"/>
        </w:rPr>
      </w:pPr>
      <w:r>
        <w:t>Subjekti koji se smatraju unutargrupnim subjektima su oni koji, u skladu s definicijom iz stupca 0100 predloška Z02.00, pripadaju računovodstvenom opsegu konsolidacije krajnjeg matičnog društva. Stoga se te obveze ne iskazuju u detaljnim karticama Z 12:00 do Z 17.00, osim za Z 15.00 Izvedenice (vidjeti u nastavku).</w:t>
      </w:r>
    </w:p>
    <w:p w14:paraId="7FE1CF0D" w14:textId="170B6ABA" w:rsidR="00393915" w:rsidRDefault="00F24D68">
      <w:pPr>
        <w:pStyle w:val="P68B1DB1-InstructionsText26"/>
        <w:numPr>
          <w:ilvl w:val="2"/>
          <w:numId w:val="209"/>
        </w:numPr>
        <w:spacing w:before="0"/>
        <w:ind w:left="1276"/>
        <w:rPr>
          <w:rFonts w:eastAsiaTheme="majorEastAsia"/>
        </w:rPr>
      </w:pPr>
      <w:r>
        <w:lastRenderedPageBreak/>
        <w:t>Izvedenice su specifične prirode i ne iskazuju se u predlošku Z 11.00, ali uvijek u predlošku Z 15.00.</w:t>
      </w:r>
    </w:p>
    <w:p w14:paraId="7FE1CF0E" w14:textId="18AE2C5B" w:rsidR="00393915" w:rsidRDefault="00F24D68">
      <w:pPr>
        <w:pStyle w:val="P68B1DB1-InstructionsText26"/>
        <w:numPr>
          <w:ilvl w:val="2"/>
          <w:numId w:val="209"/>
        </w:numPr>
        <w:spacing w:before="0"/>
        <w:ind w:left="1276"/>
        <w:rPr>
          <w:rFonts w:eastAsiaTheme="majorEastAsia"/>
        </w:rPr>
      </w:pPr>
      <w:r>
        <w:t>Sve obveze izdane subjektima koji su uključeni u opseg računovodstvene konsolidacije (uključujući subjekte posebne namjene obuhvaćene opsegom konsolidacije) unutar i izvan sanacijske grupe iskazuju se u predlošku Z 11.00. Za potrebe ove tablice obveze se iskazuju na osnovi transakcije, tj. svaka transakcija iskazuje se kao pojedinačna stavka u retku. Međutim, transakcije se moraju iskazati u više redaka ako se odnose na različit red prvenstva u slučaju insolventnosti.</w:t>
      </w:r>
    </w:p>
    <w:p w14:paraId="7FE1CF0F" w14:textId="77777777" w:rsidR="00393915" w:rsidRDefault="00F24D68">
      <w:pPr>
        <w:pStyle w:val="P68B1DB1-Numberedtitlelevel372"/>
      </w:pPr>
      <w:r>
        <w:t>Upute za specifične pozicije</w:t>
      </w:r>
    </w:p>
    <w:tbl>
      <w:tblPr>
        <w:tblW w:w="0" w:type="auto"/>
        <w:tblLook w:val="01E0" w:firstRow="1" w:lastRow="1" w:firstColumn="1" w:lastColumn="1" w:noHBand="0" w:noVBand="0"/>
      </w:tblPr>
      <w:tblGrid>
        <w:gridCol w:w="1244"/>
        <w:gridCol w:w="7717"/>
        <w:gridCol w:w="65"/>
      </w:tblGrid>
      <w:tr w:rsidR="00393915" w14:paraId="7FE1CF14" w14:textId="77777777">
        <w:trPr>
          <w:gridAfter w:val="1"/>
          <w:wAfter w:w="65" w:type="dxa"/>
          <w:tblHeader/>
        </w:trPr>
        <w:tc>
          <w:tcPr>
            <w:tcW w:w="1244" w:type="dxa"/>
            <w:tcBorders>
              <w:top w:val="single" w:sz="4" w:space="0" w:color="1A171C"/>
              <w:left w:val="nil"/>
              <w:bottom w:val="single" w:sz="4" w:space="0" w:color="1A171C"/>
              <w:right w:val="single" w:sz="4" w:space="0" w:color="1A171C"/>
            </w:tcBorders>
            <w:shd w:val="clear" w:color="auto" w:fill="E4E5E5"/>
          </w:tcPr>
          <w:p w14:paraId="7FE1CF12" w14:textId="77777777" w:rsidR="00393915" w:rsidRDefault="00F24D68">
            <w:pPr>
              <w:pStyle w:val="P68B1DB1-TableParagraph17"/>
              <w:spacing w:before="108"/>
              <w:ind w:left="85"/>
            </w:pPr>
            <w:r>
              <w:t xml:space="preserve">Stupci </w:t>
            </w:r>
          </w:p>
        </w:tc>
        <w:tc>
          <w:tcPr>
            <w:tcW w:w="7717" w:type="dxa"/>
            <w:tcBorders>
              <w:top w:val="single" w:sz="4" w:space="0" w:color="1A171C"/>
              <w:left w:val="single" w:sz="4" w:space="0" w:color="1A171C"/>
              <w:bottom w:val="single" w:sz="4" w:space="0" w:color="1A171C"/>
              <w:right w:val="nil"/>
            </w:tcBorders>
            <w:shd w:val="clear" w:color="auto" w:fill="E4E5E5"/>
          </w:tcPr>
          <w:p w14:paraId="7FE1CF13" w14:textId="77777777" w:rsidR="00393915" w:rsidRDefault="00F24D68">
            <w:pPr>
              <w:pStyle w:val="P68B1DB1-TableParagraph17"/>
              <w:spacing w:before="108"/>
              <w:ind w:left="85" w:right="1"/>
            </w:pPr>
            <w:r>
              <w:t>Upute</w:t>
            </w:r>
          </w:p>
        </w:tc>
      </w:tr>
      <w:tr w:rsidR="00393915" w14:paraId="7FE1CF18" w14:textId="77777777">
        <w:tc>
          <w:tcPr>
            <w:tcW w:w="1244" w:type="dxa"/>
            <w:tcBorders>
              <w:top w:val="single" w:sz="8" w:space="0" w:color="1A171C"/>
              <w:left w:val="nil"/>
              <w:bottom w:val="single" w:sz="8" w:space="0" w:color="1A171C"/>
              <w:right w:val="single" w:sz="8" w:space="0" w:color="1A171C"/>
            </w:tcBorders>
            <w:vAlign w:val="center"/>
          </w:tcPr>
          <w:p w14:paraId="7FE1CF15" w14:textId="77777777" w:rsidR="00393915" w:rsidRDefault="00F24D68">
            <w:pPr>
              <w:pStyle w:val="P68B1DB1-Normal31"/>
            </w:pPr>
            <w:r>
              <w:t>0010</w:t>
            </w:r>
          </w:p>
        </w:tc>
        <w:tc>
          <w:tcPr>
            <w:tcW w:w="7782" w:type="dxa"/>
            <w:gridSpan w:val="2"/>
            <w:tcBorders>
              <w:top w:val="single" w:sz="8" w:space="0" w:color="1A171C"/>
              <w:left w:val="single" w:sz="8" w:space="0" w:color="1A171C"/>
              <w:bottom w:val="single" w:sz="8" w:space="0" w:color="1A171C"/>
              <w:right w:val="nil"/>
            </w:tcBorders>
            <w:vAlign w:val="bottom"/>
          </w:tcPr>
          <w:p w14:paraId="7FE1CF16" w14:textId="4767C0AD" w:rsidR="00393915" w:rsidRDefault="00F24D68">
            <w:pPr>
              <w:pStyle w:val="P68B1DB1-TableParagraph40"/>
              <w:spacing w:before="108"/>
              <w:ind w:left="85"/>
              <w:jc w:val="both"/>
              <w:rPr>
                <w:b/>
                <w:bCs/>
              </w:rPr>
            </w:pPr>
            <w:r>
              <w:t xml:space="preserve"> </w:t>
            </w:r>
            <w:r w:rsidR="008F25A7">
              <w:rPr>
                <w:b/>
              </w:rPr>
              <w:t>Br</w:t>
            </w:r>
            <w:r w:rsidR="008F25A7">
              <w:rPr>
                <w:b/>
              </w:rPr>
              <w:t>Br</w:t>
            </w:r>
            <w:r>
              <w:rPr>
                <w:b/>
              </w:rPr>
              <w:t>.</w:t>
            </w:r>
          </w:p>
          <w:p w14:paraId="7FE1CF17" w14:textId="77777777" w:rsidR="00393915" w:rsidRDefault="00F24D68">
            <w:pPr>
              <w:pStyle w:val="P68B1DB1-TableParagraph40"/>
              <w:spacing w:before="108"/>
              <w:ind w:left="85"/>
              <w:jc w:val="both"/>
            </w:pPr>
            <w:r>
              <w:t xml:space="preserve">Jedinstveni broj/primarni ključ za identifikaciju stavki retka. </w:t>
            </w:r>
          </w:p>
        </w:tc>
      </w:tr>
      <w:tr w:rsidR="00393915" w14:paraId="7FE1CF1C" w14:textId="77777777">
        <w:tc>
          <w:tcPr>
            <w:tcW w:w="1244" w:type="dxa"/>
            <w:tcBorders>
              <w:top w:val="single" w:sz="8" w:space="0" w:color="1A171C"/>
              <w:left w:val="nil"/>
              <w:bottom w:val="single" w:sz="8" w:space="0" w:color="1A171C"/>
              <w:right w:val="single" w:sz="8" w:space="0" w:color="1A171C"/>
            </w:tcBorders>
            <w:vAlign w:val="center"/>
          </w:tcPr>
          <w:p w14:paraId="7FE1CF19" w14:textId="77777777" w:rsidR="00393915" w:rsidRDefault="00F24D68">
            <w:pPr>
              <w:pStyle w:val="P68B1DB1-Normal31"/>
            </w:pPr>
            <w:r>
              <w:t>0020</w:t>
            </w:r>
          </w:p>
        </w:tc>
        <w:tc>
          <w:tcPr>
            <w:tcW w:w="7782" w:type="dxa"/>
            <w:gridSpan w:val="2"/>
            <w:tcBorders>
              <w:top w:val="single" w:sz="8" w:space="0" w:color="1A171C"/>
              <w:left w:val="single" w:sz="8" w:space="0" w:color="1A171C"/>
              <w:bottom w:val="single" w:sz="8" w:space="0" w:color="1A171C"/>
              <w:right w:val="nil"/>
            </w:tcBorders>
            <w:vAlign w:val="bottom"/>
          </w:tcPr>
          <w:p w14:paraId="7FE1CF1A" w14:textId="77777777" w:rsidR="00393915" w:rsidRDefault="00F24D68">
            <w:pPr>
              <w:pStyle w:val="P68B1DB1-TableParagraph40"/>
              <w:spacing w:before="108"/>
              <w:ind w:left="85"/>
              <w:jc w:val="both"/>
              <w:rPr>
                <w:b/>
                <w:bCs/>
              </w:rPr>
            </w:pPr>
            <w:r>
              <w:t xml:space="preserve"> </w:t>
            </w:r>
            <w:r>
              <w:rPr>
                <w:b/>
              </w:rPr>
              <w:t>Redak</w:t>
            </w:r>
          </w:p>
          <w:p w14:paraId="7FE1CF1B" w14:textId="474C4148" w:rsidR="00393915" w:rsidRDefault="00F24D68">
            <w:pPr>
              <w:pStyle w:val="P68B1DB1-TableParagraph40"/>
              <w:spacing w:before="108"/>
              <w:ind w:left="85"/>
              <w:jc w:val="both"/>
            </w:pPr>
            <w:r>
              <w:t>Za svaki instrument potrebno je dostaviti usklađenje s kategorijama obveza strukture obveza u predlošku Z02.00 s unaprijed definiranog popisa vrijednosti.</w:t>
            </w:r>
          </w:p>
        </w:tc>
      </w:tr>
      <w:tr w:rsidR="00393915" w14:paraId="7FE1CF20" w14:textId="77777777">
        <w:tc>
          <w:tcPr>
            <w:tcW w:w="1244" w:type="dxa"/>
            <w:tcBorders>
              <w:top w:val="single" w:sz="8" w:space="0" w:color="1A171C"/>
              <w:left w:val="nil"/>
              <w:bottom w:val="single" w:sz="8" w:space="0" w:color="1A171C"/>
              <w:right w:val="single" w:sz="8" w:space="0" w:color="1A171C"/>
            </w:tcBorders>
            <w:vAlign w:val="center"/>
          </w:tcPr>
          <w:p w14:paraId="7FE1CF1D" w14:textId="77777777" w:rsidR="00393915" w:rsidRDefault="00F24D68">
            <w:pPr>
              <w:pStyle w:val="P68B1DB1-Normal31"/>
            </w:pPr>
            <w:r>
              <w:t>0021</w:t>
            </w:r>
          </w:p>
        </w:tc>
        <w:tc>
          <w:tcPr>
            <w:tcW w:w="7782" w:type="dxa"/>
            <w:gridSpan w:val="2"/>
            <w:tcBorders>
              <w:top w:val="single" w:sz="8" w:space="0" w:color="1A171C"/>
              <w:left w:val="single" w:sz="8" w:space="0" w:color="1A171C"/>
              <w:bottom w:val="single" w:sz="8" w:space="0" w:color="1A171C"/>
              <w:right w:val="nil"/>
            </w:tcBorders>
            <w:vAlign w:val="bottom"/>
          </w:tcPr>
          <w:p w14:paraId="7FE1CF1E" w14:textId="77777777" w:rsidR="00393915" w:rsidRDefault="00F24D68">
            <w:pPr>
              <w:pStyle w:val="P68B1DB1-TableParagraph73"/>
              <w:spacing w:before="108"/>
              <w:ind w:left="85"/>
              <w:jc w:val="both"/>
              <w:rPr>
                <w:bCs/>
              </w:rPr>
            </w:pPr>
            <w:r>
              <w:t xml:space="preserve">Stupac </w:t>
            </w:r>
          </w:p>
          <w:p w14:paraId="7FE1CF1F" w14:textId="77777777" w:rsidR="00393915" w:rsidRDefault="00F24D68">
            <w:pPr>
              <w:pStyle w:val="P68B1DB1-TableParagraph40"/>
              <w:spacing w:before="108"/>
              <w:ind w:left="85"/>
              <w:jc w:val="both"/>
            </w:pPr>
            <w:r>
              <w:t>Za svaki instrument, usklađivanje s klasom druge ugovorne strane u predlošku Z02.00 prema kojoj se obveza duguje mora se dostaviti s unaprijed utvrđenog popisa vrijednosti.</w:t>
            </w:r>
          </w:p>
        </w:tc>
      </w:tr>
      <w:tr w:rsidR="00393915" w14:paraId="7FE1CF24" w14:textId="77777777">
        <w:tc>
          <w:tcPr>
            <w:tcW w:w="1244" w:type="dxa"/>
            <w:tcBorders>
              <w:top w:val="single" w:sz="8" w:space="0" w:color="1A171C"/>
              <w:left w:val="nil"/>
              <w:bottom w:val="single" w:sz="8" w:space="0" w:color="1A171C"/>
              <w:right w:val="single" w:sz="8" w:space="0" w:color="1A171C"/>
            </w:tcBorders>
            <w:vAlign w:val="center"/>
          </w:tcPr>
          <w:p w14:paraId="7FE1CF21" w14:textId="77777777" w:rsidR="00393915" w:rsidRDefault="00F24D68">
            <w:pPr>
              <w:pStyle w:val="P68B1DB1-Normal31"/>
            </w:pPr>
            <w:r>
              <w:t>0030</w:t>
            </w:r>
          </w:p>
        </w:tc>
        <w:tc>
          <w:tcPr>
            <w:tcW w:w="7782" w:type="dxa"/>
            <w:gridSpan w:val="2"/>
            <w:tcBorders>
              <w:top w:val="single" w:sz="8" w:space="0" w:color="1A171C"/>
              <w:left w:val="single" w:sz="8" w:space="0" w:color="1A171C"/>
              <w:bottom w:val="single" w:sz="8" w:space="0" w:color="1A171C"/>
              <w:right w:val="nil"/>
            </w:tcBorders>
            <w:vAlign w:val="bottom"/>
          </w:tcPr>
          <w:p w14:paraId="7FE1CF22" w14:textId="53713754" w:rsidR="00393915" w:rsidRDefault="00F24D68">
            <w:pPr>
              <w:pStyle w:val="P68B1DB1-TableParagraph73"/>
              <w:spacing w:before="108"/>
              <w:ind w:left="85"/>
              <w:jc w:val="both"/>
              <w:rPr>
                <w:bCs/>
              </w:rPr>
            </w:pPr>
            <w:r>
              <w:t>Red prvenstva u postupku u slučaju insolventnosti</w:t>
            </w:r>
          </w:p>
          <w:p w14:paraId="7FE1CF23" w14:textId="396478FE" w:rsidR="00393915" w:rsidRDefault="00F24D68">
            <w:pPr>
              <w:pStyle w:val="P68B1DB1-TableParagraph40"/>
              <w:spacing w:before="108"/>
              <w:ind w:left="85"/>
              <w:jc w:val="both"/>
            </w:pPr>
            <w:r>
              <w:t>Red prvenstva u postupku u slučaju insolventnosti jedan je od redova prvenstva koje objavljuje sanacijsko tijelo te jurisdikcije.</w:t>
            </w:r>
          </w:p>
        </w:tc>
      </w:tr>
      <w:tr w:rsidR="00393915" w14:paraId="7FE1CF28" w14:textId="77777777">
        <w:tc>
          <w:tcPr>
            <w:tcW w:w="1244" w:type="dxa"/>
            <w:tcBorders>
              <w:top w:val="single" w:sz="8" w:space="0" w:color="1A171C"/>
              <w:left w:val="nil"/>
              <w:bottom w:val="single" w:sz="8" w:space="0" w:color="1A171C"/>
              <w:right w:val="single" w:sz="8" w:space="0" w:color="1A171C"/>
            </w:tcBorders>
            <w:vAlign w:val="center"/>
          </w:tcPr>
          <w:p w14:paraId="7FE1CF25" w14:textId="77777777" w:rsidR="00393915" w:rsidRDefault="00F24D68">
            <w:pPr>
              <w:pStyle w:val="P68B1DB1-Normal31"/>
            </w:pPr>
            <w:r>
              <w:t>0040</w:t>
            </w:r>
          </w:p>
        </w:tc>
        <w:tc>
          <w:tcPr>
            <w:tcW w:w="7782" w:type="dxa"/>
            <w:gridSpan w:val="2"/>
            <w:tcBorders>
              <w:top w:val="single" w:sz="8" w:space="0" w:color="1A171C"/>
              <w:left w:val="single" w:sz="8" w:space="0" w:color="1A171C"/>
              <w:bottom w:val="single" w:sz="8" w:space="0" w:color="1A171C"/>
              <w:right w:val="nil"/>
            </w:tcBorders>
            <w:vAlign w:val="bottom"/>
          </w:tcPr>
          <w:p w14:paraId="7FE1CF26" w14:textId="77777777" w:rsidR="00393915" w:rsidRDefault="00F24D68">
            <w:pPr>
              <w:pStyle w:val="P68B1DB1-TableParagraph73"/>
              <w:spacing w:before="108"/>
              <w:ind w:left="85"/>
              <w:jc w:val="both"/>
              <w:rPr>
                <w:bCs/>
              </w:rPr>
            </w:pPr>
            <w:r>
              <w:t>Identifikacijska oznaka ugovora</w:t>
            </w:r>
          </w:p>
          <w:p w14:paraId="7FE1CF27" w14:textId="5E827C31" w:rsidR="00393915" w:rsidRDefault="00F24D68">
            <w:pPr>
              <w:pStyle w:val="P68B1DB1-TableParagraph40"/>
              <w:spacing w:before="108"/>
              <w:ind w:left="85"/>
              <w:jc w:val="both"/>
            </w:pPr>
            <w:r>
              <w:t>Iskazuje se ISIN ili, ako ISIN nije dostupan, druga identifikacijska oznaka ugovora za instrument.</w:t>
            </w:r>
          </w:p>
        </w:tc>
      </w:tr>
      <w:tr w:rsidR="00393915" w14:paraId="7FE1CF2C" w14:textId="77777777">
        <w:tc>
          <w:tcPr>
            <w:tcW w:w="1244" w:type="dxa"/>
            <w:tcBorders>
              <w:top w:val="single" w:sz="8" w:space="0" w:color="1A171C"/>
              <w:left w:val="nil"/>
              <w:bottom w:val="single" w:sz="8" w:space="0" w:color="1A171C"/>
              <w:right w:val="single" w:sz="8" w:space="0" w:color="1A171C"/>
            </w:tcBorders>
            <w:vAlign w:val="center"/>
          </w:tcPr>
          <w:p w14:paraId="7FE1CF29" w14:textId="77777777" w:rsidR="00393915" w:rsidRDefault="00F24D68">
            <w:pPr>
              <w:pStyle w:val="P68B1DB1-Normal31"/>
            </w:pPr>
            <w:r>
              <w:t>0045</w:t>
            </w:r>
          </w:p>
        </w:tc>
        <w:tc>
          <w:tcPr>
            <w:tcW w:w="7782" w:type="dxa"/>
            <w:gridSpan w:val="2"/>
            <w:tcBorders>
              <w:top w:val="single" w:sz="8" w:space="0" w:color="1A171C"/>
              <w:left w:val="single" w:sz="8" w:space="0" w:color="1A171C"/>
              <w:bottom w:val="single" w:sz="8" w:space="0" w:color="1A171C"/>
              <w:right w:val="nil"/>
            </w:tcBorders>
            <w:vAlign w:val="bottom"/>
          </w:tcPr>
          <w:p w14:paraId="7FE1CF2A" w14:textId="49B7BD39" w:rsidR="00393915" w:rsidRDefault="00F24D68">
            <w:pPr>
              <w:pStyle w:val="P68B1DB1-TableParagraph73"/>
              <w:spacing w:before="108"/>
              <w:ind w:left="85"/>
              <w:jc w:val="both"/>
              <w:rPr>
                <w:bCs/>
              </w:rPr>
            </w:pPr>
            <w:r>
              <w:t>Naziv druge ugovorne strane</w:t>
            </w:r>
          </w:p>
          <w:p w14:paraId="7FE1CF2B" w14:textId="28E31BB6" w:rsidR="00393915" w:rsidRDefault="00F24D68">
            <w:pPr>
              <w:pStyle w:val="P68B1DB1-TableParagraph40"/>
              <w:spacing w:before="108"/>
              <w:ind w:left="85"/>
              <w:jc w:val="both"/>
            </w:pPr>
            <w:r>
              <w:t>Naziv subjekta druge ugovorne strane obveze.</w:t>
            </w:r>
          </w:p>
        </w:tc>
      </w:tr>
      <w:tr w:rsidR="00393915" w14:paraId="7FE1CF31" w14:textId="77777777">
        <w:tc>
          <w:tcPr>
            <w:tcW w:w="1244" w:type="dxa"/>
            <w:tcBorders>
              <w:top w:val="single" w:sz="8" w:space="0" w:color="1A171C"/>
              <w:left w:val="nil"/>
              <w:bottom w:val="single" w:sz="8" w:space="0" w:color="1A171C"/>
              <w:right w:val="single" w:sz="8" w:space="0" w:color="1A171C"/>
            </w:tcBorders>
            <w:vAlign w:val="center"/>
          </w:tcPr>
          <w:p w14:paraId="7FE1CF2D" w14:textId="77777777" w:rsidR="00393915" w:rsidRDefault="00F24D68">
            <w:pPr>
              <w:pStyle w:val="P68B1DB1-Normal31"/>
            </w:pPr>
            <w:r>
              <w:t>0050</w:t>
            </w:r>
          </w:p>
        </w:tc>
        <w:tc>
          <w:tcPr>
            <w:tcW w:w="7782" w:type="dxa"/>
            <w:gridSpan w:val="2"/>
            <w:tcBorders>
              <w:top w:val="single" w:sz="8" w:space="0" w:color="1A171C"/>
              <w:left w:val="single" w:sz="8" w:space="0" w:color="1A171C"/>
              <w:bottom w:val="single" w:sz="8" w:space="0" w:color="1A171C"/>
              <w:right w:val="nil"/>
            </w:tcBorders>
            <w:vAlign w:val="bottom"/>
          </w:tcPr>
          <w:p w14:paraId="7FE1CF2E" w14:textId="2BAACD17" w:rsidR="00393915" w:rsidRDefault="00F24D68">
            <w:pPr>
              <w:pStyle w:val="P68B1DB1-TableParagraph73"/>
              <w:spacing w:before="108"/>
              <w:ind w:left="85"/>
              <w:jc w:val="both"/>
              <w:rPr>
                <w:bCs/>
              </w:rPr>
            </w:pPr>
            <w:r>
              <w:t>Identifikator druge ugovorne strane</w:t>
            </w:r>
          </w:p>
          <w:p w14:paraId="7FE1CF2F" w14:textId="72578A95" w:rsidR="00393915" w:rsidRDefault="00F24D68">
            <w:pPr>
              <w:pStyle w:val="P68B1DB1-TableParagraph40"/>
              <w:spacing w:before="108"/>
              <w:ind w:left="85"/>
              <w:jc w:val="both"/>
            </w:pPr>
            <w:r>
              <w:t xml:space="preserve">Jedinstvena </w:t>
            </w:r>
            <w:r w:rsidR="0004103B">
              <w:t xml:space="preserve">LEI </w:t>
            </w:r>
            <w:r>
              <w:t>oznaka druge ugovorne strane. U nedostatku LEI-ja, jedinstvena identifikacijska oznaka monetarnih financijskih institucija ESB-a (</w:t>
            </w:r>
            <w:r w:rsidR="0004103B">
              <w:t xml:space="preserve">engl. </w:t>
            </w:r>
            <w:r>
              <w:t>MFI ID) kreditne institucije za uporabu u izdanom RIAD-u. Ako ne postoje obje takve identifikacijske oznake, može se upotrijebiti interna identifikacijska oznaka.</w:t>
            </w:r>
          </w:p>
          <w:p w14:paraId="7FE1CF30" w14:textId="585107E3" w:rsidR="00393915" w:rsidRDefault="00393915">
            <w:pPr>
              <w:pStyle w:val="TableParagraph"/>
              <w:spacing w:before="108"/>
              <w:ind w:left="85"/>
              <w:jc w:val="both"/>
              <w:rPr>
                <w:rFonts w:ascii="Times New Roman" w:eastAsia="Times New Roman" w:hAnsi="Times New Roman" w:cs="Times New Roman"/>
                <w:sz w:val="20"/>
                <w:szCs w:val="20"/>
              </w:rPr>
            </w:pPr>
          </w:p>
        </w:tc>
      </w:tr>
      <w:tr w:rsidR="00393915" w14:paraId="7FE1CF35" w14:textId="77777777">
        <w:tc>
          <w:tcPr>
            <w:tcW w:w="1244" w:type="dxa"/>
            <w:tcBorders>
              <w:top w:val="single" w:sz="8" w:space="0" w:color="1A171C"/>
              <w:left w:val="nil"/>
              <w:bottom w:val="single" w:sz="8" w:space="0" w:color="1A171C"/>
              <w:right w:val="single" w:sz="8" w:space="0" w:color="1A171C"/>
            </w:tcBorders>
            <w:vAlign w:val="center"/>
          </w:tcPr>
          <w:p w14:paraId="7FE1CF32" w14:textId="37A8736C" w:rsidR="00393915" w:rsidRDefault="00F24D68">
            <w:pPr>
              <w:pStyle w:val="P68B1DB1-Normal31"/>
            </w:pPr>
            <w:r>
              <w:t>0053</w:t>
            </w:r>
          </w:p>
        </w:tc>
        <w:tc>
          <w:tcPr>
            <w:tcW w:w="7782" w:type="dxa"/>
            <w:gridSpan w:val="2"/>
            <w:tcBorders>
              <w:top w:val="single" w:sz="8" w:space="0" w:color="1A171C"/>
              <w:left w:val="single" w:sz="8" w:space="0" w:color="1A171C"/>
              <w:bottom w:val="single" w:sz="8" w:space="0" w:color="1A171C"/>
              <w:right w:val="nil"/>
            </w:tcBorders>
            <w:vAlign w:val="bottom"/>
          </w:tcPr>
          <w:p w14:paraId="7FE1CF33" w14:textId="77777777" w:rsidR="00393915" w:rsidRDefault="00F24D68">
            <w:pPr>
              <w:pStyle w:val="P68B1DB1-TableParagraph73"/>
              <w:spacing w:before="108"/>
              <w:ind w:left="85"/>
              <w:jc w:val="both"/>
              <w:rPr>
                <w:bCs/>
              </w:rPr>
            </w:pPr>
            <w:r>
              <w:t>Vrsta identifikatora</w:t>
            </w:r>
          </w:p>
          <w:p w14:paraId="7FE1CF34" w14:textId="1432A75B" w:rsidR="00393915" w:rsidRDefault="00F24D68">
            <w:pPr>
              <w:pStyle w:val="P68B1DB1-TableParagraph40"/>
              <w:spacing w:before="108"/>
              <w:ind w:left="85"/>
              <w:jc w:val="both"/>
            </w:pPr>
            <w:r>
              <w:t>Odabrati među sljedećim opcijama: „LEI</w:t>
            </w:r>
            <w:r w:rsidR="0004103B">
              <w:t xml:space="preserve"> o</w:t>
            </w:r>
            <w:r w:rsidR="0004103B">
              <w:t>o</w:t>
            </w:r>
            <w:r>
              <w:t>znaka ”, „</w:t>
            </w:r>
            <w:r w:rsidR="0004103B">
              <w:t xml:space="preserve">MFI </w:t>
            </w:r>
            <w:r>
              <w:t>oznaka ” ili „Vrsta identifikacijske oznake, osim LEI-ja ili MFI-ja”.</w:t>
            </w:r>
          </w:p>
        </w:tc>
      </w:tr>
      <w:tr w:rsidR="00393915" w14:paraId="7FE1CF39" w14:textId="77777777">
        <w:tc>
          <w:tcPr>
            <w:tcW w:w="1244" w:type="dxa"/>
            <w:tcBorders>
              <w:top w:val="single" w:sz="8" w:space="0" w:color="1A171C"/>
              <w:left w:val="nil"/>
              <w:bottom w:val="single" w:sz="8" w:space="0" w:color="1A171C"/>
              <w:right w:val="single" w:sz="8" w:space="0" w:color="1A171C"/>
            </w:tcBorders>
            <w:vAlign w:val="center"/>
          </w:tcPr>
          <w:p w14:paraId="7FE1CF36" w14:textId="5460B58C" w:rsidR="00393915" w:rsidRDefault="00F24D68">
            <w:pPr>
              <w:pStyle w:val="P68B1DB1-Normal31"/>
            </w:pPr>
            <w:r>
              <w:t>0055</w:t>
            </w:r>
          </w:p>
        </w:tc>
        <w:tc>
          <w:tcPr>
            <w:tcW w:w="7782" w:type="dxa"/>
            <w:gridSpan w:val="2"/>
            <w:tcBorders>
              <w:top w:val="single" w:sz="8" w:space="0" w:color="1A171C"/>
              <w:left w:val="single" w:sz="8" w:space="0" w:color="1A171C"/>
              <w:bottom w:val="single" w:sz="8" w:space="0" w:color="1A171C"/>
              <w:right w:val="nil"/>
            </w:tcBorders>
            <w:vAlign w:val="bottom"/>
          </w:tcPr>
          <w:p w14:paraId="7FE1CF37" w14:textId="1D21A85C" w:rsidR="00393915" w:rsidRDefault="00F24D68">
            <w:pPr>
              <w:pStyle w:val="P68B1DB1-TableParagraph73"/>
              <w:spacing w:before="108"/>
              <w:ind w:left="85"/>
              <w:jc w:val="both"/>
              <w:rPr>
                <w:bCs/>
              </w:rPr>
            </w:pPr>
            <w:r>
              <w:t>Odnos s drugom ugovornom stranom</w:t>
            </w:r>
          </w:p>
          <w:p w14:paraId="7FE1CF38" w14:textId="1D86F34C" w:rsidR="00393915" w:rsidRDefault="00F24D68">
            <w:pPr>
              <w:pStyle w:val="P68B1DB1-TableParagraph40"/>
              <w:spacing w:before="108"/>
              <w:ind w:left="85"/>
              <w:jc w:val="both"/>
            </w:pPr>
            <w:r>
              <w:t>U ovom polju navodi se odnos subjekta koji odobrava kredit s izvještajnim subjektom. Za ovo je područje predviđen popis vrijednosti: druga ugovorna strana može biti „izravno ili neizravno matično društvo”, „izravno ili neizravno društvo kći” ili, alternativno, „sestra”.</w:t>
            </w:r>
          </w:p>
        </w:tc>
      </w:tr>
      <w:tr w:rsidR="00393915" w14:paraId="7FE1CF3D" w14:textId="77777777">
        <w:tc>
          <w:tcPr>
            <w:tcW w:w="1244" w:type="dxa"/>
            <w:tcBorders>
              <w:top w:val="single" w:sz="8" w:space="0" w:color="1A171C"/>
              <w:left w:val="nil"/>
              <w:bottom w:val="single" w:sz="8" w:space="0" w:color="1A171C"/>
              <w:right w:val="single" w:sz="8" w:space="0" w:color="1A171C"/>
            </w:tcBorders>
            <w:vAlign w:val="center"/>
          </w:tcPr>
          <w:p w14:paraId="7FE1CF3A" w14:textId="77777777" w:rsidR="00393915" w:rsidRDefault="00F24D68">
            <w:pPr>
              <w:pStyle w:val="P68B1DB1-Normal31"/>
            </w:pPr>
            <w:r>
              <w:t>0056</w:t>
            </w:r>
          </w:p>
        </w:tc>
        <w:tc>
          <w:tcPr>
            <w:tcW w:w="7782" w:type="dxa"/>
            <w:gridSpan w:val="2"/>
            <w:tcBorders>
              <w:top w:val="single" w:sz="8" w:space="0" w:color="1A171C"/>
              <w:left w:val="single" w:sz="8" w:space="0" w:color="1A171C"/>
              <w:bottom w:val="single" w:sz="8" w:space="0" w:color="1A171C"/>
              <w:right w:val="nil"/>
            </w:tcBorders>
            <w:vAlign w:val="bottom"/>
          </w:tcPr>
          <w:p w14:paraId="7FE1CF3B" w14:textId="5D306713" w:rsidR="00393915" w:rsidRDefault="00F24D68">
            <w:pPr>
              <w:pStyle w:val="P68B1DB1-TableParagraph73"/>
              <w:spacing w:before="108"/>
              <w:ind w:left="85"/>
              <w:jc w:val="both"/>
              <w:rPr>
                <w:bCs/>
              </w:rPr>
            </w:pPr>
            <w:r>
              <w:t>Vrsta odgovornosti</w:t>
            </w:r>
          </w:p>
          <w:p w14:paraId="7FE1CF3C" w14:textId="07B04D08" w:rsidR="00393915" w:rsidRDefault="00F24D68">
            <w:pPr>
              <w:pStyle w:val="P68B1DB1-TableParagraph40"/>
              <w:spacing w:before="108"/>
              <w:ind w:left="85"/>
              <w:jc w:val="both"/>
            </w:pPr>
            <w:r>
              <w:t>Za obveze koje se iskazuju u rubrici Z02.00-c0020-Row kao ‚r0210 – Obveze prema drugim subjektima iz sanacijske grupe’ navedite vrstu obveze kako bi bila iskazana u predlošku Z02.00 da se obveza nije smatrala isključenom.</w:t>
            </w:r>
          </w:p>
        </w:tc>
      </w:tr>
      <w:tr w:rsidR="00393915" w14:paraId="7FE1CF41" w14:textId="77777777">
        <w:tc>
          <w:tcPr>
            <w:tcW w:w="1244" w:type="dxa"/>
            <w:tcBorders>
              <w:top w:val="single" w:sz="8" w:space="0" w:color="1A171C"/>
              <w:left w:val="nil"/>
              <w:bottom w:val="single" w:sz="8" w:space="0" w:color="1A171C"/>
              <w:right w:val="single" w:sz="8" w:space="0" w:color="1A171C"/>
            </w:tcBorders>
            <w:vAlign w:val="center"/>
          </w:tcPr>
          <w:p w14:paraId="7FE1CF3E" w14:textId="23D0ECF1" w:rsidR="00393915" w:rsidRDefault="00F24D68">
            <w:pPr>
              <w:pStyle w:val="P68B1DB1-Normal31"/>
            </w:pPr>
            <w:r>
              <w:t>0060</w:t>
            </w:r>
          </w:p>
        </w:tc>
        <w:tc>
          <w:tcPr>
            <w:tcW w:w="7782" w:type="dxa"/>
            <w:gridSpan w:val="2"/>
            <w:tcBorders>
              <w:top w:val="single" w:sz="8" w:space="0" w:color="1A171C"/>
              <w:left w:val="single" w:sz="8" w:space="0" w:color="1A171C"/>
              <w:bottom w:val="single" w:sz="8" w:space="0" w:color="1A171C"/>
              <w:right w:val="nil"/>
            </w:tcBorders>
            <w:vAlign w:val="bottom"/>
          </w:tcPr>
          <w:p w14:paraId="7FE1CF3F" w14:textId="211E9426" w:rsidR="00393915" w:rsidRDefault="00F24D68">
            <w:pPr>
              <w:pStyle w:val="P68B1DB1-TableParagraph73"/>
              <w:spacing w:before="108"/>
              <w:ind w:left="85"/>
              <w:jc w:val="both"/>
              <w:rPr>
                <w:bCs/>
              </w:rPr>
            </w:pPr>
            <w:r>
              <w:t>Mjerodavno pravo</w:t>
            </w:r>
          </w:p>
          <w:p w14:paraId="7FE1CF40" w14:textId="2C49BDFC" w:rsidR="00393915" w:rsidRDefault="00F24D68">
            <w:pPr>
              <w:pStyle w:val="P68B1DB1-TableParagraph40"/>
              <w:spacing w:before="108"/>
              <w:ind w:left="85"/>
              <w:jc w:val="both"/>
            </w:pPr>
            <w:r>
              <w:lastRenderedPageBreak/>
              <w:t xml:space="preserve">Oznaka ISO 3166 – 1 alpha-2 države čije je pravo mjerodavno za instrument (upotrebljava se oznaka ISO 3166 – 2 ako je mjerodavno pravo upravne potpodjele, npr. „US-NY”). Ako se na ugovor primjenjuje pravo više od jedne zemlje, navodi se zemlja čije je pravo od najveće važnosti za priznavanje ovlasti otpisa i konverzije.  </w:t>
            </w:r>
          </w:p>
        </w:tc>
      </w:tr>
      <w:tr w:rsidR="00393915" w14:paraId="7FE1CF4A" w14:textId="77777777">
        <w:tc>
          <w:tcPr>
            <w:tcW w:w="1244" w:type="dxa"/>
            <w:tcBorders>
              <w:top w:val="single" w:sz="8" w:space="0" w:color="1A171C"/>
              <w:left w:val="nil"/>
              <w:bottom w:val="single" w:sz="8" w:space="0" w:color="1A171C"/>
              <w:right w:val="single" w:sz="8" w:space="0" w:color="1A171C"/>
            </w:tcBorders>
            <w:vAlign w:val="center"/>
          </w:tcPr>
          <w:p w14:paraId="7FE1CF42" w14:textId="77777777" w:rsidR="00393915" w:rsidRDefault="00F24D68">
            <w:pPr>
              <w:pStyle w:val="P68B1DB1-Normal31"/>
            </w:pPr>
            <w:r>
              <w:lastRenderedPageBreak/>
              <w:t>0070</w:t>
            </w:r>
          </w:p>
        </w:tc>
        <w:tc>
          <w:tcPr>
            <w:tcW w:w="7782" w:type="dxa"/>
            <w:gridSpan w:val="2"/>
            <w:tcBorders>
              <w:top w:val="single" w:sz="8" w:space="0" w:color="1A171C"/>
              <w:left w:val="single" w:sz="8" w:space="0" w:color="1A171C"/>
              <w:bottom w:val="single" w:sz="8" w:space="0" w:color="1A171C"/>
              <w:right w:val="nil"/>
            </w:tcBorders>
            <w:vAlign w:val="bottom"/>
          </w:tcPr>
          <w:p w14:paraId="7FE1CF43" w14:textId="37132E78" w:rsidR="00393915" w:rsidRDefault="00F24D68">
            <w:pPr>
              <w:pStyle w:val="P68B1DB1-TableParagraph73"/>
              <w:spacing w:before="108"/>
              <w:ind w:left="85"/>
              <w:jc w:val="both"/>
              <w:rPr>
                <w:bCs/>
              </w:rPr>
            </w:pPr>
            <w:r>
              <w:t xml:space="preserve">Ako je riječ o pravu treće zemlje, ugovorno priznavanje </w:t>
            </w:r>
          </w:p>
          <w:p w14:paraId="7FE1CF45" w14:textId="764B1D7B" w:rsidR="00393915" w:rsidRDefault="00F24D68">
            <w:pPr>
              <w:pStyle w:val="P68B1DB1-TableParagraph40"/>
              <w:spacing w:before="108"/>
              <w:ind w:left="85"/>
              <w:jc w:val="both"/>
            </w:pPr>
            <w:r>
              <w:t xml:space="preserve">Utvrđivanje ugovornih odredbi za priznavanje ovlasti </w:t>
            </w:r>
            <w:r w:rsidR="00784F42">
              <w:t>za</w:t>
            </w:r>
            <w:r w:rsidR="00784F42">
              <w:t>za</w:t>
            </w:r>
            <w:r w:rsidR="00784F42">
              <w:t xml:space="preserve"> unu</w:t>
            </w:r>
            <w:r w:rsidR="0084505F">
              <w:t>t</w:t>
            </w:r>
            <w:r w:rsidR="00784F42">
              <w:t>arnju sanaciju</w:t>
            </w:r>
            <w:r>
              <w:t xml:space="preserve"> u skladu s člankom 55. BRRD-a, ili </w:t>
            </w:r>
          </w:p>
          <w:p w14:paraId="7FE1CF46" w14:textId="456EE512" w:rsidR="00393915" w:rsidRDefault="00F24D68">
            <w:pPr>
              <w:pStyle w:val="P68B1DB1-TableParagraph40"/>
              <w:spacing w:before="108"/>
              <w:ind w:left="85"/>
              <w:jc w:val="both"/>
            </w:pPr>
            <w:r>
              <w:t>„Da,</w:t>
            </w:r>
            <w:r w:rsidR="006842BD">
              <w:t xml:space="preserve">poduprijeto </w:t>
            </w:r>
            <w:r>
              <w:t xml:space="preserve">pravnim mišljenjem” = obveza uključuje klauzulu o priznavanju </w:t>
            </w:r>
            <w:r w:rsidR="0084505F">
              <w:t>unutarnje</w:t>
            </w:r>
            <w:r w:rsidR="0084505F">
              <w:t>unutarnje</w:t>
            </w:r>
            <w:r w:rsidR="0084505F">
              <w:t xml:space="preserve"> sanacije</w:t>
            </w:r>
            <w:r>
              <w:t xml:space="preserve"> u skladu s člankom 55. BRRD-a koja je potkrijepljena pravnim mišljenjem;</w:t>
            </w:r>
          </w:p>
          <w:p w14:paraId="7FE1CF47" w14:textId="0F4DCBDF" w:rsidR="00393915" w:rsidRDefault="00F24D68">
            <w:pPr>
              <w:pStyle w:val="P68B1DB1-TableParagraph40"/>
              <w:spacing w:before="108"/>
              <w:ind w:left="85"/>
              <w:jc w:val="both"/>
            </w:pPr>
            <w:r>
              <w:t xml:space="preserve">„Da, nije </w:t>
            </w:r>
            <w:r w:rsidR="000B12BA">
              <w:t xml:space="preserve">poduprijeto </w:t>
            </w:r>
            <w:r>
              <w:t xml:space="preserve">pravnim mišljenjem” = obveza uključuje klauzulu o priznavanju </w:t>
            </w:r>
            <w:r w:rsidR="00FB5506">
              <w:t xml:space="preserve">unutarnje sanacije </w:t>
            </w:r>
            <w:r>
              <w:t xml:space="preserve">u skladu s člankom 55. BRRD-a koja trenutačno nije </w:t>
            </w:r>
            <w:r w:rsidR="001167AF">
              <w:t xml:space="preserve">poduprijeta </w:t>
            </w:r>
            <w:r>
              <w:t>pravnim mišljenjem;</w:t>
            </w:r>
          </w:p>
          <w:p w14:paraId="7FE1CF48" w14:textId="3692E67B" w:rsidR="00393915" w:rsidRDefault="00F24D68">
            <w:pPr>
              <w:pStyle w:val="P68B1DB1-TableParagraph40"/>
              <w:spacing w:before="108"/>
              <w:ind w:left="85"/>
              <w:jc w:val="both"/>
            </w:pPr>
            <w:r>
              <w:t>„Ne” = obveza ne uključuje klauzulu o priznavanju instrumenta</w:t>
            </w:r>
            <w:r w:rsidR="000624F8">
              <w:t xml:space="preserve"> unutarnje sanacije</w:t>
            </w:r>
            <w:r>
              <w:t>;</w:t>
            </w:r>
          </w:p>
          <w:p w14:paraId="7FE1CF49" w14:textId="7EEE5FE5" w:rsidR="00393915" w:rsidRDefault="00F24D68">
            <w:pPr>
              <w:pStyle w:val="P68B1DB1-TableParagraph40"/>
              <w:spacing w:before="108"/>
              <w:ind w:left="85"/>
              <w:jc w:val="both"/>
            </w:pPr>
            <w:r>
              <w:t>„Nije primjenjivo</w:t>
            </w:r>
            <w:r>
              <w:t>”</w:t>
            </w:r>
            <w:r>
              <w:t xml:space="preserve"> s unaprijed definiranog popisa.</w:t>
            </w:r>
          </w:p>
        </w:tc>
      </w:tr>
      <w:tr w:rsidR="00393915" w14:paraId="7FE1CF4E" w14:textId="77777777">
        <w:tc>
          <w:tcPr>
            <w:tcW w:w="1244" w:type="dxa"/>
            <w:vAlign w:val="center"/>
          </w:tcPr>
          <w:p w14:paraId="7FE1CF4B" w14:textId="77777777" w:rsidR="00393915" w:rsidRDefault="00F24D68">
            <w:pPr>
              <w:pStyle w:val="P68B1DB1-Normal31"/>
            </w:pPr>
            <w:r>
              <w:t>0080</w:t>
            </w:r>
          </w:p>
        </w:tc>
        <w:tc>
          <w:tcPr>
            <w:tcW w:w="7782" w:type="dxa"/>
            <w:gridSpan w:val="2"/>
            <w:tcBorders>
              <w:top w:val="single" w:sz="8" w:space="0" w:color="1A171C"/>
              <w:left w:val="single" w:sz="8" w:space="0" w:color="1A171C"/>
              <w:bottom w:val="single" w:sz="8" w:space="0" w:color="1A171C"/>
              <w:right w:val="nil"/>
            </w:tcBorders>
            <w:vAlign w:val="bottom"/>
          </w:tcPr>
          <w:p w14:paraId="7FE1CF4C" w14:textId="5032EB27" w:rsidR="00393915" w:rsidRDefault="00F24D68">
            <w:pPr>
              <w:pStyle w:val="P68B1DB1-TableParagraph73"/>
              <w:spacing w:before="108"/>
              <w:ind w:left="85"/>
              <w:jc w:val="both"/>
              <w:rPr>
                <w:bCs/>
              </w:rPr>
            </w:pPr>
            <w:r>
              <w:t xml:space="preserve">Nepodmireni iznos glavnice </w:t>
            </w:r>
          </w:p>
          <w:p w14:paraId="7FE1CF4D" w14:textId="1F7D6035" w:rsidR="00393915" w:rsidRDefault="00F24D68">
            <w:pPr>
              <w:pStyle w:val="P68B1DB1-TableParagraph40"/>
              <w:spacing w:before="108"/>
              <w:ind w:left="85"/>
              <w:jc w:val="both"/>
            </w:pPr>
            <w:r>
              <w:t>Nepodmireni iznos glavnice obveze.</w:t>
            </w:r>
          </w:p>
        </w:tc>
      </w:tr>
      <w:tr w:rsidR="00393915" w14:paraId="7FE1CF52" w14:textId="77777777">
        <w:tc>
          <w:tcPr>
            <w:tcW w:w="1244" w:type="dxa"/>
            <w:tcBorders>
              <w:top w:val="single" w:sz="8" w:space="0" w:color="1A171C"/>
              <w:left w:val="nil"/>
              <w:bottom w:val="single" w:sz="8" w:space="0" w:color="1A171C"/>
              <w:right w:val="single" w:sz="8" w:space="0" w:color="1A171C"/>
            </w:tcBorders>
            <w:vAlign w:val="center"/>
          </w:tcPr>
          <w:p w14:paraId="7FE1CF4F" w14:textId="77777777" w:rsidR="00393915" w:rsidRDefault="00F24D68">
            <w:pPr>
              <w:pStyle w:val="P68B1DB1-Normal31"/>
            </w:pPr>
            <w:r>
              <w:t>0090</w:t>
            </w:r>
          </w:p>
        </w:tc>
        <w:tc>
          <w:tcPr>
            <w:tcW w:w="7782" w:type="dxa"/>
            <w:gridSpan w:val="2"/>
            <w:tcBorders>
              <w:top w:val="single" w:sz="8" w:space="0" w:color="1A171C"/>
              <w:left w:val="single" w:sz="8" w:space="0" w:color="1A171C"/>
              <w:bottom w:val="single" w:sz="8" w:space="0" w:color="1A171C"/>
              <w:right w:val="nil"/>
            </w:tcBorders>
            <w:vAlign w:val="bottom"/>
          </w:tcPr>
          <w:p w14:paraId="7FE1CF50" w14:textId="77777777" w:rsidR="00393915" w:rsidRDefault="00F24D68">
            <w:pPr>
              <w:pStyle w:val="P68B1DB1-TableParagraph73"/>
              <w:spacing w:before="108"/>
              <w:ind w:left="85"/>
              <w:jc w:val="both"/>
              <w:rPr>
                <w:bCs/>
              </w:rPr>
            </w:pPr>
            <w:r>
              <w:t>Obračunate kamate</w:t>
            </w:r>
          </w:p>
          <w:p w14:paraId="7FE1CF51" w14:textId="6BF1C45C" w:rsidR="00393915" w:rsidRDefault="00F24D68">
            <w:pPr>
              <w:pStyle w:val="P68B1DB1-TableParagraph40"/>
              <w:spacing w:before="108"/>
              <w:ind w:left="85"/>
              <w:jc w:val="both"/>
            </w:pPr>
            <w:r>
              <w:t>Nepodmirene obračunate kamate na obvezu.</w:t>
            </w:r>
          </w:p>
        </w:tc>
      </w:tr>
      <w:tr w:rsidR="00393915" w14:paraId="7FE1CF56" w14:textId="77777777">
        <w:tc>
          <w:tcPr>
            <w:tcW w:w="1244" w:type="dxa"/>
            <w:tcBorders>
              <w:top w:val="single" w:sz="8" w:space="0" w:color="1A171C"/>
              <w:left w:val="nil"/>
              <w:bottom w:val="single" w:sz="8" w:space="0" w:color="1A171C"/>
              <w:right w:val="single" w:sz="8" w:space="0" w:color="1A171C"/>
            </w:tcBorders>
            <w:vAlign w:val="center"/>
          </w:tcPr>
          <w:p w14:paraId="7FE1CF53" w14:textId="77777777" w:rsidR="00393915" w:rsidRDefault="00F24D68">
            <w:pPr>
              <w:pStyle w:val="P68B1DB1-Normal31"/>
            </w:pPr>
            <w:r>
              <w:t>0100</w:t>
            </w:r>
          </w:p>
        </w:tc>
        <w:tc>
          <w:tcPr>
            <w:tcW w:w="7782" w:type="dxa"/>
            <w:gridSpan w:val="2"/>
            <w:tcBorders>
              <w:top w:val="single" w:sz="8" w:space="0" w:color="1A171C"/>
              <w:left w:val="single" w:sz="8" w:space="0" w:color="1A171C"/>
              <w:bottom w:val="single" w:sz="8" w:space="0" w:color="1A171C"/>
              <w:right w:val="nil"/>
            </w:tcBorders>
            <w:vAlign w:val="bottom"/>
          </w:tcPr>
          <w:p w14:paraId="7FE1CF54" w14:textId="3506FC94" w:rsidR="00393915" w:rsidRDefault="00F24D68">
            <w:pPr>
              <w:pStyle w:val="P68B1DB1-TableParagraph73"/>
              <w:spacing w:before="108"/>
              <w:ind w:left="85"/>
              <w:jc w:val="both"/>
              <w:rPr>
                <w:bCs/>
              </w:rPr>
            </w:pPr>
            <w:r>
              <w:t>Valuta</w:t>
            </w:r>
          </w:p>
          <w:p w14:paraId="7FE1CF55" w14:textId="7419E4E6" w:rsidR="00393915" w:rsidRDefault="00F24D68">
            <w:pPr>
              <w:pStyle w:val="P68B1DB1-TableParagraph40"/>
              <w:spacing w:before="108"/>
              <w:ind w:left="85"/>
              <w:jc w:val="both"/>
            </w:pPr>
            <w:r>
              <w:t>Valuta obveze u skladu s troslovnom oznakom ISO 4217.</w:t>
            </w:r>
          </w:p>
        </w:tc>
      </w:tr>
      <w:tr w:rsidR="00393915" w14:paraId="7FE1CF5A" w14:textId="77777777">
        <w:tc>
          <w:tcPr>
            <w:tcW w:w="1244" w:type="dxa"/>
            <w:tcBorders>
              <w:top w:val="single" w:sz="8" w:space="0" w:color="1A171C"/>
              <w:left w:val="nil"/>
              <w:bottom w:val="single" w:sz="8" w:space="0" w:color="1A171C"/>
              <w:right w:val="single" w:sz="8" w:space="0" w:color="1A171C"/>
            </w:tcBorders>
            <w:vAlign w:val="center"/>
          </w:tcPr>
          <w:p w14:paraId="7FE1CF57" w14:textId="77777777" w:rsidR="00393915" w:rsidRDefault="00F24D68">
            <w:pPr>
              <w:pStyle w:val="P68B1DB1-Normal31"/>
            </w:pPr>
            <w:r>
              <w:t>0110</w:t>
            </w:r>
          </w:p>
        </w:tc>
        <w:tc>
          <w:tcPr>
            <w:tcW w:w="7782" w:type="dxa"/>
            <w:gridSpan w:val="2"/>
            <w:tcBorders>
              <w:top w:val="single" w:sz="8" w:space="0" w:color="1A171C"/>
              <w:left w:val="single" w:sz="8" w:space="0" w:color="1A171C"/>
              <w:bottom w:val="single" w:sz="8" w:space="0" w:color="1A171C"/>
              <w:right w:val="nil"/>
            </w:tcBorders>
            <w:vAlign w:val="bottom"/>
          </w:tcPr>
          <w:p w14:paraId="7FE1CF58" w14:textId="77777777" w:rsidR="00393915" w:rsidRDefault="00F24D68">
            <w:pPr>
              <w:pStyle w:val="P68B1DB1-TableParagraph73"/>
              <w:spacing w:before="108"/>
              <w:ind w:left="85"/>
              <w:jc w:val="both"/>
              <w:rPr>
                <w:bCs/>
              </w:rPr>
            </w:pPr>
            <w:r>
              <w:t>Datum izdavanja</w:t>
            </w:r>
          </w:p>
          <w:p w14:paraId="7FE1CF59" w14:textId="77777777" w:rsidR="00393915" w:rsidRDefault="00F24D68">
            <w:pPr>
              <w:pStyle w:val="P68B1DB1-TableParagraph40"/>
              <w:spacing w:before="108"/>
              <w:ind w:left="85"/>
              <w:jc w:val="both"/>
            </w:pPr>
            <w:r>
              <w:t>Datum izvornog izdavanja obveze. Za transakcije financiranja vrijednosnim papirima koje su predmet sporazuma o netiranju i iskazane kao skup za netiranje, kao datum izdavanja može se upotrijebiti izvještajni datum.</w:t>
            </w:r>
          </w:p>
        </w:tc>
      </w:tr>
      <w:tr w:rsidR="00393915" w14:paraId="7FE1CF5E" w14:textId="77777777">
        <w:tc>
          <w:tcPr>
            <w:tcW w:w="1244" w:type="dxa"/>
            <w:tcBorders>
              <w:top w:val="single" w:sz="8" w:space="0" w:color="1A171C"/>
              <w:left w:val="nil"/>
              <w:bottom w:val="single" w:sz="8" w:space="0" w:color="1A171C"/>
              <w:right w:val="single" w:sz="8" w:space="0" w:color="1A171C"/>
            </w:tcBorders>
            <w:vAlign w:val="center"/>
          </w:tcPr>
          <w:p w14:paraId="7FE1CF5B" w14:textId="77777777" w:rsidR="00393915" w:rsidRDefault="00F24D68">
            <w:pPr>
              <w:pStyle w:val="P68B1DB1-Normal31"/>
            </w:pPr>
            <w:r>
              <w:t>0120</w:t>
            </w:r>
          </w:p>
        </w:tc>
        <w:tc>
          <w:tcPr>
            <w:tcW w:w="7782" w:type="dxa"/>
            <w:gridSpan w:val="2"/>
            <w:tcBorders>
              <w:top w:val="single" w:sz="8" w:space="0" w:color="1A171C"/>
              <w:left w:val="single" w:sz="8" w:space="0" w:color="1A171C"/>
              <w:bottom w:val="single" w:sz="8" w:space="0" w:color="1A171C"/>
              <w:right w:val="nil"/>
            </w:tcBorders>
            <w:vAlign w:val="bottom"/>
          </w:tcPr>
          <w:p w14:paraId="7FE1CF5C" w14:textId="77777777" w:rsidR="00393915" w:rsidRDefault="00F24D68">
            <w:pPr>
              <w:pStyle w:val="P68B1DB1-TableParagraph73"/>
              <w:spacing w:before="108"/>
              <w:ind w:left="85"/>
              <w:jc w:val="both"/>
              <w:rPr>
                <w:bCs/>
              </w:rPr>
            </w:pPr>
            <w:r>
              <w:t>Datum najranijeg povlačenja</w:t>
            </w:r>
          </w:p>
          <w:p w14:paraId="7FE1CF5D" w14:textId="206F36C8" w:rsidR="00393915" w:rsidRDefault="00F24D68">
            <w:pPr>
              <w:pStyle w:val="P68B1DB1-TableParagraph40"/>
              <w:spacing w:before="108"/>
              <w:ind w:left="85"/>
              <w:jc w:val="both"/>
            </w:pPr>
            <w:r>
              <w:t>Ako postoji mogućnost da vjerovnik zatraži prijevremenu otplatu ili su ugovorom predviđeni uvjeti za prijevremenu otplatu obveze, navedite najraniji datum nastanka obveze. Ako se prijevremeni povrat odnosi samo na dio obveze (npr. prijevremeni povrat 50 % nominalnog iznosa), podijelite obvezu kako bi se uzela u obzir ta klauzula o djelomičnom prijevremenom otkupu. Za transakcije financiranja vrijednosnim papirima koje su predmet sporazuma o netiranju i iskazane kao skup za netiranje koristi se dan nakon izvještajnog datuma.</w:t>
            </w:r>
          </w:p>
        </w:tc>
      </w:tr>
      <w:tr w:rsidR="00393915" w14:paraId="7FE1CF63" w14:textId="77777777">
        <w:tc>
          <w:tcPr>
            <w:tcW w:w="1244" w:type="dxa"/>
            <w:tcBorders>
              <w:top w:val="single" w:sz="8" w:space="0" w:color="1A171C"/>
              <w:left w:val="nil"/>
              <w:bottom w:val="single" w:sz="8" w:space="0" w:color="1A171C"/>
              <w:right w:val="single" w:sz="8" w:space="0" w:color="1A171C"/>
            </w:tcBorders>
            <w:vAlign w:val="center"/>
          </w:tcPr>
          <w:p w14:paraId="7FE1CF5F" w14:textId="77777777" w:rsidR="00393915" w:rsidRDefault="00F24D68">
            <w:pPr>
              <w:pStyle w:val="P68B1DB1-Normal31"/>
            </w:pPr>
            <w:r>
              <w:t>0130</w:t>
            </w:r>
          </w:p>
        </w:tc>
        <w:tc>
          <w:tcPr>
            <w:tcW w:w="7782" w:type="dxa"/>
            <w:gridSpan w:val="2"/>
            <w:tcBorders>
              <w:top w:val="single" w:sz="8" w:space="0" w:color="1A171C"/>
              <w:left w:val="single" w:sz="8" w:space="0" w:color="1A171C"/>
              <w:bottom w:val="single" w:sz="8" w:space="0" w:color="1A171C"/>
              <w:right w:val="nil"/>
            </w:tcBorders>
            <w:vAlign w:val="bottom"/>
          </w:tcPr>
          <w:p w14:paraId="7FE1CF60" w14:textId="77777777" w:rsidR="00393915" w:rsidRDefault="00F24D68">
            <w:pPr>
              <w:pStyle w:val="P68B1DB1-TableParagraph73"/>
              <w:spacing w:before="108"/>
              <w:ind w:left="85"/>
              <w:jc w:val="both"/>
              <w:rPr>
                <w:bCs/>
              </w:rPr>
            </w:pPr>
            <w:r>
              <w:t>Propisano dospijeće</w:t>
            </w:r>
          </w:p>
          <w:p w14:paraId="7FE1CF61" w14:textId="75E02A7F" w:rsidR="00393915" w:rsidRDefault="00F24D68">
            <w:pPr>
              <w:pStyle w:val="P68B1DB1-TableParagraph40"/>
              <w:spacing w:before="108"/>
              <w:ind w:left="85"/>
              <w:jc w:val="both"/>
            </w:pPr>
            <w:r>
              <w:t xml:space="preserve">Datum </w:t>
            </w:r>
            <w:r w:rsidR="00F735B5">
              <w:t>propisanog</w:t>
            </w:r>
            <w:r w:rsidR="00F735B5">
              <w:t>propisanog</w:t>
            </w:r>
            <w:r>
              <w:t>, konačnog dospijeća obveze. Za vrijednosne papire bez dospijeća navodi se „</w:t>
            </w:r>
            <w:r w:rsidR="00185D72" w:rsidRPr="002F61BB">
              <w:t>2099-01-31</w:t>
            </w:r>
            <w:r>
              <w:t>”.</w:t>
            </w:r>
          </w:p>
          <w:p w14:paraId="7FE1CF62" w14:textId="77777777" w:rsidR="00393915" w:rsidRDefault="00F24D68">
            <w:pPr>
              <w:pStyle w:val="P68B1DB1-TableParagraph40"/>
              <w:spacing w:before="108"/>
              <w:ind w:left="85"/>
              <w:jc w:val="both"/>
            </w:pPr>
            <w:r>
              <w:t>Za transakcije financiranja vrijednosnim papirima koje su predmet sporazuma o netiranju i iskazane kao skup za netiranje koristi se dan nakon izvještajnog datuma.</w:t>
            </w:r>
          </w:p>
        </w:tc>
      </w:tr>
      <w:tr w:rsidR="00393915" w14:paraId="7FE1CF67" w14:textId="77777777">
        <w:tc>
          <w:tcPr>
            <w:tcW w:w="1244" w:type="dxa"/>
            <w:tcBorders>
              <w:top w:val="single" w:sz="8" w:space="0" w:color="1A171C"/>
              <w:left w:val="nil"/>
              <w:bottom w:val="single" w:sz="8" w:space="0" w:color="1A171C"/>
              <w:right w:val="single" w:sz="8" w:space="0" w:color="1A171C"/>
            </w:tcBorders>
            <w:vAlign w:val="center"/>
          </w:tcPr>
          <w:p w14:paraId="7FE1CF64" w14:textId="77777777" w:rsidR="00393915" w:rsidRDefault="00F24D68">
            <w:pPr>
              <w:pStyle w:val="P68B1DB1-Normal31"/>
            </w:pPr>
            <w:r>
              <w:t>0150</w:t>
            </w:r>
          </w:p>
        </w:tc>
        <w:tc>
          <w:tcPr>
            <w:tcW w:w="7782" w:type="dxa"/>
            <w:gridSpan w:val="2"/>
            <w:tcBorders>
              <w:top w:val="single" w:sz="8" w:space="0" w:color="1A171C"/>
              <w:left w:val="single" w:sz="8" w:space="0" w:color="1A171C"/>
              <w:bottom w:val="single" w:sz="8" w:space="0" w:color="1A171C"/>
              <w:right w:val="nil"/>
            </w:tcBorders>
            <w:vAlign w:val="bottom"/>
          </w:tcPr>
          <w:p w14:paraId="7FE1CF65" w14:textId="33CB4BFD" w:rsidR="00393915" w:rsidRDefault="00F24D68">
            <w:pPr>
              <w:pStyle w:val="P68B1DB1-TableParagraph73"/>
              <w:spacing w:before="108"/>
              <w:ind w:left="85"/>
              <w:jc w:val="both"/>
              <w:rPr>
                <w:bCs/>
              </w:rPr>
            </w:pPr>
            <w:r>
              <w:t xml:space="preserve">Iznos </w:t>
            </w:r>
            <w:r w:rsidR="001219BC">
              <w:t>zaloga</w:t>
            </w:r>
            <w:r w:rsidR="001219BC">
              <w:t>zaloga</w:t>
            </w:r>
            <w:r>
              <w:t>, založnog prava ili kolaterala</w:t>
            </w:r>
          </w:p>
          <w:p w14:paraId="7FE1CF66" w14:textId="192EFA82" w:rsidR="00393915" w:rsidRDefault="00F24D68">
            <w:pPr>
              <w:pStyle w:val="P68B1DB1-TableParagraph40"/>
              <w:spacing w:before="108"/>
              <w:ind w:left="85"/>
              <w:jc w:val="both"/>
            </w:pPr>
            <w:r>
              <w:t xml:space="preserve">Ako je obveza osigurana </w:t>
            </w:r>
            <w:r w:rsidR="00230374">
              <w:t>zalogom</w:t>
            </w:r>
            <w:r w:rsidR="00230374">
              <w:t>zalogom</w:t>
            </w:r>
            <w:r>
              <w:t>, založnim pravom ili kolateralom, navodi se njegova bruto vrijednost. U protivnom se za neosigurane obveze ova kategorija iskazuje kao nula. Tim će se iznosom odrediti kolateralizirani i naposljetku neosigurani dio bilo koje osigurane obveze. Za skupove kolaterala kojima se osigurava više stavki redaka utvrđuje se ukupni omjer pokrića i primjenjuje se razmjerno na sve stavke redaka obuhvaćene tim skupom.</w:t>
            </w:r>
          </w:p>
        </w:tc>
      </w:tr>
      <w:tr w:rsidR="00393915" w14:paraId="7FE1CF6B" w14:textId="77777777">
        <w:tc>
          <w:tcPr>
            <w:tcW w:w="1244" w:type="dxa"/>
            <w:tcBorders>
              <w:top w:val="single" w:sz="8" w:space="0" w:color="1A171C"/>
              <w:left w:val="nil"/>
              <w:bottom w:val="single" w:sz="8" w:space="0" w:color="1A171C"/>
              <w:right w:val="single" w:sz="8" w:space="0" w:color="1A171C"/>
            </w:tcBorders>
            <w:vAlign w:val="center"/>
          </w:tcPr>
          <w:p w14:paraId="7FE1CF68" w14:textId="77777777" w:rsidR="00393915" w:rsidRDefault="00F24D68">
            <w:pPr>
              <w:pStyle w:val="P68B1DB1-Normal31"/>
            </w:pPr>
            <w:r>
              <w:t>0160</w:t>
            </w:r>
          </w:p>
        </w:tc>
        <w:tc>
          <w:tcPr>
            <w:tcW w:w="7782" w:type="dxa"/>
            <w:gridSpan w:val="2"/>
            <w:tcBorders>
              <w:top w:val="single" w:sz="8" w:space="0" w:color="1A171C"/>
              <w:left w:val="single" w:sz="8" w:space="0" w:color="1A171C"/>
              <w:bottom w:val="single" w:sz="8" w:space="0" w:color="1A171C"/>
              <w:right w:val="nil"/>
            </w:tcBorders>
            <w:vAlign w:val="bottom"/>
          </w:tcPr>
          <w:p w14:paraId="7FE1CF69" w14:textId="77777777" w:rsidR="00393915" w:rsidRDefault="00F24D68">
            <w:pPr>
              <w:pStyle w:val="P68B1DB1-TableParagraph73"/>
              <w:spacing w:before="108"/>
              <w:ind w:left="85"/>
              <w:jc w:val="both"/>
              <w:rPr>
                <w:bCs/>
              </w:rPr>
            </w:pPr>
            <w:r>
              <w:t>Jamac, ako je primjenjivo</w:t>
            </w:r>
          </w:p>
          <w:p w14:paraId="7FE1CF6A" w14:textId="67B3D30B" w:rsidR="00393915" w:rsidRDefault="00F24D68">
            <w:pPr>
              <w:pStyle w:val="P68B1DB1-TableParagraph40"/>
              <w:spacing w:before="108"/>
              <w:ind w:left="85"/>
              <w:jc w:val="both"/>
            </w:pPr>
            <w:r>
              <w:t xml:space="preserve">Ako su za instrument osigurana jamstva, navedite detaljnu identifikaciju jamca (oznaka LEI, ISO 3166 – 1 alpha-2 oznaka države za državu itd.). Ako postoji više jamca, navesti sve </w:t>
            </w:r>
            <w:r>
              <w:lastRenderedPageBreak/>
              <w:t xml:space="preserve">identifikacijske oznake odvojene točkom </w:t>
            </w:r>
            <w:r>
              <w:t>zarez</w:t>
            </w:r>
            <w:r>
              <w:t>.</w:t>
            </w:r>
          </w:p>
        </w:tc>
      </w:tr>
      <w:tr w:rsidR="00393915" w14:paraId="7FE1CF70" w14:textId="77777777">
        <w:tc>
          <w:tcPr>
            <w:tcW w:w="1244" w:type="dxa"/>
            <w:tcBorders>
              <w:top w:val="single" w:sz="8" w:space="0" w:color="1A171C"/>
              <w:left w:val="nil"/>
              <w:bottom w:val="single" w:sz="8" w:space="0" w:color="1A171C"/>
              <w:right w:val="single" w:sz="8" w:space="0" w:color="1A171C"/>
            </w:tcBorders>
            <w:vAlign w:val="center"/>
          </w:tcPr>
          <w:p w14:paraId="7FE1CF6C" w14:textId="77777777" w:rsidR="00393915" w:rsidRDefault="00F24D68">
            <w:pPr>
              <w:pStyle w:val="P68B1DB1-Normal31"/>
            </w:pPr>
            <w:r>
              <w:lastRenderedPageBreak/>
              <w:t>0175</w:t>
            </w:r>
          </w:p>
        </w:tc>
        <w:tc>
          <w:tcPr>
            <w:tcW w:w="7782" w:type="dxa"/>
            <w:gridSpan w:val="2"/>
            <w:tcBorders>
              <w:top w:val="single" w:sz="8" w:space="0" w:color="1A171C"/>
              <w:left w:val="single" w:sz="8" w:space="0" w:color="1A171C"/>
              <w:bottom w:val="single" w:sz="8" w:space="0" w:color="1A171C"/>
              <w:right w:val="nil"/>
            </w:tcBorders>
            <w:vAlign w:val="bottom"/>
          </w:tcPr>
          <w:p w14:paraId="7FE1CF6D" w14:textId="2F4CF6F7" w:rsidR="00393915" w:rsidRDefault="00F24D68">
            <w:pPr>
              <w:pStyle w:val="P68B1DB1-TableParagraph73"/>
              <w:spacing w:before="108"/>
              <w:ind w:left="85"/>
              <w:jc w:val="both"/>
              <w:rPr>
                <w:bCs/>
              </w:rPr>
            </w:pPr>
            <w:r>
              <w:t>Iznos koji ispunjava uvjete za prihvatljivost MREL-a</w:t>
            </w:r>
          </w:p>
          <w:p w14:paraId="7FE1CF6F" w14:textId="4E658BD3" w:rsidR="00393915" w:rsidRDefault="00F24D68">
            <w:pPr>
              <w:pStyle w:val="P68B1DB1-TableParagraph40"/>
              <w:spacing w:before="108"/>
              <w:ind w:left="85"/>
              <w:jc w:val="both"/>
            </w:pPr>
            <w:r>
              <w:t xml:space="preserve">Iznos regulatornog kapitala i prihvatljivih obveza koji se uračunava u zahtjev utvrđen u skladu s člankom 45. stavkom 1. Direktive 2014/59/EU. </w:t>
            </w:r>
          </w:p>
        </w:tc>
      </w:tr>
      <w:tr w:rsidR="00393915" w14:paraId="7FE1CF76" w14:textId="77777777">
        <w:tc>
          <w:tcPr>
            <w:tcW w:w="1244" w:type="dxa"/>
            <w:tcBorders>
              <w:top w:val="single" w:sz="8" w:space="0" w:color="1A171C"/>
              <w:left w:val="nil"/>
              <w:bottom w:val="single" w:sz="8" w:space="0" w:color="1A171C"/>
              <w:right w:val="single" w:sz="8" w:space="0" w:color="1A171C"/>
            </w:tcBorders>
            <w:vAlign w:val="center"/>
          </w:tcPr>
          <w:p w14:paraId="7FE1CF71" w14:textId="77777777" w:rsidR="00393915" w:rsidRDefault="00F24D68">
            <w:pPr>
              <w:pStyle w:val="P68B1DB1-Normal31"/>
            </w:pPr>
            <w:r>
              <w:t>0180</w:t>
            </w:r>
          </w:p>
        </w:tc>
        <w:tc>
          <w:tcPr>
            <w:tcW w:w="7782" w:type="dxa"/>
            <w:gridSpan w:val="2"/>
            <w:tcBorders>
              <w:top w:val="single" w:sz="8" w:space="0" w:color="1A171C"/>
              <w:left w:val="single" w:sz="8" w:space="0" w:color="1A171C"/>
              <w:bottom w:val="single" w:sz="8" w:space="0" w:color="1A171C"/>
              <w:right w:val="nil"/>
            </w:tcBorders>
            <w:vAlign w:val="bottom"/>
          </w:tcPr>
          <w:p w14:paraId="7FE1CF72" w14:textId="78B442DB" w:rsidR="00393915" w:rsidRDefault="00F24D68">
            <w:pPr>
              <w:pStyle w:val="P68B1DB1-TableParagraph73"/>
              <w:spacing w:before="108"/>
              <w:ind w:left="85"/>
              <w:jc w:val="both"/>
              <w:rPr>
                <w:bCs/>
              </w:rPr>
            </w:pPr>
            <w:r>
              <w:t xml:space="preserve">Ispunjava uvjete za </w:t>
            </w:r>
            <w:r w:rsidR="00BD190A">
              <w:t>regulatorni</w:t>
            </w:r>
            <w:r w:rsidR="00BD190A">
              <w:t>regulatorni</w:t>
            </w:r>
            <w:r w:rsidR="00BD190A">
              <w:t xml:space="preserve"> kapital</w:t>
            </w:r>
          </w:p>
          <w:p w14:paraId="7FE1CF73" w14:textId="5A776CE9" w:rsidR="00393915" w:rsidRDefault="00F24D68">
            <w:pPr>
              <w:pStyle w:val="P68B1DB1-TableParagraph40"/>
              <w:spacing w:before="108"/>
              <w:ind w:left="85"/>
              <w:jc w:val="both"/>
            </w:pPr>
            <w:r>
              <w:t>Navesti je li i na kojoj razini instrument uključen u regulatorni kapital, uz informacije o režimu postupnog ukidanja i aranžmanima za nastavak priznavanja. Vrijednost može biti „Ne”, „djelomično AT1, T1 i T2”, „T2 u postupnom ukidanju”, „</w:t>
            </w:r>
            <w:r w:rsidR="00E5164D">
              <w:t xml:space="preserve">nastavak priznavanja </w:t>
            </w:r>
            <w:r>
              <w:t>T2”, „</w:t>
            </w:r>
            <w:r w:rsidR="00182899">
              <w:t>p</w:t>
            </w:r>
            <w:r w:rsidR="00182899">
              <w:t>p</w:t>
            </w:r>
            <w:r>
              <w:t>otpuno</w:t>
            </w:r>
            <w:r>
              <w:t xml:space="preserve"> usklađeni T2”, „</w:t>
            </w:r>
            <w:r w:rsidR="00E5164D">
              <w:t xml:space="preserve">nastavak priznavanja </w:t>
            </w:r>
            <w:r>
              <w:t>AT1”, „</w:t>
            </w:r>
            <w:r w:rsidR="00182899">
              <w:t>p</w:t>
            </w:r>
            <w:r w:rsidR="00182899">
              <w:t>p</w:t>
            </w:r>
            <w:r>
              <w:t>otpuno</w:t>
            </w:r>
            <w:r>
              <w:t xml:space="preserve"> usklađeni AT1” ili „CET1” s unaprijed definiranog popisa.</w:t>
            </w:r>
          </w:p>
          <w:p w14:paraId="7FE1CF74" w14:textId="7E773EEF" w:rsidR="00393915" w:rsidRDefault="00F24D68">
            <w:pPr>
              <w:pStyle w:val="P68B1DB1-TableParagraph40"/>
              <w:spacing w:before="108"/>
              <w:ind w:left="85"/>
              <w:jc w:val="both"/>
            </w:pPr>
            <w:r>
              <w:t xml:space="preserve">U popisu opcija pojam „postupno ukidanje” odnosi se na razdoblje od pet godina prije dospijeća bilo kojeg </w:t>
            </w:r>
            <w:r w:rsidR="00241859">
              <w:t xml:space="preserve">T2 </w:t>
            </w:r>
            <w:r>
              <w:t xml:space="preserve">instrumenta, tijekom kojeg postoji samo razmjerno priznavanje na temelju preostalog vremena do dospijeća. </w:t>
            </w:r>
            <w:r w:rsidR="00241859">
              <w:t>Nastavak</w:t>
            </w:r>
            <w:r>
              <w:t>„</w:t>
            </w:r>
            <w:r w:rsidR="00241859">
              <w:t>Nastavak</w:t>
            </w:r>
            <w:r w:rsidR="00241859">
              <w:t xml:space="preserve"> priznavanja</w:t>
            </w:r>
            <w:r>
              <w:t xml:space="preserve">” odnosi se na bilo koju prijelaznu mjeru koja se primjenjuje na </w:t>
            </w:r>
            <w:r w:rsidR="00920338">
              <w:t xml:space="preserve">T2 </w:t>
            </w:r>
            <w:r>
              <w:t>instrument, ne uključujući „postupno ukidanje”. Tijekom tog „</w:t>
            </w:r>
            <w:r w:rsidR="00C32312">
              <w:t>nastavka</w:t>
            </w:r>
            <w:r w:rsidR="00C32312">
              <w:t>nastavka</w:t>
            </w:r>
            <w:r>
              <w:t xml:space="preserve"> priznavanja” priznavanje može biti potpuno ili djelomično.</w:t>
            </w:r>
          </w:p>
          <w:p w14:paraId="7FE1CF75" w14:textId="77777777" w:rsidR="00393915" w:rsidRDefault="00393915">
            <w:pPr>
              <w:pStyle w:val="TableParagraph"/>
              <w:spacing w:before="108"/>
              <w:ind w:left="85"/>
              <w:jc w:val="both"/>
              <w:rPr>
                <w:rFonts w:ascii="Times New Roman" w:eastAsia="Times New Roman" w:hAnsi="Times New Roman" w:cs="Times New Roman"/>
                <w:sz w:val="20"/>
                <w:szCs w:val="20"/>
              </w:rPr>
            </w:pPr>
          </w:p>
        </w:tc>
      </w:tr>
      <w:tr w:rsidR="00393915" w14:paraId="7FE1CF7A" w14:textId="77777777">
        <w:tc>
          <w:tcPr>
            <w:tcW w:w="1244" w:type="dxa"/>
            <w:tcBorders>
              <w:top w:val="single" w:sz="8" w:space="0" w:color="1A171C"/>
              <w:left w:val="nil"/>
              <w:bottom w:val="single" w:sz="8" w:space="0" w:color="1A171C"/>
              <w:right w:val="single" w:sz="8" w:space="0" w:color="1A171C"/>
            </w:tcBorders>
            <w:vAlign w:val="center"/>
          </w:tcPr>
          <w:p w14:paraId="7FE1CF77" w14:textId="77777777" w:rsidR="00393915" w:rsidRDefault="00F24D68">
            <w:pPr>
              <w:pStyle w:val="P68B1DB1-Normal31"/>
            </w:pPr>
            <w:r>
              <w:t>0190</w:t>
            </w:r>
          </w:p>
        </w:tc>
        <w:tc>
          <w:tcPr>
            <w:tcW w:w="7782" w:type="dxa"/>
            <w:gridSpan w:val="2"/>
            <w:tcBorders>
              <w:top w:val="single" w:sz="8" w:space="0" w:color="1A171C"/>
              <w:left w:val="single" w:sz="8" w:space="0" w:color="1A171C"/>
              <w:bottom w:val="single" w:sz="8" w:space="0" w:color="1A171C"/>
              <w:right w:val="nil"/>
            </w:tcBorders>
            <w:vAlign w:val="bottom"/>
          </w:tcPr>
          <w:p w14:paraId="7FE1CF78" w14:textId="3FB6632A" w:rsidR="00393915" w:rsidRDefault="00F24D68">
            <w:pPr>
              <w:pStyle w:val="P68B1DB1-TableParagraph73"/>
              <w:spacing w:before="108"/>
              <w:ind w:left="85"/>
              <w:jc w:val="both"/>
              <w:rPr>
                <w:bCs/>
              </w:rPr>
            </w:pPr>
            <w:r>
              <w:t xml:space="preserve">Iznos koji je kvalificiran kao </w:t>
            </w:r>
            <w:r w:rsidR="000911C5">
              <w:t>regulatorni</w:t>
            </w:r>
            <w:r w:rsidR="000911C5">
              <w:t>regulatorni</w:t>
            </w:r>
            <w:r w:rsidR="000911C5">
              <w:t xml:space="preserve"> kapital</w:t>
            </w:r>
          </w:p>
          <w:p w14:paraId="7FE1CF79" w14:textId="28EFFBCF" w:rsidR="00393915" w:rsidRDefault="00F24D68">
            <w:pPr>
              <w:pStyle w:val="P68B1DB1-TableParagraph40"/>
              <w:spacing w:before="108"/>
              <w:ind w:left="85"/>
              <w:jc w:val="both"/>
            </w:pPr>
            <w:r>
              <w:t>Iznos instrumenta koji se smatra regulatornim kapitalom.</w:t>
            </w:r>
          </w:p>
        </w:tc>
      </w:tr>
    </w:tbl>
    <w:p w14:paraId="7FE1CF7B" w14:textId="77777777" w:rsidR="00393915" w:rsidRDefault="00393915">
      <w:pPr>
        <w:pStyle w:val="Instructionsberschrift2"/>
        <w:ind w:left="357"/>
        <w:rPr>
          <w:rFonts w:ascii="Times New Roman" w:eastAsia="Calibri" w:hAnsi="Times New Roman" w:cs="Times New Roman"/>
          <w:szCs w:val="20"/>
        </w:rPr>
      </w:pPr>
    </w:p>
    <w:p w14:paraId="7FE1CF7C" w14:textId="78CE26C4" w:rsidR="00393915" w:rsidRDefault="00F24D68">
      <w:pPr>
        <w:pStyle w:val="Instructionsberschrift2"/>
        <w:numPr>
          <w:ilvl w:val="1"/>
          <w:numId w:val="49"/>
        </w:numPr>
        <w:spacing w:before="0"/>
        <w:ind w:left="357" w:hanging="357"/>
        <w:rPr>
          <w:rFonts w:ascii="Times New Roman" w:hAnsi="Times New Roman" w:cs="Times New Roman"/>
        </w:rPr>
      </w:pPr>
      <w:bookmarkStart w:id="245" w:name="_Toc208244830"/>
      <w:r>
        <w:rPr>
          <w:rFonts w:ascii="Times New Roman" w:hAnsi="Times New Roman" w:cs="Times New Roman"/>
          <w:color w:val="000000" w:themeColor="text1"/>
        </w:rPr>
        <w:t xml:space="preserve">Z 12:00 – </w:t>
      </w:r>
      <w:r>
        <w:rPr>
          <w:rFonts w:ascii="Times New Roman" w:eastAsia="Cambria" w:hAnsi="Times New Roman" w:cs="Times New Roman"/>
        </w:rPr>
        <w:t>vrijednosni papiri (uključujući instrumente redovnog osnovnog kapitala, dodatnog osnovnog kapitala i dopunskog kapitala; isključujući unutargrupnu skupinu)</w:t>
      </w:r>
      <w:bookmarkEnd w:id="244"/>
      <w:r>
        <w:rPr>
          <w:rFonts w:ascii="Times New Roman" w:eastAsia="Cambria" w:hAnsi="Times New Roman" w:cs="Times New Roman"/>
        </w:rPr>
        <w:t xml:space="preserve"> </w:t>
      </w:r>
      <w:r>
        <w:rPr>
          <w:rFonts w:ascii="Times New Roman" w:eastAsia="Calibri" w:hAnsi="Times New Roman" w:cs="Times New Roman"/>
          <w:szCs w:val="20"/>
        </w:rPr>
        <w:t>(LIAB-G-2)</w:t>
      </w:r>
      <w:bookmarkEnd w:id="245"/>
    </w:p>
    <w:p w14:paraId="7FE1CF7D" w14:textId="77777777" w:rsidR="00393915" w:rsidRDefault="00F24D68">
      <w:pPr>
        <w:pStyle w:val="P68B1DB1-Numberedtitlelevel372"/>
      </w:pPr>
      <w:r>
        <w:t>Opće napomene</w:t>
      </w:r>
    </w:p>
    <w:p w14:paraId="7FE1CF7F" w14:textId="3C4EA575" w:rsidR="00393915" w:rsidRDefault="00F24D68">
      <w:pPr>
        <w:pStyle w:val="InstructionsText2"/>
        <w:spacing w:before="0"/>
        <w:ind w:left="1134"/>
        <w:rPr>
          <w:rFonts w:ascii="Times New Roman" w:eastAsiaTheme="majorEastAsia" w:hAnsi="Times New Roman" w:cs="Times New Roman"/>
          <w:sz w:val="20"/>
          <w:szCs w:val="20"/>
        </w:rPr>
      </w:pPr>
      <w:r>
        <w:rPr>
          <w:rFonts w:ascii="Times New Roman" w:eastAsia="Cambria" w:hAnsi="Times New Roman" w:cs="Times New Roman"/>
          <w:sz w:val="20"/>
          <w:szCs w:val="20"/>
        </w:rPr>
        <w:t xml:space="preserve">Vrijednosni papir je zamjenjivi, prenosivi financijski instrument koji predstavlja financijsku vrijednost, bez obzira na njegove stvarne posebnosti (npr. ti su instrumenti osigurani ili neosigurani). Ta tablica uključuje i instrumente </w:t>
      </w:r>
      <w:r w:rsidR="00A97D04">
        <w:rPr>
          <w:rFonts w:ascii="Times New Roman" w:eastAsia="Cambria" w:hAnsi="Times New Roman" w:cs="Times New Roman"/>
          <w:sz w:val="20"/>
          <w:szCs w:val="20"/>
        </w:rPr>
        <w:t>regulatornog</w:t>
      </w:r>
      <w:r w:rsidR="00A97D04">
        <w:rPr>
          <w:rFonts w:ascii="Times New Roman" w:eastAsia="Cambria" w:hAnsi="Times New Roman" w:cs="Times New Roman"/>
          <w:sz w:val="20"/>
          <w:szCs w:val="20"/>
        </w:rPr>
        <w:t>regulatornog</w:t>
      </w:r>
      <w:r w:rsidR="00A97D04">
        <w:rPr>
          <w:rFonts w:ascii="Times New Roman" w:eastAsia="Cambria" w:hAnsi="Times New Roman" w:cs="Times New Roman"/>
          <w:sz w:val="20"/>
          <w:szCs w:val="20"/>
        </w:rPr>
        <w:t xml:space="preserve"> kapitala</w:t>
      </w:r>
      <w:r>
        <w:rPr>
          <w:rStyle w:val="FootnoteReference"/>
          <w:rFonts w:eastAsia="Cambria" w:cs="Times New Roman"/>
        </w:rPr>
        <w:footnoteReference w:id="36"/>
      </w:r>
      <w:r>
        <w:rPr>
          <w:rFonts w:ascii="Times New Roman" w:eastAsia="Cambria" w:hAnsi="Times New Roman" w:cs="Times New Roman"/>
          <w:sz w:val="20"/>
          <w:szCs w:val="20"/>
        </w:rPr>
        <w:t>.</w:t>
      </w:r>
      <w:r>
        <w:rPr>
          <w:rFonts w:ascii="Times New Roman" w:eastAsia="Cambria" w:hAnsi="Times New Roman" w:cs="Times New Roman"/>
          <w:sz w:val="20"/>
          <w:szCs w:val="20"/>
        </w:rPr>
        <w:t xml:space="preserve"> Za potrebe instrumenata redovnog osnovnog kapitala, preostalo potraživanje dionica po ukupnom računovodstvenom kapitalu (kako je definirano u predlošku Z 02.00-r0511) iskazuje se na razini instrumenta.</w:t>
      </w:r>
    </w:p>
    <w:p w14:paraId="7FE1CF81" w14:textId="262B713C" w:rsidR="00393915" w:rsidRDefault="00F24D68">
      <w:pPr>
        <w:pStyle w:val="P68B1DB1-InstructionsText286"/>
        <w:numPr>
          <w:ilvl w:val="2"/>
          <w:numId w:val="209"/>
        </w:numPr>
        <w:spacing w:before="0"/>
        <w:ind w:left="1134"/>
      </w:pPr>
      <w:r>
        <w:t>Ako identifikacijska oznaka vjerovnika (stupac 0210) nije dostupna (npr. u slučaju instrumenata kojima se trguje na platformama), svaki se redak iskazuje na agregiranoj razini s obzirom na ovu rubriku.</w:t>
      </w:r>
    </w:p>
    <w:p w14:paraId="7FE1CF83" w14:textId="77777777" w:rsidR="00393915" w:rsidRDefault="00F24D68">
      <w:pPr>
        <w:pStyle w:val="P68B1DB1-InstructionsText286"/>
        <w:numPr>
          <w:ilvl w:val="2"/>
          <w:numId w:val="209"/>
        </w:numPr>
        <w:spacing w:before="0"/>
        <w:ind w:left="1134"/>
      </w:pPr>
      <w:r>
        <w:t>Za potrebe ove tablice obveze se iskazuju u redcima na razini granularnosti definiranoj traženim poljima.</w:t>
      </w:r>
    </w:p>
    <w:p w14:paraId="7FE1CF86" w14:textId="77777777" w:rsidR="00393915" w:rsidRDefault="00393915">
      <w:pPr>
        <w:spacing w:line="276" w:lineRule="auto"/>
        <w:rPr>
          <w:rFonts w:ascii="Times New Roman" w:hAnsi="Times New Roman" w:cs="Times New Roman"/>
          <w:sz w:val="20"/>
          <w:szCs w:val="20"/>
        </w:rPr>
      </w:pPr>
    </w:p>
    <w:p w14:paraId="7FE1CF87" w14:textId="77777777" w:rsidR="00393915" w:rsidRDefault="00F24D68">
      <w:pPr>
        <w:pStyle w:val="P68B1DB1-Numberedtitlelevel372"/>
      </w:pPr>
      <w:r>
        <w:t>Upute za specifične pozicije</w:t>
      </w:r>
    </w:p>
    <w:p w14:paraId="7FE1CF88" w14:textId="77777777" w:rsidR="00393915" w:rsidRDefault="00393915">
      <w:pPr>
        <w:pStyle w:val="body"/>
        <w:rPr>
          <w:rFonts w:ascii="Times New Roman" w:hAnsi="Times New Roman" w:cs="Times New Roman"/>
          <w:color w:val="000000" w:themeColor="text1"/>
          <w:sz w:val="20"/>
          <w:szCs w:val="20"/>
        </w:rPr>
      </w:pPr>
    </w:p>
    <w:tbl>
      <w:tblPr>
        <w:tblW w:w="0" w:type="auto"/>
        <w:tblLook w:val="01E0" w:firstRow="1" w:lastRow="1" w:firstColumn="1" w:lastColumn="1" w:noHBand="0" w:noVBand="0"/>
      </w:tblPr>
      <w:tblGrid>
        <w:gridCol w:w="1415"/>
        <w:gridCol w:w="7547"/>
        <w:gridCol w:w="64"/>
      </w:tblGrid>
      <w:tr w:rsidR="00393915" w14:paraId="7FE1CF8B" w14:textId="77777777">
        <w:trPr>
          <w:gridAfter w:val="1"/>
          <w:wAfter w:w="64" w:type="dxa"/>
          <w:tblHeader/>
        </w:trPr>
        <w:tc>
          <w:tcPr>
            <w:tcW w:w="1415" w:type="dxa"/>
            <w:tcBorders>
              <w:top w:val="single" w:sz="4" w:space="0" w:color="1A171C"/>
              <w:left w:val="nil"/>
              <w:bottom w:val="single" w:sz="4" w:space="0" w:color="1A171C"/>
              <w:right w:val="single" w:sz="4" w:space="0" w:color="1A171C"/>
            </w:tcBorders>
            <w:shd w:val="clear" w:color="auto" w:fill="E4E5E5"/>
          </w:tcPr>
          <w:p w14:paraId="7FE1CF89" w14:textId="77777777" w:rsidR="00393915" w:rsidRDefault="00F24D68">
            <w:pPr>
              <w:pStyle w:val="P68B1DB1-TableParagraph17"/>
              <w:spacing w:before="108"/>
              <w:ind w:left="85"/>
            </w:pPr>
            <w:r>
              <w:t>Stupci</w:t>
            </w:r>
          </w:p>
        </w:tc>
        <w:tc>
          <w:tcPr>
            <w:tcW w:w="7547" w:type="dxa"/>
            <w:tcBorders>
              <w:top w:val="single" w:sz="4" w:space="0" w:color="1A171C"/>
              <w:left w:val="single" w:sz="4" w:space="0" w:color="1A171C"/>
              <w:bottom w:val="single" w:sz="4" w:space="0" w:color="1A171C"/>
              <w:right w:val="nil"/>
            </w:tcBorders>
            <w:shd w:val="clear" w:color="auto" w:fill="E4E5E5"/>
          </w:tcPr>
          <w:p w14:paraId="7FE1CF8A" w14:textId="77777777" w:rsidR="00393915" w:rsidRDefault="00F24D68">
            <w:pPr>
              <w:pStyle w:val="P68B1DB1-TableParagraph17"/>
              <w:spacing w:before="108"/>
              <w:ind w:left="85" w:right="1"/>
            </w:pPr>
            <w:r>
              <w:t>Upute</w:t>
            </w:r>
          </w:p>
        </w:tc>
      </w:tr>
      <w:tr w:rsidR="00393915" w14:paraId="7FE1CF8F" w14:textId="77777777">
        <w:tc>
          <w:tcPr>
            <w:tcW w:w="1415" w:type="dxa"/>
            <w:tcBorders>
              <w:top w:val="single" w:sz="8" w:space="0" w:color="1A171C"/>
              <w:left w:val="nil"/>
              <w:bottom w:val="single" w:sz="8" w:space="0" w:color="1A171C"/>
              <w:right w:val="single" w:sz="8" w:space="0" w:color="1A171C"/>
            </w:tcBorders>
            <w:vAlign w:val="center"/>
          </w:tcPr>
          <w:p w14:paraId="7FE1CF8C" w14:textId="77777777" w:rsidR="00393915" w:rsidRDefault="00F24D68">
            <w:pPr>
              <w:pStyle w:val="P68B1DB1-Normal31"/>
            </w:pPr>
            <w:r>
              <w:t>0010</w:t>
            </w:r>
          </w:p>
        </w:tc>
        <w:tc>
          <w:tcPr>
            <w:tcW w:w="7611" w:type="dxa"/>
            <w:gridSpan w:val="2"/>
            <w:tcBorders>
              <w:top w:val="single" w:sz="8" w:space="0" w:color="1A171C"/>
              <w:left w:val="single" w:sz="8" w:space="0" w:color="1A171C"/>
              <w:bottom w:val="single" w:sz="8" w:space="0" w:color="1A171C"/>
              <w:right w:val="nil"/>
            </w:tcBorders>
            <w:vAlign w:val="bottom"/>
          </w:tcPr>
          <w:p w14:paraId="7FE1CF8D" w14:textId="7C122AB5" w:rsidR="00393915" w:rsidRDefault="00F24D68">
            <w:pPr>
              <w:pStyle w:val="P68B1DB1-TableParagraph40"/>
              <w:spacing w:before="108"/>
              <w:ind w:left="85"/>
              <w:jc w:val="both"/>
              <w:rPr>
                <w:b/>
                <w:bCs/>
              </w:rPr>
            </w:pPr>
            <w:r>
              <w:t xml:space="preserve"> </w:t>
            </w:r>
            <w:r w:rsidR="00E62A19">
              <w:rPr>
                <w:b/>
              </w:rPr>
              <w:t>r</w:t>
            </w:r>
            <w:r>
              <w:rPr>
                <w:b/>
              </w:rPr>
              <w:t>B</w:t>
            </w:r>
            <w:r w:rsidR="00E62A19">
              <w:rPr>
                <w:b/>
              </w:rPr>
              <w:t>r</w:t>
            </w:r>
            <w:r>
              <w:rPr>
                <w:b/>
              </w:rPr>
              <w:t>.</w:t>
            </w:r>
          </w:p>
          <w:p w14:paraId="7FE1CF8E" w14:textId="77777777" w:rsidR="00393915" w:rsidRDefault="00F24D68">
            <w:pPr>
              <w:pStyle w:val="P68B1DB1-TableParagraph40"/>
              <w:spacing w:before="108"/>
              <w:ind w:left="85"/>
              <w:jc w:val="both"/>
            </w:pPr>
            <w:r>
              <w:lastRenderedPageBreak/>
              <w:t>Jedinstveni broj/primarni ključ za identifikaciju stavki retka.</w:t>
            </w:r>
          </w:p>
        </w:tc>
      </w:tr>
      <w:tr w:rsidR="00393915" w14:paraId="7FE1CF93" w14:textId="77777777">
        <w:tc>
          <w:tcPr>
            <w:tcW w:w="1415" w:type="dxa"/>
            <w:tcBorders>
              <w:top w:val="single" w:sz="8" w:space="0" w:color="1A171C"/>
              <w:left w:val="nil"/>
              <w:bottom w:val="single" w:sz="8" w:space="0" w:color="1A171C"/>
              <w:right w:val="single" w:sz="8" w:space="0" w:color="1A171C"/>
            </w:tcBorders>
            <w:vAlign w:val="center"/>
          </w:tcPr>
          <w:p w14:paraId="7FE1CF90" w14:textId="77777777" w:rsidR="00393915" w:rsidRDefault="00F24D68">
            <w:pPr>
              <w:pStyle w:val="P68B1DB1-Normal31"/>
            </w:pPr>
            <w:r>
              <w:lastRenderedPageBreak/>
              <w:t>0020</w:t>
            </w:r>
          </w:p>
        </w:tc>
        <w:tc>
          <w:tcPr>
            <w:tcW w:w="7611" w:type="dxa"/>
            <w:gridSpan w:val="2"/>
            <w:tcBorders>
              <w:top w:val="single" w:sz="8" w:space="0" w:color="1A171C"/>
              <w:left w:val="single" w:sz="8" w:space="0" w:color="1A171C"/>
              <w:bottom w:val="single" w:sz="8" w:space="0" w:color="1A171C"/>
              <w:right w:val="nil"/>
            </w:tcBorders>
            <w:vAlign w:val="bottom"/>
          </w:tcPr>
          <w:p w14:paraId="7FE1CF91" w14:textId="2D0C3327" w:rsidR="00393915" w:rsidRDefault="00F24D68">
            <w:pPr>
              <w:pStyle w:val="P68B1DB1-TableParagraph73"/>
              <w:spacing w:before="108"/>
              <w:ind w:left="85"/>
              <w:jc w:val="both"/>
              <w:rPr>
                <w:bCs/>
              </w:rPr>
            </w:pPr>
            <w:r>
              <w:t>Redak</w:t>
            </w:r>
          </w:p>
          <w:p w14:paraId="7FE1CF92" w14:textId="771261C9" w:rsidR="00393915" w:rsidRDefault="00F24D68">
            <w:pPr>
              <w:pStyle w:val="P68B1DB1-TableParagraph40"/>
              <w:spacing w:before="108"/>
              <w:ind w:left="85"/>
              <w:jc w:val="both"/>
            </w:pPr>
            <w:r>
              <w:t>Za svaki prijavljeni redak usklađivanje s kategorijama obveza strukture obveza u predlošku Z02.00 mora se dostaviti na razini dospijeća iz unaprijed određenog popisa vrijednosti.</w:t>
            </w:r>
          </w:p>
        </w:tc>
      </w:tr>
      <w:tr w:rsidR="00393915" w14:paraId="7FE1CF97" w14:textId="77777777">
        <w:tc>
          <w:tcPr>
            <w:tcW w:w="1415" w:type="dxa"/>
            <w:tcBorders>
              <w:top w:val="single" w:sz="8" w:space="0" w:color="1A171C"/>
              <w:left w:val="nil"/>
              <w:bottom w:val="single" w:sz="8" w:space="0" w:color="1A171C"/>
              <w:right w:val="single" w:sz="8" w:space="0" w:color="1A171C"/>
            </w:tcBorders>
            <w:vAlign w:val="center"/>
          </w:tcPr>
          <w:p w14:paraId="7FE1CF94" w14:textId="77777777" w:rsidR="00393915" w:rsidRDefault="00F24D68">
            <w:pPr>
              <w:pStyle w:val="P68B1DB1-Normal31"/>
            </w:pPr>
            <w:r>
              <w:t>0030</w:t>
            </w:r>
          </w:p>
        </w:tc>
        <w:tc>
          <w:tcPr>
            <w:tcW w:w="7611" w:type="dxa"/>
            <w:gridSpan w:val="2"/>
            <w:tcBorders>
              <w:top w:val="single" w:sz="8" w:space="0" w:color="1A171C"/>
              <w:left w:val="single" w:sz="8" w:space="0" w:color="1A171C"/>
              <w:bottom w:val="single" w:sz="8" w:space="0" w:color="1A171C"/>
              <w:right w:val="nil"/>
            </w:tcBorders>
            <w:vAlign w:val="bottom"/>
          </w:tcPr>
          <w:p w14:paraId="7FE1CF95" w14:textId="77777777" w:rsidR="00393915" w:rsidRDefault="00F24D68">
            <w:pPr>
              <w:pStyle w:val="P68B1DB1-TableParagraph73"/>
              <w:spacing w:before="108"/>
              <w:ind w:left="85"/>
              <w:jc w:val="both"/>
              <w:rPr>
                <w:bCs/>
              </w:rPr>
            </w:pPr>
            <w:r>
              <w:t xml:space="preserve">Stupac </w:t>
            </w:r>
          </w:p>
          <w:p w14:paraId="7FE1CF96" w14:textId="68A01AA0" w:rsidR="00393915" w:rsidRDefault="00F24D68">
            <w:pPr>
              <w:pStyle w:val="P68B1DB1-TableParagraph40"/>
              <w:spacing w:before="108"/>
              <w:ind w:left="85"/>
              <w:jc w:val="both"/>
            </w:pPr>
            <w:r>
              <w:t>Za svaki redak o kojem se izvješćuje mora se dostaviti usklađenje s klasom druge ugovorne strane u točki 02.00 prema kojoj se obveza duguje iz unaprijed utvrđenog popisa vrijednosti.</w:t>
            </w:r>
          </w:p>
        </w:tc>
      </w:tr>
      <w:tr w:rsidR="00393915" w14:paraId="7FE1CF9B" w14:textId="77777777">
        <w:tc>
          <w:tcPr>
            <w:tcW w:w="1415" w:type="dxa"/>
            <w:tcBorders>
              <w:top w:val="single" w:sz="8" w:space="0" w:color="1A171C"/>
              <w:left w:val="nil"/>
              <w:bottom w:val="single" w:sz="8" w:space="0" w:color="1A171C"/>
              <w:right w:val="single" w:sz="8" w:space="0" w:color="1A171C"/>
            </w:tcBorders>
            <w:vAlign w:val="center"/>
          </w:tcPr>
          <w:p w14:paraId="7FE1CF98" w14:textId="77777777" w:rsidR="00393915" w:rsidRDefault="00F24D68">
            <w:pPr>
              <w:pStyle w:val="P68B1DB1-Normal31"/>
            </w:pPr>
            <w:r>
              <w:t>0040</w:t>
            </w:r>
          </w:p>
        </w:tc>
        <w:tc>
          <w:tcPr>
            <w:tcW w:w="7611" w:type="dxa"/>
            <w:gridSpan w:val="2"/>
            <w:tcBorders>
              <w:top w:val="single" w:sz="8" w:space="0" w:color="1A171C"/>
              <w:left w:val="single" w:sz="8" w:space="0" w:color="1A171C"/>
              <w:bottom w:val="single" w:sz="8" w:space="0" w:color="1A171C"/>
              <w:right w:val="nil"/>
            </w:tcBorders>
            <w:vAlign w:val="bottom"/>
          </w:tcPr>
          <w:p w14:paraId="7FE1CF99" w14:textId="612A6BCD" w:rsidR="00393915" w:rsidRDefault="00F24D68">
            <w:pPr>
              <w:pStyle w:val="P68B1DB1-TableParagraph40"/>
              <w:spacing w:before="108"/>
              <w:ind w:left="85"/>
              <w:jc w:val="both"/>
              <w:rPr>
                <w:b/>
                <w:bCs/>
              </w:rPr>
            </w:pPr>
            <w:r>
              <w:t xml:space="preserve"> </w:t>
            </w:r>
            <w:r>
              <w:rPr>
                <w:b/>
              </w:rPr>
              <w:t>Insolvencijska hijerarhija</w:t>
            </w:r>
          </w:p>
          <w:p w14:paraId="7FE1CF9A" w14:textId="33768518" w:rsidR="00393915" w:rsidRDefault="00F24D68">
            <w:pPr>
              <w:pStyle w:val="P68B1DB1-TableParagraph40"/>
              <w:spacing w:before="108"/>
              <w:ind w:left="85"/>
              <w:jc w:val="both"/>
            </w:pPr>
            <w:r>
              <w:t xml:space="preserve">Red prvenstva u postupku u slučaju insolventnosti jedan je od redova prvenstva koje objavljuje sanacijsko tijelo te jurisdikcije. </w:t>
            </w:r>
          </w:p>
        </w:tc>
      </w:tr>
      <w:tr w:rsidR="00393915" w14:paraId="7FE1CF9F" w14:textId="77777777">
        <w:tc>
          <w:tcPr>
            <w:tcW w:w="1415" w:type="dxa"/>
            <w:tcBorders>
              <w:top w:val="single" w:sz="8" w:space="0" w:color="1A171C"/>
              <w:left w:val="nil"/>
              <w:bottom w:val="single" w:sz="8" w:space="0" w:color="1A171C"/>
              <w:right w:val="single" w:sz="8" w:space="0" w:color="1A171C"/>
            </w:tcBorders>
            <w:vAlign w:val="center"/>
          </w:tcPr>
          <w:p w14:paraId="7FE1CF9C" w14:textId="77777777" w:rsidR="00393915" w:rsidRDefault="00F24D68">
            <w:pPr>
              <w:pStyle w:val="P68B1DB1-Normal31"/>
            </w:pPr>
            <w:r>
              <w:t>0050</w:t>
            </w:r>
          </w:p>
        </w:tc>
        <w:tc>
          <w:tcPr>
            <w:tcW w:w="7611" w:type="dxa"/>
            <w:gridSpan w:val="2"/>
            <w:tcBorders>
              <w:top w:val="single" w:sz="8" w:space="0" w:color="1A171C"/>
              <w:left w:val="single" w:sz="8" w:space="0" w:color="1A171C"/>
              <w:bottom w:val="single" w:sz="8" w:space="0" w:color="1A171C"/>
              <w:right w:val="nil"/>
            </w:tcBorders>
            <w:vAlign w:val="bottom"/>
          </w:tcPr>
          <w:p w14:paraId="7FE1CF9D" w14:textId="77777777" w:rsidR="00393915" w:rsidRDefault="00F24D68">
            <w:pPr>
              <w:pStyle w:val="P68B1DB1-TableParagraph73"/>
              <w:spacing w:before="108"/>
              <w:ind w:left="85"/>
              <w:jc w:val="both"/>
              <w:rPr>
                <w:bCs/>
              </w:rPr>
            </w:pPr>
            <w:r>
              <w:t>ISIN</w:t>
            </w:r>
          </w:p>
          <w:p w14:paraId="7FE1CF9E" w14:textId="02C8C7D3" w:rsidR="00393915" w:rsidRDefault="00F24D68">
            <w:pPr>
              <w:pStyle w:val="P68B1DB1-TableParagraph40"/>
              <w:spacing w:before="108"/>
              <w:ind w:left="85"/>
              <w:jc w:val="both"/>
            </w:pPr>
            <w:r>
              <w:t>Iskazuje se ISIN ili, ako ISIN nije dostupan, druga identifikacijska oznaka ugovora za instrument.</w:t>
            </w:r>
          </w:p>
        </w:tc>
      </w:tr>
      <w:tr w:rsidR="00393915" w14:paraId="7FE1CFAC" w14:textId="77777777">
        <w:tc>
          <w:tcPr>
            <w:tcW w:w="1415" w:type="dxa"/>
            <w:tcBorders>
              <w:top w:val="single" w:sz="8" w:space="0" w:color="1A171C"/>
              <w:left w:val="nil"/>
              <w:bottom w:val="single" w:sz="8" w:space="0" w:color="1A171C"/>
              <w:right w:val="single" w:sz="8" w:space="0" w:color="1A171C"/>
            </w:tcBorders>
            <w:vAlign w:val="center"/>
          </w:tcPr>
          <w:p w14:paraId="7FE1CFA0" w14:textId="77777777" w:rsidR="00393915" w:rsidRDefault="00F24D68">
            <w:pPr>
              <w:pStyle w:val="P68B1DB1-Normal31"/>
            </w:pPr>
            <w:r>
              <w:t>0060</w:t>
            </w:r>
          </w:p>
        </w:tc>
        <w:tc>
          <w:tcPr>
            <w:tcW w:w="7611" w:type="dxa"/>
            <w:gridSpan w:val="2"/>
            <w:tcBorders>
              <w:top w:val="single" w:sz="8" w:space="0" w:color="1A171C"/>
              <w:left w:val="single" w:sz="8" w:space="0" w:color="1A171C"/>
              <w:bottom w:val="single" w:sz="8" w:space="0" w:color="1A171C"/>
              <w:right w:val="nil"/>
            </w:tcBorders>
            <w:vAlign w:val="bottom"/>
          </w:tcPr>
          <w:p w14:paraId="7FE1CFA1" w14:textId="6BA6A7B1" w:rsidR="00393915" w:rsidRDefault="00F24D68">
            <w:pPr>
              <w:pStyle w:val="P68B1DB1-TableParagraph73"/>
              <w:spacing w:before="108"/>
              <w:ind w:left="85"/>
              <w:jc w:val="both"/>
              <w:rPr>
                <w:bCs/>
              </w:rPr>
            </w:pPr>
            <w:r>
              <w:t xml:space="preserve">Vrsta instrumenta  </w:t>
            </w:r>
          </w:p>
          <w:p w14:paraId="7FE1CFA2" w14:textId="77777777" w:rsidR="00393915" w:rsidRDefault="00F24D68">
            <w:pPr>
              <w:pStyle w:val="P68B1DB1-TableParagraph40"/>
              <w:spacing w:before="108"/>
              <w:ind w:left="85"/>
              <w:jc w:val="both"/>
            </w:pPr>
            <w:r>
              <w:t xml:space="preserve">Identifikacijska oznaka vrste instrumenta, ili </w:t>
            </w:r>
          </w:p>
          <w:p w14:paraId="7FE1CFA3" w14:textId="77777777" w:rsidR="00393915" w:rsidRDefault="00F24D68">
            <w:pPr>
              <w:pStyle w:val="P68B1DB1-TableParagraph40"/>
              <w:spacing w:before="108"/>
              <w:ind w:left="85"/>
              <w:jc w:val="both"/>
            </w:pPr>
            <w:r>
              <w:t>— Registrirana obveznica</w:t>
            </w:r>
          </w:p>
          <w:p w14:paraId="7FE1CFA4" w14:textId="77777777" w:rsidR="00393915" w:rsidRDefault="00F24D68">
            <w:pPr>
              <w:pStyle w:val="P68B1DB1-TableParagraph40"/>
              <w:spacing w:before="108"/>
              <w:ind w:left="85"/>
              <w:jc w:val="both"/>
            </w:pPr>
            <w:r>
              <w:t>— Obveznica na donositelja</w:t>
            </w:r>
          </w:p>
          <w:p w14:paraId="7FE1CFA5" w14:textId="5FFD56B7" w:rsidR="00393915" w:rsidRDefault="00F24D68">
            <w:pPr>
              <w:pStyle w:val="P68B1DB1-TableParagraph40"/>
              <w:spacing w:before="108"/>
              <w:ind w:left="85"/>
              <w:jc w:val="both"/>
            </w:pPr>
            <w:r>
              <w:t xml:space="preserve">— </w:t>
            </w:r>
            <w:r w:rsidR="00924BBD">
              <w:t>Zadužnica</w:t>
            </w:r>
            <w:r w:rsidR="00924BBD">
              <w:t>Zadužnica</w:t>
            </w:r>
            <w:r>
              <w:t xml:space="preserve"> zajmoprimca</w:t>
            </w:r>
          </w:p>
          <w:p w14:paraId="7FE1CFA7" w14:textId="3E3D590C" w:rsidR="00393915" w:rsidRDefault="00F24D68">
            <w:pPr>
              <w:pStyle w:val="P68B1DB1-TableParagraph40"/>
              <w:spacing w:before="108"/>
              <w:ind w:left="85"/>
              <w:jc w:val="both"/>
            </w:pPr>
            <w:r>
              <w:t>— Potvrda o depozitu/trgovačkom papiru</w:t>
            </w:r>
          </w:p>
          <w:p w14:paraId="7FE1CFA8" w14:textId="6325F8DC" w:rsidR="00393915" w:rsidRDefault="00F24D68">
            <w:pPr>
              <w:pStyle w:val="P68B1DB1-TableParagraph40"/>
              <w:spacing w:before="108"/>
              <w:ind w:left="85"/>
              <w:jc w:val="both"/>
            </w:pPr>
            <w:r>
              <w:t>—</w:t>
            </w:r>
            <w:r w:rsidR="000F1302">
              <w:t xml:space="preserve">Pravna osnova </w:t>
            </w:r>
            <w:r>
              <w:t>vlasništva</w:t>
            </w:r>
          </w:p>
          <w:p w14:paraId="7FE1CFA9" w14:textId="77777777" w:rsidR="00393915" w:rsidRDefault="009D5FD8">
            <w:pPr>
              <w:pStyle w:val="P68B1DB1-TableParagraph40"/>
              <w:spacing w:before="108"/>
              <w:ind w:left="85"/>
              <w:jc w:val="both"/>
            </w:pPr>
            <w:r>
              <w:t xml:space="preserve">— </w:t>
            </w:r>
            <w:r w:rsidR="00F24D68">
              <w:t>Ostalo</w:t>
            </w:r>
          </w:p>
          <w:p w14:paraId="7FE1CFAA" w14:textId="2BCDE67E" w:rsidR="00393915" w:rsidRDefault="00F24D68">
            <w:pPr>
              <w:pStyle w:val="P68B1DB1-TableParagraph40"/>
              <w:spacing w:before="108"/>
              <w:ind w:left="85"/>
              <w:jc w:val="both"/>
            </w:pPr>
            <w:r>
              <w:t xml:space="preserve"> </w:t>
            </w:r>
          </w:p>
          <w:p w14:paraId="7FE1CFAB" w14:textId="77777777" w:rsidR="00393915" w:rsidRDefault="00F24D68">
            <w:pPr>
              <w:pStyle w:val="P68B1DB1-TableParagraph40"/>
              <w:spacing w:before="108"/>
              <w:ind w:left="85"/>
              <w:jc w:val="both"/>
            </w:pPr>
            <w:r>
              <w:t>s unaprijed definiranog popisa.</w:t>
            </w:r>
          </w:p>
        </w:tc>
      </w:tr>
      <w:tr w:rsidR="00393915" w14:paraId="7FE1CFB0" w14:textId="77777777">
        <w:tc>
          <w:tcPr>
            <w:tcW w:w="1415" w:type="dxa"/>
            <w:tcBorders>
              <w:top w:val="single" w:sz="8" w:space="0" w:color="1A171C"/>
              <w:left w:val="nil"/>
              <w:bottom w:val="single" w:sz="8" w:space="0" w:color="1A171C"/>
              <w:right w:val="single" w:sz="8" w:space="0" w:color="1A171C"/>
            </w:tcBorders>
            <w:vAlign w:val="center"/>
          </w:tcPr>
          <w:p w14:paraId="7FE1CFAD" w14:textId="77777777" w:rsidR="00393915" w:rsidRDefault="00F24D68">
            <w:pPr>
              <w:pStyle w:val="P68B1DB1-Normal31"/>
            </w:pPr>
            <w:r>
              <w:t>0070</w:t>
            </w:r>
          </w:p>
        </w:tc>
        <w:tc>
          <w:tcPr>
            <w:tcW w:w="7611" w:type="dxa"/>
            <w:gridSpan w:val="2"/>
            <w:tcBorders>
              <w:top w:val="single" w:sz="8" w:space="0" w:color="1A171C"/>
              <w:left w:val="single" w:sz="8" w:space="0" w:color="1A171C"/>
              <w:bottom w:val="single" w:sz="8" w:space="0" w:color="1A171C"/>
              <w:right w:val="nil"/>
            </w:tcBorders>
            <w:vAlign w:val="bottom"/>
          </w:tcPr>
          <w:p w14:paraId="7FE1CFAE" w14:textId="15104C03" w:rsidR="00393915" w:rsidRDefault="00F24D68">
            <w:pPr>
              <w:pStyle w:val="P68B1DB1-TableParagraph73"/>
              <w:spacing w:before="108"/>
              <w:ind w:left="85"/>
              <w:jc w:val="both"/>
              <w:rPr>
                <w:bCs/>
              </w:rPr>
            </w:pPr>
            <w:r>
              <w:t xml:space="preserve">Mjerodavno pravo  </w:t>
            </w:r>
          </w:p>
          <w:p w14:paraId="7FE1CFAF" w14:textId="2BE77EA5" w:rsidR="00393915" w:rsidRDefault="00F24D68">
            <w:pPr>
              <w:pStyle w:val="P68B1DB1-TableParagraph40"/>
              <w:spacing w:before="108"/>
              <w:ind w:left="85"/>
              <w:jc w:val="both"/>
            </w:pPr>
            <w:r>
              <w:t xml:space="preserve">Oznaka ISO 3166 – 1 alpha-2 države čije je pravo mjerodavno za instrument (upotrebljava se oznaka ISO 3166 – 2 ako je mjerodavno pravo upravne potpodjele, npr. „US-NY”). Ako se na ugovor primjenjuje pravo više od jedne zemlje, navodi se zemlja čije je pravo od najveće važnosti za priznavanje ovlasti otpisa i konverzije.  </w:t>
            </w:r>
          </w:p>
        </w:tc>
      </w:tr>
      <w:tr w:rsidR="00393915" w14:paraId="7FE1CFB9" w14:textId="77777777">
        <w:tc>
          <w:tcPr>
            <w:tcW w:w="1415" w:type="dxa"/>
            <w:tcBorders>
              <w:top w:val="single" w:sz="8" w:space="0" w:color="1A171C"/>
              <w:left w:val="nil"/>
              <w:bottom w:val="single" w:sz="8" w:space="0" w:color="1A171C"/>
              <w:right w:val="single" w:sz="8" w:space="0" w:color="1A171C"/>
            </w:tcBorders>
            <w:vAlign w:val="center"/>
          </w:tcPr>
          <w:p w14:paraId="7FE1CFB1" w14:textId="77777777" w:rsidR="00393915" w:rsidRDefault="00F24D68">
            <w:pPr>
              <w:pStyle w:val="P68B1DB1-Normal31"/>
            </w:pPr>
            <w:r>
              <w:t>0080</w:t>
            </w:r>
          </w:p>
        </w:tc>
        <w:tc>
          <w:tcPr>
            <w:tcW w:w="7611" w:type="dxa"/>
            <w:gridSpan w:val="2"/>
            <w:tcBorders>
              <w:top w:val="single" w:sz="8" w:space="0" w:color="1A171C"/>
              <w:left w:val="single" w:sz="8" w:space="0" w:color="1A171C"/>
              <w:bottom w:val="single" w:sz="8" w:space="0" w:color="1A171C"/>
              <w:right w:val="nil"/>
            </w:tcBorders>
            <w:vAlign w:val="bottom"/>
          </w:tcPr>
          <w:p w14:paraId="7FE1CFB2" w14:textId="5EBC9195" w:rsidR="00393915" w:rsidRDefault="00F24D68">
            <w:pPr>
              <w:pStyle w:val="P68B1DB1-TableParagraph73"/>
              <w:spacing w:before="108"/>
              <w:ind w:left="85"/>
              <w:jc w:val="both"/>
              <w:rPr>
                <w:bCs/>
              </w:rPr>
            </w:pPr>
            <w:r>
              <w:t xml:space="preserve">Ako je riječ o pravu treće zemlje, ugovorno priznavanje </w:t>
            </w:r>
          </w:p>
          <w:p w14:paraId="7FE1CFB3" w14:textId="42C8F992" w:rsidR="00393915" w:rsidRDefault="00F24D68">
            <w:pPr>
              <w:pStyle w:val="P68B1DB1-TableParagraph40"/>
              <w:spacing w:before="108"/>
              <w:ind w:left="85"/>
              <w:jc w:val="both"/>
            </w:pPr>
            <w:r>
              <w:t xml:space="preserve">Utvrđivanje ugovornih odredbi za priznavanje ovlasti za </w:t>
            </w:r>
            <w:r w:rsidR="006A79B6">
              <w:t>unutarnju</w:t>
            </w:r>
            <w:r w:rsidR="006A79B6">
              <w:t>unutarnju</w:t>
            </w:r>
            <w:r w:rsidR="006A79B6">
              <w:t xml:space="preserve"> sanaciju </w:t>
            </w:r>
            <w:r>
              <w:t xml:space="preserve"> u skladu s člankom 55. BRRD-a:</w:t>
            </w:r>
          </w:p>
          <w:p w14:paraId="7FE1CFB4" w14:textId="4EDAB7CA" w:rsidR="00393915" w:rsidRDefault="00F24D68">
            <w:pPr>
              <w:pStyle w:val="P68B1DB1-TableParagraph40"/>
              <w:spacing w:before="108"/>
              <w:ind w:left="85"/>
              <w:jc w:val="both"/>
            </w:pPr>
            <w:r>
              <w:t>„Da,</w:t>
            </w:r>
            <w:r w:rsidR="00020AEE">
              <w:t>poduprijeto</w:t>
            </w:r>
            <w:r w:rsidR="00681DA5">
              <w:t xml:space="preserve"> </w:t>
            </w:r>
            <w:r>
              <w:t xml:space="preserve">pravnim mišljenjem” = obveza uključuje klauzulu o priznavanju </w:t>
            </w:r>
            <w:r w:rsidR="009C07F2">
              <w:t xml:space="preserve">unutarnje </w:t>
            </w:r>
            <w:r>
              <w:t xml:space="preserve">sanacije u skladu s člankom 55. BRRD-a koja je </w:t>
            </w:r>
            <w:r w:rsidR="00F413B1">
              <w:t xml:space="preserve">poduprijeta </w:t>
            </w:r>
            <w:r>
              <w:t>pravnim mišljenjem;</w:t>
            </w:r>
          </w:p>
          <w:p w14:paraId="7FE1CFB5" w14:textId="69FEB767" w:rsidR="00393915" w:rsidRDefault="00F24D68">
            <w:pPr>
              <w:pStyle w:val="P68B1DB1-TableParagraph40"/>
              <w:spacing w:before="108"/>
              <w:ind w:left="85"/>
              <w:jc w:val="both"/>
            </w:pPr>
            <w:r>
              <w:t xml:space="preserve">„Da, nije </w:t>
            </w:r>
            <w:r w:rsidR="00020AEE">
              <w:t xml:space="preserve">poduprijeto </w:t>
            </w:r>
            <w:r>
              <w:t xml:space="preserve">pravnim mišljenjem” = obveza uključuje klauzulu o priznavanju </w:t>
            </w:r>
            <w:r w:rsidR="009C07F2">
              <w:t xml:space="preserve">unutarnje </w:t>
            </w:r>
            <w:r>
              <w:t xml:space="preserve">sanacije u skladu s člankom 55. BRRD-a koja trenutačno nije </w:t>
            </w:r>
            <w:r w:rsidR="00F413B1">
              <w:t xml:space="preserve">poduprijeta </w:t>
            </w:r>
            <w:r>
              <w:t>pravnim mišljenjem;</w:t>
            </w:r>
          </w:p>
          <w:p w14:paraId="7FE1CFB6" w14:textId="6BCEC933" w:rsidR="00393915" w:rsidRDefault="00F24D68">
            <w:pPr>
              <w:pStyle w:val="P68B1DB1-TableParagraph40"/>
              <w:spacing w:before="108"/>
              <w:ind w:left="85"/>
              <w:jc w:val="both"/>
            </w:pPr>
            <w:r>
              <w:t xml:space="preserve">„Ne” = obveza ne uključuje klauzulu o priznavanju </w:t>
            </w:r>
            <w:r w:rsidR="007E3471">
              <w:t>unutarnje</w:t>
            </w:r>
            <w:r w:rsidR="007E3471">
              <w:t>unutarnje</w:t>
            </w:r>
            <w:r w:rsidR="007E3471">
              <w:t xml:space="preserve"> sanacije</w:t>
            </w:r>
            <w:r>
              <w:t>;</w:t>
            </w:r>
          </w:p>
          <w:p w14:paraId="7FE1CFB7" w14:textId="58099242" w:rsidR="00393915" w:rsidRDefault="00F24D68">
            <w:pPr>
              <w:pStyle w:val="P68B1DB1-TableParagraph40"/>
              <w:spacing w:before="108"/>
              <w:ind w:left="85"/>
              <w:jc w:val="both"/>
            </w:pPr>
            <w:r>
              <w:t xml:space="preserve">„Nije primjenjivo”,  </w:t>
            </w:r>
          </w:p>
          <w:p w14:paraId="7FE1CFB8" w14:textId="77777777" w:rsidR="00393915" w:rsidRDefault="00F24D68">
            <w:pPr>
              <w:pStyle w:val="P68B1DB1-TableParagraph40"/>
              <w:spacing w:before="108"/>
              <w:ind w:left="85"/>
              <w:jc w:val="both"/>
            </w:pPr>
            <w:r>
              <w:t>s unaprijed definiranog popisa.</w:t>
            </w:r>
          </w:p>
        </w:tc>
      </w:tr>
      <w:tr w:rsidR="00393915" w14:paraId="7FE1CFBD" w14:textId="77777777">
        <w:tc>
          <w:tcPr>
            <w:tcW w:w="1415" w:type="dxa"/>
            <w:tcBorders>
              <w:top w:val="single" w:sz="8" w:space="0" w:color="1A171C"/>
              <w:left w:val="nil"/>
              <w:bottom w:val="single" w:sz="8" w:space="0" w:color="1A171C"/>
              <w:right w:val="single" w:sz="8" w:space="0" w:color="1A171C"/>
            </w:tcBorders>
            <w:vAlign w:val="center"/>
          </w:tcPr>
          <w:p w14:paraId="7FE1CFBA" w14:textId="77777777" w:rsidR="00393915" w:rsidRDefault="00F24D68">
            <w:pPr>
              <w:pStyle w:val="P68B1DB1-Normal31"/>
            </w:pPr>
            <w:r>
              <w:t>0090</w:t>
            </w:r>
          </w:p>
        </w:tc>
        <w:tc>
          <w:tcPr>
            <w:tcW w:w="7611" w:type="dxa"/>
            <w:gridSpan w:val="2"/>
            <w:tcBorders>
              <w:top w:val="single" w:sz="8" w:space="0" w:color="1A171C"/>
              <w:left w:val="single" w:sz="8" w:space="0" w:color="1A171C"/>
              <w:bottom w:val="single" w:sz="8" w:space="0" w:color="1A171C"/>
              <w:right w:val="nil"/>
            </w:tcBorders>
            <w:vAlign w:val="bottom"/>
          </w:tcPr>
          <w:p w14:paraId="7FE1CFBB" w14:textId="023CCF16" w:rsidR="00393915" w:rsidRDefault="00F24D68">
            <w:pPr>
              <w:pStyle w:val="P68B1DB1-TableParagraph73"/>
              <w:spacing w:before="108"/>
              <w:ind w:left="85"/>
              <w:jc w:val="both"/>
              <w:rPr>
                <w:bCs/>
              </w:rPr>
            </w:pPr>
            <w:r>
              <w:t xml:space="preserve">Valuta </w:t>
            </w:r>
          </w:p>
          <w:p w14:paraId="7FE1CFBC" w14:textId="71E1420D" w:rsidR="00393915" w:rsidRDefault="00F24D68">
            <w:pPr>
              <w:pStyle w:val="P68B1DB1-TableParagraph40"/>
              <w:spacing w:before="108"/>
              <w:ind w:left="85"/>
              <w:jc w:val="both"/>
            </w:pPr>
            <w:r>
              <w:t>Valuta obveze u skladu s troslovnom oznakom ISO 4217.</w:t>
            </w:r>
          </w:p>
        </w:tc>
      </w:tr>
      <w:tr w:rsidR="00393915" w14:paraId="7FE1CFC8" w14:textId="77777777">
        <w:trPr>
          <w:trHeight w:val="2041"/>
        </w:trPr>
        <w:tc>
          <w:tcPr>
            <w:tcW w:w="1415" w:type="dxa"/>
            <w:tcBorders>
              <w:top w:val="single" w:sz="8" w:space="0" w:color="1A171C"/>
              <w:left w:val="nil"/>
              <w:bottom w:val="single" w:sz="8" w:space="0" w:color="1A171C"/>
              <w:right w:val="single" w:sz="8" w:space="0" w:color="1A171C"/>
            </w:tcBorders>
            <w:vAlign w:val="center"/>
          </w:tcPr>
          <w:p w14:paraId="7FE1CFC2" w14:textId="77777777" w:rsidR="00393915" w:rsidRDefault="00F24D68">
            <w:pPr>
              <w:pStyle w:val="P68B1DB1-Normal31"/>
            </w:pPr>
            <w:r>
              <w:lastRenderedPageBreak/>
              <w:t>0110</w:t>
            </w:r>
          </w:p>
          <w:p w14:paraId="7FE1CFC3" w14:textId="77777777" w:rsidR="00393915" w:rsidRDefault="00F24D68">
            <w:pPr>
              <w:pStyle w:val="P68B1DB1-Normal31"/>
            </w:pPr>
            <w:r>
              <w:t xml:space="preserve"> </w:t>
            </w:r>
          </w:p>
        </w:tc>
        <w:tc>
          <w:tcPr>
            <w:tcW w:w="7611" w:type="dxa"/>
            <w:gridSpan w:val="2"/>
            <w:tcBorders>
              <w:top w:val="single" w:sz="8" w:space="0" w:color="1A171C"/>
              <w:left w:val="single" w:sz="8" w:space="0" w:color="1A171C"/>
              <w:right w:val="nil"/>
            </w:tcBorders>
            <w:vAlign w:val="bottom"/>
          </w:tcPr>
          <w:p w14:paraId="7FE1CFC4" w14:textId="77777777" w:rsidR="00393915" w:rsidRDefault="00F24D68">
            <w:pPr>
              <w:pStyle w:val="P68B1DB1-TableParagraph73"/>
              <w:spacing w:before="108"/>
              <w:ind w:left="85"/>
              <w:jc w:val="both"/>
              <w:rPr>
                <w:bCs/>
              </w:rPr>
            </w:pPr>
            <w:r>
              <w:t xml:space="preserve">Nepodmireni iznos glavnice  </w:t>
            </w:r>
          </w:p>
          <w:p w14:paraId="7FE1CFC5" w14:textId="3E328E9E" w:rsidR="00393915" w:rsidRDefault="00F24D68">
            <w:pPr>
              <w:pStyle w:val="P68B1DB1-TableParagraph40"/>
              <w:spacing w:before="108"/>
              <w:ind w:left="85"/>
              <w:jc w:val="both"/>
            </w:pPr>
            <w:r>
              <w:t xml:space="preserve">Nepodmireni iznos glavnice instrumenta koji drži druga ugovorna strana naveden u stupcu 0210. Ako druga ugovorna strana nije dostupna jer se vjerovnici ne mogu utvrditi, nepodmireni iznosi glavnice grupiraju se tako da se ne uzme u obzir druga ugovorna strana. Za dionice taj iznos uključuje pričuve, u skladu sa smjernicama koje se odnose na Z02.00-r0511. </w:t>
            </w:r>
          </w:p>
          <w:p w14:paraId="7FE1CFC7" w14:textId="1EFD62D1" w:rsidR="00393915" w:rsidRDefault="00393915">
            <w:pPr>
              <w:pStyle w:val="TableParagraph"/>
              <w:spacing w:before="108"/>
              <w:ind w:left="85"/>
              <w:jc w:val="both"/>
              <w:rPr>
                <w:rFonts w:ascii="Times New Roman" w:eastAsia="Times New Roman" w:hAnsi="Times New Roman" w:cs="Times New Roman"/>
                <w:sz w:val="20"/>
                <w:szCs w:val="20"/>
              </w:rPr>
            </w:pPr>
          </w:p>
        </w:tc>
      </w:tr>
      <w:tr w:rsidR="00393915" w14:paraId="7FE1CFCC" w14:textId="77777777">
        <w:tc>
          <w:tcPr>
            <w:tcW w:w="1415" w:type="dxa"/>
            <w:tcBorders>
              <w:top w:val="single" w:sz="8" w:space="0" w:color="1A171C"/>
              <w:left w:val="nil"/>
              <w:bottom w:val="single" w:sz="8" w:space="0" w:color="1A171C"/>
              <w:right w:val="single" w:sz="8" w:space="0" w:color="1A171C"/>
            </w:tcBorders>
            <w:vAlign w:val="center"/>
          </w:tcPr>
          <w:p w14:paraId="7FE1CFC9" w14:textId="77777777" w:rsidR="00393915" w:rsidRDefault="00F24D68">
            <w:pPr>
              <w:pStyle w:val="P68B1DB1-Normal31"/>
            </w:pPr>
            <w:r>
              <w:t>0120</w:t>
            </w:r>
          </w:p>
        </w:tc>
        <w:tc>
          <w:tcPr>
            <w:tcW w:w="7611" w:type="dxa"/>
            <w:gridSpan w:val="2"/>
            <w:tcBorders>
              <w:top w:val="single" w:sz="8" w:space="0" w:color="1A171C"/>
              <w:left w:val="single" w:sz="8" w:space="0" w:color="1A171C"/>
              <w:bottom w:val="single" w:sz="8" w:space="0" w:color="1A171C"/>
              <w:right w:val="nil"/>
            </w:tcBorders>
            <w:vAlign w:val="bottom"/>
          </w:tcPr>
          <w:p w14:paraId="7FE1CFCA" w14:textId="099C67A4" w:rsidR="00393915" w:rsidRDefault="00F24D68">
            <w:pPr>
              <w:pStyle w:val="P68B1DB1-TableParagraph73"/>
              <w:spacing w:before="108"/>
              <w:ind w:left="85"/>
              <w:jc w:val="both"/>
              <w:rPr>
                <w:bCs/>
              </w:rPr>
            </w:pPr>
            <w:r>
              <w:t xml:space="preserve">Obračunate kamate </w:t>
            </w:r>
          </w:p>
          <w:p w14:paraId="7FE1CFCB" w14:textId="5040BFD7" w:rsidR="00393915" w:rsidRDefault="00F24D68">
            <w:pPr>
              <w:pStyle w:val="P68B1DB1-TableParagraph40"/>
              <w:spacing w:before="108"/>
              <w:ind w:left="85"/>
              <w:jc w:val="both"/>
            </w:pPr>
            <w:r>
              <w:t>Nepodmirene obračunate kamate na instrument.</w:t>
            </w:r>
          </w:p>
        </w:tc>
      </w:tr>
      <w:tr w:rsidR="00393915" w14:paraId="7FE1CFD0" w14:textId="77777777">
        <w:tc>
          <w:tcPr>
            <w:tcW w:w="1415" w:type="dxa"/>
            <w:tcBorders>
              <w:top w:val="single" w:sz="8" w:space="0" w:color="1A171C"/>
              <w:left w:val="nil"/>
              <w:bottom w:val="single" w:sz="8" w:space="0" w:color="1A171C"/>
              <w:right w:val="single" w:sz="8" w:space="0" w:color="1A171C"/>
            </w:tcBorders>
            <w:vAlign w:val="center"/>
          </w:tcPr>
          <w:p w14:paraId="7FE1CFCD" w14:textId="77777777" w:rsidR="00393915" w:rsidRDefault="00F24D68">
            <w:pPr>
              <w:pStyle w:val="P68B1DB1-Normal31"/>
            </w:pPr>
            <w:r>
              <w:t>0130</w:t>
            </w:r>
          </w:p>
        </w:tc>
        <w:tc>
          <w:tcPr>
            <w:tcW w:w="7611" w:type="dxa"/>
            <w:gridSpan w:val="2"/>
            <w:tcBorders>
              <w:top w:val="single" w:sz="8" w:space="0" w:color="1A171C"/>
              <w:left w:val="single" w:sz="8" w:space="0" w:color="1A171C"/>
              <w:bottom w:val="single" w:sz="8" w:space="0" w:color="1A171C"/>
              <w:right w:val="nil"/>
            </w:tcBorders>
            <w:vAlign w:val="bottom"/>
          </w:tcPr>
          <w:p w14:paraId="7FE1CFCE" w14:textId="7D22CBBF" w:rsidR="00393915" w:rsidRDefault="00F24D68">
            <w:pPr>
              <w:pStyle w:val="P68B1DB1-TableParagraph73"/>
              <w:spacing w:before="108"/>
              <w:ind w:left="85"/>
              <w:jc w:val="both"/>
              <w:rPr>
                <w:bCs/>
              </w:rPr>
            </w:pPr>
            <w:r>
              <w:t xml:space="preserve">Vrsta kupona </w:t>
            </w:r>
          </w:p>
          <w:p w14:paraId="7FE1CFCF" w14:textId="1422111E" w:rsidR="00393915" w:rsidRDefault="00F24D68">
            <w:pPr>
              <w:pStyle w:val="P68B1DB1-TableParagraph40"/>
              <w:spacing w:before="108"/>
              <w:ind w:left="85"/>
              <w:jc w:val="both"/>
            </w:pPr>
            <w:r>
              <w:t xml:space="preserve">Utvrđivanje trenutačne vrste isplate kupona, </w:t>
            </w:r>
            <w:r w:rsidR="00E322D9">
              <w:t>bilo da se radi o 'fiksnom kuponu', 'varijabilnom kuponu', 'strukturiranom kuponu' ili 'nultom kuponu', s unaprijed definiranog popisa</w:t>
            </w:r>
          </w:p>
        </w:tc>
      </w:tr>
      <w:tr w:rsidR="00393915" w14:paraId="7FE1CFD4" w14:textId="77777777">
        <w:tc>
          <w:tcPr>
            <w:tcW w:w="1415" w:type="dxa"/>
            <w:tcBorders>
              <w:top w:val="single" w:sz="8" w:space="0" w:color="1A171C"/>
              <w:left w:val="nil"/>
              <w:bottom w:val="single" w:sz="8" w:space="0" w:color="1A171C"/>
              <w:right w:val="single" w:sz="8" w:space="0" w:color="1A171C"/>
            </w:tcBorders>
            <w:vAlign w:val="center"/>
          </w:tcPr>
          <w:p w14:paraId="7FE1CFD1" w14:textId="77777777" w:rsidR="00393915" w:rsidRDefault="00F24D68">
            <w:pPr>
              <w:pStyle w:val="P68B1DB1-Normal31"/>
            </w:pPr>
            <w:r>
              <w:t>0140</w:t>
            </w:r>
          </w:p>
        </w:tc>
        <w:tc>
          <w:tcPr>
            <w:tcW w:w="7611" w:type="dxa"/>
            <w:gridSpan w:val="2"/>
            <w:tcBorders>
              <w:top w:val="single" w:sz="8" w:space="0" w:color="1A171C"/>
              <w:left w:val="single" w:sz="8" w:space="0" w:color="1A171C"/>
              <w:bottom w:val="single" w:sz="8" w:space="0" w:color="1A171C"/>
              <w:right w:val="nil"/>
            </w:tcBorders>
            <w:vAlign w:val="bottom"/>
          </w:tcPr>
          <w:p w14:paraId="7FE1CFD2" w14:textId="49072AC0" w:rsidR="00393915" w:rsidRDefault="00F24D68">
            <w:pPr>
              <w:pStyle w:val="P68B1DB1-TableParagraph73"/>
              <w:spacing w:before="108"/>
              <w:ind w:left="85"/>
              <w:jc w:val="both"/>
              <w:rPr>
                <w:bCs/>
              </w:rPr>
            </w:pPr>
            <w:r>
              <w:t>Trenutačna kuponska stopa (%)</w:t>
            </w:r>
          </w:p>
          <w:p w14:paraId="7FE1CFD3" w14:textId="32FFE809" w:rsidR="00393915" w:rsidRDefault="00F24D68">
            <w:pPr>
              <w:pStyle w:val="P68B1DB1-TableParagraph40"/>
              <w:spacing w:before="108"/>
              <w:ind w:left="85"/>
              <w:jc w:val="both"/>
            </w:pPr>
            <w:r>
              <w:t xml:space="preserve">Razina kuponske stope koja se primjenjuje na instrument na datum izvješćivanja. </w:t>
            </w:r>
          </w:p>
        </w:tc>
      </w:tr>
      <w:tr w:rsidR="00393915" w14:paraId="7FE1CFD8" w14:textId="77777777">
        <w:tc>
          <w:tcPr>
            <w:tcW w:w="1415" w:type="dxa"/>
            <w:tcBorders>
              <w:top w:val="single" w:sz="8" w:space="0" w:color="1A171C"/>
              <w:left w:val="nil"/>
              <w:bottom w:val="single" w:sz="8" w:space="0" w:color="1A171C"/>
              <w:right w:val="single" w:sz="8" w:space="0" w:color="1A171C"/>
            </w:tcBorders>
            <w:vAlign w:val="center"/>
          </w:tcPr>
          <w:p w14:paraId="7FE1CFD5" w14:textId="77777777" w:rsidR="00393915" w:rsidRDefault="00F24D68">
            <w:pPr>
              <w:pStyle w:val="P68B1DB1-Normal31"/>
            </w:pPr>
            <w:r>
              <w:t>0150</w:t>
            </w:r>
          </w:p>
        </w:tc>
        <w:tc>
          <w:tcPr>
            <w:tcW w:w="7611" w:type="dxa"/>
            <w:gridSpan w:val="2"/>
            <w:tcBorders>
              <w:top w:val="single" w:sz="8" w:space="0" w:color="1A171C"/>
              <w:left w:val="single" w:sz="8" w:space="0" w:color="1A171C"/>
              <w:bottom w:val="single" w:sz="8" w:space="0" w:color="1A171C"/>
              <w:right w:val="nil"/>
            </w:tcBorders>
            <w:vAlign w:val="bottom"/>
          </w:tcPr>
          <w:p w14:paraId="7FE1CFD6" w14:textId="5C828CFC" w:rsidR="00393915" w:rsidRDefault="00F24D68">
            <w:pPr>
              <w:pStyle w:val="P68B1DB1-TableParagraph73"/>
              <w:spacing w:before="108"/>
              <w:ind w:left="85"/>
              <w:jc w:val="both"/>
              <w:rPr>
                <w:bCs/>
              </w:rPr>
            </w:pPr>
            <w:r>
              <w:t xml:space="preserve">Datum izdavanja </w:t>
            </w:r>
          </w:p>
          <w:p w14:paraId="7FE1CFD7" w14:textId="77777777" w:rsidR="00393915" w:rsidRDefault="00F24D68">
            <w:pPr>
              <w:pStyle w:val="P68B1DB1-TableParagraph40"/>
              <w:spacing w:before="108"/>
              <w:ind w:left="85"/>
              <w:jc w:val="both"/>
            </w:pPr>
            <w:r>
              <w:t>Datum izvornog izdavanja instrumenta.</w:t>
            </w:r>
          </w:p>
        </w:tc>
      </w:tr>
      <w:tr w:rsidR="00393915" w14:paraId="7FE1CFDC" w14:textId="77777777">
        <w:tc>
          <w:tcPr>
            <w:tcW w:w="1415" w:type="dxa"/>
            <w:tcBorders>
              <w:top w:val="single" w:sz="8" w:space="0" w:color="1A171C"/>
              <w:left w:val="nil"/>
              <w:bottom w:val="single" w:sz="8" w:space="0" w:color="1A171C"/>
              <w:right w:val="single" w:sz="8" w:space="0" w:color="1A171C"/>
            </w:tcBorders>
            <w:vAlign w:val="center"/>
          </w:tcPr>
          <w:p w14:paraId="7FE1CFD9" w14:textId="77777777" w:rsidR="00393915" w:rsidRDefault="00F24D68">
            <w:pPr>
              <w:pStyle w:val="P68B1DB1-Normal31"/>
            </w:pPr>
            <w:r>
              <w:t>0160</w:t>
            </w:r>
          </w:p>
        </w:tc>
        <w:tc>
          <w:tcPr>
            <w:tcW w:w="7611" w:type="dxa"/>
            <w:gridSpan w:val="2"/>
            <w:tcBorders>
              <w:top w:val="single" w:sz="8" w:space="0" w:color="1A171C"/>
              <w:left w:val="single" w:sz="8" w:space="0" w:color="1A171C"/>
              <w:bottom w:val="single" w:sz="8" w:space="0" w:color="1A171C"/>
              <w:right w:val="nil"/>
            </w:tcBorders>
            <w:vAlign w:val="bottom"/>
          </w:tcPr>
          <w:p w14:paraId="7FE1CFDA" w14:textId="6E864D46" w:rsidR="00393915" w:rsidRDefault="00F24D68">
            <w:pPr>
              <w:pStyle w:val="P68B1DB1-TableParagraph73"/>
              <w:spacing w:before="108"/>
              <w:ind w:left="85"/>
              <w:jc w:val="both"/>
              <w:rPr>
                <w:bCs/>
              </w:rPr>
            </w:pPr>
            <w:r>
              <w:t xml:space="preserve">Najraniji datum isplate  </w:t>
            </w:r>
          </w:p>
          <w:p w14:paraId="7FE1CFDB" w14:textId="2A33C765" w:rsidR="00393915" w:rsidRDefault="00F24D68">
            <w:pPr>
              <w:pStyle w:val="P68B1DB1-TableParagraph40"/>
              <w:spacing w:before="108"/>
              <w:ind w:left="85"/>
              <w:jc w:val="both"/>
            </w:pPr>
            <w:r>
              <w:t>Ako postoji mogućnost da imatelji instrumenta zatraže prijevremenu nadoknadu ili su uvjeti za prijevremenu nadoknadu predviđeni ugovorom, prijaviti najraniji datum događaja. Ako takvi događaji raskida nisu povezani s datumom, nego sa svakim događajem u budućnosti, navesti najraniji datum na koji se događaj može dogoditi. Ako se prijevremeni povrat odnosi samo na dio obveze (npr. prijevremeni povrat 50 % nominalnog iznosa), podijelite obvezu kako bi se uzela u obzir ta klauzula o djelomičnom prijevremenom otkupu.</w:t>
            </w:r>
          </w:p>
        </w:tc>
      </w:tr>
      <w:tr w:rsidR="00393915" w14:paraId="7FE1CFE0" w14:textId="77777777">
        <w:tc>
          <w:tcPr>
            <w:tcW w:w="1415" w:type="dxa"/>
            <w:tcBorders>
              <w:top w:val="single" w:sz="8" w:space="0" w:color="1A171C"/>
              <w:left w:val="nil"/>
              <w:bottom w:val="single" w:sz="8" w:space="0" w:color="1A171C"/>
              <w:right w:val="single" w:sz="8" w:space="0" w:color="1A171C"/>
            </w:tcBorders>
            <w:vAlign w:val="center"/>
          </w:tcPr>
          <w:p w14:paraId="7FE1CFDD" w14:textId="77777777" w:rsidR="00393915" w:rsidRDefault="00F24D68">
            <w:pPr>
              <w:pStyle w:val="P68B1DB1-Normal31"/>
            </w:pPr>
            <w:r>
              <w:t>0170</w:t>
            </w:r>
          </w:p>
        </w:tc>
        <w:tc>
          <w:tcPr>
            <w:tcW w:w="7611" w:type="dxa"/>
            <w:gridSpan w:val="2"/>
            <w:tcBorders>
              <w:top w:val="single" w:sz="8" w:space="0" w:color="1A171C"/>
              <w:left w:val="single" w:sz="8" w:space="0" w:color="1A171C"/>
              <w:bottom w:val="single" w:sz="8" w:space="0" w:color="1A171C"/>
              <w:right w:val="nil"/>
            </w:tcBorders>
            <w:vAlign w:val="bottom"/>
          </w:tcPr>
          <w:p w14:paraId="7FE1CFDE" w14:textId="7C85BAAB" w:rsidR="00393915" w:rsidRDefault="00F24D68">
            <w:pPr>
              <w:pStyle w:val="P68B1DB1-TableParagraph73"/>
              <w:spacing w:before="108"/>
              <w:ind w:left="85"/>
              <w:jc w:val="both"/>
              <w:rPr>
                <w:bCs/>
              </w:rPr>
            </w:pPr>
            <w:r>
              <w:t xml:space="preserve">Propisano dospijeće </w:t>
            </w:r>
          </w:p>
          <w:p w14:paraId="7FE1CFDF" w14:textId="22B3B04F" w:rsidR="00393915" w:rsidRDefault="00F24D68">
            <w:pPr>
              <w:pStyle w:val="P68B1DB1-TableParagraph40"/>
              <w:spacing w:before="108"/>
              <w:ind w:left="85"/>
              <w:jc w:val="both"/>
            </w:pPr>
            <w:r>
              <w:t>Datum zakonskog, konačnog dospijeća instrumenta. Za</w:t>
            </w:r>
            <w:r>
              <w:t xml:space="preserve"> </w:t>
            </w:r>
            <w:r w:rsidR="00C333D8">
              <w:t>trajne</w:t>
            </w:r>
            <w:r>
              <w:t xml:space="preserve"> vrijednosne papire bez dospijeća navodi se „2099</w:t>
            </w:r>
            <w:r w:rsidR="00C333D8" w:rsidRPr="00C333D8">
              <w:t>-01-31’</w:t>
            </w:r>
            <w:r>
              <w:t>”.</w:t>
            </w:r>
          </w:p>
        </w:tc>
      </w:tr>
      <w:tr w:rsidR="00393915" w14:paraId="7FE1CFE4" w14:textId="77777777">
        <w:tc>
          <w:tcPr>
            <w:tcW w:w="1415" w:type="dxa"/>
            <w:tcBorders>
              <w:top w:val="single" w:sz="8" w:space="0" w:color="1A171C"/>
              <w:left w:val="nil"/>
              <w:bottom w:val="single" w:sz="8" w:space="0" w:color="1A171C"/>
              <w:right w:val="single" w:sz="8" w:space="0" w:color="1A171C"/>
            </w:tcBorders>
            <w:vAlign w:val="center"/>
          </w:tcPr>
          <w:p w14:paraId="7FE1CFE1" w14:textId="77777777" w:rsidR="00393915" w:rsidRDefault="00F24D68">
            <w:pPr>
              <w:pStyle w:val="P68B1DB1-Normal31"/>
            </w:pPr>
            <w:r>
              <w:t>0180</w:t>
            </w:r>
          </w:p>
        </w:tc>
        <w:tc>
          <w:tcPr>
            <w:tcW w:w="7611" w:type="dxa"/>
            <w:gridSpan w:val="2"/>
            <w:tcBorders>
              <w:top w:val="single" w:sz="8" w:space="0" w:color="1A171C"/>
              <w:left w:val="single" w:sz="8" w:space="0" w:color="1A171C"/>
              <w:bottom w:val="single" w:sz="8" w:space="0" w:color="1A171C"/>
              <w:right w:val="nil"/>
            </w:tcBorders>
            <w:vAlign w:val="bottom"/>
          </w:tcPr>
          <w:p w14:paraId="7FE1CFE2" w14:textId="01A1040D" w:rsidR="00393915" w:rsidRDefault="00C333D8">
            <w:pPr>
              <w:pStyle w:val="P68B1DB1-TableParagraph73"/>
              <w:spacing w:before="108"/>
              <w:ind w:left="85"/>
              <w:jc w:val="both"/>
              <w:rPr>
                <w:bCs/>
              </w:rPr>
            </w:pPr>
            <w:r>
              <w:t>Javna</w:t>
            </w:r>
            <w:r w:rsidR="00F24D68">
              <w:t>/privatn</w:t>
            </w:r>
            <w:r>
              <w:t>a</w:t>
            </w:r>
            <w:r w:rsidR="00F24D68">
              <w:t xml:space="preserve"> </w:t>
            </w:r>
            <w:r>
              <w:t xml:space="preserve">emisija </w:t>
            </w:r>
          </w:p>
          <w:p w14:paraId="7FE1CFE3" w14:textId="20AE6B04" w:rsidR="00393915" w:rsidRDefault="00F24D68">
            <w:pPr>
              <w:pStyle w:val="P68B1DB1-TableParagraph40"/>
              <w:spacing w:before="108"/>
              <w:ind w:left="85"/>
              <w:jc w:val="both"/>
            </w:pPr>
            <w:r>
              <w:t xml:space="preserve">Pri javnom plasmanu subjekt će objaviti izdavanje s određenim vremenskim rasporedom za postupak nadmetanja. Naprotiv, privatni plasmani dogovaraju se između pojedinačnih stranaka koje djeluju bilo za vlastiti račun </w:t>
            </w:r>
            <w:r w:rsidR="00C333D8">
              <w:t>bilo</w:t>
            </w:r>
            <w:r>
              <w:t xml:space="preserve"> </w:t>
            </w:r>
            <w:r>
              <w:t>za račun trećih osoba. Vrijednost može biti „</w:t>
            </w:r>
            <w:r>
              <w:t>javn</w:t>
            </w:r>
            <w:r w:rsidR="00445CA6">
              <w:t>a</w:t>
            </w:r>
            <w:r>
              <w:t xml:space="preserve"> </w:t>
            </w:r>
            <w:r w:rsidR="00445CA6">
              <w:t>emisija</w:t>
            </w:r>
            <w:r>
              <w:t>” ili „privatn</w:t>
            </w:r>
            <w:r w:rsidR="00445CA6">
              <w:t>a</w:t>
            </w:r>
            <w:r>
              <w:t xml:space="preserve"> </w:t>
            </w:r>
            <w:r w:rsidR="00445CA6">
              <w:t>emisija</w:t>
            </w:r>
            <w:r>
              <w:t>” s unaprijed definiranog popisa.</w:t>
            </w:r>
          </w:p>
        </w:tc>
      </w:tr>
      <w:tr w:rsidR="00393915" w14:paraId="7FE1CFE8" w14:textId="77777777">
        <w:tc>
          <w:tcPr>
            <w:tcW w:w="1415" w:type="dxa"/>
            <w:tcBorders>
              <w:top w:val="single" w:sz="8" w:space="0" w:color="1A171C"/>
              <w:left w:val="nil"/>
              <w:bottom w:val="single" w:sz="8" w:space="0" w:color="1A171C"/>
              <w:right w:val="single" w:sz="8" w:space="0" w:color="1A171C"/>
            </w:tcBorders>
            <w:vAlign w:val="center"/>
          </w:tcPr>
          <w:p w14:paraId="7FE1CFE5" w14:textId="77777777" w:rsidR="00393915" w:rsidRDefault="00F24D68">
            <w:pPr>
              <w:pStyle w:val="P68B1DB1-Normal31"/>
            </w:pPr>
            <w:r>
              <w:t>0190</w:t>
            </w:r>
          </w:p>
        </w:tc>
        <w:tc>
          <w:tcPr>
            <w:tcW w:w="7611" w:type="dxa"/>
            <w:gridSpan w:val="2"/>
            <w:tcBorders>
              <w:top w:val="single" w:sz="8" w:space="0" w:color="1A171C"/>
              <w:left w:val="single" w:sz="8" w:space="0" w:color="1A171C"/>
              <w:bottom w:val="single" w:sz="8" w:space="0" w:color="1A171C"/>
              <w:right w:val="nil"/>
            </w:tcBorders>
            <w:vAlign w:val="bottom"/>
          </w:tcPr>
          <w:p w14:paraId="7FE1CFE6" w14:textId="652BB104" w:rsidR="00393915" w:rsidRDefault="00F24D68">
            <w:pPr>
              <w:pStyle w:val="P68B1DB1-TableParagraph73"/>
              <w:spacing w:before="108"/>
              <w:ind w:left="85"/>
              <w:jc w:val="both"/>
              <w:rPr>
                <w:bCs/>
              </w:rPr>
            </w:pPr>
            <w:r>
              <w:t xml:space="preserve">Platni agent </w:t>
            </w:r>
          </w:p>
          <w:p w14:paraId="7FE1CFE7" w14:textId="2DDEBCDF" w:rsidR="00393915" w:rsidRDefault="00F24D68">
            <w:pPr>
              <w:pStyle w:val="P68B1DB1-TableParagraph40"/>
              <w:spacing w:before="108"/>
              <w:ind w:left="85"/>
              <w:jc w:val="both"/>
            </w:pPr>
            <w:r>
              <w:t xml:space="preserve">Identifikacija platnog agenta za instrument s pomoću njegove </w:t>
            </w:r>
            <w:r w:rsidR="00B71DEC">
              <w:t xml:space="preserve">LEI </w:t>
            </w:r>
            <w:r>
              <w:t xml:space="preserve">oznake. „Platni agent” je institucija, obično investicijska banka, koja prihvaća sredstva izdavatelja vrijednosnog papira i raspodjeljuje ih imateljima tog vrijednosnog papira. Kad je riječ o </w:t>
            </w:r>
            <w:r w:rsidR="00B71DEC">
              <w:t>dionicama</w:t>
            </w:r>
            <w:r>
              <w:t>, platni agent raspodjeljuje dividende imateljima dionica. Za obveznice imateljima obveznica raspodjeljuje isplate kupona i povrat glavnice.</w:t>
            </w:r>
          </w:p>
        </w:tc>
      </w:tr>
      <w:tr w:rsidR="00393915" w14:paraId="7FE1CFF0" w14:textId="77777777">
        <w:tc>
          <w:tcPr>
            <w:tcW w:w="1415" w:type="dxa"/>
            <w:tcBorders>
              <w:top w:val="single" w:sz="8" w:space="0" w:color="1A171C"/>
              <w:left w:val="nil"/>
              <w:bottom w:val="single" w:sz="8" w:space="0" w:color="1A171C"/>
              <w:right w:val="single" w:sz="8" w:space="0" w:color="1A171C"/>
            </w:tcBorders>
            <w:vAlign w:val="center"/>
          </w:tcPr>
          <w:p w14:paraId="7FE1CFED" w14:textId="77777777" w:rsidR="00393915" w:rsidRDefault="00F24D68">
            <w:pPr>
              <w:pStyle w:val="P68B1DB1-TableParagraph40"/>
              <w:spacing w:before="108"/>
              <w:ind w:left="85"/>
              <w:jc w:val="both"/>
            </w:pPr>
            <w:r>
              <w:t>0210</w:t>
            </w:r>
          </w:p>
        </w:tc>
        <w:tc>
          <w:tcPr>
            <w:tcW w:w="7611" w:type="dxa"/>
            <w:gridSpan w:val="2"/>
            <w:tcBorders>
              <w:top w:val="single" w:sz="8" w:space="0" w:color="1A171C"/>
              <w:left w:val="single" w:sz="8" w:space="0" w:color="1A171C"/>
              <w:bottom w:val="single" w:sz="8" w:space="0" w:color="1A171C"/>
              <w:right w:val="nil"/>
            </w:tcBorders>
            <w:vAlign w:val="bottom"/>
          </w:tcPr>
          <w:p w14:paraId="7FE1CFEE" w14:textId="07CBB79D" w:rsidR="00393915" w:rsidRDefault="00F24D68">
            <w:pPr>
              <w:pStyle w:val="P68B1DB1-TableParagraph73"/>
              <w:spacing w:before="108"/>
              <w:ind w:left="85"/>
              <w:jc w:val="both"/>
              <w:rPr>
                <w:bCs/>
              </w:rPr>
            </w:pPr>
            <w:r>
              <w:t xml:space="preserve">Identifikacijska oznaka druge ugovorne strane </w:t>
            </w:r>
          </w:p>
          <w:p w14:paraId="7FE1CFEF" w14:textId="55008B28" w:rsidR="00393915" w:rsidRDefault="00F24D68">
            <w:pPr>
              <w:pStyle w:val="P68B1DB1-TableParagraph40"/>
              <w:spacing w:before="108"/>
              <w:ind w:left="85"/>
              <w:jc w:val="both"/>
            </w:pPr>
            <w:r>
              <w:t>Navesti</w:t>
            </w:r>
            <w:r>
              <w:t xml:space="preserve"> </w:t>
            </w:r>
            <w:r w:rsidR="007941FD">
              <w:t>LEI</w:t>
            </w:r>
            <w:r>
              <w:t xml:space="preserve"> oznaku vjerovnika. U nedostatku LEI-ja, u slučaju banaka, navesti identifikacijsku oznaku monetarnih financijskih institucija ESB-a (MFI ID) upotrijebljenu u RIAD-u. Navesti internu identifikacijsku oznaku isključivo ako ne postoje obje te identifikacijske oznake.</w:t>
            </w:r>
          </w:p>
        </w:tc>
      </w:tr>
      <w:tr w:rsidR="00393915" w14:paraId="7FE1CFF4" w14:textId="77777777">
        <w:tc>
          <w:tcPr>
            <w:tcW w:w="1415" w:type="dxa"/>
            <w:tcBorders>
              <w:top w:val="single" w:sz="8" w:space="0" w:color="1A171C"/>
              <w:left w:val="nil"/>
              <w:bottom w:val="single" w:sz="8" w:space="0" w:color="1A171C"/>
              <w:right w:val="single" w:sz="8" w:space="0" w:color="1A171C"/>
            </w:tcBorders>
            <w:vAlign w:val="center"/>
          </w:tcPr>
          <w:p w14:paraId="7FE1CFF1" w14:textId="77777777" w:rsidR="00393915" w:rsidRDefault="00F24D68">
            <w:pPr>
              <w:pStyle w:val="P68B1DB1-Normal31"/>
            </w:pPr>
            <w:r>
              <w:t>0215</w:t>
            </w:r>
          </w:p>
        </w:tc>
        <w:tc>
          <w:tcPr>
            <w:tcW w:w="7611" w:type="dxa"/>
            <w:gridSpan w:val="2"/>
            <w:tcBorders>
              <w:top w:val="single" w:sz="8" w:space="0" w:color="1A171C"/>
              <w:left w:val="single" w:sz="8" w:space="0" w:color="1A171C"/>
              <w:bottom w:val="single" w:sz="8" w:space="0" w:color="1A171C"/>
              <w:right w:val="nil"/>
            </w:tcBorders>
            <w:vAlign w:val="bottom"/>
          </w:tcPr>
          <w:p w14:paraId="7FE1CFF2" w14:textId="77777777" w:rsidR="00393915" w:rsidRDefault="00F24D68">
            <w:pPr>
              <w:pStyle w:val="P68B1DB1-TableParagraph73"/>
              <w:spacing w:before="108"/>
              <w:ind w:left="85"/>
              <w:jc w:val="both"/>
              <w:rPr>
                <w:bCs/>
              </w:rPr>
            </w:pPr>
            <w:r>
              <w:t xml:space="preserve">Vrsta identifikatora </w:t>
            </w:r>
          </w:p>
          <w:p w14:paraId="7FE1CFF3" w14:textId="11609073" w:rsidR="00393915" w:rsidRDefault="00F24D68">
            <w:pPr>
              <w:pStyle w:val="P68B1DB1-TableParagraph40"/>
              <w:spacing w:before="108"/>
              <w:ind w:left="85"/>
              <w:jc w:val="both"/>
            </w:pPr>
            <w:r>
              <w:t>Odabrati među sljedećim opcijama: „</w:t>
            </w:r>
            <w:r w:rsidR="007941FD">
              <w:t xml:space="preserve">LEI oznaka </w:t>
            </w:r>
            <w:r>
              <w:t>”, „</w:t>
            </w:r>
            <w:r w:rsidR="007941FD">
              <w:t xml:space="preserve">MFI </w:t>
            </w:r>
            <w:r>
              <w:t>oznaka ” ili „Vrsta identifikacijske oznake, osim LEI-ja ili MFI-ja”.</w:t>
            </w:r>
          </w:p>
        </w:tc>
      </w:tr>
      <w:tr w:rsidR="00393915" w14:paraId="7FE1CFF8" w14:textId="77777777">
        <w:tc>
          <w:tcPr>
            <w:tcW w:w="1415" w:type="dxa"/>
            <w:tcBorders>
              <w:top w:val="single" w:sz="8" w:space="0" w:color="1A171C"/>
              <w:left w:val="nil"/>
              <w:bottom w:val="single" w:sz="8" w:space="0" w:color="1A171C"/>
              <w:right w:val="single" w:sz="8" w:space="0" w:color="1A171C"/>
            </w:tcBorders>
            <w:vAlign w:val="center"/>
          </w:tcPr>
          <w:p w14:paraId="7FE1CFF5" w14:textId="77777777" w:rsidR="00393915" w:rsidRDefault="00F24D68">
            <w:pPr>
              <w:pStyle w:val="P68B1DB1-Normal31"/>
            </w:pPr>
            <w:r>
              <w:lastRenderedPageBreak/>
              <w:t>0220</w:t>
            </w:r>
          </w:p>
        </w:tc>
        <w:tc>
          <w:tcPr>
            <w:tcW w:w="7611" w:type="dxa"/>
            <w:gridSpan w:val="2"/>
            <w:tcBorders>
              <w:top w:val="single" w:sz="8" w:space="0" w:color="1A171C"/>
              <w:left w:val="single" w:sz="8" w:space="0" w:color="1A171C"/>
              <w:bottom w:val="single" w:sz="8" w:space="0" w:color="1A171C"/>
              <w:right w:val="nil"/>
            </w:tcBorders>
            <w:vAlign w:val="bottom"/>
          </w:tcPr>
          <w:p w14:paraId="7FE1CFF6" w14:textId="491249EF" w:rsidR="00393915" w:rsidRDefault="007941FD">
            <w:pPr>
              <w:pStyle w:val="P68B1DB1-TableParagraph73"/>
              <w:spacing w:before="108"/>
              <w:ind w:left="85"/>
              <w:jc w:val="both"/>
              <w:rPr>
                <w:bCs/>
              </w:rPr>
            </w:pPr>
            <w:r>
              <w:t xml:space="preserve">Vrijednosni papiri koji </w:t>
            </w:r>
            <w:r w:rsidR="00F24D68">
              <w:t xml:space="preserve">kotiraju </w:t>
            </w:r>
          </w:p>
          <w:p w14:paraId="7FE1CFF7" w14:textId="4703CAFD" w:rsidR="00393915" w:rsidRDefault="00F24D68">
            <w:pPr>
              <w:pStyle w:val="P68B1DB1-TableParagraph40"/>
              <w:spacing w:before="108"/>
              <w:ind w:left="85"/>
              <w:jc w:val="both"/>
            </w:pPr>
            <w:r>
              <w:t xml:space="preserve">Ako su instrumenti </w:t>
            </w:r>
            <w:r w:rsidR="00DC34AD">
              <w:t>na burzi</w:t>
            </w:r>
            <w:r>
              <w:t xml:space="preserve">, navedite tu platformu/te platforme. Ako je riječ o više </w:t>
            </w:r>
            <w:r w:rsidR="00DC34AD">
              <w:t>burzi</w:t>
            </w:r>
            <w:r>
              <w:t>, razdvojite platforme točkom zarez.</w:t>
            </w:r>
          </w:p>
        </w:tc>
      </w:tr>
      <w:tr w:rsidR="00393915" w14:paraId="7FE1CFFC" w14:textId="77777777">
        <w:tc>
          <w:tcPr>
            <w:tcW w:w="1415" w:type="dxa"/>
            <w:tcBorders>
              <w:top w:val="single" w:sz="8" w:space="0" w:color="1A171C"/>
              <w:left w:val="nil"/>
              <w:bottom w:val="single" w:sz="8" w:space="0" w:color="1A171C"/>
              <w:right w:val="single" w:sz="8" w:space="0" w:color="1A171C"/>
            </w:tcBorders>
            <w:vAlign w:val="center"/>
          </w:tcPr>
          <w:p w14:paraId="7FE1CFF9" w14:textId="77777777" w:rsidR="00393915" w:rsidRDefault="00F24D68">
            <w:pPr>
              <w:pStyle w:val="P68B1DB1-Normal31"/>
            </w:pPr>
            <w:r>
              <w:t>0230</w:t>
            </w:r>
          </w:p>
        </w:tc>
        <w:tc>
          <w:tcPr>
            <w:tcW w:w="7611" w:type="dxa"/>
            <w:gridSpan w:val="2"/>
            <w:tcBorders>
              <w:top w:val="single" w:sz="8" w:space="0" w:color="1A171C"/>
              <w:left w:val="single" w:sz="8" w:space="0" w:color="1A171C"/>
              <w:bottom w:val="single" w:sz="8" w:space="0" w:color="1A171C"/>
              <w:right w:val="nil"/>
            </w:tcBorders>
            <w:vAlign w:val="bottom"/>
          </w:tcPr>
          <w:p w14:paraId="7FE1CFFA" w14:textId="124C9BEE" w:rsidR="00393915" w:rsidRDefault="00F24D68">
            <w:pPr>
              <w:pStyle w:val="P68B1DB1-TableParagraph73"/>
              <w:spacing w:before="108"/>
              <w:ind w:left="85"/>
              <w:jc w:val="both"/>
              <w:rPr>
                <w:bCs/>
              </w:rPr>
            </w:pPr>
            <w:r>
              <w:t xml:space="preserve">Sustavi namire  </w:t>
            </w:r>
          </w:p>
          <w:p w14:paraId="7FE1CFFB" w14:textId="4C0F2CBF" w:rsidR="00393915" w:rsidRDefault="00F24D68">
            <w:pPr>
              <w:pStyle w:val="P68B1DB1-TableParagraph40"/>
              <w:spacing w:before="108"/>
              <w:ind w:left="85"/>
              <w:jc w:val="both"/>
            </w:pPr>
            <w:r>
              <w:t>Navesti sustave za namiru vrijednosnih papira u kojima se ti vrijednosni papiri mogu namiriti. Kad je riječ o sustavima za višestruku namiru, svaki se odvaja s točkom zarez.</w:t>
            </w:r>
          </w:p>
        </w:tc>
      </w:tr>
      <w:tr w:rsidR="00393915" w14:paraId="7FE1D000" w14:textId="77777777">
        <w:tc>
          <w:tcPr>
            <w:tcW w:w="1415" w:type="dxa"/>
            <w:tcBorders>
              <w:top w:val="single" w:sz="8" w:space="0" w:color="1A171C"/>
              <w:left w:val="nil"/>
              <w:bottom w:val="single" w:sz="8" w:space="0" w:color="1A171C"/>
              <w:right w:val="single" w:sz="8" w:space="0" w:color="1A171C"/>
            </w:tcBorders>
            <w:vAlign w:val="center"/>
          </w:tcPr>
          <w:p w14:paraId="7FE1CFFD" w14:textId="77777777" w:rsidR="00393915" w:rsidRDefault="00F24D68">
            <w:pPr>
              <w:pStyle w:val="P68B1DB1-Normal31"/>
            </w:pPr>
            <w:r>
              <w:t>0240</w:t>
            </w:r>
          </w:p>
        </w:tc>
        <w:tc>
          <w:tcPr>
            <w:tcW w:w="7611" w:type="dxa"/>
            <w:gridSpan w:val="2"/>
            <w:tcBorders>
              <w:top w:val="single" w:sz="8" w:space="0" w:color="1A171C"/>
              <w:left w:val="single" w:sz="8" w:space="0" w:color="1A171C"/>
              <w:bottom w:val="single" w:sz="8" w:space="0" w:color="1A171C"/>
              <w:right w:val="nil"/>
            </w:tcBorders>
            <w:vAlign w:val="bottom"/>
          </w:tcPr>
          <w:p w14:paraId="7FE1CFFE" w14:textId="7D347539" w:rsidR="00393915" w:rsidRDefault="001A3434">
            <w:pPr>
              <w:pStyle w:val="P68B1DB1-TableParagraph73"/>
              <w:spacing w:before="108"/>
              <w:ind w:left="85"/>
              <w:jc w:val="both"/>
              <w:rPr>
                <w:bCs/>
              </w:rPr>
            </w:pPr>
            <w:r>
              <w:t xml:space="preserve">Voditelj registra </w:t>
            </w:r>
          </w:p>
          <w:p w14:paraId="7FE1CFFF" w14:textId="608203BE" w:rsidR="00393915" w:rsidRDefault="00F24D68">
            <w:pPr>
              <w:pStyle w:val="P68B1DB1-TableParagraph40"/>
              <w:spacing w:before="108"/>
              <w:ind w:left="85"/>
              <w:jc w:val="both"/>
            </w:pPr>
            <w:r>
              <w:t xml:space="preserve">Navesti voditelja registra (odgovoran za vođenje evidencije o vlasnicima tih vrijednosnih papira). Voditelj registra ili imatelj registra obično je sam izdavatelj, </w:t>
            </w:r>
            <w:r w:rsidR="003621C6">
              <w:t xml:space="preserve">središnji depozitorij vrijednosnih papira </w:t>
            </w:r>
            <w:r>
              <w:t xml:space="preserve">ili drugi subjekt. </w:t>
            </w:r>
          </w:p>
        </w:tc>
      </w:tr>
      <w:tr w:rsidR="00393915" w14:paraId="7FE1D004" w14:textId="77777777">
        <w:tc>
          <w:tcPr>
            <w:tcW w:w="1415" w:type="dxa"/>
            <w:tcBorders>
              <w:top w:val="single" w:sz="8" w:space="0" w:color="1A171C"/>
              <w:left w:val="nil"/>
              <w:right w:val="single" w:sz="8" w:space="0" w:color="1A171C"/>
            </w:tcBorders>
            <w:vAlign w:val="center"/>
          </w:tcPr>
          <w:p w14:paraId="7FE1D001" w14:textId="77777777" w:rsidR="00393915" w:rsidRDefault="00F24D68">
            <w:pPr>
              <w:pStyle w:val="P68B1DB1-Normal31"/>
            </w:pPr>
            <w:r>
              <w:t>c250</w:t>
            </w:r>
          </w:p>
        </w:tc>
        <w:tc>
          <w:tcPr>
            <w:tcW w:w="7611" w:type="dxa"/>
            <w:gridSpan w:val="2"/>
            <w:tcBorders>
              <w:top w:val="single" w:sz="8" w:space="0" w:color="1A171C"/>
              <w:left w:val="single" w:sz="8" w:space="0" w:color="1A171C"/>
              <w:right w:val="nil"/>
            </w:tcBorders>
            <w:vAlign w:val="bottom"/>
          </w:tcPr>
          <w:p w14:paraId="7FE1D002" w14:textId="200E4E8A" w:rsidR="00393915" w:rsidRDefault="00F24D68">
            <w:pPr>
              <w:pStyle w:val="P68B1DB1-TableParagraph73"/>
              <w:spacing w:before="108"/>
              <w:ind w:left="85"/>
              <w:jc w:val="both"/>
              <w:rPr>
                <w:bCs/>
              </w:rPr>
            </w:pPr>
            <w:r>
              <w:t xml:space="preserve">Središnji depozitorij vrijednosnih papira </w:t>
            </w:r>
          </w:p>
          <w:p w14:paraId="7FE1D003" w14:textId="76D6698F" w:rsidR="00393915" w:rsidRDefault="00F24D68">
            <w:pPr>
              <w:pStyle w:val="P68B1DB1-TableParagraph40"/>
              <w:spacing w:before="108"/>
              <w:ind w:left="85"/>
              <w:jc w:val="both"/>
            </w:pPr>
            <w:r>
              <w:t xml:space="preserve">Navesti </w:t>
            </w:r>
            <w:r w:rsidR="008E7DCD" w:rsidRPr="008E7DCD">
              <w:t xml:space="preserve">središnji depozitorij vrijednosnih papira </w:t>
            </w:r>
            <w:r>
              <w:t>izdanja za vrijednosni papir.</w:t>
            </w:r>
          </w:p>
        </w:tc>
      </w:tr>
      <w:tr w:rsidR="00393915" w14:paraId="7FE1D02F" w14:textId="77777777">
        <w:tc>
          <w:tcPr>
            <w:tcW w:w="1415" w:type="dxa"/>
            <w:tcBorders>
              <w:left w:val="nil"/>
              <w:bottom w:val="single" w:sz="8" w:space="0" w:color="1A171C"/>
              <w:right w:val="single" w:sz="8" w:space="0" w:color="1A171C"/>
            </w:tcBorders>
            <w:vAlign w:val="center"/>
          </w:tcPr>
          <w:p w14:paraId="7FE1D005" w14:textId="77777777" w:rsidR="00393915" w:rsidRDefault="00F24D68">
            <w:pPr>
              <w:pStyle w:val="P68B1DB1-Normal31"/>
            </w:pPr>
            <w:r>
              <w:t xml:space="preserve"> </w:t>
            </w:r>
          </w:p>
        </w:tc>
        <w:tc>
          <w:tcPr>
            <w:tcW w:w="7611" w:type="dxa"/>
            <w:gridSpan w:val="2"/>
            <w:tcBorders>
              <w:left w:val="single" w:sz="8" w:space="0" w:color="1A171C"/>
              <w:bottom w:val="single" w:sz="8" w:space="0" w:color="1A171C"/>
              <w:right w:val="nil"/>
            </w:tcBorders>
            <w:vAlign w:val="bottom"/>
          </w:tcPr>
          <w:p w14:paraId="7FE1D006" w14:textId="4DCFD762" w:rsidR="00393915" w:rsidRDefault="00F24D68">
            <w:pPr>
              <w:pStyle w:val="P68B1DB1-TableParagraph40"/>
              <w:spacing w:before="108"/>
              <w:ind w:left="85"/>
              <w:jc w:val="both"/>
            </w:pPr>
            <w:r>
              <w:t xml:space="preserve">Pri izvješćivanju </w:t>
            </w:r>
            <w:r w:rsidR="00732F87">
              <w:t xml:space="preserve">o </w:t>
            </w:r>
            <w:r w:rsidR="007B317E">
              <w:t xml:space="preserve">izdavatelju </w:t>
            </w:r>
            <w:r w:rsidR="001050FE" w:rsidRPr="001050FE">
              <w:t>središnj</w:t>
            </w:r>
            <w:r w:rsidR="001050FE">
              <w:t>e</w:t>
            </w:r>
            <w:r w:rsidR="00732F87">
              <w:t>m</w:t>
            </w:r>
            <w:r w:rsidR="001050FE" w:rsidRPr="001050FE">
              <w:t xml:space="preserve"> depozitorij</w:t>
            </w:r>
            <w:r w:rsidR="007B317E">
              <w:t>u</w:t>
            </w:r>
            <w:r w:rsidR="001050FE" w:rsidRPr="001050FE">
              <w:t xml:space="preserve"> vrijednosnih papira </w:t>
            </w:r>
            <w:r w:rsidR="007B317E">
              <w:t xml:space="preserve">, </w:t>
            </w:r>
            <w:r>
              <w:t>koristit</w:t>
            </w:r>
            <w:r w:rsidR="007B317E">
              <w:t>i</w:t>
            </w:r>
            <w:r>
              <w:t xml:space="preserve"> kraticu navedenu u tablici u nastavku, osim ako relevantni </w:t>
            </w:r>
            <w:r w:rsidR="007B317E">
              <w:t xml:space="preserve">središnji depozitorij vrijednosnih papira </w:t>
            </w:r>
            <w:r>
              <w:t>nije na popisu:</w:t>
            </w:r>
          </w:p>
          <w:p w14:paraId="6A1502EC" w14:textId="77777777" w:rsidR="005515BB" w:rsidRDefault="005515BB" w:rsidP="005515BB">
            <w:pPr>
              <w:pStyle w:val="P68B1DB1-TableParagraph40"/>
              <w:spacing w:before="108"/>
              <w:ind w:left="85"/>
              <w:jc w:val="both"/>
            </w:pPr>
            <w:r>
              <w:t>ATHEX CSD_EL</w:t>
            </w:r>
          </w:p>
          <w:p w14:paraId="431E14CA" w14:textId="77777777" w:rsidR="005515BB" w:rsidRDefault="005515BB" w:rsidP="005515BB">
            <w:pPr>
              <w:pStyle w:val="P68B1DB1-TableParagraph40"/>
              <w:spacing w:before="108"/>
              <w:ind w:left="85"/>
              <w:jc w:val="both"/>
            </w:pPr>
            <w:r>
              <w:t>BOGS_EL</w:t>
            </w:r>
          </w:p>
          <w:p w14:paraId="7410694A" w14:textId="77777777" w:rsidR="005515BB" w:rsidRDefault="005515BB" w:rsidP="005515BB">
            <w:pPr>
              <w:pStyle w:val="P68B1DB1-TableParagraph40"/>
              <w:spacing w:before="108"/>
              <w:ind w:left="85"/>
              <w:jc w:val="both"/>
            </w:pPr>
            <w:r>
              <w:t>CBF_DE</w:t>
            </w:r>
          </w:p>
          <w:p w14:paraId="34A428E8" w14:textId="77777777" w:rsidR="005515BB" w:rsidRDefault="005515BB" w:rsidP="005515BB">
            <w:pPr>
              <w:pStyle w:val="P68B1DB1-TableParagraph40"/>
              <w:spacing w:before="108"/>
              <w:ind w:left="85"/>
              <w:jc w:val="both"/>
            </w:pPr>
            <w:r>
              <w:t>CBL_LU</w:t>
            </w:r>
          </w:p>
          <w:p w14:paraId="18C20AD9" w14:textId="77777777" w:rsidR="005515BB" w:rsidRDefault="005515BB" w:rsidP="005515BB">
            <w:pPr>
              <w:pStyle w:val="P68B1DB1-TableParagraph40"/>
              <w:spacing w:before="108"/>
              <w:ind w:left="85"/>
              <w:jc w:val="both"/>
            </w:pPr>
            <w:r>
              <w:t>CDCP SR_SK</w:t>
            </w:r>
          </w:p>
          <w:p w14:paraId="6726F402" w14:textId="77777777" w:rsidR="005515BB" w:rsidRDefault="005515BB" w:rsidP="005515BB">
            <w:pPr>
              <w:pStyle w:val="P68B1DB1-TableParagraph40"/>
              <w:spacing w:before="108"/>
              <w:ind w:left="85"/>
              <w:jc w:val="both"/>
            </w:pPr>
            <w:r>
              <w:t>CDCP_CZ</w:t>
            </w:r>
          </w:p>
          <w:p w14:paraId="5C6BCE03" w14:textId="77777777" w:rsidR="005515BB" w:rsidRDefault="005515BB" w:rsidP="005515BB">
            <w:pPr>
              <w:pStyle w:val="P68B1DB1-TableParagraph40"/>
              <w:spacing w:before="108"/>
              <w:ind w:left="85"/>
              <w:jc w:val="both"/>
            </w:pPr>
            <w:r>
              <w:t>Central Depository &amp; Clearing Company_HR</w:t>
            </w:r>
          </w:p>
          <w:p w14:paraId="2ECB2866" w14:textId="77777777" w:rsidR="005515BB" w:rsidRDefault="005515BB" w:rsidP="005515BB">
            <w:pPr>
              <w:pStyle w:val="P68B1DB1-TableParagraph40"/>
              <w:spacing w:before="108"/>
              <w:ind w:left="85"/>
              <w:jc w:val="both"/>
            </w:pPr>
            <w:r>
              <w:t>Central Depository of Securities Prague_CZ</w:t>
            </w:r>
          </w:p>
          <w:p w14:paraId="42D9ACB1" w14:textId="77777777" w:rsidR="005515BB" w:rsidRDefault="005515BB" w:rsidP="005515BB">
            <w:pPr>
              <w:pStyle w:val="P68B1DB1-TableParagraph40"/>
              <w:spacing w:before="108"/>
              <w:ind w:left="85"/>
              <w:jc w:val="both"/>
            </w:pPr>
            <w:r>
              <w:t>Central Depository_BG</w:t>
            </w:r>
          </w:p>
          <w:p w14:paraId="33C2E1C3" w14:textId="77777777" w:rsidR="005515BB" w:rsidRDefault="005515BB" w:rsidP="005515BB">
            <w:pPr>
              <w:pStyle w:val="P68B1DB1-TableParagraph40"/>
              <w:spacing w:before="108"/>
              <w:ind w:left="85"/>
              <w:jc w:val="both"/>
            </w:pPr>
            <w:r>
              <w:t>Cyprus CDCR_CY</w:t>
            </w:r>
          </w:p>
          <w:p w14:paraId="565BB90D" w14:textId="77777777" w:rsidR="005515BB" w:rsidRDefault="005515BB" w:rsidP="005515BB">
            <w:pPr>
              <w:pStyle w:val="P68B1DB1-TableParagraph40"/>
              <w:spacing w:before="108"/>
              <w:ind w:left="85"/>
              <w:jc w:val="both"/>
            </w:pPr>
            <w:r>
              <w:t>Depozitarul Central_RO</w:t>
            </w:r>
          </w:p>
          <w:p w14:paraId="17D6FEF1" w14:textId="77777777" w:rsidR="005515BB" w:rsidRDefault="005515BB" w:rsidP="005515BB">
            <w:pPr>
              <w:pStyle w:val="P68B1DB1-TableParagraph40"/>
              <w:spacing w:before="108"/>
              <w:ind w:left="85"/>
              <w:jc w:val="both"/>
            </w:pPr>
            <w:r>
              <w:t>DTC_US</w:t>
            </w:r>
          </w:p>
          <w:p w14:paraId="2DFF2783" w14:textId="77777777" w:rsidR="005515BB" w:rsidRDefault="005515BB" w:rsidP="005515BB">
            <w:pPr>
              <w:pStyle w:val="P68B1DB1-TableParagraph40"/>
              <w:spacing w:before="108"/>
              <w:ind w:left="85"/>
              <w:jc w:val="both"/>
            </w:pPr>
            <w:r>
              <w:t>Euroclear Bank_BE</w:t>
            </w:r>
          </w:p>
          <w:p w14:paraId="309B9CC4" w14:textId="77777777" w:rsidR="005515BB" w:rsidRDefault="005515BB" w:rsidP="005515BB">
            <w:pPr>
              <w:pStyle w:val="P68B1DB1-TableParagraph40"/>
              <w:spacing w:before="108"/>
              <w:ind w:left="85"/>
              <w:jc w:val="both"/>
            </w:pPr>
            <w:r>
              <w:t>Euroclear Belgium_BE</w:t>
            </w:r>
          </w:p>
          <w:p w14:paraId="5CD9CC50" w14:textId="77777777" w:rsidR="005515BB" w:rsidRDefault="005515BB" w:rsidP="005515BB">
            <w:pPr>
              <w:pStyle w:val="P68B1DB1-TableParagraph40"/>
              <w:spacing w:before="108"/>
              <w:ind w:left="85"/>
              <w:jc w:val="both"/>
            </w:pPr>
            <w:r>
              <w:t>Euroclear Finland_FI</w:t>
            </w:r>
          </w:p>
          <w:p w14:paraId="2A801359" w14:textId="77777777" w:rsidR="005515BB" w:rsidRDefault="005515BB" w:rsidP="005515BB">
            <w:pPr>
              <w:pStyle w:val="P68B1DB1-TableParagraph40"/>
              <w:spacing w:before="108"/>
              <w:ind w:left="85"/>
              <w:jc w:val="both"/>
            </w:pPr>
            <w:r>
              <w:t>Euroclear France_FR</w:t>
            </w:r>
          </w:p>
          <w:p w14:paraId="0E730198" w14:textId="77777777" w:rsidR="005515BB" w:rsidRDefault="005515BB" w:rsidP="005515BB">
            <w:pPr>
              <w:pStyle w:val="P68B1DB1-TableParagraph40"/>
              <w:spacing w:before="108"/>
              <w:ind w:left="85"/>
              <w:jc w:val="both"/>
            </w:pPr>
            <w:r>
              <w:t>Euroclear Netherlands_NL</w:t>
            </w:r>
          </w:p>
          <w:p w14:paraId="6D10E9E6" w14:textId="77777777" w:rsidR="005515BB" w:rsidRDefault="005515BB" w:rsidP="005515BB">
            <w:pPr>
              <w:pStyle w:val="P68B1DB1-TableParagraph40"/>
              <w:spacing w:before="108"/>
              <w:ind w:left="85"/>
              <w:jc w:val="both"/>
            </w:pPr>
            <w:r>
              <w:t>Euroclear Sweden_SE</w:t>
            </w:r>
          </w:p>
          <w:p w14:paraId="3CEA19E9" w14:textId="77777777" w:rsidR="005515BB" w:rsidRDefault="005515BB" w:rsidP="005515BB">
            <w:pPr>
              <w:pStyle w:val="P68B1DB1-TableParagraph40"/>
              <w:spacing w:before="108"/>
              <w:ind w:left="85"/>
              <w:jc w:val="both"/>
            </w:pPr>
            <w:r>
              <w:t>Euroclear UK &amp; Ireland_UK</w:t>
            </w:r>
          </w:p>
          <w:p w14:paraId="7BF0D522" w14:textId="77777777" w:rsidR="005515BB" w:rsidRDefault="005515BB" w:rsidP="005515BB">
            <w:pPr>
              <w:pStyle w:val="P68B1DB1-TableParagraph40"/>
              <w:spacing w:before="108"/>
              <w:ind w:left="85"/>
              <w:jc w:val="both"/>
            </w:pPr>
            <w:r>
              <w:t>Government Securities Depository (GSD)_BG</w:t>
            </w:r>
          </w:p>
          <w:p w14:paraId="612D8338" w14:textId="77777777" w:rsidR="005515BB" w:rsidRDefault="005515BB" w:rsidP="005515BB">
            <w:pPr>
              <w:pStyle w:val="P68B1DB1-TableParagraph40"/>
              <w:spacing w:before="108"/>
              <w:ind w:left="85"/>
              <w:jc w:val="both"/>
            </w:pPr>
            <w:r>
              <w:t>Iberclear_ES</w:t>
            </w:r>
          </w:p>
          <w:p w14:paraId="2A0FDD94" w14:textId="77777777" w:rsidR="005515BB" w:rsidRDefault="005515BB" w:rsidP="005515BB">
            <w:pPr>
              <w:pStyle w:val="P68B1DB1-TableParagraph40"/>
              <w:spacing w:before="108"/>
              <w:ind w:left="85"/>
              <w:jc w:val="both"/>
            </w:pPr>
            <w:r>
              <w:t>INTERBOLSA_PT</w:t>
            </w:r>
          </w:p>
          <w:p w14:paraId="3DB42F43" w14:textId="77777777" w:rsidR="005515BB" w:rsidRDefault="005515BB" w:rsidP="005515BB">
            <w:pPr>
              <w:pStyle w:val="P68B1DB1-TableParagraph40"/>
              <w:spacing w:before="108"/>
              <w:ind w:left="85"/>
              <w:jc w:val="both"/>
            </w:pPr>
            <w:r>
              <w:t>KDD_SI</w:t>
            </w:r>
          </w:p>
          <w:p w14:paraId="4485F588" w14:textId="77777777" w:rsidR="005515BB" w:rsidRDefault="005515BB" w:rsidP="005515BB">
            <w:pPr>
              <w:pStyle w:val="P68B1DB1-TableParagraph40"/>
              <w:spacing w:before="108"/>
              <w:ind w:left="85"/>
              <w:jc w:val="both"/>
            </w:pPr>
            <w:r>
              <w:t>KDPW_PL</w:t>
            </w:r>
          </w:p>
          <w:p w14:paraId="6229343A" w14:textId="77777777" w:rsidR="005515BB" w:rsidRDefault="005515BB" w:rsidP="005515BB">
            <w:pPr>
              <w:pStyle w:val="P68B1DB1-TableParagraph40"/>
              <w:spacing w:before="108"/>
              <w:ind w:left="85"/>
              <w:jc w:val="both"/>
            </w:pPr>
            <w:r>
              <w:t>KELER_HU</w:t>
            </w:r>
          </w:p>
          <w:p w14:paraId="61C57C65" w14:textId="77777777" w:rsidR="005515BB" w:rsidRDefault="005515BB" w:rsidP="005515BB">
            <w:pPr>
              <w:pStyle w:val="P68B1DB1-TableParagraph40"/>
              <w:spacing w:before="108"/>
              <w:ind w:left="85"/>
              <w:jc w:val="both"/>
            </w:pPr>
            <w:r>
              <w:t>LUX CSD_LU</w:t>
            </w:r>
          </w:p>
          <w:p w14:paraId="70421B09" w14:textId="77777777" w:rsidR="005515BB" w:rsidRDefault="005515BB" w:rsidP="005515BB">
            <w:pPr>
              <w:pStyle w:val="P68B1DB1-TableParagraph40"/>
              <w:spacing w:before="108"/>
              <w:ind w:left="85"/>
              <w:jc w:val="both"/>
            </w:pPr>
            <w:r>
              <w:lastRenderedPageBreak/>
              <w:t>Malta Stock Exchange CSD_MT</w:t>
            </w:r>
          </w:p>
          <w:p w14:paraId="33141B23" w14:textId="77777777" w:rsidR="005515BB" w:rsidRDefault="005515BB" w:rsidP="005515BB">
            <w:pPr>
              <w:pStyle w:val="P68B1DB1-TableParagraph40"/>
              <w:spacing w:before="108"/>
              <w:ind w:left="85"/>
              <w:jc w:val="both"/>
            </w:pPr>
            <w:r>
              <w:t>Euronext Securities Milan_IT</w:t>
            </w:r>
          </w:p>
          <w:p w14:paraId="2561D2BA" w14:textId="77777777" w:rsidR="005515BB" w:rsidRDefault="005515BB" w:rsidP="005515BB">
            <w:pPr>
              <w:pStyle w:val="P68B1DB1-TableParagraph40"/>
              <w:spacing w:before="108"/>
              <w:ind w:left="85"/>
              <w:jc w:val="both"/>
            </w:pPr>
            <w:r>
              <w:t>Nasdaq CSD_EE</w:t>
            </w:r>
          </w:p>
          <w:p w14:paraId="34DDE836" w14:textId="77777777" w:rsidR="005515BB" w:rsidRDefault="005515BB" w:rsidP="005515BB">
            <w:pPr>
              <w:pStyle w:val="P68B1DB1-TableParagraph40"/>
              <w:spacing w:before="108"/>
              <w:ind w:left="85"/>
              <w:jc w:val="both"/>
            </w:pPr>
            <w:r>
              <w:t>Nasdaq CSD_LT</w:t>
            </w:r>
          </w:p>
          <w:p w14:paraId="402233C3" w14:textId="77777777" w:rsidR="005515BB" w:rsidRDefault="005515BB" w:rsidP="005515BB">
            <w:pPr>
              <w:pStyle w:val="P68B1DB1-TableParagraph40"/>
              <w:spacing w:before="108"/>
              <w:ind w:left="85"/>
              <w:jc w:val="both"/>
            </w:pPr>
            <w:r>
              <w:t>Nasdaq CSD_LV</w:t>
            </w:r>
          </w:p>
          <w:p w14:paraId="7B289900" w14:textId="77777777" w:rsidR="005515BB" w:rsidRDefault="005515BB" w:rsidP="005515BB">
            <w:pPr>
              <w:pStyle w:val="P68B1DB1-TableParagraph40"/>
              <w:spacing w:before="108"/>
              <w:ind w:left="85"/>
              <w:jc w:val="both"/>
            </w:pPr>
            <w:r>
              <w:t>NBB SSS_BE</w:t>
            </w:r>
          </w:p>
          <w:p w14:paraId="5F829B0C" w14:textId="77777777" w:rsidR="005515BB" w:rsidRDefault="005515BB" w:rsidP="005515BB">
            <w:pPr>
              <w:pStyle w:val="P68B1DB1-TableParagraph40"/>
              <w:spacing w:before="108"/>
              <w:ind w:left="85"/>
              <w:jc w:val="both"/>
            </w:pPr>
            <w:r>
              <w:t>nCDCP_SK</w:t>
            </w:r>
          </w:p>
          <w:p w14:paraId="3082F38D" w14:textId="77777777" w:rsidR="005515BB" w:rsidRDefault="005515BB" w:rsidP="005515BB">
            <w:pPr>
              <w:pStyle w:val="P68B1DB1-TableParagraph40"/>
              <w:spacing w:before="108"/>
              <w:ind w:left="85"/>
              <w:jc w:val="both"/>
            </w:pPr>
            <w:r>
              <w:t>OeKB CSD_AT</w:t>
            </w:r>
          </w:p>
          <w:p w14:paraId="2AC63A0C" w14:textId="77777777" w:rsidR="005515BB" w:rsidRDefault="005515BB" w:rsidP="005515BB">
            <w:pPr>
              <w:pStyle w:val="P68B1DB1-TableParagraph40"/>
              <w:spacing w:before="108"/>
              <w:ind w:left="85"/>
              <w:jc w:val="both"/>
            </w:pPr>
            <w:r>
              <w:t>SAFIR_RO</w:t>
            </w:r>
          </w:p>
          <w:p w14:paraId="11AD9F53" w14:textId="77777777" w:rsidR="005515BB" w:rsidRDefault="005515BB" w:rsidP="005515BB">
            <w:pPr>
              <w:pStyle w:val="P68B1DB1-TableParagraph40"/>
              <w:spacing w:before="108"/>
              <w:ind w:left="85"/>
              <w:jc w:val="both"/>
            </w:pPr>
            <w:r>
              <w:t>SIX SIS_CH</w:t>
            </w:r>
          </w:p>
          <w:p w14:paraId="4CC5F923" w14:textId="77777777" w:rsidR="005515BB" w:rsidRDefault="005515BB" w:rsidP="005515BB">
            <w:pPr>
              <w:pStyle w:val="P68B1DB1-TableParagraph40"/>
              <w:spacing w:before="108"/>
              <w:ind w:left="85"/>
              <w:jc w:val="both"/>
            </w:pPr>
            <w:r>
              <w:t>SKARBNET4_PL</w:t>
            </w:r>
          </w:p>
          <w:p w14:paraId="61F38037" w14:textId="77777777" w:rsidR="005515BB" w:rsidRDefault="005515BB" w:rsidP="005515BB">
            <w:pPr>
              <w:pStyle w:val="P68B1DB1-TableParagraph40"/>
              <w:spacing w:before="108"/>
              <w:ind w:left="85"/>
              <w:jc w:val="both"/>
            </w:pPr>
            <w:r>
              <w:t>SKD_CZ</w:t>
            </w:r>
          </w:p>
          <w:p w14:paraId="558AA947" w14:textId="77777777" w:rsidR="005515BB" w:rsidRDefault="005515BB" w:rsidP="005515BB">
            <w:pPr>
              <w:pStyle w:val="P68B1DB1-TableParagraph40"/>
              <w:spacing w:before="108"/>
              <w:ind w:left="85"/>
              <w:jc w:val="both"/>
            </w:pPr>
            <w:r>
              <w:t>VP Securities_DK</w:t>
            </w:r>
          </w:p>
          <w:p w14:paraId="7FE1D02E" w14:textId="0531A006" w:rsidR="00393915" w:rsidRDefault="005515BB">
            <w:pPr>
              <w:pStyle w:val="P68B1DB1-TableParagraph40"/>
              <w:spacing w:before="108"/>
              <w:ind w:left="85"/>
              <w:jc w:val="both"/>
            </w:pPr>
            <w:r>
              <w:t>VPS_NO</w:t>
            </w:r>
          </w:p>
        </w:tc>
      </w:tr>
      <w:tr w:rsidR="00393915" w14:paraId="7FE1D036" w14:textId="77777777">
        <w:tc>
          <w:tcPr>
            <w:tcW w:w="1415" w:type="dxa"/>
            <w:tcBorders>
              <w:top w:val="single" w:sz="8" w:space="0" w:color="1A171C"/>
              <w:left w:val="nil"/>
              <w:bottom w:val="single" w:sz="8" w:space="0" w:color="1A171C"/>
              <w:right w:val="single" w:sz="8" w:space="0" w:color="1A171C"/>
            </w:tcBorders>
            <w:vAlign w:val="center"/>
          </w:tcPr>
          <w:p w14:paraId="7FE1D033" w14:textId="77777777" w:rsidR="00393915" w:rsidRDefault="00F24D68">
            <w:pPr>
              <w:pStyle w:val="P68B1DB1-Normal31"/>
            </w:pPr>
            <w:r>
              <w:lastRenderedPageBreak/>
              <w:t>0270</w:t>
            </w:r>
          </w:p>
        </w:tc>
        <w:tc>
          <w:tcPr>
            <w:tcW w:w="7611" w:type="dxa"/>
            <w:gridSpan w:val="2"/>
            <w:tcBorders>
              <w:top w:val="single" w:sz="8" w:space="0" w:color="1A171C"/>
              <w:left w:val="single" w:sz="8" w:space="0" w:color="1A171C"/>
              <w:bottom w:val="single" w:sz="8" w:space="0" w:color="1A171C"/>
              <w:right w:val="nil"/>
            </w:tcBorders>
            <w:vAlign w:val="bottom"/>
          </w:tcPr>
          <w:p w14:paraId="7FE1D034" w14:textId="5BD4ADBE" w:rsidR="00393915" w:rsidRDefault="00F24D68">
            <w:pPr>
              <w:pStyle w:val="P68B1DB1-TableParagraph73"/>
              <w:spacing w:before="108"/>
              <w:ind w:left="85"/>
              <w:jc w:val="both"/>
              <w:rPr>
                <w:bCs/>
              </w:rPr>
            </w:pPr>
            <w:r>
              <w:t xml:space="preserve">Iznos </w:t>
            </w:r>
            <w:r w:rsidR="001006D3">
              <w:t>zaloga</w:t>
            </w:r>
            <w:r>
              <w:t>, založnog prava ili kolaterala</w:t>
            </w:r>
          </w:p>
          <w:p w14:paraId="7FE1D035" w14:textId="01C91AE9" w:rsidR="00393915" w:rsidRDefault="00F24D68">
            <w:pPr>
              <w:pStyle w:val="P68B1DB1-TableParagraph40"/>
              <w:spacing w:before="108"/>
              <w:ind w:left="85"/>
              <w:jc w:val="both"/>
            </w:pPr>
            <w:r>
              <w:t>Ako je obveza osigurana zalogom, založnim pravom ili kolateralom, iskazuje se njegova bruto tržišna vrijednost. U protivnom se za neosigurane obveze ova kategorija iskazuje kao nula. Tim će se iznosom odrediti kolateralizirani i naposljetku neosigurani dio bilo koje osigurane obveze. Za skupove kolaterala kojima se osigurava više stavki utvrđuje se ukupni omjer pokrića i primjenjuje se razmjerno na sve stavke obuhvaćene tim skupom.</w:t>
            </w:r>
          </w:p>
        </w:tc>
      </w:tr>
      <w:tr w:rsidR="00393915" w14:paraId="7FE1D03A" w14:textId="77777777">
        <w:tc>
          <w:tcPr>
            <w:tcW w:w="1415" w:type="dxa"/>
            <w:tcBorders>
              <w:top w:val="single" w:sz="8" w:space="0" w:color="1A171C"/>
              <w:left w:val="nil"/>
              <w:bottom w:val="single" w:sz="8" w:space="0" w:color="1A171C"/>
              <w:right w:val="single" w:sz="8" w:space="0" w:color="1A171C"/>
            </w:tcBorders>
            <w:vAlign w:val="center"/>
          </w:tcPr>
          <w:p w14:paraId="7FE1D037" w14:textId="77777777" w:rsidR="00393915" w:rsidRDefault="00F24D68">
            <w:pPr>
              <w:pStyle w:val="P68B1DB1-Normal31"/>
            </w:pPr>
            <w:r>
              <w:t>0280</w:t>
            </w:r>
          </w:p>
        </w:tc>
        <w:tc>
          <w:tcPr>
            <w:tcW w:w="7611" w:type="dxa"/>
            <w:gridSpan w:val="2"/>
            <w:tcBorders>
              <w:top w:val="single" w:sz="8" w:space="0" w:color="1A171C"/>
              <w:left w:val="single" w:sz="8" w:space="0" w:color="1A171C"/>
              <w:bottom w:val="single" w:sz="8" w:space="0" w:color="1A171C"/>
              <w:right w:val="nil"/>
            </w:tcBorders>
            <w:vAlign w:val="bottom"/>
          </w:tcPr>
          <w:p w14:paraId="7FE1D038" w14:textId="4F4E64F0" w:rsidR="00393915" w:rsidRDefault="00F24D68">
            <w:pPr>
              <w:pStyle w:val="P68B1DB1-TableParagraph73"/>
              <w:spacing w:before="108"/>
              <w:ind w:left="85"/>
              <w:jc w:val="both"/>
              <w:rPr>
                <w:bCs/>
              </w:rPr>
            </w:pPr>
            <w:r>
              <w:t xml:space="preserve">Jamac </w:t>
            </w:r>
          </w:p>
          <w:p w14:paraId="7FE1D039" w14:textId="2B724BA5" w:rsidR="00393915" w:rsidRDefault="00F24D68">
            <w:pPr>
              <w:pStyle w:val="P68B1DB1-TableParagraph40"/>
              <w:spacing w:before="108"/>
              <w:ind w:left="85"/>
              <w:jc w:val="both"/>
            </w:pPr>
            <w:r>
              <w:t>Ako su za instrument osigurana jamstva, navedite detaljnu identifikaciju jamca (</w:t>
            </w:r>
            <w:r w:rsidR="001006D3">
              <w:t xml:space="preserve">LEI </w:t>
            </w:r>
            <w:r>
              <w:t>oznaka, ISO 3166 – 1 alpha-2 oznaka države za državu itd.). Ako postoji više jamca, navesti sve identifikacijske oznake odvojene točkom zarez.</w:t>
            </w:r>
          </w:p>
        </w:tc>
      </w:tr>
      <w:tr w:rsidR="00393915" w14:paraId="7FE1D045" w14:textId="77777777">
        <w:tc>
          <w:tcPr>
            <w:tcW w:w="1415" w:type="dxa"/>
            <w:tcBorders>
              <w:top w:val="single" w:sz="8" w:space="0" w:color="1A171C"/>
              <w:left w:val="nil"/>
              <w:bottom w:val="single" w:sz="8" w:space="0" w:color="1A171C"/>
              <w:right w:val="single" w:sz="8" w:space="0" w:color="1A171C"/>
            </w:tcBorders>
            <w:vAlign w:val="center"/>
          </w:tcPr>
          <w:p w14:paraId="7FE1D042" w14:textId="77777777" w:rsidR="00393915" w:rsidRDefault="00F24D68">
            <w:pPr>
              <w:pStyle w:val="P68B1DB1-Normal31"/>
            </w:pPr>
            <w:r>
              <w:t>0305</w:t>
            </w:r>
          </w:p>
        </w:tc>
        <w:tc>
          <w:tcPr>
            <w:tcW w:w="7611" w:type="dxa"/>
            <w:gridSpan w:val="2"/>
            <w:tcBorders>
              <w:top w:val="single" w:sz="8" w:space="0" w:color="1A171C"/>
              <w:left w:val="single" w:sz="8" w:space="0" w:color="1A171C"/>
              <w:bottom w:val="single" w:sz="8" w:space="0" w:color="1A171C"/>
              <w:right w:val="nil"/>
            </w:tcBorders>
            <w:vAlign w:val="bottom"/>
          </w:tcPr>
          <w:p w14:paraId="7FE1D043" w14:textId="77777777" w:rsidR="00393915" w:rsidRDefault="00F24D68">
            <w:pPr>
              <w:pStyle w:val="P68B1DB1-TableParagraph73"/>
              <w:spacing w:before="108"/>
              <w:ind w:left="85"/>
              <w:jc w:val="both"/>
              <w:rPr>
                <w:bCs/>
              </w:rPr>
            </w:pPr>
            <w:r>
              <w:t xml:space="preserve">Iznos koji ispunjava uvjete za prihvatljivost MREL-a </w:t>
            </w:r>
          </w:p>
          <w:p w14:paraId="7FE1D044" w14:textId="63D3C63A" w:rsidR="00393915" w:rsidRDefault="00F24D68">
            <w:pPr>
              <w:pStyle w:val="P68B1DB1-TableParagraph40"/>
              <w:spacing w:before="108"/>
              <w:ind w:left="85"/>
              <w:jc w:val="both"/>
            </w:pPr>
            <w:r>
              <w:t>Iznos regulatornog kapitala i prihvatljivih obveza koji se uračunava u zahtjev utvrđen u skladu s člankom 45. stavkom 1. Direktive 2014/59/EU.</w:t>
            </w:r>
          </w:p>
        </w:tc>
      </w:tr>
      <w:tr w:rsidR="00393915" w14:paraId="7FE1D04C" w14:textId="77777777">
        <w:trPr>
          <w:trHeight w:val="2982"/>
        </w:trPr>
        <w:tc>
          <w:tcPr>
            <w:tcW w:w="1415" w:type="dxa"/>
            <w:tcBorders>
              <w:top w:val="single" w:sz="8" w:space="0" w:color="1A171C"/>
              <w:left w:val="nil"/>
              <w:bottom w:val="single" w:sz="8" w:space="0" w:color="1A171C"/>
              <w:right w:val="single" w:sz="8" w:space="0" w:color="1A171C"/>
            </w:tcBorders>
            <w:vAlign w:val="center"/>
          </w:tcPr>
          <w:p w14:paraId="7FE1D046" w14:textId="77777777" w:rsidR="00393915" w:rsidRDefault="00F24D68">
            <w:pPr>
              <w:pStyle w:val="P68B1DB1-Normal31"/>
            </w:pPr>
            <w:r>
              <w:t>0310</w:t>
            </w:r>
          </w:p>
          <w:p w14:paraId="7FE1D047" w14:textId="77777777" w:rsidR="00393915" w:rsidRDefault="00F24D68">
            <w:pPr>
              <w:pStyle w:val="P68B1DB1-Normal31"/>
            </w:pPr>
            <w:r>
              <w:t xml:space="preserve"> </w:t>
            </w:r>
          </w:p>
        </w:tc>
        <w:tc>
          <w:tcPr>
            <w:tcW w:w="7611" w:type="dxa"/>
            <w:gridSpan w:val="2"/>
            <w:tcBorders>
              <w:top w:val="single" w:sz="8" w:space="0" w:color="1A171C"/>
              <w:left w:val="single" w:sz="8" w:space="0" w:color="1A171C"/>
              <w:right w:val="nil"/>
            </w:tcBorders>
            <w:vAlign w:val="bottom"/>
          </w:tcPr>
          <w:p w14:paraId="7FE1D048" w14:textId="1CDBBE51" w:rsidR="00393915" w:rsidRDefault="00F24D68">
            <w:pPr>
              <w:pStyle w:val="P68B1DB1-TableParagraph73"/>
              <w:spacing w:before="108"/>
              <w:ind w:left="85"/>
              <w:jc w:val="both"/>
              <w:rPr>
                <w:bCs/>
              </w:rPr>
            </w:pPr>
            <w:r>
              <w:t xml:space="preserve">Ispunjava uvjete za regulatorni kapital </w:t>
            </w:r>
          </w:p>
          <w:p w14:paraId="7FE1D049" w14:textId="5CD65117" w:rsidR="00393915" w:rsidRDefault="00F24D68">
            <w:pPr>
              <w:pStyle w:val="P68B1DB1-TableParagraph40"/>
              <w:spacing w:before="108"/>
              <w:ind w:left="85"/>
              <w:jc w:val="both"/>
            </w:pPr>
            <w:r>
              <w:t>Navesti je li i na kojoj razini instrument uključen u regulatorni kapital, uz informacije o režimu postupnog ukidanja i aranžmanima za nastavak priznavanja. Vrijednost može biti „Ne”, „</w:t>
            </w:r>
            <w:r w:rsidR="00040582">
              <w:t>D</w:t>
            </w:r>
            <w:r>
              <w:t>jelomično AT1, T1 i T2”, „T2 u postupnom ukidanju”, „</w:t>
            </w:r>
            <w:r w:rsidR="00021EE1">
              <w:t xml:space="preserve">Nastavak priznavanja </w:t>
            </w:r>
            <w:r>
              <w:t>T2”, „Potpuno usklađeni T2”, „</w:t>
            </w:r>
            <w:r w:rsidR="00021EE1">
              <w:t>Nastavak priznavanja</w:t>
            </w:r>
            <w:r>
              <w:t xml:space="preserve"> AT1”, „Potpuno usklađeni AT1” ili „CET1” s unaprijed definiranog popisa. </w:t>
            </w:r>
          </w:p>
          <w:p w14:paraId="7FE1D04A" w14:textId="7492413E" w:rsidR="00393915" w:rsidRDefault="00F24D68">
            <w:pPr>
              <w:pStyle w:val="P68B1DB1-TableParagraph40"/>
              <w:spacing w:before="108"/>
              <w:ind w:left="85"/>
              <w:jc w:val="both"/>
            </w:pPr>
            <w:r>
              <w:t xml:space="preserve">U popisu opcija pojam „postupno ukidanje” odnosi se na razdoblje od pet godina prije dospijeća bilo kojeg </w:t>
            </w:r>
            <w:r w:rsidR="00DB6993">
              <w:t>T2</w:t>
            </w:r>
            <w:r>
              <w:t xml:space="preserve"> </w:t>
            </w:r>
            <w:r>
              <w:t>instrumenta, tijekom kojeg postoji samo razmjerno priznavanje na temelju preostalog vremena do dospijeća. „</w:t>
            </w:r>
            <w:r w:rsidR="008726B4">
              <w:t>Nastavak priznavanja</w:t>
            </w:r>
            <w:r>
              <w:t xml:space="preserve">” odnosi se na bilo koju prijelaznu mjeru koja se primjenjuje na </w:t>
            </w:r>
            <w:r w:rsidR="008726B4">
              <w:t xml:space="preserve">T2 </w:t>
            </w:r>
            <w:r>
              <w:t>instrument, ne uključujući „postupno ukidanje”. Tijekom tog „</w:t>
            </w:r>
            <w:r w:rsidR="002B58A4">
              <w:t>nastavka priznavanja</w:t>
            </w:r>
            <w:r>
              <w:t>” priznavanje može biti potpuno ili djelomično.</w:t>
            </w:r>
          </w:p>
          <w:p w14:paraId="7FE1D04B" w14:textId="56289907" w:rsidR="00393915" w:rsidRDefault="00F24D68">
            <w:pPr>
              <w:pStyle w:val="P68B1DB1-TableParagraph40"/>
              <w:spacing w:before="108"/>
              <w:ind w:left="85"/>
              <w:jc w:val="both"/>
            </w:pPr>
            <w:r>
              <w:t xml:space="preserve"> </w:t>
            </w:r>
          </w:p>
        </w:tc>
      </w:tr>
      <w:tr w:rsidR="00393915" w14:paraId="7FE1D051" w14:textId="77777777">
        <w:tc>
          <w:tcPr>
            <w:tcW w:w="1415" w:type="dxa"/>
            <w:tcBorders>
              <w:top w:val="single" w:sz="8" w:space="0" w:color="1A171C"/>
              <w:left w:val="nil"/>
              <w:bottom w:val="single" w:sz="8" w:space="0" w:color="1A171C"/>
              <w:right w:val="single" w:sz="8" w:space="0" w:color="1A171C"/>
            </w:tcBorders>
            <w:vAlign w:val="center"/>
          </w:tcPr>
          <w:p w14:paraId="7FE1D04D" w14:textId="77777777" w:rsidR="00393915" w:rsidRDefault="00F24D68">
            <w:pPr>
              <w:pStyle w:val="P68B1DB1-Normal31"/>
            </w:pPr>
            <w:r>
              <w:t>0320</w:t>
            </w:r>
          </w:p>
        </w:tc>
        <w:tc>
          <w:tcPr>
            <w:tcW w:w="7611" w:type="dxa"/>
            <w:gridSpan w:val="2"/>
            <w:tcBorders>
              <w:top w:val="single" w:sz="8" w:space="0" w:color="1A171C"/>
              <w:left w:val="single" w:sz="8" w:space="0" w:color="1A171C"/>
              <w:bottom w:val="single" w:sz="8" w:space="0" w:color="1A171C"/>
              <w:right w:val="nil"/>
            </w:tcBorders>
            <w:vAlign w:val="bottom"/>
          </w:tcPr>
          <w:p w14:paraId="7FE1D04E" w14:textId="29DDEDCC" w:rsidR="00393915" w:rsidRDefault="00F24D68">
            <w:pPr>
              <w:pStyle w:val="P68B1DB1-TableParagraph40"/>
              <w:spacing w:before="108"/>
              <w:ind w:left="85"/>
              <w:jc w:val="both"/>
              <w:rPr>
                <w:b/>
                <w:bCs/>
              </w:rPr>
            </w:pPr>
            <w:r>
              <w:t xml:space="preserve"> </w:t>
            </w:r>
            <w:r>
              <w:rPr>
                <w:b/>
              </w:rPr>
              <w:t xml:space="preserve">Iznos koji je kvalificiran kao </w:t>
            </w:r>
            <w:r w:rsidR="002C1AE2">
              <w:rPr>
                <w:b/>
              </w:rPr>
              <w:t>regulatorni kapital</w:t>
            </w:r>
          </w:p>
          <w:p w14:paraId="7FE1D050" w14:textId="1253231B" w:rsidR="00393915" w:rsidRDefault="00F24D68">
            <w:pPr>
              <w:pStyle w:val="P68B1DB1-TableParagraph40"/>
              <w:spacing w:before="108"/>
              <w:ind w:left="85"/>
              <w:jc w:val="both"/>
            </w:pPr>
            <w:r>
              <w:t>Iznos instrumenta koji se smatra regulatornim kapitalom.</w:t>
            </w:r>
          </w:p>
        </w:tc>
      </w:tr>
    </w:tbl>
    <w:p w14:paraId="7FE1D052" w14:textId="77777777" w:rsidR="00393915" w:rsidRDefault="00393915">
      <w:pPr>
        <w:rPr>
          <w:rFonts w:ascii="Times New Roman" w:hAnsi="Times New Roman" w:cs="Times New Roman"/>
        </w:rPr>
      </w:pPr>
    </w:p>
    <w:p w14:paraId="7FE1D053" w14:textId="77777777" w:rsidR="00393915" w:rsidRDefault="00393915">
      <w:pPr>
        <w:pStyle w:val="Instructionsberschrift2"/>
        <w:ind w:left="357"/>
        <w:rPr>
          <w:rFonts w:ascii="Times New Roman" w:eastAsia="Calibri" w:hAnsi="Times New Roman" w:cs="Times New Roman"/>
          <w:szCs w:val="20"/>
        </w:rPr>
      </w:pPr>
    </w:p>
    <w:p w14:paraId="7FE1D054" w14:textId="6B5C3BCC" w:rsidR="00393915" w:rsidRDefault="00F24D68">
      <w:pPr>
        <w:pStyle w:val="Instructionsberschrift2"/>
        <w:numPr>
          <w:ilvl w:val="1"/>
          <w:numId w:val="49"/>
        </w:numPr>
        <w:spacing w:before="0"/>
        <w:ind w:left="357" w:hanging="357"/>
        <w:rPr>
          <w:rFonts w:ascii="Times New Roman" w:hAnsi="Times New Roman" w:cs="Times New Roman"/>
        </w:rPr>
      </w:pPr>
      <w:bookmarkStart w:id="246" w:name="_Toc208244831"/>
      <w:r>
        <w:rPr>
          <w:rFonts w:ascii="Times New Roman" w:eastAsiaTheme="minorEastAsia" w:hAnsi="Times New Roman" w:cs="Times New Roman"/>
        </w:rPr>
        <w:t xml:space="preserve">Z 13.00 – Svi depoziti (osim unutar grupe) </w:t>
      </w:r>
      <w:r>
        <w:rPr>
          <w:rFonts w:ascii="Times New Roman" w:eastAsia="Calibri" w:hAnsi="Times New Roman" w:cs="Times New Roman"/>
          <w:szCs w:val="20"/>
        </w:rPr>
        <w:t>(LIAB-G-3)</w:t>
      </w:r>
      <w:bookmarkEnd w:id="246"/>
    </w:p>
    <w:p w14:paraId="7FE1D057" w14:textId="77777777" w:rsidR="00393915" w:rsidRDefault="00F24D68">
      <w:pPr>
        <w:pStyle w:val="P68B1DB1-Numberedtitlelevel372"/>
      </w:pPr>
      <w:r>
        <w:t>Opće napomene</w:t>
      </w:r>
    </w:p>
    <w:p w14:paraId="7FE1D058" w14:textId="669C462E" w:rsidR="00393915" w:rsidRDefault="00F24D68">
      <w:pPr>
        <w:pStyle w:val="P68B1DB1-InstructionsText26"/>
        <w:numPr>
          <w:ilvl w:val="2"/>
          <w:numId w:val="209"/>
        </w:numPr>
        <w:spacing w:before="0"/>
        <w:ind w:left="1418"/>
        <w:rPr>
          <w:rFonts w:eastAsia="Cambria"/>
        </w:rPr>
      </w:pPr>
      <w:r>
        <w:t>Ovim izvješćem obuhvaćeni su svi depoziti, osim unutargrupnih transakcija, bez obzira na prirodu depozita ili uvjet. Depoziti bi se trebali identificirati na temelju definicije iz članka 2. stavka 1. točke 3. Direktive 2014/49/EU.</w:t>
      </w:r>
    </w:p>
    <w:p w14:paraId="7FE1D05A" w14:textId="73DE7883" w:rsidR="00393915" w:rsidRDefault="00F24D68">
      <w:pPr>
        <w:pStyle w:val="P68B1DB1-InstructionsText286"/>
        <w:numPr>
          <w:ilvl w:val="2"/>
          <w:numId w:val="209"/>
        </w:numPr>
        <w:spacing w:before="0"/>
        <w:ind w:left="1418"/>
      </w:pPr>
      <w:r>
        <w:t xml:space="preserve">Za potrebe ove tablice, grupiraju se svi neobuhvaćeni i nepovlašteni depoziti (kako je definirano u predlošku Z 02.00-r0320) s preostalim rokom do dospijeća kraćim od jedne godine, svi osigurani depoziti i neobuhvaćeni, ali povlašteni depoziti (kako je definirano u predlošku Z 02.00-r0310 i bez obzira na njihov preostali rok do dospijeća), prema kategoriji obveze (stupac 0020), vrsti druge ugovorne strane (stupac 0025) i insolvencijskoj hijerarhiji (stupac 0030). Depoziti koji nisu </w:t>
      </w:r>
      <w:r w:rsidR="00BA628E">
        <w:t xml:space="preserve">osigurani </w:t>
      </w:r>
      <w:r>
        <w:t xml:space="preserve">i </w:t>
      </w:r>
      <w:r w:rsidR="00BA628E">
        <w:t>koji su nepovlašteni</w:t>
      </w:r>
      <w:r>
        <w:t xml:space="preserve"> s preostalim rokom do dospijeća duljim od ili jednakim godinu dana moraju se iskazati kao pojedinačna stavka retka s obzirom na sve tražene rubrike. </w:t>
      </w:r>
    </w:p>
    <w:p w14:paraId="7FE1D05B" w14:textId="4C000A39" w:rsidR="00393915" w:rsidRDefault="00F24D68">
      <w:pPr>
        <w:pStyle w:val="InstructionsText2"/>
        <w:numPr>
          <w:ilvl w:val="2"/>
          <w:numId w:val="209"/>
        </w:numPr>
        <w:spacing w:before="0"/>
        <w:ind w:left="1418"/>
        <w:rPr>
          <w:rFonts w:ascii="Times New Roman" w:eastAsia="Cambria" w:hAnsi="Times New Roman" w:cs="Times New Roman"/>
          <w:sz w:val="20"/>
          <w:szCs w:val="20"/>
        </w:rPr>
      </w:pPr>
      <w:r>
        <w:rPr>
          <w:rFonts w:ascii="Times New Roman" w:eastAsia="Cambria" w:hAnsi="Times New Roman" w:cs="Times New Roman"/>
          <w:sz w:val="20"/>
          <w:szCs w:val="20"/>
        </w:rPr>
        <w:t>Neovisno o točki 67., svaki depozit kreditne institucije, bez obzira na vrstu depozita, mora se iskazati kao pojedinačna stavka retka</w:t>
      </w:r>
      <w:r>
        <w:rPr>
          <w:rFonts w:ascii="Times New Roman" w:hAnsi="Times New Roman" w:cs="Times New Roman"/>
        </w:rPr>
        <w:t xml:space="preserve"> </w:t>
      </w:r>
      <w:r>
        <w:rPr>
          <w:rFonts w:ascii="Times New Roman" w:eastAsia="Cambria" w:hAnsi="Times New Roman" w:cs="Times New Roman"/>
          <w:sz w:val="20"/>
          <w:szCs w:val="20"/>
        </w:rPr>
        <w:t>s obzirom na sve tražene rubrike. Na primjer, jedna transakcija mora se iskazati u više redaka ako se odnosi na različit red prvenstva u slučaju insolventnosti.</w:t>
      </w:r>
    </w:p>
    <w:p w14:paraId="7FE1D05C" w14:textId="0E610125" w:rsidR="00393915" w:rsidRDefault="00F24D68">
      <w:pPr>
        <w:pStyle w:val="InstructionsText2"/>
        <w:numPr>
          <w:ilvl w:val="2"/>
          <w:numId w:val="209"/>
        </w:numPr>
        <w:spacing w:before="0"/>
        <w:ind w:left="1418"/>
        <w:rPr>
          <w:rFonts w:ascii="Times New Roman" w:eastAsia="Cambria" w:hAnsi="Times New Roman" w:cs="Times New Roman"/>
          <w:sz w:val="20"/>
          <w:szCs w:val="20"/>
        </w:rPr>
      </w:pPr>
      <w:r>
        <w:rPr>
          <w:rFonts w:ascii="Times New Roman" w:eastAsia="Cambria" w:hAnsi="Times New Roman" w:cs="Times New Roman"/>
          <w:sz w:val="20"/>
          <w:szCs w:val="20"/>
        </w:rPr>
        <w:t>Svi ostali depoziti na koje se prethodno nije izričito upućivalo moraju se iskazati kao pojedinačna stavka retka</w:t>
      </w:r>
      <w:r>
        <w:rPr>
          <w:rFonts w:ascii="Times New Roman" w:hAnsi="Times New Roman" w:cs="Times New Roman"/>
        </w:rPr>
        <w:t xml:space="preserve"> </w:t>
      </w:r>
      <w:r>
        <w:rPr>
          <w:rFonts w:ascii="Times New Roman" w:eastAsia="Cambria" w:hAnsi="Times New Roman" w:cs="Times New Roman"/>
          <w:sz w:val="20"/>
          <w:szCs w:val="20"/>
        </w:rPr>
        <w:t>s obzirom na sva tražena polja.</w:t>
      </w:r>
    </w:p>
    <w:p w14:paraId="7FE1D061" w14:textId="77777777" w:rsidR="00393915" w:rsidRDefault="00F24D68">
      <w:pPr>
        <w:pStyle w:val="P68B1DB1-InstructionsText287"/>
        <w:numPr>
          <w:ilvl w:val="0"/>
          <w:numId w:val="0"/>
        </w:numPr>
        <w:ind w:left="753"/>
      </w:pPr>
      <w:r>
        <w:t>Upute za specifične pozicije</w:t>
      </w:r>
    </w:p>
    <w:tbl>
      <w:tblPr>
        <w:tblW w:w="0" w:type="auto"/>
        <w:tblLook w:val="01E0" w:firstRow="1" w:lastRow="1" w:firstColumn="1" w:lastColumn="1" w:noHBand="0" w:noVBand="0"/>
      </w:tblPr>
      <w:tblGrid>
        <w:gridCol w:w="1188"/>
        <w:gridCol w:w="7772"/>
        <w:gridCol w:w="66"/>
      </w:tblGrid>
      <w:tr w:rsidR="00393915" w14:paraId="7FE1D064" w14:textId="77777777">
        <w:trPr>
          <w:gridAfter w:val="1"/>
          <w:wAfter w:w="66" w:type="dxa"/>
          <w:tblHeader/>
        </w:trPr>
        <w:tc>
          <w:tcPr>
            <w:tcW w:w="1188" w:type="dxa"/>
            <w:tcBorders>
              <w:top w:val="single" w:sz="4" w:space="0" w:color="1A171C"/>
              <w:left w:val="nil"/>
              <w:bottom w:val="single" w:sz="4" w:space="0" w:color="1A171C"/>
              <w:right w:val="single" w:sz="4" w:space="0" w:color="1A171C"/>
            </w:tcBorders>
            <w:shd w:val="clear" w:color="auto" w:fill="E4E5E5"/>
          </w:tcPr>
          <w:p w14:paraId="7FE1D062" w14:textId="77777777" w:rsidR="00393915" w:rsidRDefault="00F24D68">
            <w:pPr>
              <w:pStyle w:val="P68B1DB1-TableParagraph17"/>
              <w:spacing w:before="108"/>
              <w:ind w:left="85"/>
            </w:pPr>
            <w:r>
              <w:t>Stupci</w:t>
            </w:r>
          </w:p>
        </w:tc>
        <w:tc>
          <w:tcPr>
            <w:tcW w:w="7772" w:type="dxa"/>
            <w:tcBorders>
              <w:top w:val="single" w:sz="4" w:space="0" w:color="1A171C"/>
              <w:left w:val="single" w:sz="4" w:space="0" w:color="1A171C"/>
              <w:bottom w:val="single" w:sz="4" w:space="0" w:color="1A171C"/>
              <w:right w:val="nil"/>
            </w:tcBorders>
            <w:shd w:val="clear" w:color="auto" w:fill="E4E5E5"/>
          </w:tcPr>
          <w:p w14:paraId="7FE1D063" w14:textId="77777777" w:rsidR="00393915" w:rsidRDefault="00F24D68">
            <w:pPr>
              <w:pStyle w:val="P68B1DB1-TableParagraph17"/>
              <w:spacing w:before="108"/>
              <w:ind w:left="85" w:right="1"/>
            </w:pPr>
            <w:r>
              <w:t>Upute</w:t>
            </w:r>
          </w:p>
        </w:tc>
      </w:tr>
      <w:tr w:rsidR="00393915" w14:paraId="7FE1D068" w14:textId="77777777">
        <w:tc>
          <w:tcPr>
            <w:tcW w:w="1188" w:type="dxa"/>
            <w:tcBorders>
              <w:top w:val="single" w:sz="8" w:space="0" w:color="1A171C"/>
              <w:left w:val="nil"/>
              <w:bottom w:val="single" w:sz="8" w:space="0" w:color="1A171C"/>
              <w:right w:val="single" w:sz="8" w:space="0" w:color="1A171C"/>
            </w:tcBorders>
          </w:tcPr>
          <w:p w14:paraId="7FE1D065" w14:textId="77777777" w:rsidR="00393915" w:rsidRDefault="00F24D68">
            <w:pPr>
              <w:pStyle w:val="P68B1DB1-Normal31"/>
            </w:pPr>
            <w:r>
              <w:t>0010</w:t>
            </w:r>
          </w:p>
        </w:tc>
        <w:tc>
          <w:tcPr>
            <w:tcW w:w="7838" w:type="dxa"/>
            <w:gridSpan w:val="2"/>
            <w:tcBorders>
              <w:top w:val="single" w:sz="8" w:space="0" w:color="1A171C"/>
              <w:left w:val="single" w:sz="8" w:space="0" w:color="1A171C"/>
              <w:bottom w:val="single" w:sz="8" w:space="0" w:color="1A171C"/>
              <w:right w:val="nil"/>
            </w:tcBorders>
          </w:tcPr>
          <w:p w14:paraId="7FE1D066" w14:textId="38C21F7E" w:rsidR="00393915" w:rsidRDefault="00F24D68">
            <w:pPr>
              <w:pStyle w:val="P68B1DB1-TableParagraph73"/>
              <w:spacing w:before="108"/>
              <w:ind w:left="85"/>
              <w:jc w:val="both"/>
              <w:rPr>
                <w:bCs/>
              </w:rPr>
            </w:pPr>
            <w:r>
              <w:t>B</w:t>
            </w:r>
            <w:r w:rsidR="00BA628E">
              <w:t>r</w:t>
            </w:r>
            <w:r>
              <w:t xml:space="preserve">. </w:t>
            </w:r>
          </w:p>
          <w:p w14:paraId="7FE1D067" w14:textId="43449971" w:rsidR="00393915" w:rsidRDefault="00F24D68">
            <w:pPr>
              <w:pStyle w:val="P68B1DB1-TableParagraph40"/>
              <w:spacing w:before="108"/>
              <w:ind w:left="85"/>
              <w:jc w:val="both"/>
            </w:pPr>
            <w:r>
              <w:t>Jedinstveni broj/primarni ključ za identifikaciju stavki retka.</w:t>
            </w:r>
          </w:p>
        </w:tc>
      </w:tr>
      <w:tr w:rsidR="00393915" w14:paraId="7FE1D06C" w14:textId="77777777">
        <w:tc>
          <w:tcPr>
            <w:tcW w:w="1188" w:type="dxa"/>
            <w:tcBorders>
              <w:top w:val="single" w:sz="8" w:space="0" w:color="1A171C"/>
              <w:left w:val="nil"/>
              <w:bottom w:val="single" w:sz="8" w:space="0" w:color="1A171C"/>
              <w:right w:val="single" w:sz="8" w:space="0" w:color="1A171C"/>
            </w:tcBorders>
          </w:tcPr>
          <w:p w14:paraId="7FE1D069" w14:textId="77777777" w:rsidR="00393915" w:rsidRDefault="00F24D68">
            <w:pPr>
              <w:pStyle w:val="P68B1DB1-Normal31"/>
            </w:pPr>
            <w:r>
              <w:t>0020</w:t>
            </w:r>
          </w:p>
        </w:tc>
        <w:tc>
          <w:tcPr>
            <w:tcW w:w="7838" w:type="dxa"/>
            <w:gridSpan w:val="2"/>
            <w:tcBorders>
              <w:top w:val="single" w:sz="8" w:space="0" w:color="1A171C"/>
              <w:left w:val="single" w:sz="8" w:space="0" w:color="1A171C"/>
              <w:bottom w:val="single" w:sz="8" w:space="0" w:color="1A171C"/>
              <w:right w:val="nil"/>
            </w:tcBorders>
          </w:tcPr>
          <w:p w14:paraId="7FE1D06A" w14:textId="7FE04A35" w:rsidR="00393915" w:rsidRDefault="00F24D68">
            <w:pPr>
              <w:pStyle w:val="P68B1DB1-TableParagraph73"/>
              <w:spacing w:before="108"/>
              <w:ind w:left="85"/>
              <w:jc w:val="both"/>
              <w:rPr>
                <w:bCs/>
              </w:rPr>
            </w:pPr>
            <w:r>
              <w:t xml:space="preserve">Redak </w:t>
            </w:r>
          </w:p>
          <w:p w14:paraId="7FE1D06B" w14:textId="7887C3E1" w:rsidR="00393915" w:rsidRDefault="00F24D68">
            <w:pPr>
              <w:pStyle w:val="P68B1DB1-TableParagraph40"/>
              <w:spacing w:before="108"/>
              <w:ind w:left="85"/>
              <w:jc w:val="both"/>
            </w:pPr>
            <w:r>
              <w:t>Za svaki iskazani redak potrebno je dostaviti usklađenje s kategorijom obveza strukture obveza u predlošku Z02.00 na razini dospijeća s unaprijed definiranog popisa vrijednosti.</w:t>
            </w:r>
          </w:p>
        </w:tc>
      </w:tr>
      <w:tr w:rsidR="00393915" w14:paraId="7FE1D070" w14:textId="77777777">
        <w:tc>
          <w:tcPr>
            <w:tcW w:w="1188" w:type="dxa"/>
            <w:tcBorders>
              <w:top w:val="single" w:sz="8" w:space="0" w:color="1A171C"/>
              <w:left w:val="nil"/>
              <w:bottom w:val="single" w:sz="8" w:space="0" w:color="1A171C"/>
              <w:right w:val="single" w:sz="8" w:space="0" w:color="1A171C"/>
            </w:tcBorders>
          </w:tcPr>
          <w:p w14:paraId="7FE1D06D" w14:textId="77777777" w:rsidR="00393915" w:rsidRDefault="00F24D68">
            <w:pPr>
              <w:pStyle w:val="P68B1DB1-Normal31"/>
            </w:pPr>
            <w:r>
              <w:t>0025</w:t>
            </w:r>
          </w:p>
        </w:tc>
        <w:tc>
          <w:tcPr>
            <w:tcW w:w="7838" w:type="dxa"/>
            <w:gridSpan w:val="2"/>
            <w:tcBorders>
              <w:top w:val="single" w:sz="8" w:space="0" w:color="1A171C"/>
              <w:left w:val="single" w:sz="8" w:space="0" w:color="1A171C"/>
              <w:bottom w:val="single" w:sz="8" w:space="0" w:color="1A171C"/>
              <w:right w:val="nil"/>
            </w:tcBorders>
          </w:tcPr>
          <w:p w14:paraId="7FE1D06E" w14:textId="77777777" w:rsidR="00393915" w:rsidRDefault="00F24D68">
            <w:pPr>
              <w:pStyle w:val="P68B1DB1-TableParagraph73"/>
              <w:spacing w:before="108"/>
              <w:ind w:left="85"/>
              <w:jc w:val="both"/>
              <w:rPr>
                <w:bCs/>
              </w:rPr>
            </w:pPr>
            <w:r>
              <w:t xml:space="preserve">Stupac </w:t>
            </w:r>
          </w:p>
          <w:p w14:paraId="7FE1D06F" w14:textId="34DE133F" w:rsidR="00393915" w:rsidRDefault="00F24D68">
            <w:pPr>
              <w:pStyle w:val="P68B1DB1-TableParagraph40"/>
              <w:spacing w:before="108"/>
              <w:ind w:left="85"/>
              <w:jc w:val="both"/>
            </w:pPr>
            <w:r>
              <w:t>Za svaki redak o kojem se izvješćuje mora se dostaviti usklađenje s klasom druge ugovorne strane u točki 02.00 prema kojoj se duguje depozit iz unaprijed određenog popisa vrijednosti.</w:t>
            </w:r>
          </w:p>
        </w:tc>
      </w:tr>
      <w:tr w:rsidR="00393915" w14:paraId="7FE1D074" w14:textId="77777777">
        <w:tc>
          <w:tcPr>
            <w:tcW w:w="1188" w:type="dxa"/>
            <w:tcBorders>
              <w:top w:val="single" w:sz="8" w:space="0" w:color="1A171C"/>
              <w:left w:val="nil"/>
              <w:bottom w:val="single" w:sz="8" w:space="0" w:color="1A171C"/>
              <w:right w:val="single" w:sz="8" w:space="0" w:color="1A171C"/>
            </w:tcBorders>
          </w:tcPr>
          <w:p w14:paraId="7FE1D071" w14:textId="77777777" w:rsidR="00393915" w:rsidRDefault="00F24D68">
            <w:pPr>
              <w:pStyle w:val="P68B1DB1-Normal31"/>
            </w:pPr>
            <w:r>
              <w:t>0030</w:t>
            </w:r>
          </w:p>
        </w:tc>
        <w:tc>
          <w:tcPr>
            <w:tcW w:w="7838" w:type="dxa"/>
            <w:gridSpan w:val="2"/>
            <w:tcBorders>
              <w:top w:val="single" w:sz="8" w:space="0" w:color="1A171C"/>
              <w:left w:val="single" w:sz="8" w:space="0" w:color="1A171C"/>
              <w:bottom w:val="single" w:sz="8" w:space="0" w:color="1A171C"/>
              <w:right w:val="nil"/>
            </w:tcBorders>
          </w:tcPr>
          <w:p w14:paraId="7FE1D072" w14:textId="6120A697" w:rsidR="00393915" w:rsidRDefault="00F24D68">
            <w:pPr>
              <w:pStyle w:val="P68B1DB1-TableParagraph73"/>
              <w:spacing w:before="108"/>
              <w:ind w:left="85"/>
              <w:jc w:val="both"/>
              <w:rPr>
                <w:bCs/>
              </w:rPr>
            </w:pPr>
            <w:r>
              <w:t xml:space="preserve">Red prvenstva u postupku u slučaju insolventnosti  </w:t>
            </w:r>
          </w:p>
          <w:p w14:paraId="7FE1D073" w14:textId="3CA3DC07" w:rsidR="00393915" w:rsidRDefault="00F24D68">
            <w:pPr>
              <w:pStyle w:val="P68B1DB1-TableParagraph40"/>
              <w:spacing w:before="108"/>
              <w:ind w:left="85"/>
              <w:jc w:val="both"/>
            </w:pPr>
            <w:r>
              <w:t>Red prvenstva u postupku u slučaju insolventnosti jedan je od redova prvenstva koje objavljuje sanacijsko tijelo te jurisdikcije.</w:t>
            </w:r>
          </w:p>
        </w:tc>
      </w:tr>
      <w:tr w:rsidR="00393915" w14:paraId="7FE1D078" w14:textId="77777777">
        <w:tc>
          <w:tcPr>
            <w:tcW w:w="1188" w:type="dxa"/>
            <w:tcBorders>
              <w:top w:val="single" w:sz="8" w:space="0" w:color="1A171C"/>
              <w:left w:val="nil"/>
              <w:bottom w:val="single" w:sz="8" w:space="0" w:color="1A171C"/>
              <w:right w:val="single" w:sz="8" w:space="0" w:color="1A171C"/>
            </w:tcBorders>
          </w:tcPr>
          <w:p w14:paraId="7FE1D075" w14:textId="77777777" w:rsidR="00393915" w:rsidRDefault="00F24D68">
            <w:pPr>
              <w:pStyle w:val="P68B1DB1-Normal31"/>
            </w:pPr>
            <w:r>
              <w:t>0035</w:t>
            </w:r>
          </w:p>
        </w:tc>
        <w:tc>
          <w:tcPr>
            <w:tcW w:w="7838" w:type="dxa"/>
            <w:gridSpan w:val="2"/>
            <w:tcBorders>
              <w:top w:val="single" w:sz="8" w:space="0" w:color="1A171C"/>
              <w:left w:val="single" w:sz="8" w:space="0" w:color="1A171C"/>
              <w:bottom w:val="single" w:sz="8" w:space="0" w:color="1A171C"/>
              <w:right w:val="nil"/>
            </w:tcBorders>
          </w:tcPr>
          <w:p w14:paraId="7FE1D076" w14:textId="77777777" w:rsidR="00393915" w:rsidRDefault="00F24D68">
            <w:pPr>
              <w:pStyle w:val="P68B1DB1-TableParagraph73"/>
              <w:spacing w:before="108"/>
              <w:ind w:left="85"/>
              <w:jc w:val="both"/>
              <w:rPr>
                <w:bCs/>
              </w:rPr>
            </w:pPr>
            <w:r>
              <w:t xml:space="preserve">Identifikator ugovora </w:t>
            </w:r>
          </w:p>
          <w:p w14:paraId="7FE1D077" w14:textId="77777777" w:rsidR="00393915" w:rsidRDefault="00F24D68">
            <w:pPr>
              <w:pStyle w:val="P68B1DB1-TableParagraph40"/>
              <w:spacing w:before="108"/>
              <w:ind w:left="85"/>
              <w:jc w:val="both"/>
            </w:pPr>
            <w:r>
              <w:t>Interna identifikacijska oznaka ugovora.</w:t>
            </w:r>
          </w:p>
        </w:tc>
      </w:tr>
      <w:tr w:rsidR="00393915" w14:paraId="7FE1D07C" w14:textId="77777777">
        <w:tc>
          <w:tcPr>
            <w:tcW w:w="1188" w:type="dxa"/>
            <w:vMerge w:val="restart"/>
            <w:tcBorders>
              <w:top w:val="single" w:sz="8" w:space="0" w:color="1A171C"/>
              <w:left w:val="nil"/>
              <w:bottom w:val="single" w:sz="8" w:space="0" w:color="1A171C"/>
              <w:right w:val="single" w:sz="8" w:space="0" w:color="1A171C"/>
            </w:tcBorders>
          </w:tcPr>
          <w:p w14:paraId="7FE1D079" w14:textId="77777777" w:rsidR="00393915" w:rsidRDefault="00F24D68">
            <w:pPr>
              <w:pStyle w:val="P68B1DB1-Normal31"/>
            </w:pPr>
            <w:r>
              <w:t>0040</w:t>
            </w:r>
          </w:p>
        </w:tc>
        <w:tc>
          <w:tcPr>
            <w:tcW w:w="7838" w:type="dxa"/>
            <w:gridSpan w:val="2"/>
            <w:tcBorders>
              <w:top w:val="single" w:sz="8" w:space="0" w:color="1A171C"/>
              <w:left w:val="single" w:sz="8" w:space="0" w:color="1A171C"/>
              <w:right w:val="nil"/>
            </w:tcBorders>
          </w:tcPr>
          <w:p w14:paraId="7FE1D07A" w14:textId="0FCA0B78" w:rsidR="00393915" w:rsidRDefault="00F24D68">
            <w:pPr>
              <w:pStyle w:val="P68B1DB1-TableParagraph73"/>
              <w:spacing w:before="108"/>
              <w:ind w:left="85"/>
              <w:jc w:val="both"/>
              <w:rPr>
                <w:bCs/>
              </w:rPr>
            </w:pPr>
            <w:r>
              <w:t xml:space="preserve">Identifikacijska oznaka druge ugovorne strane  </w:t>
            </w:r>
          </w:p>
          <w:p w14:paraId="7FE1D07B" w14:textId="13E0B9EE" w:rsidR="00393915" w:rsidRDefault="00F24D68">
            <w:pPr>
              <w:pStyle w:val="P68B1DB1-TableParagraph40"/>
              <w:spacing w:before="108"/>
              <w:ind w:left="85"/>
              <w:jc w:val="both"/>
            </w:pPr>
            <w:r>
              <w:t xml:space="preserve">Navesti </w:t>
            </w:r>
            <w:r w:rsidR="00BA628E">
              <w:t xml:space="preserve">LEI </w:t>
            </w:r>
            <w:r>
              <w:t xml:space="preserve">oznaku deponenta. U nedostatku LEI-ja, u slučaju </w:t>
            </w:r>
            <w:r w:rsidR="00A173C3">
              <w:t>bankovnih izvješća, navesti</w:t>
            </w:r>
            <w:r>
              <w:t xml:space="preserve"> identifikacijsk</w:t>
            </w:r>
            <w:r w:rsidR="00A173C3">
              <w:t>u</w:t>
            </w:r>
            <w:r>
              <w:t xml:space="preserve"> oznak</w:t>
            </w:r>
            <w:r w:rsidR="00A173C3">
              <w:t>u</w:t>
            </w:r>
            <w:r>
              <w:t xml:space="preserve"> </w:t>
            </w:r>
            <w:r>
              <w:t xml:space="preserve">monetarnih financijskih institucija ESB-a (MFI ID) </w:t>
            </w:r>
            <w:r>
              <w:t>korišten</w:t>
            </w:r>
            <w:r w:rsidR="00A173C3">
              <w:t>u</w:t>
            </w:r>
            <w:r>
              <w:t xml:space="preserve"> u RIAD-u. Navesti internu identifikacijsku oznaku isključivo ako ne postoje obje te identifikacijske oznake (očekuje se samo jedna jedinstvena identifikacijska oznaka po drugoj strani). </w:t>
            </w:r>
          </w:p>
        </w:tc>
      </w:tr>
      <w:tr w:rsidR="00393915" w14:paraId="7FE1D07F" w14:textId="77777777">
        <w:tc>
          <w:tcPr>
            <w:tcW w:w="1188" w:type="dxa"/>
            <w:vMerge/>
            <w:tcBorders>
              <w:bottom w:val="single" w:sz="4" w:space="0" w:color="auto"/>
              <w:right w:val="single" w:sz="8" w:space="0" w:color="1A171C"/>
            </w:tcBorders>
            <w:vAlign w:val="center"/>
          </w:tcPr>
          <w:p w14:paraId="7FE1D07D" w14:textId="77777777" w:rsidR="00393915" w:rsidRDefault="00393915">
            <w:pPr>
              <w:rPr>
                <w:rFonts w:ascii="Times New Roman" w:hAnsi="Times New Roman" w:cs="Times New Roman"/>
              </w:rPr>
            </w:pPr>
          </w:p>
        </w:tc>
        <w:tc>
          <w:tcPr>
            <w:tcW w:w="7838" w:type="dxa"/>
            <w:gridSpan w:val="2"/>
            <w:tcBorders>
              <w:left w:val="single" w:sz="8" w:space="0" w:color="1A171C"/>
              <w:bottom w:val="single" w:sz="4" w:space="0" w:color="auto"/>
              <w:right w:val="nil"/>
            </w:tcBorders>
          </w:tcPr>
          <w:p w14:paraId="7FE1D07E" w14:textId="17BB416A" w:rsidR="00393915" w:rsidRDefault="00F24D68">
            <w:pPr>
              <w:pStyle w:val="P68B1DB1-TableParagraph40"/>
              <w:spacing w:before="108"/>
              <w:ind w:left="85"/>
              <w:jc w:val="both"/>
            </w:pPr>
            <w:r>
              <w:t>Za depozite iskazane na ukupnoj razini navesti „0000” jer je ovo polje obvezno.</w:t>
            </w:r>
          </w:p>
        </w:tc>
      </w:tr>
      <w:tr w:rsidR="00393915" w14:paraId="7FE1D083" w14:textId="77777777">
        <w:tc>
          <w:tcPr>
            <w:tcW w:w="1188" w:type="dxa"/>
            <w:vMerge w:val="restart"/>
            <w:tcBorders>
              <w:top w:val="single" w:sz="4" w:space="0" w:color="auto"/>
              <w:left w:val="nil"/>
              <w:bottom w:val="single" w:sz="8" w:space="0" w:color="1A171C"/>
              <w:right w:val="single" w:sz="4" w:space="0" w:color="auto"/>
            </w:tcBorders>
          </w:tcPr>
          <w:p w14:paraId="7FE1D080" w14:textId="77777777" w:rsidR="00393915" w:rsidRDefault="00F24D68">
            <w:pPr>
              <w:pStyle w:val="P68B1DB1-Normal31"/>
            </w:pPr>
            <w:r>
              <w:t>0045</w:t>
            </w:r>
          </w:p>
        </w:tc>
        <w:tc>
          <w:tcPr>
            <w:tcW w:w="7838" w:type="dxa"/>
            <w:gridSpan w:val="2"/>
            <w:tcBorders>
              <w:top w:val="single" w:sz="4" w:space="0" w:color="auto"/>
              <w:left w:val="single" w:sz="4" w:space="0" w:color="auto"/>
            </w:tcBorders>
          </w:tcPr>
          <w:p w14:paraId="7FE1D081" w14:textId="05C93935" w:rsidR="00393915" w:rsidRDefault="00F24D68">
            <w:pPr>
              <w:pStyle w:val="P68B1DB1-TableParagraph73"/>
              <w:spacing w:before="108"/>
              <w:ind w:left="85"/>
              <w:jc w:val="both"/>
              <w:rPr>
                <w:bCs/>
              </w:rPr>
            </w:pPr>
            <w:r>
              <w:t xml:space="preserve">Vrsta identifikatora </w:t>
            </w:r>
          </w:p>
          <w:p w14:paraId="7FE1D082" w14:textId="37965055" w:rsidR="00393915" w:rsidRDefault="00F24D68">
            <w:pPr>
              <w:pStyle w:val="P68B1DB1-TableParagraph40"/>
              <w:spacing w:before="108"/>
              <w:ind w:left="85"/>
              <w:jc w:val="both"/>
            </w:pPr>
            <w:r>
              <w:t>Odabrati među sljedećim opcijama: „</w:t>
            </w:r>
            <w:r w:rsidR="00BA628E">
              <w:t>LEI o</w:t>
            </w:r>
            <w:r>
              <w:t xml:space="preserve">znaka ”, „oznaka MFI” ili „Vrsta identifikacijske </w:t>
            </w:r>
            <w:r>
              <w:lastRenderedPageBreak/>
              <w:t>oznake, osim LEI-ja ili MFI-ja”.</w:t>
            </w:r>
          </w:p>
        </w:tc>
      </w:tr>
      <w:tr w:rsidR="00393915" w14:paraId="7FE1D086" w14:textId="77777777">
        <w:tc>
          <w:tcPr>
            <w:tcW w:w="1188" w:type="dxa"/>
            <w:vMerge/>
            <w:tcBorders>
              <w:top w:val="single" w:sz="8" w:space="0" w:color="1A171C"/>
              <w:bottom w:val="single" w:sz="4" w:space="0" w:color="auto"/>
              <w:right w:val="single" w:sz="4" w:space="0" w:color="auto"/>
            </w:tcBorders>
            <w:vAlign w:val="center"/>
          </w:tcPr>
          <w:p w14:paraId="7FE1D084" w14:textId="77777777" w:rsidR="00393915" w:rsidRDefault="00393915">
            <w:pPr>
              <w:rPr>
                <w:rFonts w:ascii="Times New Roman" w:eastAsia="Times New Roman" w:hAnsi="Times New Roman" w:cs="Times New Roman"/>
                <w:sz w:val="20"/>
                <w:szCs w:val="20"/>
              </w:rPr>
            </w:pPr>
          </w:p>
        </w:tc>
        <w:tc>
          <w:tcPr>
            <w:tcW w:w="7838" w:type="dxa"/>
            <w:gridSpan w:val="2"/>
            <w:tcBorders>
              <w:left w:val="single" w:sz="4" w:space="0" w:color="auto"/>
              <w:bottom w:val="single" w:sz="4" w:space="0" w:color="auto"/>
            </w:tcBorders>
          </w:tcPr>
          <w:p w14:paraId="7FE1D085" w14:textId="15447429" w:rsidR="00393915" w:rsidRDefault="00F24D68">
            <w:pPr>
              <w:pStyle w:val="P68B1DB1-TableParagraph40"/>
              <w:spacing w:before="108"/>
              <w:ind w:left="85"/>
              <w:jc w:val="both"/>
            </w:pPr>
            <w:r>
              <w:t>Za depozite iskazane na agregiranoj razini navesti „Vrsta identifikacijske oznake, osim LEI ili MFI</w:t>
            </w:r>
            <w:r w:rsidR="006E1617">
              <w:t xml:space="preserve"> oznake </w:t>
            </w:r>
            <w:r>
              <w:t>”.</w:t>
            </w:r>
          </w:p>
        </w:tc>
      </w:tr>
      <w:tr w:rsidR="00393915" w14:paraId="7FE1D08A" w14:textId="77777777">
        <w:tc>
          <w:tcPr>
            <w:tcW w:w="1188" w:type="dxa"/>
            <w:tcBorders>
              <w:top w:val="single" w:sz="4" w:space="0" w:color="auto"/>
              <w:left w:val="nil"/>
              <w:bottom w:val="single" w:sz="8" w:space="0" w:color="1A171C"/>
              <w:right w:val="single" w:sz="8" w:space="0" w:color="1A171C"/>
            </w:tcBorders>
          </w:tcPr>
          <w:p w14:paraId="7FE1D087" w14:textId="77777777" w:rsidR="00393915" w:rsidRDefault="00F24D68">
            <w:pPr>
              <w:pStyle w:val="P68B1DB1-Normal31"/>
            </w:pPr>
            <w:r>
              <w:t xml:space="preserve"> 005</w:t>
            </w:r>
          </w:p>
        </w:tc>
        <w:tc>
          <w:tcPr>
            <w:tcW w:w="7838" w:type="dxa"/>
            <w:gridSpan w:val="2"/>
            <w:tcBorders>
              <w:top w:val="single" w:sz="4" w:space="0" w:color="auto"/>
              <w:left w:val="single" w:sz="8" w:space="0" w:color="1A171C"/>
              <w:bottom w:val="single" w:sz="8" w:space="0" w:color="1A171C"/>
              <w:right w:val="nil"/>
            </w:tcBorders>
          </w:tcPr>
          <w:p w14:paraId="7FE1D088" w14:textId="70C0260E" w:rsidR="00393915" w:rsidRDefault="00F24D68">
            <w:pPr>
              <w:pStyle w:val="P68B1DB1-TableParagraph73"/>
              <w:spacing w:before="108"/>
              <w:ind w:left="85"/>
              <w:jc w:val="both"/>
              <w:rPr>
                <w:bCs/>
              </w:rPr>
            </w:pPr>
            <w:r>
              <w:t xml:space="preserve">Mjerodavno pravo  </w:t>
            </w:r>
          </w:p>
          <w:p w14:paraId="7FE1D089" w14:textId="1A451092" w:rsidR="00393915" w:rsidRDefault="00F24D68">
            <w:pPr>
              <w:pStyle w:val="P68B1DB1-TableParagraph40"/>
              <w:spacing w:before="108"/>
              <w:ind w:left="85"/>
              <w:jc w:val="both"/>
            </w:pPr>
            <w:r>
              <w:t>Oznaka ISO 3166 – 1 alpha-2 države čije je pravo mjerodavno za instrument (upotrebljava se oznaka ISO 3166 – 2 ako je mjerodavno pravo upravne potpodjele, npr. „US-NY”). Ako se na ugovor primjenjuje pravo više od jedne zemlje, navodi se zemlja čije je pravo od najveće važnosti za priznavanje ovlasti otpisa i konverzije.  Za depozite iskazane na ukupnoj razini upotrijebiti vrijednost „Ostale zemlje”.</w:t>
            </w:r>
          </w:p>
        </w:tc>
      </w:tr>
      <w:tr w:rsidR="00393915" w14:paraId="7FE1D08E" w14:textId="77777777">
        <w:tc>
          <w:tcPr>
            <w:tcW w:w="1188" w:type="dxa"/>
            <w:tcBorders>
              <w:top w:val="single" w:sz="8" w:space="0" w:color="1A171C"/>
              <w:left w:val="nil"/>
              <w:bottom w:val="single" w:sz="8" w:space="0" w:color="1A171C"/>
              <w:right w:val="single" w:sz="8" w:space="0" w:color="1A171C"/>
            </w:tcBorders>
          </w:tcPr>
          <w:p w14:paraId="7FE1D08B" w14:textId="77777777" w:rsidR="00393915" w:rsidRDefault="00F24D68">
            <w:pPr>
              <w:pStyle w:val="P68B1DB1-Normal31"/>
            </w:pPr>
            <w:r>
              <w:t>0060</w:t>
            </w:r>
          </w:p>
        </w:tc>
        <w:tc>
          <w:tcPr>
            <w:tcW w:w="7838" w:type="dxa"/>
            <w:gridSpan w:val="2"/>
            <w:tcBorders>
              <w:top w:val="single" w:sz="8" w:space="0" w:color="1A171C"/>
              <w:left w:val="single" w:sz="8" w:space="0" w:color="1A171C"/>
              <w:bottom w:val="single" w:sz="8" w:space="0" w:color="1A171C"/>
              <w:right w:val="nil"/>
            </w:tcBorders>
          </w:tcPr>
          <w:p w14:paraId="7FE1D08C" w14:textId="77777777" w:rsidR="00393915" w:rsidRDefault="00F24D68">
            <w:pPr>
              <w:pStyle w:val="P68B1DB1-TableParagraph73"/>
              <w:spacing w:before="108"/>
              <w:ind w:left="85"/>
              <w:jc w:val="both"/>
              <w:rPr>
                <w:bCs/>
              </w:rPr>
            </w:pPr>
            <w:r>
              <w:t xml:space="preserve">Valuta  </w:t>
            </w:r>
          </w:p>
          <w:p w14:paraId="7FE1D08D" w14:textId="3FCE0053" w:rsidR="00393915" w:rsidRDefault="00F24D68">
            <w:pPr>
              <w:pStyle w:val="P68B1DB1-TableParagraph40"/>
              <w:spacing w:before="108"/>
              <w:ind w:left="85"/>
              <w:jc w:val="both"/>
            </w:pPr>
            <w:r>
              <w:t>Valuta depozita u skladu s troslovnom oznakom ISO 4217. Za depozite iskazane na agregiranoj razini upotrijebiti vrijednost „XXX”.</w:t>
            </w:r>
          </w:p>
        </w:tc>
      </w:tr>
      <w:tr w:rsidR="00393915" w14:paraId="7FE1D092" w14:textId="77777777">
        <w:tc>
          <w:tcPr>
            <w:tcW w:w="1188" w:type="dxa"/>
            <w:tcBorders>
              <w:top w:val="single" w:sz="8" w:space="0" w:color="1A171C"/>
              <w:left w:val="nil"/>
              <w:bottom w:val="single" w:sz="8" w:space="0" w:color="1A171C"/>
              <w:right w:val="single" w:sz="8" w:space="0" w:color="1A171C"/>
            </w:tcBorders>
          </w:tcPr>
          <w:p w14:paraId="7FE1D08F" w14:textId="77777777" w:rsidR="00393915" w:rsidRDefault="00F24D68">
            <w:pPr>
              <w:pStyle w:val="P68B1DB1-Normal31"/>
            </w:pPr>
            <w:r>
              <w:t>0070</w:t>
            </w:r>
          </w:p>
        </w:tc>
        <w:tc>
          <w:tcPr>
            <w:tcW w:w="7838" w:type="dxa"/>
            <w:gridSpan w:val="2"/>
            <w:tcBorders>
              <w:top w:val="single" w:sz="8" w:space="0" w:color="1A171C"/>
              <w:left w:val="single" w:sz="8" w:space="0" w:color="1A171C"/>
              <w:bottom w:val="single" w:sz="8" w:space="0" w:color="1A171C"/>
              <w:right w:val="nil"/>
            </w:tcBorders>
          </w:tcPr>
          <w:p w14:paraId="7FE1D090" w14:textId="5CEF44E5" w:rsidR="00393915" w:rsidRDefault="00F24D68">
            <w:pPr>
              <w:pStyle w:val="P68B1DB1-TableParagraph73"/>
              <w:spacing w:before="108"/>
              <w:ind w:left="85"/>
              <w:jc w:val="both"/>
              <w:rPr>
                <w:bCs/>
              </w:rPr>
            </w:pPr>
            <w:r>
              <w:t xml:space="preserve">Nepodmireni iznos glavnice  </w:t>
            </w:r>
          </w:p>
          <w:p w14:paraId="7FE1D091" w14:textId="6232EFBD" w:rsidR="00393915" w:rsidRDefault="00F24D68">
            <w:pPr>
              <w:pStyle w:val="P68B1DB1-TableParagraph40"/>
              <w:spacing w:before="108"/>
              <w:ind w:left="85"/>
              <w:jc w:val="both"/>
            </w:pPr>
            <w:r>
              <w:t>Nepodmireni iznos glavnice depozita.</w:t>
            </w:r>
          </w:p>
        </w:tc>
      </w:tr>
      <w:tr w:rsidR="00393915" w14:paraId="7FE1D096" w14:textId="77777777">
        <w:tc>
          <w:tcPr>
            <w:tcW w:w="1188" w:type="dxa"/>
            <w:tcBorders>
              <w:top w:val="single" w:sz="8" w:space="0" w:color="1A171C"/>
              <w:left w:val="nil"/>
              <w:bottom w:val="single" w:sz="8" w:space="0" w:color="1A171C"/>
              <w:right w:val="single" w:sz="8" w:space="0" w:color="1A171C"/>
            </w:tcBorders>
          </w:tcPr>
          <w:p w14:paraId="7FE1D093" w14:textId="77777777" w:rsidR="00393915" w:rsidRDefault="00F24D68">
            <w:pPr>
              <w:pStyle w:val="P68B1DB1-Normal31"/>
            </w:pPr>
            <w:r>
              <w:t>0080</w:t>
            </w:r>
          </w:p>
        </w:tc>
        <w:tc>
          <w:tcPr>
            <w:tcW w:w="7838" w:type="dxa"/>
            <w:gridSpan w:val="2"/>
            <w:tcBorders>
              <w:top w:val="single" w:sz="8" w:space="0" w:color="1A171C"/>
              <w:left w:val="single" w:sz="8" w:space="0" w:color="1A171C"/>
              <w:bottom w:val="single" w:sz="8" w:space="0" w:color="1A171C"/>
              <w:right w:val="nil"/>
            </w:tcBorders>
          </w:tcPr>
          <w:p w14:paraId="7FE1D094" w14:textId="57240ABD" w:rsidR="00393915" w:rsidRDefault="00F24D68">
            <w:pPr>
              <w:pStyle w:val="P68B1DB1-TableParagraph73"/>
              <w:spacing w:before="108"/>
              <w:ind w:left="85"/>
              <w:jc w:val="both"/>
              <w:rPr>
                <w:bCs/>
              </w:rPr>
            </w:pPr>
            <w:r>
              <w:t xml:space="preserve">Obračunate kamate </w:t>
            </w:r>
          </w:p>
          <w:p w14:paraId="7FE1D095" w14:textId="1CBCCFC7" w:rsidR="00393915" w:rsidRDefault="00F24D68">
            <w:pPr>
              <w:pStyle w:val="P68B1DB1-TableParagraph40"/>
              <w:spacing w:before="108"/>
              <w:ind w:left="85"/>
              <w:jc w:val="both"/>
            </w:pPr>
            <w:r>
              <w:t>Nepodmirene obračunate kamate na depozit.</w:t>
            </w:r>
          </w:p>
        </w:tc>
      </w:tr>
      <w:tr w:rsidR="00393915" w14:paraId="7FE1D09A" w14:textId="77777777">
        <w:tc>
          <w:tcPr>
            <w:tcW w:w="1188" w:type="dxa"/>
            <w:tcBorders>
              <w:top w:val="single" w:sz="8" w:space="0" w:color="1A171C"/>
              <w:left w:val="nil"/>
              <w:bottom w:val="single" w:sz="8" w:space="0" w:color="1A171C"/>
              <w:right w:val="single" w:sz="8" w:space="0" w:color="1A171C"/>
            </w:tcBorders>
          </w:tcPr>
          <w:p w14:paraId="7FE1D097" w14:textId="77777777" w:rsidR="00393915" w:rsidRDefault="00F24D68">
            <w:pPr>
              <w:pStyle w:val="P68B1DB1-Normal31"/>
            </w:pPr>
            <w:r>
              <w:t>0090</w:t>
            </w:r>
          </w:p>
        </w:tc>
        <w:tc>
          <w:tcPr>
            <w:tcW w:w="7838" w:type="dxa"/>
            <w:gridSpan w:val="2"/>
            <w:tcBorders>
              <w:top w:val="single" w:sz="8" w:space="0" w:color="1A171C"/>
              <w:left w:val="single" w:sz="8" w:space="0" w:color="1A171C"/>
              <w:bottom w:val="single" w:sz="8" w:space="0" w:color="1A171C"/>
              <w:right w:val="nil"/>
            </w:tcBorders>
          </w:tcPr>
          <w:p w14:paraId="7FE1D098" w14:textId="52C2978C" w:rsidR="00393915" w:rsidRDefault="00F24D68">
            <w:pPr>
              <w:pStyle w:val="P68B1DB1-TableParagraph73"/>
              <w:spacing w:before="108"/>
              <w:ind w:left="85"/>
              <w:jc w:val="both"/>
              <w:rPr>
                <w:bCs/>
              </w:rPr>
            </w:pPr>
            <w:r>
              <w:t xml:space="preserve">Trenutačna kamatna stopa (%) </w:t>
            </w:r>
          </w:p>
          <w:p w14:paraId="7FE1D099" w14:textId="0E3CB279" w:rsidR="00393915" w:rsidRDefault="00F24D68">
            <w:pPr>
              <w:pStyle w:val="P68B1DB1-TableParagraph40"/>
              <w:spacing w:before="108"/>
              <w:ind w:left="85"/>
              <w:jc w:val="both"/>
            </w:pPr>
            <w:r>
              <w:t xml:space="preserve">Trenutačna razina kamatne stope koja se primjenjuje na depozit. </w:t>
            </w:r>
          </w:p>
        </w:tc>
      </w:tr>
      <w:tr w:rsidR="00393915" w14:paraId="7FE1D0A3" w14:textId="77777777">
        <w:tc>
          <w:tcPr>
            <w:tcW w:w="1188" w:type="dxa"/>
            <w:tcBorders>
              <w:top w:val="single" w:sz="8" w:space="0" w:color="1A171C"/>
              <w:left w:val="nil"/>
              <w:bottom w:val="single" w:sz="8" w:space="0" w:color="1A171C"/>
              <w:right w:val="single" w:sz="8" w:space="0" w:color="1A171C"/>
            </w:tcBorders>
          </w:tcPr>
          <w:p w14:paraId="7FE1D09F" w14:textId="77777777" w:rsidR="00393915" w:rsidRDefault="00F24D68">
            <w:pPr>
              <w:pStyle w:val="P68B1DB1-TableParagraph40"/>
              <w:spacing w:before="108"/>
              <w:ind w:left="85"/>
              <w:jc w:val="both"/>
            </w:pPr>
            <w:r>
              <w:t>0110</w:t>
            </w:r>
          </w:p>
        </w:tc>
        <w:tc>
          <w:tcPr>
            <w:tcW w:w="7838" w:type="dxa"/>
            <w:gridSpan w:val="2"/>
            <w:tcBorders>
              <w:top w:val="single" w:sz="8" w:space="0" w:color="1A171C"/>
              <w:left w:val="single" w:sz="8" w:space="0" w:color="1A171C"/>
              <w:bottom w:val="single" w:sz="8" w:space="0" w:color="1A171C"/>
              <w:right w:val="nil"/>
            </w:tcBorders>
          </w:tcPr>
          <w:p w14:paraId="7FE1D0A0" w14:textId="7E290535" w:rsidR="00393915" w:rsidRDefault="00F24D68">
            <w:pPr>
              <w:pStyle w:val="P68B1DB1-TableParagraph73"/>
              <w:spacing w:before="108"/>
              <w:ind w:left="85"/>
              <w:jc w:val="both"/>
              <w:rPr>
                <w:bCs/>
              </w:rPr>
            </w:pPr>
            <w:r>
              <w:t xml:space="preserve">Iznos </w:t>
            </w:r>
            <w:r w:rsidR="00B84C66">
              <w:t>zaloga</w:t>
            </w:r>
            <w:r>
              <w:t xml:space="preserve">, založnog prava ili kolaterala </w:t>
            </w:r>
          </w:p>
          <w:p w14:paraId="7FE1D0A2" w14:textId="06B9CAED" w:rsidR="00393915" w:rsidRDefault="00F24D68">
            <w:pPr>
              <w:pStyle w:val="P68B1DB1-TableParagraph40"/>
              <w:spacing w:before="108"/>
              <w:ind w:left="85"/>
              <w:jc w:val="both"/>
            </w:pPr>
            <w:r>
              <w:t xml:space="preserve">Ako je obveza osigurana </w:t>
            </w:r>
            <w:r w:rsidR="00042771">
              <w:t>zalogom</w:t>
            </w:r>
            <w:r>
              <w:t>, založnim pravom ili kolateralom, navodi se njegova bruto tržišna vrijednost. U protivnom se za neosigurane obveze ova kategorija iskazuje kao nula. Tim će se iznosom odrediti kolateralizirani i naposljetku neosigurani dio bilo kojeg osiguranog depozita. Za skupove kolaterala kojima se osigurava više stavki redaka utvrđuje se ukupni omjer pokrića i primjenjuje se razmjerno na sve stavke redaka obuhvaćene tim skupom.</w:t>
            </w:r>
          </w:p>
        </w:tc>
      </w:tr>
      <w:tr w:rsidR="00393915" w14:paraId="7FE1D0A7" w14:textId="77777777">
        <w:tc>
          <w:tcPr>
            <w:tcW w:w="1188" w:type="dxa"/>
            <w:tcBorders>
              <w:top w:val="single" w:sz="8" w:space="0" w:color="1A171C"/>
              <w:left w:val="nil"/>
              <w:bottom w:val="single" w:sz="8" w:space="0" w:color="1A171C"/>
              <w:right w:val="single" w:sz="8" w:space="0" w:color="1A171C"/>
            </w:tcBorders>
          </w:tcPr>
          <w:p w14:paraId="7FE1D0A4" w14:textId="77777777" w:rsidR="00393915" w:rsidRDefault="00F24D68">
            <w:pPr>
              <w:pStyle w:val="P68B1DB1-Normal31"/>
            </w:pPr>
            <w:r>
              <w:t>0115</w:t>
            </w:r>
          </w:p>
        </w:tc>
        <w:tc>
          <w:tcPr>
            <w:tcW w:w="7838" w:type="dxa"/>
            <w:gridSpan w:val="2"/>
            <w:tcBorders>
              <w:top w:val="single" w:sz="8" w:space="0" w:color="1A171C"/>
              <w:left w:val="single" w:sz="8" w:space="0" w:color="1A171C"/>
              <w:bottom w:val="single" w:sz="8" w:space="0" w:color="1A171C"/>
              <w:right w:val="nil"/>
            </w:tcBorders>
          </w:tcPr>
          <w:p w14:paraId="7FE1D0A5" w14:textId="6B0A15B4" w:rsidR="00393915" w:rsidRDefault="00F24D68">
            <w:pPr>
              <w:pStyle w:val="P68B1DB1-TableParagraph73"/>
              <w:spacing w:before="108"/>
              <w:ind w:left="85"/>
              <w:jc w:val="both"/>
              <w:rPr>
                <w:bCs/>
              </w:rPr>
            </w:pPr>
            <w:r>
              <w:t xml:space="preserve">Iznos koji ispunjava uvjete za prihvatljivost MREL-a </w:t>
            </w:r>
          </w:p>
          <w:p w14:paraId="7FE1D0A6" w14:textId="65380CFA" w:rsidR="00393915" w:rsidRDefault="00F24D68">
            <w:pPr>
              <w:pStyle w:val="P68B1DB1-TableParagraph40"/>
              <w:spacing w:before="108"/>
              <w:ind w:left="85"/>
              <w:jc w:val="both"/>
            </w:pPr>
            <w:r>
              <w:t>Iznos regulatornog kapitala i prihvatljivih obveza koji se uračunava u zahtjev utvrđen u skladu s člankom 45. stavkom 1. Direktive 2014/59/EU.</w:t>
            </w:r>
          </w:p>
        </w:tc>
      </w:tr>
      <w:tr w:rsidR="00393915" w14:paraId="7FE1D0AB" w14:textId="77777777">
        <w:tc>
          <w:tcPr>
            <w:tcW w:w="1188" w:type="dxa"/>
            <w:tcBorders>
              <w:top w:val="single" w:sz="8" w:space="0" w:color="1A171C"/>
              <w:left w:val="nil"/>
              <w:bottom w:val="single" w:sz="8" w:space="0" w:color="1A171C"/>
              <w:right w:val="single" w:sz="8" w:space="0" w:color="1A171C"/>
            </w:tcBorders>
          </w:tcPr>
          <w:p w14:paraId="7FE1D0A8" w14:textId="77777777" w:rsidR="00393915" w:rsidRDefault="00F24D68">
            <w:pPr>
              <w:pStyle w:val="P68B1DB1-Normal31"/>
            </w:pPr>
            <w:r>
              <w:t>0120</w:t>
            </w:r>
          </w:p>
        </w:tc>
        <w:tc>
          <w:tcPr>
            <w:tcW w:w="7838" w:type="dxa"/>
            <w:gridSpan w:val="2"/>
            <w:tcBorders>
              <w:top w:val="single" w:sz="8" w:space="0" w:color="1A171C"/>
              <w:left w:val="single" w:sz="8" w:space="0" w:color="1A171C"/>
              <w:bottom w:val="single" w:sz="8" w:space="0" w:color="1A171C"/>
              <w:right w:val="nil"/>
            </w:tcBorders>
          </w:tcPr>
          <w:p w14:paraId="7FE1D0A9" w14:textId="20AAA590" w:rsidR="00393915" w:rsidRDefault="00F24D68">
            <w:pPr>
              <w:pStyle w:val="P68B1DB1-TableParagraph73"/>
              <w:spacing w:before="108"/>
              <w:ind w:left="85"/>
              <w:jc w:val="both"/>
              <w:rPr>
                <w:bCs/>
              </w:rPr>
            </w:pPr>
            <w:r>
              <w:t xml:space="preserve">Datum izdavanja </w:t>
            </w:r>
            <w:r w:rsidR="00042771">
              <w:t>oročenih depozita</w:t>
            </w:r>
            <w:r>
              <w:t xml:space="preserve"> </w:t>
            </w:r>
          </w:p>
          <w:p w14:paraId="7FE1D0AA" w14:textId="4ED7D6CC" w:rsidR="00393915" w:rsidRDefault="00F24D68">
            <w:pPr>
              <w:pStyle w:val="P68B1DB1-TableParagraph40"/>
              <w:spacing w:before="108"/>
              <w:ind w:left="85"/>
              <w:jc w:val="both"/>
            </w:pPr>
            <w:r>
              <w:t xml:space="preserve">Datum izvornog izdavanja </w:t>
            </w:r>
            <w:r w:rsidR="000300C7">
              <w:t>oročenog depozita</w:t>
            </w:r>
            <w:r>
              <w:t>.</w:t>
            </w:r>
          </w:p>
        </w:tc>
      </w:tr>
      <w:tr w:rsidR="00393915" w14:paraId="7FE1D0AF" w14:textId="77777777">
        <w:tc>
          <w:tcPr>
            <w:tcW w:w="1188" w:type="dxa"/>
            <w:vMerge w:val="restart"/>
            <w:tcBorders>
              <w:top w:val="single" w:sz="8" w:space="0" w:color="1A171C"/>
              <w:left w:val="nil"/>
              <w:right w:val="single" w:sz="8" w:space="0" w:color="1A171C"/>
            </w:tcBorders>
          </w:tcPr>
          <w:p w14:paraId="7FE1D0AC" w14:textId="77777777" w:rsidR="00393915" w:rsidRDefault="00F24D68">
            <w:pPr>
              <w:pStyle w:val="P68B1DB1-Normal31"/>
            </w:pPr>
            <w:r>
              <w:t>0130</w:t>
            </w:r>
          </w:p>
        </w:tc>
        <w:tc>
          <w:tcPr>
            <w:tcW w:w="7838" w:type="dxa"/>
            <w:gridSpan w:val="2"/>
            <w:tcBorders>
              <w:top w:val="single" w:sz="8" w:space="0" w:color="1A171C"/>
              <w:left w:val="single" w:sz="8" w:space="0" w:color="1A171C"/>
              <w:right w:val="nil"/>
            </w:tcBorders>
          </w:tcPr>
          <w:p w14:paraId="7FE1D0AD" w14:textId="42C2FA36" w:rsidR="00393915" w:rsidRDefault="00F24D68">
            <w:pPr>
              <w:pStyle w:val="P68B1DB1-TableParagraph73"/>
              <w:spacing w:before="108"/>
              <w:ind w:left="85"/>
              <w:jc w:val="both"/>
              <w:rPr>
                <w:bCs/>
              </w:rPr>
            </w:pPr>
            <w:r>
              <w:t xml:space="preserve">Najraniji datum isplate  </w:t>
            </w:r>
          </w:p>
          <w:p w14:paraId="7FE1D0AE" w14:textId="5DABFCEF" w:rsidR="00393915" w:rsidRDefault="00F24D68">
            <w:pPr>
              <w:pStyle w:val="P68B1DB1-TableParagraph40"/>
              <w:spacing w:before="108"/>
              <w:ind w:left="85"/>
              <w:jc w:val="both"/>
            </w:pPr>
            <w:r>
              <w:t>Ako postoji mogućnost da imatelji vjerovnika zatraže prijevremenu nadoknadu obveze ili su ugovorom predviđeni uvjeti za prijevremenu otplatu, navedite najraniji datum nastanka, u protivnom datum zakonskog konačnog dospijeća depozita. Ako se prijevremeni povrat odnosi samo na dio obveze (npr. prijevremeni povrat 50 % nominalnog iznosa), podijelite obvezu kako bi se uzela u obzir ta klauzula o djelomičnom prijevremenom otkupu.</w:t>
            </w:r>
          </w:p>
        </w:tc>
      </w:tr>
      <w:tr w:rsidR="00393915" w14:paraId="7FE1D0B2" w14:textId="77777777">
        <w:tc>
          <w:tcPr>
            <w:tcW w:w="1188" w:type="dxa"/>
            <w:vMerge/>
            <w:tcBorders>
              <w:bottom w:val="single" w:sz="8" w:space="0" w:color="1A171C"/>
              <w:right w:val="single" w:sz="8" w:space="0" w:color="1A171C"/>
            </w:tcBorders>
            <w:vAlign w:val="center"/>
          </w:tcPr>
          <w:p w14:paraId="7FE1D0B0" w14:textId="77777777" w:rsidR="00393915" w:rsidRDefault="00393915">
            <w:pPr>
              <w:rPr>
                <w:rFonts w:ascii="Times New Roman" w:hAnsi="Times New Roman" w:cs="Times New Roman"/>
              </w:rPr>
            </w:pPr>
          </w:p>
        </w:tc>
        <w:tc>
          <w:tcPr>
            <w:tcW w:w="7838" w:type="dxa"/>
            <w:gridSpan w:val="2"/>
            <w:tcBorders>
              <w:left w:val="single" w:sz="8" w:space="0" w:color="1A171C"/>
              <w:bottom w:val="single" w:sz="8" w:space="0" w:color="1A171C"/>
              <w:right w:val="nil"/>
            </w:tcBorders>
          </w:tcPr>
          <w:p w14:paraId="7FE1D0B1" w14:textId="57CC6FBF" w:rsidR="00393915" w:rsidRDefault="00F24D68">
            <w:pPr>
              <w:pStyle w:val="P68B1DB1-TableParagraph40"/>
              <w:spacing w:before="108"/>
              <w:ind w:left="85"/>
              <w:jc w:val="both"/>
            </w:pPr>
            <w:r>
              <w:t>Za depozite iskazane na agregiranoj razini najraniji datum isplate iskazuje se kao ‚2199</w:t>
            </w:r>
            <w:r w:rsidR="004E4EFE" w:rsidRPr="002F61BB">
              <w:t>-12-31</w:t>
            </w:r>
            <w:r>
              <w:t xml:space="preserve">. </w:t>
            </w:r>
          </w:p>
        </w:tc>
      </w:tr>
      <w:tr w:rsidR="00393915" w14:paraId="7FE1D0B6" w14:textId="77777777">
        <w:tc>
          <w:tcPr>
            <w:tcW w:w="1188" w:type="dxa"/>
            <w:vMerge w:val="restart"/>
            <w:tcBorders>
              <w:top w:val="single" w:sz="8" w:space="0" w:color="1A171C"/>
              <w:left w:val="nil"/>
              <w:right w:val="single" w:sz="8" w:space="0" w:color="1A171C"/>
            </w:tcBorders>
          </w:tcPr>
          <w:p w14:paraId="7FE1D0B3" w14:textId="413885FF" w:rsidR="00393915" w:rsidRDefault="00393915">
            <w:pPr>
              <w:rPr>
                <w:rFonts w:ascii="Times New Roman" w:hAnsi="Times New Roman" w:cs="Times New Roman"/>
              </w:rPr>
            </w:pPr>
          </w:p>
        </w:tc>
        <w:tc>
          <w:tcPr>
            <w:tcW w:w="7838" w:type="dxa"/>
            <w:gridSpan w:val="2"/>
            <w:tcBorders>
              <w:top w:val="single" w:sz="8" w:space="0" w:color="1A171C"/>
              <w:left w:val="single" w:sz="8" w:space="0" w:color="1A171C"/>
              <w:right w:val="nil"/>
            </w:tcBorders>
          </w:tcPr>
          <w:p w14:paraId="7FE1D0B5" w14:textId="7EA5292A" w:rsidR="00393915" w:rsidRDefault="00393915">
            <w:pPr>
              <w:pStyle w:val="TableParagraph"/>
              <w:spacing w:before="108"/>
              <w:ind w:left="85"/>
              <w:jc w:val="both"/>
              <w:rPr>
                <w:rFonts w:ascii="Times New Roman" w:eastAsia="Times New Roman" w:hAnsi="Times New Roman" w:cs="Times New Roman"/>
                <w:sz w:val="20"/>
                <w:szCs w:val="20"/>
              </w:rPr>
            </w:pPr>
          </w:p>
        </w:tc>
      </w:tr>
      <w:tr w:rsidR="00393915" w14:paraId="7FE1D0B9" w14:textId="77777777">
        <w:tc>
          <w:tcPr>
            <w:tcW w:w="1188" w:type="dxa"/>
            <w:vMerge/>
            <w:tcBorders>
              <w:bottom w:val="single" w:sz="8" w:space="0" w:color="1A171C"/>
              <w:right w:val="single" w:sz="8" w:space="0" w:color="1A171C"/>
            </w:tcBorders>
            <w:vAlign w:val="center"/>
          </w:tcPr>
          <w:p w14:paraId="7FE1D0B7" w14:textId="77777777" w:rsidR="00393915" w:rsidRDefault="00393915">
            <w:pPr>
              <w:rPr>
                <w:rFonts w:ascii="Times New Roman" w:hAnsi="Times New Roman" w:cs="Times New Roman"/>
              </w:rPr>
            </w:pPr>
          </w:p>
        </w:tc>
        <w:tc>
          <w:tcPr>
            <w:tcW w:w="7838" w:type="dxa"/>
            <w:gridSpan w:val="2"/>
            <w:tcBorders>
              <w:left w:val="single" w:sz="8" w:space="0" w:color="1A171C"/>
              <w:bottom w:val="single" w:sz="8" w:space="0" w:color="1A171C"/>
              <w:right w:val="nil"/>
            </w:tcBorders>
          </w:tcPr>
          <w:p w14:paraId="7FE1D0B8" w14:textId="21293449" w:rsidR="00393915" w:rsidRDefault="00393915">
            <w:pPr>
              <w:rPr>
                <w:rFonts w:ascii="Times New Roman" w:hAnsi="Times New Roman" w:cs="Times New Roman"/>
              </w:rPr>
            </w:pPr>
          </w:p>
        </w:tc>
      </w:tr>
    </w:tbl>
    <w:p w14:paraId="7FE1D0BA" w14:textId="77777777" w:rsidR="00393915" w:rsidRDefault="00393915">
      <w:pPr>
        <w:pStyle w:val="body"/>
        <w:rPr>
          <w:rFonts w:ascii="Times New Roman" w:hAnsi="Times New Roman" w:cs="Times New Roman"/>
          <w:color w:val="000000" w:themeColor="text1"/>
          <w:sz w:val="20"/>
          <w:szCs w:val="20"/>
        </w:rPr>
      </w:pPr>
    </w:p>
    <w:p w14:paraId="7FE1D0BB" w14:textId="77777777" w:rsidR="00393915" w:rsidRDefault="00393915">
      <w:pPr>
        <w:rPr>
          <w:rFonts w:ascii="Times New Roman" w:hAnsi="Times New Roman" w:cs="Times New Roman"/>
        </w:rPr>
      </w:pPr>
    </w:p>
    <w:p w14:paraId="7FE1D0BC" w14:textId="77777777" w:rsidR="00393915" w:rsidRDefault="00393915">
      <w:pPr>
        <w:pStyle w:val="Instructionsberschrift2"/>
        <w:ind w:left="357"/>
        <w:rPr>
          <w:rFonts w:ascii="Times New Roman" w:eastAsia="Calibri" w:hAnsi="Times New Roman" w:cs="Times New Roman"/>
          <w:szCs w:val="20"/>
        </w:rPr>
      </w:pPr>
    </w:p>
    <w:p w14:paraId="7FE1D0BD" w14:textId="2FE97D37" w:rsidR="00393915" w:rsidRDefault="00F24D68">
      <w:pPr>
        <w:pStyle w:val="Instructionsberschrift2"/>
        <w:numPr>
          <w:ilvl w:val="1"/>
          <w:numId w:val="49"/>
        </w:numPr>
        <w:spacing w:before="0"/>
        <w:ind w:left="357" w:hanging="357"/>
        <w:rPr>
          <w:rFonts w:ascii="Times New Roman" w:hAnsi="Times New Roman" w:cs="Times New Roman"/>
          <w:color w:val="000000" w:themeColor="text1"/>
          <w:szCs w:val="20"/>
        </w:rPr>
      </w:pPr>
      <w:r>
        <w:rPr>
          <w:rFonts w:ascii="Times New Roman" w:eastAsiaTheme="minorEastAsia" w:hAnsi="Times New Roman" w:cs="Times New Roman"/>
        </w:rPr>
        <w:t xml:space="preserve"> </w:t>
      </w:r>
      <w:bookmarkStart w:id="247" w:name="_Toc208244832"/>
      <w:r>
        <w:rPr>
          <w:rFonts w:ascii="Times New Roman" w:eastAsiaTheme="minorEastAsia" w:hAnsi="Times New Roman" w:cs="Times New Roman"/>
        </w:rPr>
        <w:t xml:space="preserve">Z 14.00 – </w:t>
      </w:r>
      <w:r>
        <w:rPr>
          <w:rFonts w:ascii="Times New Roman" w:hAnsi="Times New Roman" w:cs="Times New Roman"/>
          <w:color w:val="000000" w:themeColor="text1"/>
        </w:rPr>
        <w:t xml:space="preserve">Ostale financijske obveze (nisu uključene u ostale kartice, isključujući unutargrupne) </w:t>
      </w:r>
      <w:r>
        <w:rPr>
          <w:rFonts w:ascii="Times New Roman" w:eastAsia="Calibri" w:hAnsi="Times New Roman" w:cs="Times New Roman"/>
          <w:szCs w:val="20"/>
        </w:rPr>
        <w:t>(LIAB-G-4)</w:t>
      </w:r>
      <w:bookmarkEnd w:id="247"/>
    </w:p>
    <w:p w14:paraId="7FE1D0BE" w14:textId="56404057" w:rsidR="00393915" w:rsidRDefault="00393915">
      <w:pPr>
        <w:pStyle w:val="Instructionsberschrift2"/>
        <w:ind w:left="357"/>
        <w:rPr>
          <w:rFonts w:ascii="Times New Roman" w:eastAsiaTheme="minorEastAsia" w:hAnsi="Times New Roman" w:cs="Times New Roman"/>
          <w:color w:val="000000" w:themeColor="text1"/>
        </w:rPr>
      </w:pPr>
    </w:p>
    <w:p w14:paraId="7FE1D0BF" w14:textId="77777777" w:rsidR="00393915" w:rsidRDefault="00F24D68">
      <w:pPr>
        <w:pStyle w:val="P68B1DB1-Numberedtitlelevel372"/>
      </w:pPr>
      <w:r>
        <w:t>Opće napomene</w:t>
      </w:r>
    </w:p>
    <w:p w14:paraId="7FE1D0C0" w14:textId="28B97243" w:rsidR="00393915" w:rsidRDefault="00F24D68">
      <w:pPr>
        <w:pStyle w:val="P68B1DB1-InstructionsText286"/>
        <w:numPr>
          <w:ilvl w:val="2"/>
          <w:numId w:val="209"/>
        </w:numPr>
        <w:spacing w:before="0"/>
        <w:ind w:left="1276"/>
      </w:pPr>
      <w:r>
        <w:t>Ova tablica obuhvaća sve obveze koje nisu iskazane ni u jednom drugom zahtjevu za detaljne informacije (tj. Z11.00, Z12.00, Z13.00, Z15.00, Z16.00 i Z17.00), kao što su krediti, operativne obveze, obveze prema klirinškim kućama itd.</w:t>
      </w:r>
    </w:p>
    <w:p w14:paraId="7FE1D0C2" w14:textId="3CB02A11" w:rsidR="00393915" w:rsidRDefault="00F24D68">
      <w:pPr>
        <w:pStyle w:val="P68B1DB1-InstructionsText286"/>
        <w:numPr>
          <w:ilvl w:val="2"/>
          <w:numId w:val="209"/>
        </w:numPr>
        <w:spacing w:before="0"/>
        <w:ind w:left="1276"/>
      </w:pPr>
      <w:r>
        <w:t>Polja koja se ne primjenjuju na određenu obvezu (npr. obračunata kamata, tekuća kamatna stopa, datum izdavanja itd.) mogu ostati prazna.</w:t>
      </w:r>
    </w:p>
    <w:p w14:paraId="7FE1D0C3" w14:textId="539A9050" w:rsidR="00393915" w:rsidRDefault="00F24D68">
      <w:pPr>
        <w:pStyle w:val="P68B1DB1-InstructionsText286"/>
        <w:numPr>
          <w:ilvl w:val="2"/>
          <w:numId w:val="209"/>
        </w:numPr>
        <w:spacing w:before="0"/>
        <w:ind w:left="1276"/>
      </w:pPr>
      <w:r>
        <w:t xml:space="preserve">Za potrebe ove tablice obveze se iskazuju u redcima na razini granularnosti definiranoj traženim poljima (u načelu svaka transakcija iskazana kao pojedinačna stavka). </w:t>
      </w:r>
      <w:r w:rsidR="00C226EA">
        <w:t>Grupirati o</w:t>
      </w:r>
      <w:r>
        <w:t>bveze</w:t>
      </w:r>
      <w:r>
        <w:t xml:space="preserve"> zaposlenika skupine prema vrsti i insolvencijskoj hijerarhiji.</w:t>
      </w:r>
    </w:p>
    <w:p w14:paraId="7FE1D0C5" w14:textId="77777777" w:rsidR="00393915" w:rsidRDefault="00F24D68">
      <w:pPr>
        <w:pStyle w:val="P68B1DB1-InstructionsText287"/>
        <w:numPr>
          <w:ilvl w:val="0"/>
          <w:numId w:val="0"/>
        </w:numPr>
        <w:spacing w:before="0"/>
      </w:pPr>
      <w:r>
        <w:t>Upute za specifične pozicije</w:t>
      </w:r>
    </w:p>
    <w:tbl>
      <w:tblPr>
        <w:tblW w:w="9015" w:type="dxa"/>
        <w:tblInd w:w="135" w:type="dxa"/>
        <w:tblLayout w:type="fixed"/>
        <w:tblLook w:val="04A0" w:firstRow="1" w:lastRow="0" w:firstColumn="1" w:lastColumn="0" w:noHBand="0" w:noVBand="1"/>
      </w:tblPr>
      <w:tblGrid>
        <w:gridCol w:w="1183"/>
        <w:gridCol w:w="7832"/>
      </w:tblGrid>
      <w:tr w:rsidR="00393915" w14:paraId="7FE1D0C8" w14:textId="77777777">
        <w:trPr>
          <w:tblHeader/>
        </w:trPr>
        <w:tc>
          <w:tcPr>
            <w:tcW w:w="1183" w:type="dxa"/>
            <w:tcBorders>
              <w:top w:val="single" w:sz="8" w:space="0" w:color="1A171C"/>
              <w:left w:val="nil"/>
              <w:bottom w:val="single" w:sz="8" w:space="0" w:color="1A171C"/>
              <w:right w:val="single" w:sz="8" w:space="0" w:color="1A171C"/>
            </w:tcBorders>
            <w:shd w:val="clear" w:color="auto" w:fill="D9D9D9" w:themeFill="background1" w:themeFillShade="D9"/>
          </w:tcPr>
          <w:p w14:paraId="7FE1D0C6" w14:textId="77777777" w:rsidR="00393915" w:rsidRDefault="00F24D68">
            <w:pPr>
              <w:pStyle w:val="P68B1DB1-TableParagraph17"/>
              <w:spacing w:before="108"/>
              <w:ind w:left="85"/>
            </w:pPr>
            <w:r>
              <w:t xml:space="preserve">Stupci </w:t>
            </w:r>
          </w:p>
        </w:tc>
        <w:tc>
          <w:tcPr>
            <w:tcW w:w="7832" w:type="dxa"/>
            <w:tcBorders>
              <w:top w:val="single" w:sz="8" w:space="0" w:color="1A171C"/>
              <w:left w:val="single" w:sz="8" w:space="0" w:color="1A171C"/>
              <w:bottom w:val="single" w:sz="8" w:space="0" w:color="1A171C"/>
              <w:right w:val="nil"/>
            </w:tcBorders>
            <w:shd w:val="clear" w:color="auto" w:fill="D9D9D9" w:themeFill="background1" w:themeFillShade="D9"/>
          </w:tcPr>
          <w:p w14:paraId="7FE1D0C7" w14:textId="77777777" w:rsidR="00393915" w:rsidRDefault="00F24D68">
            <w:pPr>
              <w:pStyle w:val="P68B1DB1-TableParagraph17"/>
              <w:spacing w:before="108"/>
              <w:ind w:left="85"/>
            </w:pPr>
            <w:r>
              <w:t xml:space="preserve">Upute </w:t>
            </w:r>
          </w:p>
        </w:tc>
      </w:tr>
      <w:tr w:rsidR="00393915" w14:paraId="7FE1D0CC" w14:textId="77777777">
        <w:tc>
          <w:tcPr>
            <w:tcW w:w="1183" w:type="dxa"/>
            <w:tcBorders>
              <w:top w:val="single" w:sz="8" w:space="0" w:color="1A171C"/>
              <w:left w:val="nil"/>
              <w:bottom w:val="single" w:sz="8" w:space="0" w:color="1A171C"/>
              <w:right w:val="single" w:sz="8" w:space="0" w:color="1A171C"/>
            </w:tcBorders>
            <w:vAlign w:val="center"/>
          </w:tcPr>
          <w:p w14:paraId="7FE1D0C9" w14:textId="77777777" w:rsidR="00393915" w:rsidRDefault="00F24D68">
            <w:pPr>
              <w:pStyle w:val="P68B1DB1-Normal31"/>
            </w:pPr>
            <w:r>
              <w:t>0010</w:t>
            </w:r>
          </w:p>
        </w:tc>
        <w:tc>
          <w:tcPr>
            <w:tcW w:w="7832" w:type="dxa"/>
            <w:tcBorders>
              <w:top w:val="single" w:sz="8" w:space="0" w:color="1A171C"/>
              <w:left w:val="single" w:sz="8" w:space="0" w:color="1A171C"/>
              <w:bottom w:val="single" w:sz="8" w:space="0" w:color="1A171C"/>
              <w:right w:val="nil"/>
            </w:tcBorders>
            <w:vAlign w:val="bottom"/>
          </w:tcPr>
          <w:p w14:paraId="7FE1D0CA" w14:textId="56140186" w:rsidR="00393915" w:rsidRDefault="00F24D68">
            <w:pPr>
              <w:pStyle w:val="P68B1DB1-TableParagraph73"/>
              <w:spacing w:before="108"/>
              <w:ind w:left="85"/>
              <w:jc w:val="both"/>
              <w:rPr>
                <w:bCs/>
              </w:rPr>
            </w:pPr>
            <w:r>
              <w:t>B</w:t>
            </w:r>
            <w:r w:rsidR="00DD2502">
              <w:t>r</w:t>
            </w:r>
            <w:r>
              <w:t xml:space="preserve">. </w:t>
            </w:r>
          </w:p>
          <w:p w14:paraId="7FE1D0CB" w14:textId="1F8D9197" w:rsidR="00393915" w:rsidRDefault="00F24D68">
            <w:pPr>
              <w:pStyle w:val="P68B1DB1-TableParagraph40"/>
              <w:spacing w:before="108"/>
              <w:ind w:left="85"/>
              <w:jc w:val="both"/>
            </w:pPr>
            <w:r>
              <w:t>Jedinstveni broj/primarni ključ za identifikaciju stavki retka.</w:t>
            </w:r>
          </w:p>
        </w:tc>
      </w:tr>
      <w:tr w:rsidR="00393915" w14:paraId="7FE1D0D0" w14:textId="77777777">
        <w:tc>
          <w:tcPr>
            <w:tcW w:w="1183" w:type="dxa"/>
            <w:tcBorders>
              <w:top w:val="single" w:sz="8" w:space="0" w:color="1A171C"/>
              <w:left w:val="nil"/>
              <w:bottom w:val="single" w:sz="8" w:space="0" w:color="1A171C"/>
              <w:right w:val="single" w:sz="8" w:space="0" w:color="1A171C"/>
            </w:tcBorders>
            <w:vAlign w:val="center"/>
          </w:tcPr>
          <w:p w14:paraId="7FE1D0CD" w14:textId="77777777" w:rsidR="00393915" w:rsidRDefault="00F24D68">
            <w:pPr>
              <w:pStyle w:val="P68B1DB1-Normal31"/>
            </w:pPr>
            <w:r>
              <w:t>0020</w:t>
            </w:r>
          </w:p>
        </w:tc>
        <w:tc>
          <w:tcPr>
            <w:tcW w:w="7832" w:type="dxa"/>
            <w:tcBorders>
              <w:top w:val="single" w:sz="8" w:space="0" w:color="1A171C"/>
              <w:left w:val="single" w:sz="8" w:space="0" w:color="1A171C"/>
              <w:bottom w:val="single" w:sz="8" w:space="0" w:color="1A171C"/>
              <w:right w:val="nil"/>
            </w:tcBorders>
            <w:vAlign w:val="bottom"/>
          </w:tcPr>
          <w:p w14:paraId="7FE1D0CE" w14:textId="2F41A40D" w:rsidR="00393915" w:rsidRDefault="00F24D68">
            <w:pPr>
              <w:pStyle w:val="P68B1DB1-TableParagraph73"/>
              <w:spacing w:before="108"/>
              <w:ind w:left="85"/>
              <w:jc w:val="both"/>
              <w:rPr>
                <w:bCs/>
              </w:rPr>
            </w:pPr>
            <w:r>
              <w:t xml:space="preserve">Redak </w:t>
            </w:r>
          </w:p>
          <w:p w14:paraId="7FE1D0CF" w14:textId="3C03C281" w:rsidR="00393915" w:rsidRDefault="00F24D68">
            <w:pPr>
              <w:pStyle w:val="P68B1DB1-TableParagraph40"/>
              <w:spacing w:before="108"/>
              <w:ind w:left="85"/>
              <w:jc w:val="both"/>
            </w:pPr>
            <w:r>
              <w:t>Za svaki iskazani redak usklađivanje s kategorijama obveza strukture obveza u predlošku Z02.00 mora se navesti na razini dospijeća s unaprijed definiranog popisa vrijednosti.</w:t>
            </w:r>
          </w:p>
        </w:tc>
      </w:tr>
      <w:tr w:rsidR="00393915" w14:paraId="7FE1D0D4" w14:textId="77777777">
        <w:tc>
          <w:tcPr>
            <w:tcW w:w="1183" w:type="dxa"/>
            <w:tcBorders>
              <w:top w:val="single" w:sz="8" w:space="0" w:color="1A171C"/>
              <w:left w:val="nil"/>
              <w:bottom w:val="single" w:sz="8" w:space="0" w:color="1A171C"/>
              <w:right w:val="single" w:sz="8" w:space="0" w:color="1A171C"/>
            </w:tcBorders>
            <w:vAlign w:val="center"/>
          </w:tcPr>
          <w:p w14:paraId="7FE1D0D1" w14:textId="77777777" w:rsidR="00393915" w:rsidRDefault="00F24D68">
            <w:pPr>
              <w:pStyle w:val="P68B1DB1-Normal31"/>
            </w:pPr>
            <w:r>
              <w:t>0030</w:t>
            </w:r>
          </w:p>
        </w:tc>
        <w:tc>
          <w:tcPr>
            <w:tcW w:w="7832" w:type="dxa"/>
            <w:tcBorders>
              <w:top w:val="single" w:sz="8" w:space="0" w:color="1A171C"/>
              <w:left w:val="single" w:sz="8" w:space="0" w:color="1A171C"/>
              <w:bottom w:val="single" w:sz="8" w:space="0" w:color="1A171C"/>
              <w:right w:val="nil"/>
            </w:tcBorders>
            <w:vAlign w:val="bottom"/>
          </w:tcPr>
          <w:p w14:paraId="7FE1D0D2" w14:textId="7749B1EA" w:rsidR="00393915" w:rsidRDefault="00F24D68">
            <w:pPr>
              <w:pStyle w:val="P68B1DB1-TableParagraph73"/>
              <w:spacing w:before="108"/>
              <w:ind w:left="85"/>
              <w:jc w:val="both"/>
              <w:rPr>
                <w:bCs/>
              </w:rPr>
            </w:pPr>
            <w:r>
              <w:t xml:space="preserve">Stupac </w:t>
            </w:r>
          </w:p>
          <w:p w14:paraId="7FE1D0D3" w14:textId="0F37C958" w:rsidR="00393915" w:rsidRDefault="00F24D68">
            <w:pPr>
              <w:pStyle w:val="P68B1DB1-TableParagraph40"/>
              <w:spacing w:before="108"/>
              <w:ind w:left="85"/>
              <w:jc w:val="both"/>
            </w:pPr>
            <w:r>
              <w:t>Za svaki redak o kojem se izvješćuje, usklađivanje s klasom druge ugovorne strane u predlošku Z02.00 prema kojoj se obveza duguje mora se dostaviti s unaprijed definiranog popisa vrijednosti.</w:t>
            </w:r>
          </w:p>
        </w:tc>
      </w:tr>
      <w:tr w:rsidR="00393915" w14:paraId="7FE1D0D8" w14:textId="77777777">
        <w:tc>
          <w:tcPr>
            <w:tcW w:w="1183" w:type="dxa"/>
            <w:tcBorders>
              <w:top w:val="single" w:sz="8" w:space="0" w:color="1A171C"/>
              <w:left w:val="nil"/>
              <w:bottom w:val="single" w:sz="8" w:space="0" w:color="1A171C"/>
              <w:right w:val="single" w:sz="8" w:space="0" w:color="1A171C"/>
            </w:tcBorders>
            <w:vAlign w:val="center"/>
          </w:tcPr>
          <w:p w14:paraId="7FE1D0D5" w14:textId="77777777" w:rsidR="00393915" w:rsidRDefault="00F24D68">
            <w:pPr>
              <w:pStyle w:val="P68B1DB1-Normal31"/>
            </w:pPr>
            <w:r>
              <w:t>0040</w:t>
            </w:r>
          </w:p>
        </w:tc>
        <w:tc>
          <w:tcPr>
            <w:tcW w:w="7832" w:type="dxa"/>
            <w:tcBorders>
              <w:top w:val="single" w:sz="8" w:space="0" w:color="1A171C"/>
              <w:left w:val="single" w:sz="8" w:space="0" w:color="1A171C"/>
              <w:bottom w:val="single" w:sz="8" w:space="0" w:color="1A171C"/>
              <w:right w:val="nil"/>
            </w:tcBorders>
            <w:vAlign w:val="bottom"/>
          </w:tcPr>
          <w:p w14:paraId="7FE1D0D6" w14:textId="64F8E89E" w:rsidR="00393915" w:rsidRDefault="00F24D68">
            <w:pPr>
              <w:pStyle w:val="P68B1DB1-TableParagraph73"/>
              <w:spacing w:before="108"/>
              <w:ind w:left="85"/>
              <w:jc w:val="both"/>
              <w:rPr>
                <w:bCs/>
              </w:rPr>
            </w:pPr>
            <w:r>
              <w:t xml:space="preserve">Red prvenstva u postupku u slučaju insolventnosti  </w:t>
            </w:r>
          </w:p>
          <w:p w14:paraId="7FE1D0D7" w14:textId="3C00E6EA" w:rsidR="00393915" w:rsidRDefault="00F24D68">
            <w:pPr>
              <w:pStyle w:val="P68B1DB1-TableParagraph40"/>
              <w:spacing w:before="108"/>
              <w:ind w:left="85"/>
              <w:jc w:val="both"/>
            </w:pPr>
            <w:r>
              <w:t>Red prvenstva u postupku u slučaju insolventnosti jedan je od redova prvenstva koje objavljuje sanacijsko tijelo te jurisdikcije.</w:t>
            </w:r>
          </w:p>
        </w:tc>
      </w:tr>
      <w:tr w:rsidR="00393915" w14:paraId="7FE1D0DC" w14:textId="77777777">
        <w:tc>
          <w:tcPr>
            <w:tcW w:w="1183" w:type="dxa"/>
            <w:tcBorders>
              <w:top w:val="single" w:sz="8" w:space="0" w:color="1A171C"/>
              <w:left w:val="nil"/>
              <w:bottom w:val="single" w:sz="8" w:space="0" w:color="1A171C"/>
              <w:right w:val="single" w:sz="8" w:space="0" w:color="1A171C"/>
            </w:tcBorders>
            <w:vAlign w:val="center"/>
          </w:tcPr>
          <w:p w14:paraId="7FE1D0D9" w14:textId="77777777" w:rsidR="00393915" w:rsidRDefault="00F24D68">
            <w:pPr>
              <w:pStyle w:val="P68B1DB1-Normal31"/>
            </w:pPr>
            <w:r>
              <w:t>0050</w:t>
            </w:r>
          </w:p>
        </w:tc>
        <w:tc>
          <w:tcPr>
            <w:tcW w:w="7832" w:type="dxa"/>
            <w:tcBorders>
              <w:top w:val="single" w:sz="8" w:space="0" w:color="1A171C"/>
              <w:left w:val="single" w:sz="8" w:space="0" w:color="1A171C"/>
              <w:bottom w:val="single" w:sz="8" w:space="0" w:color="1A171C"/>
              <w:right w:val="nil"/>
            </w:tcBorders>
            <w:vAlign w:val="bottom"/>
          </w:tcPr>
          <w:p w14:paraId="7FE1D0DA" w14:textId="77777777" w:rsidR="00393915" w:rsidRDefault="00F24D68">
            <w:pPr>
              <w:pStyle w:val="P68B1DB1-TableParagraph73"/>
              <w:spacing w:before="108"/>
              <w:ind w:left="85"/>
              <w:jc w:val="both"/>
              <w:rPr>
                <w:bCs/>
              </w:rPr>
            </w:pPr>
            <w:r>
              <w:t xml:space="preserve">Identifikacijska oznaka ugovora </w:t>
            </w:r>
          </w:p>
          <w:p w14:paraId="7FE1D0DB" w14:textId="09A77FF8" w:rsidR="00393915" w:rsidRDefault="00F24D68">
            <w:pPr>
              <w:pStyle w:val="P68B1DB1-TableParagraph40"/>
              <w:spacing w:before="108"/>
              <w:ind w:left="85"/>
              <w:jc w:val="both"/>
            </w:pPr>
            <w:r>
              <w:t>Iskazuje se ISIN ili, ako ISIN nije dostupan, druga identifikacijska oznaka ugovora za instrument.</w:t>
            </w:r>
          </w:p>
        </w:tc>
      </w:tr>
      <w:tr w:rsidR="00393915" w14:paraId="7FE1D0E0" w14:textId="77777777">
        <w:tc>
          <w:tcPr>
            <w:tcW w:w="1183" w:type="dxa"/>
            <w:tcBorders>
              <w:top w:val="single" w:sz="8" w:space="0" w:color="1A171C"/>
              <w:left w:val="nil"/>
              <w:bottom w:val="single" w:sz="8" w:space="0" w:color="1A171C"/>
              <w:right w:val="single" w:sz="8" w:space="0" w:color="1A171C"/>
            </w:tcBorders>
            <w:vAlign w:val="center"/>
          </w:tcPr>
          <w:p w14:paraId="7FE1D0DD" w14:textId="77777777" w:rsidR="00393915" w:rsidRDefault="00F24D68">
            <w:pPr>
              <w:pStyle w:val="P68B1DB1-Normal31"/>
            </w:pPr>
            <w:r>
              <w:t>0055</w:t>
            </w:r>
          </w:p>
        </w:tc>
        <w:tc>
          <w:tcPr>
            <w:tcW w:w="7832" w:type="dxa"/>
            <w:tcBorders>
              <w:top w:val="single" w:sz="8" w:space="0" w:color="1A171C"/>
              <w:left w:val="single" w:sz="8" w:space="0" w:color="1A171C"/>
              <w:bottom w:val="single" w:sz="8" w:space="0" w:color="1A171C"/>
              <w:right w:val="nil"/>
            </w:tcBorders>
            <w:vAlign w:val="bottom"/>
          </w:tcPr>
          <w:p w14:paraId="7FE1D0DE" w14:textId="6192EFDD" w:rsidR="00393915" w:rsidRDefault="00F24D68">
            <w:pPr>
              <w:pStyle w:val="P68B1DB1-TableParagraph73"/>
              <w:spacing w:before="108"/>
              <w:ind w:left="85"/>
              <w:jc w:val="both"/>
              <w:rPr>
                <w:bCs/>
              </w:rPr>
            </w:pPr>
            <w:r>
              <w:t xml:space="preserve">Naziv druge ugovorne strane </w:t>
            </w:r>
          </w:p>
          <w:p w14:paraId="7FE1D0DF" w14:textId="5D08E31A" w:rsidR="00393915" w:rsidRDefault="00F24D68">
            <w:pPr>
              <w:pStyle w:val="P68B1DB1-TableParagraph40"/>
              <w:spacing w:before="108"/>
              <w:ind w:left="85"/>
              <w:jc w:val="both"/>
            </w:pPr>
            <w:r>
              <w:t>Naziv subjekta druge ugovorne strane obveze.</w:t>
            </w:r>
          </w:p>
        </w:tc>
      </w:tr>
      <w:tr w:rsidR="00393915" w14:paraId="7FE1D0E5" w14:textId="77777777">
        <w:tc>
          <w:tcPr>
            <w:tcW w:w="1183" w:type="dxa"/>
            <w:tcBorders>
              <w:top w:val="single" w:sz="8" w:space="0" w:color="1A171C"/>
              <w:left w:val="nil"/>
              <w:bottom w:val="single" w:sz="8" w:space="0" w:color="1A171C"/>
              <w:right w:val="single" w:sz="8" w:space="0" w:color="1A171C"/>
            </w:tcBorders>
            <w:vAlign w:val="center"/>
          </w:tcPr>
          <w:p w14:paraId="7FE1D0E1" w14:textId="77777777" w:rsidR="00393915" w:rsidRDefault="00F24D68">
            <w:pPr>
              <w:pStyle w:val="P68B1DB1-Normal31"/>
            </w:pPr>
            <w:r>
              <w:t>0060</w:t>
            </w:r>
          </w:p>
        </w:tc>
        <w:tc>
          <w:tcPr>
            <w:tcW w:w="7832" w:type="dxa"/>
            <w:tcBorders>
              <w:top w:val="single" w:sz="8" w:space="0" w:color="1A171C"/>
              <w:left w:val="single" w:sz="8" w:space="0" w:color="1A171C"/>
              <w:bottom w:val="single" w:sz="8" w:space="0" w:color="1A171C"/>
              <w:right w:val="nil"/>
            </w:tcBorders>
            <w:vAlign w:val="bottom"/>
          </w:tcPr>
          <w:p w14:paraId="7142A50B" w14:textId="5B4939E6" w:rsidR="00393915" w:rsidRDefault="00F24D68">
            <w:pPr>
              <w:pStyle w:val="P68B1DB1-TableParagraph73"/>
              <w:spacing w:before="108"/>
              <w:ind w:left="85"/>
              <w:jc w:val="both"/>
            </w:pPr>
            <w:r>
              <w:t>Identifikacijska oznaka druge ugovorne strane</w:t>
            </w:r>
          </w:p>
          <w:p w14:paraId="7FE1D0E3" w14:textId="76C551FB" w:rsidR="00393915" w:rsidRDefault="00DD2502">
            <w:pPr>
              <w:pStyle w:val="P68B1DB1-TableParagraph40"/>
              <w:spacing w:before="108"/>
              <w:ind w:left="85"/>
              <w:jc w:val="both"/>
            </w:pPr>
            <w:r>
              <w:t>Navesti LEI oznaku deponenta. U nedostatku LEI-ja, u slučaju bankovnih izvješća, navesti identifikacijsku oznaku monetarnih financijskih institucija ESB-a (MFI ID) korištenu u RIAD-u.</w:t>
            </w:r>
            <w:r w:rsidR="00F24D68">
              <w:t xml:space="preserve"> Navesti internu identifikacijsku oznaku isključivo ako ne postoje obje te identifikacijske oznake.</w:t>
            </w:r>
          </w:p>
          <w:p w14:paraId="7FE1D0E4" w14:textId="1D573481" w:rsidR="00393915" w:rsidRDefault="00393915">
            <w:pPr>
              <w:pStyle w:val="TableParagraph"/>
              <w:spacing w:before="108"/>
              <w:ind w:left="85"/>
              <w:jc w:val="both"/>
              <w:rPr>
                <w:rFonts w:ascii="Times New Roman" w:eastAsia="Times New Roman" w:hAnsi="Times New Roman" w:cs="Times New Roman"/>
                <w:sz w:val="20"/>
                <w:szCs w:val="20"/>
              </w:rPr>
            </w:pPr>
          </w:p>
        </w:tc>
      </w:tr>
      <w:tr w:rsidR="00393915" w14:paraId="7FE1D0E9" w14:textId="77777777">
        <w:tc>
          <w:tcPr>
            <w:tcW w:w="1183" w:type="dxa"/>
            <w:tcBorders>
              <w:top w:val="single" w:sz="8" w:space="0" w:color="1A171C"/>
              <w:left w:val="nil"/>
              <w:bottom w:val="single" w:sz="8" w:space="0" w:color="1A171C"/>
              <w:right w:val="single" w:sz="8" w:space="0" w:color="1A171C"/>
            </w:tcBorders>
            <w:vAlign w:val="center"/>
          </w:tcPr>
          <w:p w14:paraId="7FE1D0E6" w14:textId="77777777" w:rsidR="00393915" w:rsidRDefault="00F24D68">
            <w:pPr>
              <w:pStyle w:val="P68B1DB1-Normal31"/>
            </w:pPr>
            <w:r>
              <w:t>0065</w:t>
            </w:r>
          </w:p>
        </w:tc>
        <w:tc>
          <w:tcPr>
            <w:tcW w:w="7832" w:type="dxa"/>
            <w:tcBorders>
              <w:top w:val="single" w:sz="8" w:space="0" w:color="1A171C"/>
              <w:left w:val="single" w:sz="8" w:space="0" w:color="1A171C"/>
              <w:bottom w:val="single" w:sz="8" w:space="0" w:color="1A171C"/>
              <w:right w:val="nil"/>
            </w:tcBorders>
            <w:vAlign w:val="bottom"/>
          </w:tcPr>
          <w:p w14:paraId="7FE1D0E7" w14:textId="77777777" w:rsidR="00393915" w:rsidRDefault="00F24D68">
            <w:pPr>
              <w:pStyle w:val="P68B1DB1-TableParagraph73"/>
              <w:spacing w:before="108"/>
              <w:ind w:left="85"/>
              <w:jc w:val="both"/>
              <w:rPr>
                <w:bCs/>
              </w:rPr>
            </w:pPr>
            <w:r>
              <w:t xml:space="preserve">Vrsta identifikatora </w:t>
            </w:r>
          </w:p>
          <w:p w14:paraId="7FE1D0E8" w14:textId="65492E72" w:rsidR="00393915" w:rsidRDefault="00F24D68">
            <w:pPr>
              <w:pStyle w:val="P68B1DB1-TableParagraph40"/>
              <w:spacing w:before="108"/>
              <w:ind w:left="85"/>
              <w:jc w:val="both"/>
            </w:pPr>
            <w:r>
              <w:t>Odabrati među sljedećim opcijama: „LEI</w:t>
            </w:r>
            <w:r w:rsidR="00DD2502">
              <w:t xml:space="preserve"> o</w:t>
            </w:r>
            <w:r>
              <w:t>znaka ”, „</w:t>
            </w:r>
            <w:r w:rsidR="00DD2502">
              <w:t xml:space="preserve">MFI </w:t>
            </w:r>
            <w:r>
              <w:t>oznaka ” ili „Vrsta identifikacijske oznake, osim LEI ili MFI</w:t>
            </w:r>
            <w:r w:rsidR="00DD2502" w:rsidDel="00DD2502">
              <w:t xml:space="preserve"> </w:t>
            </w:r>
            <w:r w:rsidR="00DD2502">
              <w:t>oznake</w:t>
            </w:r>
            <w:r>
              <w:t>”.</w:t>
            </w:r>
          </w:p>
        </w:tc>
      </w:tr>
      <w:tr w:rsidR="00393915" w14:paraId="7FE1D0ED" w14:textId="77777777">
        <w:tc>
          <w:tcPr>
            <w:tcW w:w="1183" w:type="dxa"/>
            <w:tcBorders>
              <w:top w:val="single" w:sz="8" w:space="0" w:color="1A171C"/>
              <w:left w:val="nil"/>
              <w:bottom w:val="single" w:sz="8" w:space="0" w:color="1A171C"/>
              <w:right w:val="single" w:sz="8" w:space="0" w:color="1A171C"/>
            </w:tcBorders>
            <w:vAlign w:val="center"/>
          </w:tcPr>
          <w:p w14:paraId="7FE1D0EA" w14:textId="4E648225" w:rsidR="00393915" w:rsidRDefault="00F24D68">
            <w:pPr>
              <w:pStyle w:val="P68B1DB1-Normal31"/>
            </w:pPr>
            <w:r>
              <w:lastRenderedPageBreak/>
              <w:t xml:space="preserve"> 0070</w:t>
            </w:r>
          </w:p>
        </w:tc>
        <w:tc>
          <w:tcPr>
            <w:tcW w:w="7832" w:type="dxa"/>
            <w:tcBorders>
              <w:top w:val="single" w:sz="8" w:space="0" w:color="1A171C"/>
              <w:left w:val="single" w:sz="8" w:space="0" w:color="1A171C"/>
              <w:bottom w:val="single" w:sz="8" w:space="0" w:color="1A171C"/>
              <w:right w:val="nil"/>
            </w:tcBorders>
            <w:vAlign w:val="bottom"/>
          </w:tcPr>
          <w:p w14:paraId="7FE1D0EB" w14:textId="3585FBA0" w:rsidR="00393915" w:rsidRDefault="00F24D68">
            <w:pPr>
              <w:pStyle w:val="P68B1DB1-TableParagraph73"/>
              <w:spacing w:before="108"/>
              <w:ind w:left="85"/>
              <w:jc w:val="both"/>
              <w:rPr>
                <w:bCs/>
              </w:rPr>
            </w:pPr>
            <w:r>
              <w:t xml:space="preserve">Mjerodavno pravo  </w:t>
            </w:r>
          </w:p>
          <w:p w14:paraId="7FE1D0EC" w14:textId="237CB9E1" w:rsidR="00393915" w:rsidRDefault="00F24D68">
            <w:pPr>
              <w:pStyle w:val="P68B1DB1-TableParagraph40"/>
              <w:spacing w:before="108"/>
              <w:ind w:left="85"/>
              <w:jc w:val="both"/>
            </w:pPr>
            <w:r>
              <w:t xml:space="preserve">Oznaka ISO 3166 – 1 alpha-2 države čije je pravo mjerodavno za instrument (upotrebljava se oznaka ISO 3166 – 2 ako je mjerodavno pravo upravne potpodjele, npr. „US-NY”). Ako se na ugovor primjenjuje pravo više od jedne zemlje, navodi se zemlja čije je pravo od najveće važnosti za priznavanje ovlasti otpisa i konverzije.  </w:t>
            </w:r>
          </w:p>
        </w:tc>
      </w:tr>
      <w:tr w:rsidR="00393915" w14:paraId="7FE1D0F1" w14:textId="77777777">
        <w:tc>
          <w:tcPr>
            <w:tcW w:w="1183" w:type="dxa"/>
            <w:tcBorders>
              <w:top w:val="single" w:sz="8" w:space="0" w:color="1A171C"/>
              <w:left w:val="nil"/>
              <w:bottom w:val="single" w:sz="8" w:space="0" w:color="1A171C"/>
              <w:right w:val="single" w:sz="8" w:space="0" w:color="1A171C"/>
            </w:tcBorders>
            <w:vAlign w:val="center"/>
          </w:tcPr>
          <w:p w14:paraId="7FE1D0EE" w14:textId="02F3BABE" w:rsidR="00393915" w:rsidRDefault="00F24D68">
            <w:pPr>
              <w:pStyle w:val="P68B1DB1-Normal31"/>
            </w:pPr>
            <w:r>
              <w:t xml:space="preserve"> 0075</w:t>
            </w:r>
          </w:p>
        </w:tc>
        <w:tc>
          <w:tcPr>
            <w:tcW w:w="7832" w:type="dxa"/>
            <w:tcBorders>
              <w:top w:val="single" w:sz="8" w:space="0" w:color="1A171C"/>
              <w:left w:val="single" w:sz="8" w:space="0" w:color="1A171C"/>
              <w:bottom w:val="single" w:sz="8" w:space="0" w:color="1A171C"/>
              <w:right w:val="nil"/>
            </w:tcBorders>
            <w:vAlign w:val="bottom"/>
          </w:tcPr>
          <w:p w14:paraId="7FE1D0EF" w14:textId="5B4FC1DF" w:rsidR="00393915" w:rsidRDefault="00F24D68">
            <w:pPr>
              <w:pStyle w:val="P68B1DB1-TableParagraph73"/>
              <w:spacing w:before="108"/>
              <w:ind w:left="85"/>
              <w:jc w:val="both"/>
              <w:rPr>
                <w:bCs/>
              </w:rPr>
            </w:pPr>
            <w:r>
              <w:t xml:space="preserve">Vrsta financijskih obveza </w:t>
            </w:r>
          </w:p>
          <w:p w14:paraId="7FE1D0F0" w14:textId="53332B94" w:rsidR="00393915" w:rsidRDefault="00F24D68">
            <w:pPr>
              <w:pStyle w:val="P68B1DB1-TableParagraph40"/>
              <w:spacing w:before="108"/>
              <w:ind w:left="85"/>
              <w:jc w:val="both"/>
            </w:pPr>
            <w:r>
              <w:t>Odabire se među sljedećim opcijama „</w:t>
            </w:r>
            <w:r w:rsidR="009F043D">
              <w:t>zadužnica zajmoprimca</w:t>
            </w:r>
            <w:r>
              <w:t>”, „registrirana obveznica”, „</w:t>
            </w:r>
            <w:r w:rsidR="009F043D">
              <w:t>mjenica</w:t>
            </w:r>
            <w:r>
              <w:t xml:space="preserve">”, „Doprinosi </w:t>
            </w:r>
            <w:r w:rsidR="007A2CE5">
              <w:t>u tihom partnerstvu</w:t>
            </w:r>
            <w:r>
              <w:t>”, „Ostale financijske obveze”.</w:t>
            </w:r>
          </w:p>
        </w:tc>
      </w:tr>
      <w:tr w:rsidR="00393915" w14:paraId="7FE1D0FC" w14:textId="77777777">
        <w:tc>
          <w:tcPr>
            <w:tcW w:w="1183" w:type="dxa"/>
            <w:tcBorders>
              <w:top w:val="single" w:sz="8" w:space="0" w:color="1A171C"/>
              <w:left w:val="nil"/>
              <w:bottom w:val="single" w:sz="8" w:space="0" w:color="1A171C"/>
              <w:right w:val="single" w:sz="8" w:space="0" w:color="1A171C"/>
            </w:tcBorders>
            <w:vAlign w:val="center"/>
          </w:tcPr>
          <w:p w14:paraId="7FE1D0F2" w14:textId="77777777" w:rsidR="00393915" w:rsidRDefault="00F24D68">
            <w:pPr>
              <w:pStyle w:val="P68B1DB1-Normal31"/>
            </w:pPr>
            <w:r>
              <w:t>0080</w:t>
            </w:r>
          </w:p>
        </w:tc>
        <w:tc>
          <w:tcPr>
            <w:tcW w:w="7832" w:type="dxa"/>
            <w:tcBorders>
              <w:top w:val="single" w:sz="8" w:space="0" w:color="1A171C"/>
              <w:left w:val="single" w:sz="8" w:space="0" w:color="1A171C"/>
              <w:bottom w:val="single" w:sz="8" w:space="0" w:color="1A171C"/>
              <w:right w:val="nil"/>
            </w:tcBorders>
            <w:vAlign w:val="bottom"/>
          </w:tcPr>
          <w:p w14:paraId="7FE1D0F4" w14:textId="69C59D27" w:rsidR="00393915" w:rsidRDefault="00F24D68">
            <w:pPr>
              <w:pStyle w:val="P68B1DB1-TableParagraph73"/>
              <w:spacing w:before="108"/>
              <w:ind w:left="85"/>
              <w:jc w:val="both"/>
            </w:pPr>
            <w:r>
              <w:t xml:space="preserve">Ako je riječ o pravu treće zemlje, ugovorno priznavanje </w:t>
            </w:r>
          </w:p>
          <w:p w14:paraId="7FE1D0F6" w14:textId="6D1B9D89" w:rsidR="00393915" w:rsidRDefault="00F24D68">
            <w:pPr>
              <w:pStyle w:val="P68B1DB1-TableParagraph40"/>
              <w:spacing w:before="108"/>
              <w:ind w:left="85"/>
              <w:jc w:val="both"/>
            </w:pPr>
            <w:r>
              <w:t xml:space="preserve">Utvrđivanje ugovornih odredbi za priznavanje ovlasti </w:t>
            </w:r>
            <w:r w:rsidR="00C62F04">
              <w:t>za unutarnju sanaciju</w:t>
            </w:r>
            <w:r>
              <w:t xml:space="preserve"> u skladu s člankom 55. BRRD-a, ili </w:t>
            </w:r>
          </w:p>
          <w:p w14:paraId="7FE1D0F7" w14:textId="18928BF7" w:rsidR="00393915" w:rsidRDefault="00C62F04">
            <w:pPr>
              <w:pStyle w:val="P68B1DB1-TableParagraph40"/>
              <w:spacing w:before="108"/>
              <w:ind w:left="85"/>
              <w:jc w:val="both"/>
            </w:pPr>
            <w:r>
              <w:t>„</w:t>
            </w:r>
            <w:r w:rsidR="00F24D68">
              <w:t xml:space="preserve">Da, </w:t>
            </w:r>
            <w:r w:rsidR="00A972B1">
              <w:t xml:space="preserve">poduprijeto </w:t>
            </w:r>
            <w:r w:rsidR="00F24D68">
              <w:t xml:space="preserve">pravnim mišljenjem” = obveza uključuje klauzulu o priznavanju </w:t>
            </w:r>
            <w:r w:rsidR="00A521CC">
              <w:t>instrumenta unutarnje sanacije</w:t>
            </w:r>
            <w:r w:rsidR="00F24D68">
              <w:t xml:space="preserve"> u skladu s člankom 55. BRRD-a koja je </w:t>
            </w:r>
            <w:r w:rsidR="00A521CC">
              <w:t xml:space="preserve">poduprijeta </w:t>
            </w:r>
            <w:r w:rsidR="00F24D68">
              <w:t>pravnim mišljenjem;</w:t>
            </w:r>
          </w:p>
          <w:p w14:paraId="7FE1D0F8" w14:textId="373D4210" w:rsidR="00393915" w:rsidRDefault="00F24D68">
            <w:pPr>
              <w:pStyle w:val="P68B1DB1-TableParagraph40"/>
              <w:spacing w:before="108"/>
              <w:ind w:left="85"/>
              <w:jc w:val="both"/>
            </w:pPr>
            <w:r>
              <w:t xml:space="preserve">„Da, nije </w:t>
            </w:r>
            <w:r w:rsidR="00A972B1">
              <w:t xml:space="preserve">poduprijeto </w:t>
            </w:r>
            <w:r>
              <w:t xml:space="preserve">pravnim mišljenjem” = obveza uključuje klauzulu o priznavanju </w:t>
            </w:r>
            <w:r w:rsidR="002648F7">
              <w:t>instrumenta unutarnje sanacije</w:t>
            </w:r>
            <w:r>
              <w:t xml:space="preserve"> u skladu s člankom 55. BRRD-a koja trenutačno nije </w:t>
            </w:r>
            <w:r w:rsidR="00BA537A">
              <w:t xml:space="preserve">poduprijeta </w:t>
            </w:r>
            <w:r>
              <w:t>pravnim mišljenjem;</w:t>
            </w:r>
          </w:p>
          <w:p w14:paraId="7FE1D0F9" w14:textId="441C3455" w:rsidR="00393915" w:rsidRDefault="00F24D68">
            <w:pPr>
              <w:pStyle w:val="P68B1DB1-TableParagraph40"/>
              <w:spacing w:before="108"/>
              <w:ind w:left="85"/>
              <w:jc w:val="both"/>
            </w:pPr>
            <w:r>
              <w:t xml:space="preserve">„Ne” = obveza ne uključuje klauzulu o priznavanju </w:t>
            </w:r>
            <w:r w:rsidR="00D30738">
              <w:t>instrumenta unutarnje sanacije</w:t>
            </w:r>
            <w:r>
              <w:t>;</w:t>
            </w:r>
          </w:p>
          <w:p w14:paraId="7FE1D0FA" w14:textId="07E9B1A6" w:rsidR="00393915" w:rsidRDefault="00F24D68">
            <w:pPr>
              <w:pStyle w:val="P68B1DB1-TableParagraph40"/>
              <w:spacing w:before="108"/>
              <w:ind w:left="85"/>
              <w:jc w:val="both"/>
            </w:pPr>
            <w:r>
              <w:t xml:space="preserve">„Nije primjenjivo”,   </w:t>
            </w:r>
          </w:p>
          <w:p w14:paraId="7FE1D0FB" w14:textId="77777777" w:rsidR="00393915" w:rsidRDefault="00F24D68">
            <w:pPr>
              <w:pStyle w:val="P68B1DB1-TableParagraph40"/>
              <w:spacing w:before="108"/>
              <w:ind w:left="85"/>
              <w:jc w:val="both"/>
            </w:pPr>
            <w:r>
              <w:t>s unaprijed definiranog popisa.</w:t>
            </w:r>
          </w:p>
        </w:tc>
      </w:tr>
      <w:tr w:rsidR="00393915" w14:paraId="7FE1D100" w14:textId="77777777">
        <w:tc>
          <w:tcPr>
            <w:tcW w:w="1183" w:type="dxa"/>
            <w:tcBorders>
              <w:top w:val="single" w:sz="8" w:space="0" w:color="1A171C"/>
              <w:left w:val="nil"/>
              <w:bottom w:val="single" w:sz="8" w:space="0" w:color="1A171C"/>
              <w:right w:val="single" w:sz="8" w:space="0" w:color="1A171C"/>
            </w:tcBorders>
            <w:vAlign w:val="center"/>
          </w:tcPr>
          <w:p w14:paraId="7FE1D0FD" w14:textId="77777777" w:rsidR="00393915" w:rsidRDefault="00F24D68">
            <w:pPr>
              <w:pStyle w:val="P68B1DB1-Normal31"/>
            </w:pPr>
            <w:r>
              <w:t>0090</w:t>
            </w:r>
          </w:p>
        </w:tc>
        <w:tc>
          <w:tcPr>
            <w:tcW w:w="7832" w:type="dxa"/>
            <w:tcBorders>
              <w:top w:val="single" w:sz="8" w:space="0" w:color="1A171C"/>
              <w:left w:val="single" w:sz="8" w:space="0" w:color="1A171C"/>
              <w:bottom w:val="single" w:sz="8" w:space="0" w:color="1A171C"/>
              <w:right w:val="nil"/>
            </w:tcBorders>
            <w:vAlign w:val="bottom"/>
          </w:tcPr>
          <w:p w14:paraId="7FE1D0FE" w14:textId="2B50D04C" w:rsidR="00393915" w:rsidRDefault="00F24D68">
            <w:pPr>
              <w:pStyle w:val="P68B1DB1-TableParagraph73"/>
              <w:spacing w:before="108"/>
              <w:ind w:left="85"/>
              <w:jc w:val="both"/>
              <w:rPr>
                <w:bCs/>
              </w:rPr>
            </w:pPr>
            <w:r>
              <w:t xml:space="preserve">Nepodmireni iznos glavnice  </w:t>
            </w:r>
          </w:p>
          <w:p w14:paraId="7FE1D0FF" w14:textId="66FDB1F5" w:rsidR="00393915" w:rsidRDefault="00F24D68">
            <w:pPr>
              <w:pStyle w:val="P68B1DB1-TableParagraph40"/>
              <w:spacing w:before="108"/>
              <w:ind w:left="85"/>
              <w:jc w:val="both"/>
            </w:pPr>
            <w:r>
              <w:t>Nepodmireni iznos glavnice obveze.</w:t>
            </w:r>
          </w:p>
        </w:tc>
      </w:tr>
      <w:tr w:rsidR="00393915" w14:paraId="7FE1D104" w14:textId="77777777">
        <w:tc>
          <w:tcPr>
            <w:tcW w:w="1183" w:type="dxa"/>
            <w:tcBorders>
              <w:top w:val="single" w:sz="8" w:space="0" w:color="1A171C"/>
              <w:left w:val="nil"/>
              <w:bottom w:val="single" w:sz="8" w:space="0" w:color="1A171C"/>
              <w:right w:val="single" w:sz="8" w:space="0" w:color="1A171C"/>
            </w:tcBorders>
            <w:vAlign w:val="center"/>
          </w:tcPr>
          <w:p w14:paraId="7FE1D101" w14:textId="77777777" w:rsidR="00393915" w:rsidRDefault="00F24D68">
            <w:pPr>
              <w:pStyle w:val="P68B1DB1-Normal31"/>
            </w:pPr>
            <w:r>
              <w:t>0100</w:t>
            </w:r>
          </w:p>
        </w:tc>
        <w:tc>
          <w:tcPr>
            <w:tcW w:w="7832" w:type="dxa"/>
            <w:tcBorders>
              <w:top w:val="single" w:sz="8" w:space="0" w:color="1A171C"/>
              <w:left w:val="single" w:sz="8" w:space="0" w:color="1A171C"/>
              <w:bottom w:val="single" w:sz="8" w:space="0" w:color="1A171C"/>
              <w:right w:val="nil"/>
            </w:tcBorders>
            <w:vAlign w:val="bottom"/>
          </w:tcPr>
          <w:p w14:paraId="7FE1D102" w14:textId="2DA0F2E6" w:rsidR="00393915" w:rsidRDefault="00F24D68">
            <w:pPr>
              <w:pStyle w:val="P68B1DB1-TableParagraph73"/>
              <w:spacing w:before="108"/>
              <w:ind w:left="85"/>
              <w:jc w:val="both"/>
              <w:rPr>
                <w:bCs/>
              </w:rPr>
            </w:pPr>
            <w:r>
              <w:t xml:space="preserve">Obračunate kamate </w:t>
            </w:r>
          </w:p>
          <w:p w14:paraId="7FE1D103" w14:textId="345D6EBF" w:rsidR="00393915" w:rsidRDefault="00F24D68">
            <w:pPr>
              <w:pStyle w:val="P68B1DB1-TableParagraph40"/>
              <w:spacing w:before="108"/>
              <w:ind w:left="85"/>
              <w:jc w:val="both"/>
            </w:pPr>
            <w:r>
              <w:t>Nepodmirene obračunate kamate na obvezu.</w:t>
            </w:r>
          </w:p>
        </w:tc>
      </w:tr>
      <w:tr w:rsidR="00393915" w14:paraId="7FE1D108" w14:textId="77777777">
        <w:tc>
          <w:tcPr>
            <w:tcW w:w="1183" w:type="dxa"/>
            <w:tcBorders>
              <w:top w:val="single" w:sz="8" w:space="0" w:color="1A171C"/>
              <w:left w:val="nil"/>
              <w:bottom w:val="single" w:sz="8" w:space="0" w:color="1A171C"/>
              <w:right w:val="single" w:sz="8" w:space="0" w:color="1A171C"/>
            </w:tcBorders>
            <w:vAlign w:val="center"/>
          </w:tcPr>
          <w:p w14:paraId="7FE1D105" w14:textId="77777777" w:rsidR="00393915" w:rsidRDefault="00F24D68">
            <w:pPr>
              <w:pStyle w:val="P68B1DB1-Normal31"/>
            </w:pPr>
            <w:r>
              <w:t>0110</w:t>
            </w:r>
          </w:p>
        </w:tc>
        <w:tc>
          <w:tcPr>
            <w:tcW w:w="7832" w:type="dxa"/>
            <w:tcBorders>
              <w:top w:val="single" w:sz="8" w:space="0" w:color="1A171C"/>
              <w:left w:val="single" w:sz="8" w:space="0" w:color="1A171C"/>
              <w:bottom w:val="single" w:sz="8" w:space="0" w:color="1A171C"/>
              <w:right w:val="nil"/>
            </w:tcBorders>
            <w:vAlign w:val="bottom"/>
          </w:tcPr>
          <w:p w14:paraId="7FE1D106" w14:textId="7F6E59CB" w:rsidR="00393915" w:rsidRDefault="00F24D68">
            <w:pPr>
              <w:pStyle w:val="P68B1DB1-TableParagraph73"/>
              <w:spacing w:before="108"/>
              <w:ind w:left="85"/>
              <w:jc w:val="both"/>
              <w:rPr>
                <w:bCs/>
              </w:rPr>
            </w:pPr>
            <w:r>
              <w:t xml:space="preserve">Trenutačna kamatna stopa (%) </w:t>
            </w:r>
          </w:p>
          <w:p w14:paraId="7FE1D107" w14:textId="574366AF" w:rsidR="00393915" w:rsidRDefault="00F24D68">
            <w:pPr>
              <w:pStyle w:val="P68B1DB1-TableParagraph40"/>
              <w:spacing w:before="108"/>
              <w:ind w:left="85"/>
              <w:jc w:val="both"/>
            </w:pPr>
            <w:r>
              <w:t xml:space="preserve">Trenutačna razina kamatne stope koja se primjenjuje na obvezu. </w:t>
            </w:r>
          </w:p>
        </w:tc>
      </w:tr>
      <w:tr w:rsidR="00393915" w14:paraId="7FE1D10C" w14:textId="77777777">
        <w:tc>
          <w:tcPr>
            <w:tcW w:w="1183" w:type="dxa"/>
            <w:tcBorders>
              <w:top w:val="single" w:sz="8" w:space="0" w:color="1A171C"/>
              <w:left w:val="nil"/>
              <w:bottom w:val="single" w:sz="8" w:space="0" w:color="1A171C"/>
              <w:right w:val="single" w:sz="8" w:space="0" w:color="1A171C"/>
            </w:tcBorders>
            <w:vAlign w:val="center"/>
          </w:tcPr>
          <w:p w14:paraId="7FE1D109" w14:textId="77777777" w:rsidR="00393915" w:rsidRDefault="00F24D68">
            <w:pPr>
              <w:pStyle w:val="P68B1DB1-Normal31"/>
            </w:pPr>
            <w:r>
              <w:t>0120</w:t>
            </w:r>
          </w:p>
        </w:tc>
        <w:tc>
          <w:tcPr>
            <w:tcW w:w="7832" w:type="dxa"/>
            <w:tcBorders>
              <w:top w:val="single" w:sz="8" w:space="0" w:color="1A171C"/>
              <w:left w:val="single" w:sz="8" w:space="0" w:color="1A171C"/>
              <w:bottom w:val="single" w:sz="8" w:space="0" w:color="1A171C"/>
              <w:right w:val="nil"/>
            </w:tcBorders>
            <w:vAlign w:val="bottom"/>
          </w:tcPr>
          <w:p w14:paraId="7FE1D10A" w14:textId="77777777" w:rsidR="00393915" w:rsidRDefault="00F24D68">
            <w:pPr>
              <w:pStyle w:val="P68B1DB1-TableParagraph73"/>
              <w:spacing w:before="108"/>
              <w:ind w:left="85"/>
              <w:jc w:val="both"/>
              <w:rPr>
                <w:bCs/>
              </w:rPr>
            </w:pPr>
            <w:r>
              <w:t xml:space="preserve">Valuta  </w:t>
            </w:r>
          </w:p>
          <w:p w14:paraId="7FE1D10B" w14:textId="4FC71DBE" w:rsidR="00393915" w:rsidRDefault="00F24D68">
            <w:pPr>
              <w:pStyle w:val="P68B1DB1-TableParagraph40"/>
              <w:spacing w:before="108"/>
              <w:ind w:left="85"/>
              <w:jc w:val="both"/>
            </w:pPr>
            <w:r>
              <w:t>Valuta obveze u skladu s troslovnom oznakom ISO 4217.</w:t>
            </w:r>
          </w:p>
        </w:tc>
      </w:tr>
      <w:tr w:rsidR="00393915" w14:paraId="7FE1D110" w14:textId="77777777">
        <w:tc>
          <w:tcPr>
            <w:tcW w:w="1183" w:type="dxa"/>
            <w:tcBorders>
              <w:top w:val="single" w:sz="8" w:space="0" w:color="1A171C"/>
              <w:left w:val="nil"/>
              <w:bottom w:val="single" w:sz="8" w:space="0" w:color="1A171C"/>
              <w:right w:val="single" w:sz="8" w:space="0" w:color="1A171C"/>
            </w:tcBorders>
            <w:vAlign w:val="center"/>
          </w:tcPr>
          <w:p w14:paraId="7FE1D10D" w14:textId="77777777" w:rsidR="00393915" w:rsidRDefault="00F24D68">
            <w:pPr>
              <w:pStyle w:val="P68B1DB1-Normal31"/>
            </w:pPr>
            <w:r>
              <w:t>0130</w:t>
            </w:r>
          </w:p>
        </w:tc>
        <w:tc>
          <w:tcPr>
            <w:tcW w:w="7832" w:type="dxa"/>
            <w:tcBorders>
              <w:top w:val="single" w:sz="8" w:space="0" w:color="1A171C"/>
              <w:left w:val="single" w:sz="8" w:space="0" w:color="1A171C"/>
              <w:bottom w:val="single" w:sz="8" w:space="0" w:color="1A171C"/>
              <w:right w:val="nil"/>
            </w:tcBorders>
            <w:vAlign w:val="bottom"/>
          </w:tcPr>
          <w:p w14:paraId="7FE1D10E" w14:textId="24CCD785" w:rsidR="00393915" w:rsidRDefault="00F24D68">
            <w:pPr>
              <w:pStyle w:val="P68B1DB1-TableParagraph73"/>
              <w:spacing w:before="108"/>
              <w:ind w:left="85"/>
              <w:jc w:val="both"/>
              <w:rPr>
                <w:bCs/>
              </w:rPr>
            </w:pPr>
            <w:r>
              <w:t xml:space="preserve">Datum izdavanja </w:t>
            </w:r>
          </w:p>
          <w:p w14:paraId="7FE1D10F" w14:textId="77777777" w:rsidR="00393915" w:rsidRDefault="00F24D68">
            <w:pPr>
              <w:pStyle w:val="P68B1DB1-TableParagraph40"/>
              <w:spacing w:before="108"/>
              <w:ind w:left="85"/>
              <w:jc w:val="both"/>
            </w:pPr>
            <w:r>
              <w:t>Datum izvornog izdavanja obveze.</w:t>
            </w:r>
          </w:p>
        </w:tc>
      </w:tr>
      <w:tr w:rsidR="00393915" w14:paraId="7FE1D114" w14:textId="77777777">
        <w:tc>
          <w:tcPr>
            <w:tcW w:w="1183" w:type="dxa"/>
            <w:tcBorders>
              <w:top w:val="single" w:sz="8" w:space="0" w:color="1A171C"/>
              <w:left w:val="nil"/>
              <w:bottom w:val="single" w:sz="8" w:space="0" w:color="1A171C"/>
              <w:right w:val="single" w:sz="8" w:space="0" w:color="1A171C"/>
            </w:tcBorders>
            <w:vAlign w:val="center"/>
          </w:tcPr>
          <w:p w14:paraId="7FE1D111" w14:textId="77777777" w:rsidR="00393915" w:rsidRDefault="00F24D68">
            <w:pPr>
              <w:pStyle w:val="P68B1DB1-Normal31"/>
            </w:pPr>
            <w:r>
              <w:t>0140</w:t>
            </w:r>
          </w:p>
        </w:tc>
        <w:tc>
          <w:tcPr>
            <w:tcW w:w="7832" w:type="dxa"/>
            <w:tcBorders>
              <w:top w:val="single" w:sz="8" w:space="0" w:color="1A171C"/>
              <w:left w:val="single" w:sz="8" w:space="0" w:color="1A171C"/>
              <w:bottom w:val="single" w:sz="8" w:space="0" w:color="1A171C"/>
              <w:right w:val="nil"/>
            </w:tcBorders>
            <w:vAlign w:val="bottom"/>
          </w:tcPr>
          <w:p w14:paraId="7FE1D112" w14:textId="579FBDC2" w:rsidR="00393915" w:rsidRDefault="00F24D68">
            <w:pPr>
              <w:pStyle w:val="P68B1DB1-TableParagraph73"/>
              <w:spacing w:before="108"/>
              <w:ind w:left="85"/>
              <w:jc w:val="both"/>
              <w:rPr>
                <w:bCs/>
              </w:rPr>
            </w:pPr>
            <w:r>
              <w:t xml:space="preserve">Datum najranije </w:t>
            </w:r>
            <w:r w:rsidR="00785523">
              <w:t xml:space="preserve">otplate  </w:t>
            </w:r>
          </w:p>
          <w:p w14:paraId="7FE1D113" w14:textId="263F9578" w:rsidR="00393915" w:rsidRDefault="00F24D68">
            <w:pPr>
              <w:pStyle w:val="P68B1DB1-TableParagraph40"/>
              <w:spacing w:before="108"/>
              <w:ind w:left="85"/>
              <w:jc w:val="both"/>
            </w:pPr>
            <w:r>
              <w:t xml:space="preserve">Ako postoji mogućnost da vjerovnik zatraži prijevremenu otplatu ili su ugovorom predviđeni uvjeti za prijevremenu otplatu obveze, </w:t>
            </w:r>
            <w:r w:rsidR="00011405">
              <w:t xml:space="preserve">navesti </w:t>
            </w:r>
            <w:r>
              <w:t>najraniji datum nastanka obveze. Ako se prijevremeni povrat odnosi samo na dio obveze (npr. prijevremeni povrat 50 % nominalnog iznosa), podijelite obvezu kako bi se uzela u obzir ta klauzula o djelomičnom prijevremenom otkupu.</w:t>
            </w:r>
          </w:p>
        </w:tc>
      </w:tr>
      <w:tr w:rsidR="00393915" w14:paraId="7FE1D118" w14:textId="77777777">
        <w:tc>
          <w:tcPr>
            <w:tcW w:w="1183" w:type="dxa"/>
            <w:tcBorders>
              <w:top w:val="single" w:sz="8" w:space="0" w:color="1A171C"/>
              <w:left w:val="nil"/>
              <w:bottom w:val="single" w:sz="8" w:space="0" w:color="1A171C"/>
              <w:right w:val="single" w:sz="8" w:space="0" w:color="1A171C"/>
            </w:tcBorders>
            <w:vAlign w:val="center"/>
          </w:tcPr>
          <w:p w14:paraId="7FE1D115" w14:textId="77777777" w:rsidR="00393915" w:rsidRDefault="00F24D68">
            <w:pPr>
              <w:pStyle w:val="P68B1DB1-Normal31"/>
            </w:pPr>
            <w:r>
              <w:t>0150</w:t>
            </w:r>
          </w:p>
        </w:tc>
        <w:tc>
          <w:tcPr>
            <w:tcW w:w="7832" w:type="dxa"/>
            <w:tcBorders>
              <w:top w:val="single" w:sz="8" w:space="0" w:color="1A171C"/>
              <w:left w:val="single" w:sz="8" w:space="0" w:color="1A171C"/>
              <w:bottom w:val="single" w:sz="8" w:space="0" w:color="1A171C"/>
              <w:right w:val="nil"/>
            </w:tcBorders>
            <w:vAlign w:val="bottom"/>
          </w:tcPr>
          <w:p w14:paraId="7FE1D116" w14:textId="77777777" w:rsidR="00393915" w:rsidRDefault="00F24D68">
            <w:pPr>
              <w:pStyle w:val="P68B1DB1-TableParagraph73"/>
              <w:spacing w:before="108"/>
              <w:ind w:left="85"/>
              <w:jc w:val="both"/>
              <w:rPr>
                <w:bCs/>
              </w:rPr>
            </w:pPr>
            <w:r>
              <w:t xml:space="preserve"> Propisano dospijeće </w:t>
            </w:r>
          </w:p>
          <w:p w14:paraId="7FE1D117" w14:textId="67355B6F" w:rsidR="00393915" w:rsidRDefault="00F24D68">
            <w:pPr>
              <w:pStyle w:val="P68B1DB1-TableParagraph40"/>
              <w:spacing w:before="108"/>
              <w:ind w:left="85"/>
              <w:jc w:val="both"/>
            </w:pPr>
            <w:r>
              <w:t xml:space="preserve">Datum </w:t>
            </w:r>
            <w:r w:rsidR="002E425F">
              <w:t>propisanog</w:t>
            </w:r>
            <w:r>
              <w:t>, konačnog dospijeća instrumenta. Za</w:t>
            </w:r>
            <w:r>
              <w:t xml:space="preserve"> </w:t>
            </w:r>
            <w:r w:rsidR="009531D4">
              <w:t>trajne</w:t>
            </w:r>
            <w:r>
              <w:t xml:space="preserve"> vrijednosne papire navodi se „2099</w:t>
            </w:r>
            <w:r w:rsidR="00A81A51" w:rsidRPr="002F61BB">
              <w:t>-01-31</w:t>
            </w:r>
            <w:r>
              <w:t>”.</w:t>
            </w:r>
          </w:p>
        </w:tc>
      </w:tr>
      <w:tr w:rsidR="00393915" w14:paraId="7FE1D121" w14:textId="77777777">
        <w:tc>
          <w:tcPr>
            <w:tcW w:w="1183" w:type="dxa"/>
            <w:tcBorders>
              <w:top w:val="single" w:sz="8" w:space="0" w:color="1A171C"/>
              <w:left w:val="nil"/>
              <w:bottom w:val="single" w:sz="8" w:space="0" w:color="1A171C"/>
              <w:right w:val="single" w:sz="8" w:space="0" w:color="1A171C"/>
            </w:tcBorders>
            <w:vAlign w:val="center"/>
          </w:tcPr>
          <w:p w14:paraId="7FE1D11D" w14:textId="77777777" w:rsidR="00393915" w:rsidRDefault="00F24D68">
            <w:pPr>
              <w:pStyle w:val="P68B1DB1-Normal31"/>
            </w:pPr>
            <w:r>
              <w:t>0170</w:t>
            </w:r>
          </w:p>
        </w:tc>
        <w:tc>
          <w:tcPr>
            <w:tcW w:w="7832" w:type="dxa"/>
            <w:tcBorders>
              <w:top w:val="single" w:sz="8" w:space="0" w:color="1A171C"/>
              <w:left w:val="single" w:sz="8" w:space="0" w:color="1A171C"/>
              <w:bottom w:val="single" w:sz="8" w:space="0" w:color="1A171C"/>
              <w:right w:val="nil"/>
            </w:tcBorders>
            <w:vAlign w:val="bottom"/>
          </w:tcPr>
          <w:p w14:paraId="7FE1D11E" w14:textId="05019CB3" w:rsidR="00393915" w:rsidRDefault="00F24D68">
            <w:pPr>
              <w:pStyle w:val="P68B1DB1-TableParagraph73"/>
              <w:spacing w:before="108"/>
              <w:ind w:left="85"/>
              <w:jc w:val="both"/>
              <w:rPr>
                <w:bCs/>
              </w:rPr>
            </w:pPr>
            <w:r>
              <w:t xml:space="preserve">Iznos </w:t>
            </w:r>
            <w:r w:rsidR="002014C4">
              <w:t>zaloga</w:t>
            </w:r>
            <w:r>
              <w:t xml:space="preserve">, založnog prava ili kolaterala </w:t>
            </w:r>
          </w:p>
          <w:p w14:paraId="7FE1D120" w14:textId="29E53DAB" w:rsidR="00393915" w:rsidRDefault="00F24D68">
            <w:pPr>
              <w:pStyle w:val="P68B1DB1-TableParagraph40"/>
              <w:spacing w:before="108"/>
              <w:ind w:left="85"/>
              <w:jc w:val="both"/>
            </w:pPr>
            <w:r>
              <w:t xml:space="preserve">Ako je obveza osigurana </w:t>
            </w:r>
            <w:r w:rsidR="00BE3742">
              <w:t>zalogom</w:t>
            </w:r>
            <w:r>
              <w:t>, založnim pravom ili kolateralom, navodi se njegova bruto tržišna vrijednost. U protivnom se za neosigurane obveze ova kategorija iskazuje kao nula. Tim će se iznosom odrediti kolateralizirani i naposljetku neosigurani dio bilo koje osigurane obveze. Za skupove kolaterala kojima se osigurava više stavki redaka utvrđuje se ukupni omjer pokrića i primjenjuje se razmjerno na sve stavke redaka obuhvaćene tim skupom.</w:t>
            </w:r>
          </w:p>
        </w:tc>
      </w:tr>
      <w:tr w:rsidR="00393915" w14:paraId="7FE1D125" w14:textId="77777777">
        <w:tc>
          <w:tcPr>
            <w:tcW w:w="1183" w:type="dxa"/>
            <w:tcBorders>
              <w:top w:val="single" w:sz="8" w:space="0" w:color="1A171C"/>
              <w:left w:val="nil"/>
              <w:bottom w:val="single" w:sz="8" w:space="0" w:color="1A171C"/>
              <w:right w:val="single" w:sz="8" w:space="0" w:color="1A171C"/>
            </w:tcBorders>
            <w:vAlign w:val="center"/>
          </w:tcPr>
          <w:p w14:paraId="7FE1D122" w14:textId="77777777" w:rsidR="00393915" w:rsidRDefault="00F24D68">
            <w:pPr>
              <w:pStyle w:val="P68B1DB1-Normal31"/>
            </w:pPr>
            <w:r>
              <w:lastRenderedPageBreak/>
              <w:t>0180</w:t>
            </w:r>
          </w:p>
        </w:tc>
        <w:tc>
          <w:tcPr>
            <w:tcW w:w="7832" w:type="dxa"/>
            <w:tcBorders>
              <w:top w:val="single" w:sz="8" w:space="0" w:color="1A171C"/>
              <w:left w:val="single" w:sz="8" w:space="0" w:color="1A171C"/>
              <w:bottom w:val="single" w:sz="8" w:space="0" w:color="1A171C"/>
              <w:right w:val="nil"/>
            </w:tcBorders>
            <w:vAlign w:val="bottom"/>
          </w:tcPr>
          <w:p w14:paraId="7FE1D123" w14:textId="6FE5C4C2" w:rsidR="00393915" w:rsidRDefault="00F24D68">
            <w:pPr>
              <w:pStyle w:val="P68B1DB1-TableParagraph73"/>
              <w:spacing w:before="108"/>
              <w:ind w:left="85"/>
              <w:jc w:val="both"/>
              <w:rPr>
                <w:bCs/>
              </w:rPr>
            </w:pPr>
            <w:r>
              <w:t xml:space="preserve">Jamac </w:t>
            </w:r>
          </w:p>
          <w:p w14:paraId="7FE1D124" w14:textId="4ED9AE55" w:rsidR="00393915" w:rsidRDefault="00F24D68">
            <w:pPr>
              <w:pStyle w:val="P68B1DB1-TableParagraph40"/>
              <w:spacing w:before="108"/>
              <w:ind w:left="85"/>
              <w:jc w:val="both"/>
            </w:pPr>
            <w:r>
              <w:t>Ako su za instrument osigurana jamstva, navedite detaljnu identifikaciju jamca (</w:t>
            </w:r>
            <w:r w:rsidR="000200B8">
              <w:t xml:space="preserve">LEI </w:t>
            </w:r>
            <w:r>
              <w:t>oznaka, ISO 3166 – 1 alpha-2 oznaka države za državu itd.). Ako postoji više jamca, navesti sve identifikacijske oznake odvojene točkom zarez.</w:t>
            </w:r>
          </w:p>
        </w:tc>
      </w:tr>
      <w:tr w:rsidR="00393915" w14:paraId="7FE1D131" w14:textId="77777777">
        <w:tc>
          <w:tcPr>
            <w:tcW w:w="1183" w:type="dxa"/>
            <w:tcBorders>
              <w:top w:val="single" w:sz="8" w:space="0" w:color="1A171C"/>
              <w:left w:val="nil"/>
              <w:bottom w:val="single" w:sz="8" w:space="0" w:color="1A171C"/>
              <w:right w:val="single" w:sz="8" w:space="0" w:color="1A171C"/>
            </w:tcBorders>
            <w:vAlign w:val="center"/>
          </w:tcPr>
          <w:p w14:paraId="7FE1D12E" w14:textId="77777777" w:rsidR="00393915" w:rsidRDefault="00F24D68">
            <w:pPr>
              <w:pStyle w:val="P68B1DB1-Normal31"/>
            </w:pPr>
            <w:r>
              <w:t>0205</w:t>
            </w:r>
          </w:p>
        </w:tc>
        <w:tc>
          <w:tcPr>
            <w:tcW w:w="7832" w:type="dxa"/>
            <w:tcBorders>
              <w:top w:val="single" w:sz="8" w:space="0" w:color="1A171C"/>
              <w:left w:val="single" w:sz="8" w:space="0" w:color="1A171C"/>
              <w:bottom w:val="single" w:sz="8" w:space="0" w:color="1A171C"/>
              <w:right w:val="nil"/>
            </w:tcBorders>
            <w:vAlign w:val="bottom"/>
          </w:tcPr>
          <w:p w14:paraId="7FE1D12F" w14:textId="77777777" w:rsidR="00393915" w:rsidRDefault="00F24D68">
            <w:pPr>
              <w:pStyle w:val="P68B1DB1-TableParagraph73"/>
              <w:spacing w:before="108"/>
              <w:ind w:left="85"/>
              <w:jc w:val="both"/>
              <w:rPr>
                <w:bCs/>
              </w:rPr>
            </w:pPr>
            <w:r>
              <w:t xml:space="preserve">Iznos koji ispunjava uvjete za prihvatljivost MREL-a </w:t>
            </w:r>
          </w:p>
          <w:p w14:paraId="7FE1D130" w14:textId="267C8F59" w:rsidR="00393915" w:rsidRDefault="00F24D68">
            <w:pPr>
              <w:pStyle w:val="P68B1DB1-TableParagraph40"/>
              <w:spacing w:before="108"/>
              <w:ind w:left="85"/>
              <w:jc w:val="both"/>
            </w:pPr>
            <w:r>
              <w:t>Iznos regulatornog kapitala i prihvatljivih obveza koji se uračunava u zahtjev određen u skladu s člankom 45. stavkom 1. Direktive 2014/59/EU.</w:t>
            </w:r>
          </w:p>
        </w:tc>
      </w:tr>
      <w:tr w:rsidR="00393915" w14:paraId="7FE1D135" w14:textId="77777777">
        <w:tc>
          <w:tcPr>
            <w:tcW w:w="1183" w:type="dxa"/>
            <w:tcBorders>
              <w:top w:val="single" w:sz="8" w:space="0" w:color="1A171C"/>
              <w:left w:val="nil"/>
              <w:bottom w:val="single" w:sz="8" w:space="0" w:color="1A171C"/>
              <w:right w:val="single" w:sz="8" w:space="0" w:color="1A171C"/>
            </w:tcBorders>
            <w:vAlign w:val="center"/>
          </w:tcPr>
          <w:p w14:paraId="7FE1D132" w14:textId="77777777" w:rsidR="00393915" w:rsidRDefault="00F24D68">
            <w:pPr>
              <w:pStyle w:val="P68B1DB1-Normal31"/>
            </w:pPr>
            <w:r>
              <w:t>0210</w:t>
            </w:r>
          </w:p>
        </w:tc>
        <w:tc>
          <w:tcPr>
            <w:tcW w:w="7832" w:type="dxa"/>
            <w:tcBorders>
              <w:top w:val="single" w:sz="8" w:space="0" w:color="1A171C"/>
              <w:left w:val="single" w:sz="8" w:space="0" w:color="1A171C"/>
              <w:bottom w:val="single" w:sz="8" w:space="0" w:color="1A171C"/>
              <w:right w:val="nil"/>
            </w:tcBorders>
            <w:vAlign w:val="bottom"/>
          </w:tcPr>
          <w:p w14:paraId="7FE1D133" w14:textId="13940F18" w:rsidR="00393915" w:rsidRDefault="00F24D68">
            <w:pPr>
              <w:pStyle w:val="P68B1DB1-TableParagraph73"/>
              <w:spacing w:before="108"/>
              <w:ind w:left="85"/>
              <w:jc w:val="both"/>
              <w:rPr>
                <w:bCs/>
              </w:rPr>
            </w:pPr>
            <w:r>
              <w:t xml:space="preserve">Ispunjava uvjete za regulatorni kapital </w:t>
            </w:r>
          </w:p>
          <w:p w14:paraId="7FE1D134" w14:textId="05B71F6F" w:rsidR="00393915" w:rsidRDefault="00F24D68">
            <w:pPr>
              <w:pStyle w:val="P68B1DB1-TableParagraph40"/>
              <w:spacing w:before="108"/>
              <w:ind w:left="85"/>
              <w:jc w:val="both"/>
            </w:pPr>
            <w:r>
              <w:t>Navesti je li i na kojoj razini instrument uključen u regulatorni kapital, uz informacije o režimu postupnog ukidanja i aranžmanima za nastavak priznavanja. Vrijednost može biti „Ne”, „</w:t>
            </w:r>
            <w:r w:rsidR="0051000E">
              <w:t>D</w:t>
            </w:r>
            <w:r>
              <w:t>jelomično</w:t>
            </w:r>
            <w:r>
              <w:t xml:space="preserve"> AT1, T1 i T2”, „T2 u postupnom ukidanju”, „</w:t>
            </w:r>
            <w:r w:rsidR="002C172C">
              <w:t xml:space="preserve">Nastavak priznavanja </w:t>
            </w:r>
            <w:r>
              <w:t>T2”, „Potpuno usklađeni T2”, „</w:t>
            </w:r>
            <w:r w:rsidR="002C172C">
              <w:t>Nastavak priznavanja</w:t>
            </w:r>
            <w:r>
              <w:t>AT1</w:t>
            </w:r>
            <w:r>
              <w:t>”, „Potpuno usklađeni AT1” ili „CET1” s unaprijed definiranog popisa.</w:t>
            </w:r>
          </w:p>
        </w:tc>
      </w:tr>
      <w:tr w:rsidR="00393915" w14:paraId="7FE1D139" w14:textId="77777777">
        <w:tc>
          <w:tcPr>
            <w:tcW w:w="1183" w:type="dxa"/>
            <w:tcBorders>
              <w:top w:val="single" w:sz="8" w:space="0" w:color="1A171C"/>
              <w:left w:val="nil"/>
              <w:bottom w:val="single" w:sz="8" w:space="0" w:color="1A171C"/>
              <w:right w:val="single" w:sz="8" w:space="0" w:color="1A171C"/>
            </w:tcBorders>
            <w:vAlign w:val="center"/>
          </w:tcPr>
          <w:p w14:paraId="7FE1D136" w14:textId="77777777" w:rsidR="00393915" w:rsidRDefault="00F24D68">
            <w:pPr>
              <w:pStyle w:val="P68B1DB1-Normal31"/>
            </w:pPr>
            <w:r>
              <w:t>0220</w:t>
            </w:r>
          </w:p>
        </w:tc>
        <w:tc>
          <w:tcPr>
            <w:tcW w:w="7832" w:type="dxa"/>
            <w:tcBorders>
              <w:top w:val="single" w:sz="8" w:space="0" w:color="1A171C"/>
              <w:left w:val="single" w:sz="8" w:space="0" w:color="1A171C"/>
              <w:bottom w:val="single" w:sz="8" w:space="0" w:color="1A171C"/>
              <w:right w:val="nil"/>
            </w:tcBorders>
            <w:vAlign w:val="bottom"/>
          </w:tcPr>
          <w:p w14:paraId="7FE1D137" w14:textId="5D3D9880" w:rsidR="00393915" w:rsidRDefault="00F24D68">
            <w:pPr>
              <w:pStyle w:val="P68B1DB1-TableParagraph40"/>
              <w:spacing w:before="108"/>
              <w:ind w:left="85"/>
              <w:jc w:val="both"/>
              <w:rPr>
                <w:b/>
                <w:bCs/>
              </w:rPr>
            </w:pPr>
            <w:r>
              <w:t xml:space="preserve"> </w:t>
            </w:r>
            <w:r>
              <w:rPr>
                <w:b/>
              </w:rPr>
              <w:t xml:space="preserve">Iznos koji je kvalificiran kao </w:t>
            </w:r>
            <w:r w:rsidR="00942342">
              <w:rPr>
                <w:b/>
              </w:rPr>
              <w:t>regulatorni kapital</w:t>
            </w:r>
          </w:p>
          <w:p w14:paraId="7FE1D138" w14:textId="48ED7147" w:rsidR="00393915" w:rsidRDefault="00F24D68">
            <w:pPr>
              <w:pStyle w:val="P68B1DB1-TableParagraph40"/>
              <w:spacing w:before="108"/>
              <w:ind w:left="85"/>
              <w:jc w:val="both"/>
            </w:pPr>
            <w:r>
              <w:t>Iznos instrumenta koji se smatra regulatornim kapitalom.</w:t>
            </w:r>
          </w:p>
        </w:tc>
      </w:tr>
    </w:tbl>
    <w:p w14:paraId="7FE1D13A" w14:textId="77777777" w:rsidR="00393915" w:rsidRDefault="00393915">
      <w:pPr>
        <w:pStyle w:val="Instructionsberschrift2"/>
        <w:ind w:left="357"/>
        <w:rPr>
          <w:rFonts w:ascii="Times New Roman" w:eastAsia="Calibri" w:hAnsi="Times New Roman" w:cs="Times New Roman"/>
          <w:szCs w:val="20"/>
        </w:rPr>
      </w:pPr>
      <w:bookmarkStart w:id="248" w:name="_Toc81454216"/>
    </w:p>
    <w:p w14:paraId="7FE1D13B" w14:textId="0DCB9703" w:rsidR="00393915" w:rsidRDefault="00F24D68">
      <w:pPr>
        <w:pStyle w:val="Instructionsberschrift2"/>
        <w:numPr>
          <w:ilvl w:val="1"/>
          <w:numId w:val="49"/>
        </w:numPr>
        <w:spacing w:before="0"/>
        <w:ind w:left="357" w:hanging="357"/>
        <w:rPr>
          <w:rFonts w:ascii="Times New Roman" w:hAnsi="Times New Roman" w:cs="Times New Roman"/>
        </w:rPr>
      </w:pPr>
      <w:bookmarkStart w:id="249" w:name="_Toc208244833"/>
      <w:r>
        <w:rPr>
          <w:rFonts w:ascii="Times New Roman" w:eastAsiaTheme="minorEastAsia" w:hAnsi="Times New Roman" w:cs="Times New Roman"/>
        </w:rPr>
        <w:t xml:space="preserve">Z 15.00 – Izvedenice </w:t>
      </w:r>
      <w:r>
        <w:rPr>
          <w:rFonts w:ascii="Times New Roman" w:eastAsia="Calibri" w:hAnsi="Times New Roman" w:cs="Times New Roman"/>
          <w:szCs w:val="20"/>
        </w:rPr>
        <w:t>(LIAB-G-5)</w:t>
      </w:r>
      <w:bookmarkEnd w:id="249"/>
    </w:p>
    <w:bookmarkEnd w:id="248"/>
    <w:p w14:paraId="7FE1D13D" w14:textId="77777777" w:rsidR="00393915" w:rsidRDefault="00F24D68">
      <w:pPr>
        <w:pStyle w:val="P68B1DB1-Numberedtitlelevel388"/>
      </w:pPr>
      <w:r>
        <w:t>Opće napomene</w:t>
      </w:r>
    </w:p>
    <w:p w14:paraId="7FE1D13E" w14:textId="2F22A34C" w:rsidR="00393915" w:rsidRDefault="00F24D68">
      <w:pPr>
        <w:pStyle w:val="P68B1DB1-InstructionsText286"/>
        <w:numPr>
          <w:ilvl w:val="2"/>
          <w:numId w:val="209"/>
        </w:numPr>
        <w:spacing w:before="0"/>
        <w:ind w:left="1276"/>
        <w:rPr>
          <w:rFonts w:eastAsiaTheme="majorEastAsia"/>
        </w:rPr>
      </w:pPr>
      <w:r>
        <w:t xml:space="preserve">Za potrebe ove tablice obveze koje proizlaze iz izvedenica iskazuju se prema skupu za netiranje, tj. svaki skup za netiranje iskazuje se kao pojedinačna stavka za netiranje. </w:t>
      </w:r>
    </w:p>
    <w:p w14:paraId="7FE1D140" w14:textId="6B5870BD" w:rsidR="00393915" w:rsidRDefault="00F24D68">
      <w:pPr>
        <w:pStyle w:val="P68B1DB1-InstructionsText286"/>
        <w:numPr>
          <w:ilvl w:val="2"/>
          <w:numId w:val="209"/>
        </w:numPr>
        <w:spacing w:before="0"/>
        <w:ind w:left="1276"/>
      </w:pPr>
      <w:r>
        <w:t>Iskazuju se samo skupovi za netiranje izvedenica/pojedinačni ugovori koji rezultiraju neto obvezom po tržišnoj vrijednosti (stupac c0120).</w:t>
      </w:r>
    </w:p>
    <w:p w14:paraId="7FE1D142" w14:textId="77777777" w:rsidR="00393915" w:rsidRDefault="00F24D68">
      <w:pPr>
        <w:pStyle w:val="P68B1DB1-Numberedtitlelevel388"/>
      </w:pPr>
      <w:r>
        <w:t>Upute za specifične pozicije</w:t>
      </w:r>
    </w:p>
    <w:tbl>
      <w:tblPr>
        <w:tblW w:w="9015" w:type="dxa"/>
        <w:tblInd w:w="135" w:type="dxa"/>
        <w:tblLayout w:type="fixed"/>
        <w:tblLook w:val="04A0" w:firstRow="1" w:lastRow="0" w:firstColumn="1" w:lastColumn="0" w:noHBand="0" w:noVBand="1"/>
      </w:tblPr>
      <w:tblGrid>
        <w:gridCol w:w="1183"/>
        <w:gridCol w:w="7832"/>
      </w:tblGrid>
      <w:tr w:rsidR="00393915" w14:paraId="7FE1D145" w14:textId="77777777">
        <w:trPr>
          <w:tblHeader/>
        </w:trPr>
        <w:tc>
          <w:tcPr>
            <w:tcW w:w="1183" w:type="dxa"/>
            <w:tcBorders>
              <w:top w:val="single" w:sz="8" w:space="0" w:color="1A171C"/>
              <w:left w:val="nil"/>
              <w:bottom w:val="single" w:sz="8" w:space="0" w:color="1A171C"/>
              <w:right w:val="single" w:sz="8" w:space="0" w:color="1A171C"/>
            </w:tcBorders>
            <w:shd w:val="clear" w:color="auto" w:fill="D9D9D9" w:themeFill="background1" w:themeFillShade="D9"/>
          </w:tcPr>
          <w:p w14:paraId="7FE1D143" w14:textId="77777777" w:rsidR="00393915" w:rsidRDefault="00F24D68">
            <w:pPr>
              <w:pStyle w:val="P68B1DB1-Normal31"/>
            </w:pPr>
            <w:r>
              <w:t xml:space="preserve">Stupci </w:t>
            </w:r>
          </w:p>
        </w:tc>
        <w:tc>
          <w:tcPr>
            <w:tcW w:w="7832" w:type="dxa"/>
            <w:tcBorders>
              <w:top w:val="single" w:sz="8" w:space="0" w:color="1A171C"/>
              <w:left w:val="single" w:sz="8" w:space="0" w:color="1A171C"/>
              <w:bottom w:val="single" w:sz="8" w:space="0" w:color="1A171C"/>
              <w:right w:val="nil"/>
            </w:tcBorders>
            <w:shd w:val="clear" w:color="auto" w:fill="D9D9D9" w:themeFill="background1" w:themeFillShade="D9"/>
          </w:tcPr>
          <w:p w14:paraId="7FE1D144" w14:textId="77777777" w:rsidR="00393915" w:rsidRDefault="00F24D68">
            <w:pPr>
              <w:pStyle w:val="P68B1DB1-Normal31"/>
            </w:pPr>
            <w:r>
              <w:t xml:space="preserve">Upute </w:t>
            </w:r>
          </w:p>
        </w:tc>
      </w:tr>
      <w:tr w:rsidR="00393915" w14:paraId="7FE1D149" w14:textId="77777777">
        <w:tc>
          <w:tcPr>
            <w:tcW w:w="1183" w:type="dxa"/>
            <w:tcBorders>
              <w:top w:val="single" w:sz="8" w:space="0" w:color="1A171C"/>
              <w:left w:val="nil"/>
              <w:bottom w:val="single" w:sz="8" w:space="0" w:color="1A171C"/>
              <w:right w:val="single" w:sz="8" w:space="0" w:color="1A171C"/>
            </w:tcBorders>
            <w:vAlign w:val="center"/>
          </w:tcPr>
          <w:p w14:paraId="7FE1D146" w14:textId="77777777" w:rsidR="00393915" w:rsidRDefault="00F24D68">
            <w:pPr>
              <w:pStyle w:val="P68B1DB1-Normal31"/>
            </w:pPr>
            <w:r>
              <w:t>0010</w:t>
            </w:r>
          </w:p>
        </w:tc>
        <w:tc>
          <w:tcPr>
            <w:tcW w:w="7832" w:type="dxa"/>
            <w:tcBorders>
              <w:top w:val="single" w:sz="8" w:space="0" w:color="1A171C"/>
              <w:left w:val="single" w:sz="8" w:space="0" w:color="1A171C"/>
              <w:bottom w:val="single" w:sz="8" w:space="0" w:color="1A171C"/>
              <w:right w:val="nil"/>
            </w:tcBorders>
            <w:vAlign w:val="bottom"/>
          </w:tcPr>
          <w:p w14:paraId="7FE1D147" w14:textId="1F1042AA" w:rsidR="00393915" w:rsidRDefault="00F24D68">
            <w:pPr>
              <w:pStyle w:val="P68B1DB1-TableParagraph73"/>
              <w:spacing w:before="108"/>
              <w:ind w:left="85"/>
              <w:jc w:val="both"/>
              <w:rPr>
                <w:bCs/>
              </w:rPr>
            </w:pPr>
            <w:r>
              <w:t>B</w:t>
            </w:r>
            <w:r w:rsidR="007804A3">
              <w:t>r</w:t>
            </w:r>
            <w:r>
              <w:t xml:space="preserve">. </w:t>
            </w:r>
          </w:p>
          <w:p w14:paraId="7FE1D148" w14:textId="7090CAA7" w:rsidR="00393915" w:rsidRDefault="00F24D68">
            <w:pPr>
              <w:pStyle w:val="P68B1DB1-TableParagraph40"/>
              <w:spacing w:before="108"/>
              <w:ind w:left="85"/>
              <w:jc w:val="both"/>
            </w:pPr>
            <w:r>
              <w:t>Jedinstveni broj/primarni ključ za identifikaciju stavki retka.</w:t>
            </w:r>
          </w:p>
        </w:tc>
      </w:tr>
      <w:tr w:rsidR="00393915" w14:paraId="7FE1D14D" w14:textId="77777777">
        <w:tc>
          <w:tcPr>
            <w:tcW w:w="1183" w:type="dxa"/>
            <w:tcBorders>
              <w:top w:val="single" w:sz="8" w:space="0" w:color="1A171C"/>
              <w:left w:val="nil"/>
              <w:bottom w:val="single" w:sz="8" w:space="0" w:color="1A171C"/>
              <w:right w:val="single" w:sz="8" w:space="0" w:color="1A171C"/>
            </w:tcBorders>
            <w:vAlign w:val="center"/>
          </w:tcPr>
          <w:p w14:paraId="7FE1D14A" w14:textId="77777777" w:rsidR="00393915" w:rsidRDefault="00F24D68">
            <w:pPr>
              <w:pStyle w:val="P68B1DB1-Normal31"/>
            </w:pPr>
            <w:r>
              <w:t>0020</w:t>
            </w:r>
          </w:p>
        </w:tc>
        <w:tc>
          <w:tcPr>
            <w:tcW w:w="7832" w:type="dxa"/>
            <w:tcBorders>
              <w:top w:val="single" w:sz="8" w:space="0" w:color="1A171C"/>
              <w:left w:val="single" w:sz="8" w:space="0" w:color="1A171C"/>
              <w:bottom w:val="single" w:sz="8" w:space="0" w:color="1A171C"/>
              <w:right w:val="nil"/>
            </w:tcBorders>
            <w:vAlign w:val="bottom"/>
          </w:tcPr>
          <w:p w14:paraId="7FE1D14B" w14:textId="7DBB5157" w:rsidR="00393915" w:rsidRDefault="00F24D68">
            <w:pPr>
              <w:pStyle w:val="P68B1DB1-TableParagraph73"/>
              <w:spacing w:before="108"/>
              <w:ind w:left="85"/>
              <w:jc w:val="both"/>
              <w:rPr>
                <w:bCs/>
              </w:rPr>
            </w:pPr>
            <w:r>
              <w:t xml:space="preserve">Stupac </w:t>
            </w:r>
          </w:p>
          <w:p w14:paraId="7FE1D14C" w14:textId="43946C69" w:rsidR="00393915" w:rsidRDefault="00F24D68">
            <w:pPr>
              <w:pStyle w:val="P68B1DB1-TableParagraph40"/>
              <w:spacing w:before="108"/>
              <w:ind w:left="85"/>
              <w:jc w:val="both"/>
            </w:pPr>
            <w:r>
              <w:t>Za svaki skup za netiranje potrebno je dostaviti usklađenje s kojim drugim ugovornim stranama ima sklopljen ugovor o strukturi obveza u predlošku Z 02.00 s unaprijed određenim popisom vrijednosti.</w:t>
            </w:r>
          </w:p>
        </w:tc>
      </w:tr>
      <w:tr w:rsidR="00393915" w14:paraId="7FE1D151" w14:textId="77777777">
        <w:tc>
          <w:tcPr>
            <w:tcW w:w="1183" w:type="dxa"/>
            <w:tcBorders>
              <w:top w:val="single" w:sz="8" w:space="0" w:color="1A171C"/>
              <w:left w:val="nil"/>
              <w:bottom w:val="single" w:sz="8" w:space="0" w:color="1A171C"/>
              <w:right w:val="single" w:sz="8" w:space="0" w:color="1A171C"/>
            </w:tcBorders>
            <w:vAlign w:val="center"/>
          </w:tcPr>
          <w:p w14:paraId="7FE1D14E" w14:textId="77777777" w:rsidR="00393915" w:rsidRDefault="00F24D68">
            <w:pPr>
              <w:pStyle w:val="P68B1DB1-Normal31"/>
            </w:pPr>
            <w:r>
              <w:t>0030</w:t>
            </w:r>
          </w:p>
        </w:tc>
        <w:tc>
          <w:tcPr>
            <w:tcW w:w="7832" w:type="dxa"/>
            <w:tcBorders>
              <w:top w:val="single" w:sz="8" w:space="0" w:color="1A171C"/>
              <w:left w:val="single" w:sz="8" w:space="0" w:color="1A171C"/>
              <w:bottom w:val="single" w:sz="8" w:space="0" w:color="1A171C"/>
              <w:right w:val="nil"/>
            </w:tcBorders>
            <w:vAlign w:val="bottom"/>
          </w:tcPr>
          <w:p w14:paraId="7FE1D14F" w14:textId="6A6D5CEA" w:rsidR="00393915" w:rsidRDefault="00F24D68">
            <w:pPr>
              <w:pStyle w:val="P68B1DB1-TableParagraph73"/>
              <w:spacing w:before="108"/>
              <w:ind w:left="85"/>
              <w:jc w:val="both"/>
              <w:rPr>
                <w:bCs/>
              </w:rPr>
            </w:pPr>
            <w:r>
              <w:t xml:space="preserve">Red prvenstva u postupku u slučaju insolventnosti  </w:t>
            </w:r>
          </w:p>
          <w:p w14:paraId="7FE1D150" w14:textId="00926D41" w:rsidR="00393915" w:rsidRDefault="00F24D68">
            <w:pPr>
              <w:pStyle w:val="P68B1DB1-TableParagraph40"/>
              <w:spacing w:before="108"/>
              <w:ind w:left="85"/>
              <w:jc w:val="both"/>
            </w:pPr>
            <w:r>
              <w:t>Red prvenstva u postupku u slučaju insolventnosti jedan je od redova prvenstva koje objavljuje sanacijsko tijelo te jurisdikcije.</w:t>
            </w:r>
          </w:p>
        </w:tc>
      </w:tr>
      <w:tr w:rsidR="00393915" w14:paraId="7FE1D155" w14:textId="77777777">
        <w:tc>
          <w:tcPr>
            <w:tcW w:w="1183" w:type="dxa"/>
            <w:tcBorders>
              <w:top w:val="single" w:sz="8" w:space="0" w:color="1A171C"/>
              <w:left w:val="nil"/>
              <w:bottom w:val="single" w:sz="8" w:space="0" w:color="1A171C"/>
              <w:right w:val="single" w:sz="8" w:space="0" w:color="1A171C"/>
            </w:tcBorders>
            <w:vAlign w:val="center"/>
          </w:tcPr>
          <w:p w14:paraId="7FE1D152" w14:textId="77777777" w:rsidR="00393915" w:rsidRDefault="00F24D68">
            <w:pPr>
              <w:pStyle w:val="P68B1DB1-Normal31"/>
            </w:pPr>
            <w:r>
              <w:t>0040</w:t>
            </w:r>
          </w:p>
        </w:tc>
        <w:tc>
          <w:tcPr>
            <w:tcW w:w="7832" w:type="dxa"/>
            <w:tcBorders>
              <w:top w:val="single" w:sz="8" w:space="0" w:color="1A171C"/>
              <w:left w:val="single" w:sz="8" w:space="0" w:color="1A171C"/>
              <w:bottom w:val="single" w:sz="8" w:space="0" w:color="1A171C"/>
              <w:right w:val="nil"/>
            </w:tcBorders>
            <w:vAlign w:val="bottom"/>
          </w:tcPr>
          <w:p w14:paraId="7FE1D153" w14:textId="4DDA3745" w:rsidR="00393915" w:rsidRDefault="00F24D68">
            <w:pPr>
              <w:pStyle w:val="P68B1DB1-TableParagraph73"/>
              <w:spacing w:before="108"/>
              <w:ind w:left="85"/>
              <w:jc w:val="both"/>
              <w:rPr>
                <w:bCs/>
              </w:rPr>
            </w:pPr>
            <w:r>
              <w:t xml:space="preserve">Identifikacijska oznaka </w:t>
            </w:r>
            <w:r w:rsidR="002E5C2B">
              <w:t xml:space="preserve">glavnog </w:t>
            </w:r>
            <w:r>
              <w:t xml:space="preserve">sporazuma  </w:t>
            </w:r>
          </w:p>
          <w:p w14:paraId="7FE1D154" w14:textId="47871ECB" w:rsidR="00393915" w:rsidRDefault="00F24D68">
            <w:pPr>
              <w:pStyle w:val="P68B1DB1-TableParagraph40"/>
              <w:spacing w:before="108"/>
              <w:ind w:left="85"/>
              <w:jc w:val="both"/>
            </w:pPr>
            <w:r>
              <w:t xml:space="preserve">Interna identifikacijska oznaka </w:t>
            </w:r>
            <w:r w:rsidR="002E5C2B">
              <w:t xml:space="preserve">glavnog </w:t>
            </w:r>
            <w:r>
              <w:t>sporazuma ili pojedinačnog ugovora.</w:t>
            </w:r>
          </w:p>
        </w:tc>
      </w:tr>
      <w:tr w:rsidR="00393915" w14:paraId="7FE1D159" w14:textId="77777777">
        <w:tc>
          <w:tcPr>
            <w:tcW w:w="1183" w:type="dxa"/>
            <w:tcBorders>
              <w:top w:val="single" w:sz="8" w:space="0" w:color="1A171C"/>
              <w:left w:val="nil"/>
              <w:bottom w:val="single" w:sz="8" w:space="0" w:color="1A171C"/>
              <w:right w:val="single" w:sz="8" w:space="0" w:color="1A171C"/>
            </w:tcBorders>
            <w:vAlign w:val="center"/>
          </w:tcPr>
          <w:p w14:paraId="7FE1D156" w14:textId="77777777" w:rsidR="00393915" w:rsidRDefault="00F24D68">
            <w:pPr>
              <w:pStyle w:val="P68B1DB1-Normal31"/>
            </w:pPr>
            <w:r>
              <w:t>0050</w:t>
            </w:r>
          </w:p>
        </w:tc>
        <w:tc>
          <w:tcPr>
            <w:tcW w:w="7832" w:type="dxa"/>
            <w:tcBorders>
              <w:top w:val="single" w:sz="8" w:space="0" w:color="1A171C"/>
              <w:left w:val="single" w:sz="8" w:space="0" w:color="1A171C"/>
              <w:bottom w:val="single" w:sz="8" w:space="0" w:color="1A171C"/>
              <w:right w:val="nil"/>
            </w:tcBorders>
            <w:vAlign w:val="bottom"/>
          </w:tcPr>
          <w:p w14:paraId="7FE1D157" w14:textId="25B52B96" w:rsidR="00393915" w:rsidRDefault="00F24D68">
            <w:pPr>
              <w:pStyle w:val="P68B1DB1-TableParagraph73"/>
              <w:spacing w:before="108"/>
              <w:ind w:left="85"/>
              <w:jc w:val="both"/>
              <w:rPr>
                <w:bCs/>
              </w:rPr>
            </w:pPr>
            <w:r>
              <w:t xml:space="preserve">Vrsta </w:t>
            </w:r>
            <w:r w:rsidR="00DD654F">
              <w:t xml:space="preserve">glavnog </w:t>
            </w:r>
            <w:r>
              <w:t xml:space="preserve">ugovora </w:t>
            </w:r>
          </w:p>
          <w:p w14:paraId="7FE1D158" w14:textId="1B863E29" w:rsidR="00393915" w:rsidRDefault="00F24D68">
            <w:pPr>
              <w:pStyle w:val="P68B1DB1-TableParagraph40"/>
              <w:spacing w:before="108"/>
              <w:ind w:left="85"/>
              <w:jc w:val="both"/>
            </w:pPr>
            <w:r>
              <w:t xml:space="preserve">Precizirati </w:t>
            </w:r>
            <w:r w:rsidR="00DD654F">
              <w:t xml:space="preserve">glavni </w:t>
            </w:r>
            <w:r>
              <w:t xml:space="preserve">ugovor, </w:t>
            </w:r>
            <w:r w:rsidR="002B084C">
              <w:t xml:space="preserve">bilo </w:t>
            </w:r>
            <w:r>
              <w:t xml:space="preserve">„ISDA 2002 Master Agreement”, </w:t>
            </w:r>
            <w:r w:rsidR="00832A59">
              <w:t>bilo</w:t>
            </w:r>
            <w:r>
              <w:t xml:space="preserve"> </w:t>
            </w:r>
            <w:r>
              <w:t xml:space="preserve">„ISDA 1992 Master Agreement”, </w:t>
            </w:r>
            <w:r w:rsidR="00832A59">
              <w:t xml:space="preserve">bilo </w:t>
            </w:r>
            <w:r>
              <w:t xml:space="preserve">„ISDA 1987 Master Agreement”, </w:t>
            </w:r>
            <w:r w:rsidR="00832A59">
              <w:t>bilo</w:t>
            </w:r>
            <w:r>
              <w:t xml:space="preserve"> </w:t>
            </w:r>
            <w:r>
              <w:t xml:space="preserve">„ISDA 1986 Master Agreement”, </w:t>
            </w:r>
            <w:r w:rsidR="00832A59">
              <w:t xml:space="preserve">bilo </w:t>
            </w:r>
            <w:r>
              <w:t xml:space="preserve">„ISDA 1985 Master Agreement”, </w:t>
            </w:r>
            <w:r w:rsidR="00832A59">
              <w:t>bilo</w:t>
            </w:r>
            <w:r>
              <w:t xml:space="preserve"> </w:t>
            </w:r>
            <w:r>
              <w:t xml:space="preserve">„Ostali </w:t>
            </w:r>
            <w:r w:rsidR="002B084C">
              <w:t xml:space="preserve">glavni </w:t>
            </w:r>
            <w:r>
              <w:t xml:space="preserve">ugovor”, </w:t>
            </w:r>
            <w:r w:rsidR="00832A59">
              <w:t xml:space="preserve"> bilo</w:t>
            </w:r>
            <w:r w:rsidR="00C057A6">
              <w:t xml:space="preserve"> </w:t>
            </w:r>
            <w:r>
              <w:t>„</w:t>
            </w:r>
            <w:r w:rsidR="00D770BC">
              <w:t xml:space="preserve">Pojedinačni </w:t>
            </w:r>
            <w:r>
              <w:t>ugovor” s unaprijed utvrđenog popisa.</w:t>
            </w:r>
          </w:p>
        </w:tc>
      </w:tr>
      <w:tr w:rsidR="00393915" w14:paraId="7FE1D15D" w14:textId="77777777">
        <w:tc>
          <w:tcPr>
            <w:tcW w:w="1183" w:type="dxa"/>
            <w:tcBorders>
              <w:top w:val="single" w:sz="8" w:space="0" w:color="1A171C"/>
              <w:left w:val="nil"/>
              <w:bottom w:val="single" w:sz="8" w:space="0" w:color="1A171C"/>
              <w:right w:val="single" w:sz="8" w:space="0" w:color="1A171C"/>
            </w:tcBorders>
            <w:vAlign w:val="center"/>
          </w:tcPr>
          <w:p w14:paraId="7FE1D15A" w14:textId="77777777" w:rsidR="00393915" w:rsidRDefault="00F24D68">
            <w:pPr>
              <w:pStyle w:val="P68B1DB1-Normal31"/>
            </w:pPr>
            <w:r>
              <w:lastRenderedPageBreak/>
              <w:t>0061</w:t>
            </w:r>
          </w:p>
        </w:tc>
        <w:tc>
          <w:tcPr>
            <w:tcW w:w="7832" w:type="dxa"/>
            <w:tcBorders>
              <w:top w:val="single" w:sz="8" w:space="0" w:color="1A171C"/>
              <w:left w:val="single" w:sz="8" w:space="0" w:color="1A171C"/>
              <w:bottom w:val="single" w:sz="8" w:space="0" w:color="1A171C"/>
              <w:right w:val="nil"/>
            </w:tcBorders>
            <w:vAlign w:val="bottom"/>
          </w:tcPr>
          <w:p w14:paraId="7FE1D15B" w14:textId="67618D5C" w:rsidR="00393915" w:rsidRDefault="007E3927">
            <w:pPr>
              <w:pStyle w:val="P68B1DB1-TableParagraph73"/>
              <w:spacing w:before="108"/>
              <w:ind w:left="85"/>
              <w:jc w:val="both"/>
              <w:rPr>
                <w:bCs/>
              </w:rPr>
            </w:pPr>
            <w:r>
              <w:t>S</w:t>
            </w:r>
            <w:r w:rsidR="00F24D68">
              <w:t xml:space="preserve">ubjekt </w:t>
            </w:r>
            <w:r>
              <w:t>koji je potpisao ISDA p</w:t>
            </w:r>
            <w:r w:rsidR="00F24D68">
              <w:t>rotokol</w:t>
            </w:r>
            <w:r w:rsidR="00F24D68">
              <w:t xml:space="preserve"> </w:t>
            </w:r>
          </w:p>
          <w:p w14:paraId="7FE1D15C" w14:textId="140CCEDB" w:rsidR="00393915" w:rsidRDefault="00F24D68">
            <w:pPr>
              <w:pStyle w:val="P68B1DB1-TableParagraph40"/>
              <w:spacing w:before="108"/>
              <w:ind w:left="85"/>
              <w:jc w:val="both"/>
            </w:pPr>
            <w:r>
              <w:t xml:space="preserve">Navesti je li sam subjekt potpisao ISDA Universal Stay Protocol, </w:t>
            </w:r>
            <w:r w:rsidR="009F205A">
              <w:t xml:space="preserve">bilo </w:t>
            </w:r>
            <w:r>
              <w:t>„</w:t>
            </w:r>
            <w:r w:rsidR="009F205A" w:rsidRPr="002F61BB">
              <w:t>ISDA Universal Protocol</w:t>
            </w:r>
            <w:r w:rsidR="009F205A" w:rsidDel="009F205A">
              <w:t xml:space="preserve"> </w:t>
            </w:r>
            <w:r>
              <w:t xml:space="preserve">”, </w:t>
            </w:r>
            <w:r w:rsidR="006E3938">
              <w:t xml:space="preserve">bilo </w:t>
            </w:r>
            <w:r>
              <w:t>„</w:t>
            </w:r>
            <w:r w:rsidR="006E3938" w:rsidRPr="002F61BB">
              <w:t>ISDA JMP Module</w:t>
            </w:r>
            <w:r w:rsidR="006E3938" w:rsidDel="006E3938">
              <w:t xml:space="preserve"> </w:t>
            </w:r>
            <w:r>
              <w:t xml:space="preserve">”, </w:t>
            </w:r>
            <w:r w:rsidR="00BD4CC4">
              <w:t xml:space="preserve">bilo </w:t>
            </w:r>
            <w:r>
              <w:t xml:space="preserve">„BRRD II Omnibus </w:t>
            </w:r>
            <w:r w:rsidR="00BD4CC4">
              <w:t>Jurisdictional Module</w:t>
            </w:r>
            <w:r w:rsidR="00BD4CC4" w:rsidDel="00BD4CC4">
              <w:t xml:space="preserve"> </w:t>
            </w:r>
            <w:r>
              <w:t xml:space="preserve">” ili „Ne” s unaprijed definiranog popisa. </w:t>
            </w:r>
          </w:p>
        </w:tc>
      </w:tr>
      <w:tr w:rsidR="00393915" w14:paraId="7FE1D161" w14:textId="77777777">
        <w:tc>
          <w:tcPr>
            <w:tcW w:w="1183" w:type="dxa"/>
            <w:tcBorders>
              <w:top w:val="single" w:sz="8" w:space="0" w:color="1A171C"/>
              <w:left w:val="nil"/>
              <w:bottom w:val="single" w:sz="8" w:space="0" w:color="1A171C"/>
              <w:right w:val="single" w:sz="8" w:space="0" w:color="1A171C"/>
            </w:tcBorders>
            <w:vAlign w:val="center"/>
          </w:tcPr>
          <w:p w14:paraId="7FE1D15E" w14:textId="77777777" w:rsidR="00393915" w:rsidRDefault="00F24D68">
            <w:pPr>
              <w:pStyle w:val="P68B1DB1-Normal31"/>
            </w:pPr>
            <w:r>
              <w:t>0071</w:t>
            </w:r>
          </w:p>
        </w:tc>
        <w:tc>
          <w:tcPr>
            <w:tcW w:w="7832" w:type="dxa"/>
            <w:tcBorders>
              <w:top w:val="single" w:sz="8" w:space="0" w:color="1A171C"/>
              <w:left w:val="single" w:sz="8" w:space="0" w:color="1A171C"/>
              <w:bottom w:val="single" w:sz="8" w:space="0" w:color="1A171C"/>
              <w:right w:val="nil"/>
            </w:tcBorders>
            <w:vAlign w:val="bottom"/>
          </w:tcPr>
          <w:p w14:paraId="7FE1D15F" w14:textId="4A685AE2" w:rsidR="00393915" w:rsidRDefault="00F24D68">
            <w:pPr>
              <w:pStyle w:val="P68B1DB1-TableParagraph73"/>
              <w:spacing w:before="108"/>
              <w:ind w:left="85"/>
              <w:jc w:val="both"/>
              <w:rPr>
                <w:bCs/>
              </w:rPr>
            </w:pPr>
            <w:r>
              <w:t xml:space="preserve">Priznavanje </w:t>
            </w:r>
            <w:r w:rsidR="006A767B">
              <w:t xml:space="preserve">zastoja uslijed </w:t>
            </w:r>
            <w:r>
              <w:t xml:space="preserve">sanacije  </w:t>
            </w:r>
          </w:p>
          <w:p w14:paraId="7FE1D160" w14:textId="3B7EBBD1" w:rsidR="00393915" w:rsidRDefault="00F24D68">
            <w:pPr>
              <w:pStyle w:val="P68B1DB1-TableParagraph40"/>
              <w:spacing w:before="108"/>
              <w:ind w:left="85"/>
              <w:jc w:val="both"/>
            </w:pPr>
            <w:r>
              <w:t xml:space="preserve">Navesti je li druga ugovorna strana pristupila </w:t>
            </w:r>
            <w:r w:rsidR="00A63CCC">
              <w:t>bilo</w:t>
            </w:r>
            <w:r>
              <w:t xml:space="preserve"> „</w:t>
            </w:r>
            <w:r w:rsidR="00A63CCC" w:rsidRPr="002F61BB">
              <w:t>ISDA Universal Protocol</w:t>
            </w:r>
            <w:r w:rsidR="00A63CCC" w:rsidDel="00A63CCC">
              <w:t xml:space="preserve"> </w:t>
            </w:r>
            <w:r>
              <w:t xml:space="preserve">”, </w:t>
            </w:r>
            <w:r w:rsidR="00A63CCC">
              <w:t>bilo</w:t>
            </w:r>
            <w:r>
              <w:t xml:space="preserve"> „</w:t>
            </w:r>
            <w:r w:rsidR="00A63CCC" w:rsidRPr="002F61BB">
              <w:t>ISDA JMP Module</w:t>
            </w:r>
            <w:r w:rsidR="00A63CCC" w:rsidDel="00A63CCC">
              <w:t xml:space="preserve"> </w:t>
            </w:r>
            <w:r>
              <w:t xml:space="preserve">”, </w:t>
            </w:r>
            <w:r w:rsidR="00A63CCC">
              <w:t>bilo</w:t>
            </w:r>
            <w:r>
              <w:t xml:space="preserve"> </w:t>
            </w:r>
            <w:r>
              <w:t>„</w:t>
            </w:r>
            <w:r w:rsidR="00A63CCC">
              <w:t>Drugi sporazum o priznavanju zastoja uslijed sanacije</w:t>
            </w:r>
            <w:r>
              <w:t xml:space="preserve">” ili „Nepriznavanje </w:t>
            </w:r>
            <w:r w:rsidR="00A63CCC">
              <w:t>zastoja uslijed sanacije</w:t>
            </w:r>
            <w:r>
              <w:t>” s unaprijed definiranog popisa.</w:t>
            </w:r>
          </w:p>
        </w:tc>
      </w:tr>
      <w:tr w:rsidR="00393915" w14:paraId="7FE1D165" w14:textId="77777777">
        <w:tc>
          <w:tcPr>
            <w:tcW w:w="1183" w:type="dxa"/>
            <w:tcBorders>
              <w:top w:val="single" w:sz="8" w:space="0" w:color="1A171C"/>
              <w:left w:val="nil"/>
              <w:bottom w:val="single" w:sz="8" w:space="0" w:color="1A171C"/>
              <w:right w:val="single" w:sz="8" w:space="0" w:color="1A171C"/>
            </w:tcBorders>
            <w:vAlign w:val="center"/>
          </w:tcPr>
          <w:p w14:paraId="7FE1D162" w14:textId="77777777" w:rsidR="00393915" w:rsidRDefault="00F24D68">
            <w:pPr>
              <w:pStyle w:val="P68B1DB1-Normal31"/>
            </w:pPr>
            <w:r>
              <w:t>0075</w:t>
            </w:r>
          </w:p>
        </w:tc>
        <w:tc>
          <w:tcPr>
            <w:tcW w:w="7832" w:type="dxa"/>
            <w:tcBorders>
              <w:top w:val="single" w:sz="8" w:space="0" w:color="1A171C"/>
              <w:left w:val="single" w:sz="8" w:space="0" w:color="1A171C"/>
              <w:bottom w:val="single" w:sz="8" w:space="0" w:color="1A171C"/>
              <w:right w:val="nil"/>
            </w:tcBorders>
            <w:vAlign w:val="bottom"/>
          </w:tcPr>
          <w:p w14:paraId="7FE1D163" w14:textId="69AD6494" w:rsidR="00393915" w:rsidRDefault="00F24D68">
            <w:pPr>
              <w:pStyle w:val="P68B1DB1-TableParagraph73"/>
              <w:spacing w:before="108"/>
              <w:ind w:left="85"/>
              <w:jc w:val="both"/>
              <w:rPr>
                <w:bCs/>
              </w:rPr>
            </w:pPr>
            <w:r>
              <w:t xml:space="preserve">Ime druge ugovorne strane </w:t>
            </w:r>
          </w:p>
          <w:p w14:paraId="7FE1D164" w14:textId="07F81260" w:rsidR="00393915" w:rsidRDefault="00F24D68">
            <w:pPr>
              <w:pStyle w:val="P68B1DB1-TableParagraph40"/>
              <w:spacing w:before="108"/>
              <w:ind w:left="85"/>
              <w:jc w:val="both"/>
            </w:pPr>
            <w:bookmarkStart w:id="250" w:name="_Hlk189839311"/>
            <w:r>
              <w:t>Naziv subjekta druge ugovorne strane.</w:t>
            </w:r>
            <w:bookmarkEnd w:id="250"/>
            <w:r>
              <w:t xml:space="preserve"> U slučaju izvedenica koje su poravnane posredstvom središnje druge ugovorne strane, </w:t>
            </w:r>
            <w:r w:rsidR="00C057A6">
              <w:t xml:space="preserve">izvijestiti </w:t>
            </w:r>
            <w:r>
              <w:t>relevantnu središnju drugu ugovornu stranu kao drugu ugovornu stranu.</w:t>
            </w:r>
          </w:p>
        </w:tc>
      </w:tr>
      <w:tr w:rsidR="00393915" w14:paraId="7FE1D169" w14:textId="77777777">
        <w:tc>
          <w:tcPr>
            <w:tcW w:w="1183" w:type="dxa"/>
            <w:tcBorders>
              <w:top w:val="single" w:sz="8" w:space="0" w:color="1A171C"/>
              <w:left w:val="nil"/>
              <w:bottom w:val="single" w:sz="8" w:space="0" w:color="1A171C"/>
              <w:right w:val="single" w:sz="8" w:space="0" w:color="1A171C"/>
            </w:tcBorders>
            <w:vAlign w:val="center"/>
          </w:tcPr>
          <w:p w14:paraId="7FE1D166" w14:textId="77777777" w:rsidR="00393915" w:rsidRDefault="00F24D68">
            <w:pPr>
              <w:pStyle w:val="P68B1DB1-Normal31"/>
            </w:pPr>
            <w:r>
              <w:t>0080</w:t>
            </w:r>
          </w:p>
        </w:tc>
        <w:tc>
          <w:tcPr>
            <w:tcW w:w="7832" w:type="dxa"/>
            <w:tcBorders>
              <w:top w:val="single" w:sz="8" w:space="0" w:color="1A171C"/>
              <w:left w:val="single" w:sz="8" w:space="0" w:color="1A171C"/>
              <w:bottom w:val="single" w:sz="8" w:space="0" w:color="1A171C"/>
              <w:right w:val="nil"/>
            </w:tcBorders>
            <w:vAlign w:val="bottom"/>
          </w:tcPr>
          <w:p w14:paraId="0E76A125" w14:textId="26AE2361" w:rsidR="00393915" w:rsidRDefault="00F24D68">
            <w:pPr>
              <w:pStyle w:val="P68B1DB1-TableParagraph73"/>
              <w:spacing w:before="108"/>
              <w:ind w:left="85"/>
              <w:jc w:val="both"/>
              <w:rPr>
                <w:bCs/>
              </w:rPr>
            </w:pPr>
            <w:r>
              <w:t xml:space="preserve">Identifikacijska oznaka druge ugovorne strane </w:t>
            </w:r>
          </w:p>
          <w:p w14:paraId="7FE1D168" w14:textId="50D1F102" w:rsidR="00393915" w:rsidRDefault="00F24D68">
            <w:pPr>
              <w:pStyle w:val="P68B1DB1-TableParagraph40"/>
              <w:spacing w:before="108"/>
              <w:ind w:left="85"/>
              <w:jc w:val="both"/>
            </w:pPr>
            <w:r>
              <w:t xml:space="preserve">Navodi se </w:t>
            </w:r>
            <w:r w:rsidR="001B36CF">
              <w:t xml:space="preserve">LEI </w:t>
            </w:r>
            <w:r>
              <w:t xml:space="preserve">oznaka druge ugovorne strane. </w:t>
            </w:r>
            <w:r w:rsidR="00113325">
              <w:t xml:space="preserve">U nedostatku LEI-ja, u slučaju bankovnih izvješća, navesti identifikacijsku oznaku monetarnih financijskih institucija ESB-a (MFI ID) korištenu u RIAD-u. </w:t>
            </w:r>
            <w:r>
              <w:t xml:space="preserve">Ako nijedna od tih identifikacijskih oznaka ne postoji, prijavite internu identifikacijsku oznaku. </w:t>
            </w:r>
          </w:p>
        </w:tc>
      </w:tr>
      <w:tr w:rsidR="00393915" w14:paraId="7FE1D16D" w14:textId="77777777">
        <w:tc>
          <w:tcPr>
            <w:tcW w:w="1183" w:type="dxa"/>
            <w:tcBorders>
              <w:top w:val="single" w:sz="8" w:space="0" w:color="1A171C"/>
              <w:left w:val="nil"/>
              <w:bottom w:val="single" w:sz="8" w:space="0" w:color="1A171C"/>
              <w:right w:val="single" w:sz="8" w:space="0" w:color="1A171C"/>
            </w:tcBorders>
            <w:vAlign w:val="center"/>
          </w:tcPr>
          <w:p w14:paraId="7FE1D16A" w14:textId="77777777" w:rsidR="00393915" w:rsidRDefault="00F24D68">
            <w:pPr>
              <w:pStyle w:val="P68B1DB1-Normal31"/>
            </w:pPr>
            <w:r>
              <w:t>0085</w:t>
            </w:r>
          </w:p>
        </w:tc>
        <w:tc>
          <w:tcPr>
            <w:tcW w:w="7832" w:type="dxa"/>
            <w:tcBorders>
              <w:top w:val="single" w:sz="8" w:space="0" w:color="1A171C"/>
              <w:left w:val="single" w:sz="8" w:space="0" w:color="1A171C"/>
              <w:bottom w:val="single" w:sz="8" w:space="0" w:color="1A171C"/>
              <w:right w:val="nil"/>
            </w:tcBorders>
            <w:vAlign w:val="bottom"/>
          </w:tcPr>
          <w:p w14:paraId="7FE1D16B" w14:textId="77777777" w:rsidR="00393915" w:rsidRDefault="00F24D68">
            <w:pPr>
              <w:pStyle w:val="P68B1DB1-TableParagraph73"/>
              <w:spacing w:before="108"/>
              <w:ind w:left="85"/>
              <w:jc w:val="both"/>
              <w:rPr>
                <w:bCs/>
              </w:rPr>
            </w:pPr>
            <w:r>
              <w:t xml:space="preserve">Vrsta identifikatora </w:t>
            </w:r>
          </w:p>
          <w:p w14:paraId="7FE1D16C" w14:textId="0F6A5123" w:rsidR="00393915" w:rsidRDefault="00F24D68">
            <w:pPr>
              <w:pStyle w:val="P68B1DB1-TableParagraph40"/>
              <w:spacing w:before="108"/>
              <w:ind w:left="85"/>
              <w:jc w:val="both"/>
            </w:pPr>
            <w:r>
              <w:t>Odabrati među sljedećim opcijama: „LEI</w:t>
            </w:r>
            <w:r w:rsidR="00121C38">
              <w:t xml:space="preserve"> o</w:t>
            </w:r>
            <w:r>
              <w:t>znaka ”, „</w:t>
            </w:r>
            <w:r w:rsidR="00121C38">
              <w:t xml:space="preserve">MFI </w:t>
            </w:r>
            <w:r>
              <w:t>oznaka ” ili „Vrsta identifikacijske oznake, osim LEI ili MFI</w:t>
            </w:r>
            <w:r w:rsidR="002B2991">
              <w:t xml:space="preserve"> oznake</w:t>
            </w:r>
            <w:r>
              <w:t>”.</w:t>
            </w:r>
          </w:p>
        </w:tc>
      </w:tr>
      <w:tr w:rsidR="00393915" w14:paraId="7FE1D171" w14:textId="77777777">
        <w:tc>
          <w:tcPr>
            <w:tcW w:w="1183" w:type="dxa"/>
            <w:tcBorders>
              <w:top w:val="single" w:sz="8" w:space="0" w:color="1A171C"/>
              <w:left w:val="nil"/>
              <w:bottom w:val="single" w:sz="8" w:space="0" w:color="1A171C"/>
              <w:right w:val="single" w:sz="8" w:space="0" w:color="1A171C"/>
            </w:tcBorders>
            <w:vAlign w:val="center"/>
          </w:tcPr>
          <w:p w14:paraId="7FE1D16E" w14:textId="77777777" w:rsidR="00393915" w:rsidRDefault="00F24D68">
            <w:pPr>
              <w:pStyle w:val="P68B1DB1-Normal31"/>
            </w:pPr>
            <w:r>
              <w:t>0090</w:t>
            </w:r>
          </w:p>
        </w:tc>
        <w:tc>
          <w:tcPr>
            <w:tcW w:w="7832" w:type="dxa"/>
            <w:tcBorders>
              <w:top w:val="single" w:sz="8" w:space="0" w:color="1A171C"/>
              <w:left w:val="single" w:sz="8" w:space="0" w:color="1A171C"/>
              <w:bottom w:val="single" w:sz="8" w:space="0" w:color="1A171C"/>
              <w:right w:val="nil"/>
            </w:tcBorders>
            <w:vAlign w:val="bottom"/>
          </w:tcPr>
          <w:p w14:paraId="7FE1D16F" w14:textId="23850D88" w:rsidR="00393915" w:rsidRDefault="00F24D68">
            <w:pPr>
              <w:pStyle w:val="P68B1DB1-TableParagraph73"/>
              <w:spacing w:before="108"/>
              <w:ind w:left="85"/>
              <w:jc w:val="both"/>
              <w:rPr>
                <w:bCs/>
              </w:rPr>
            </w:pPr>
            <w:r>
              <w:t xml:space="preserve">Zemlja druge ugovorne strane  </w:t>
            </w:r>
          </w:p>
          <w:p w14:paraId="7FE1D170" w14:textId="77777777" w:rsidR="00393915" w:rsidRDefault="00F24D68">
            <w:pPr>
              <w:pStyle w:val="P68B1DB1-TableParagraph40"/>
              <w:spacing w:before="108"/>
              <w:ind w:left="85"/>
              <w:jc w:val="both"/>
            </w:pPr>
            <w:r>
              <w:t>Oznaka države u kojoj je druga ugovorna strana osnovana prema normi ISO 3166 – 1 alpha-2.</w:t>
            </w:r>
          </w:p>
        </w:tc>
      </w:tr>
      <w:tr w:rsidR="00393915" w14:paraId="7404F251" w14:textId="77777777">
        <w:tc>
          <w:tcPr>
            <w:tcW w:w="1183" w:type="dxa"/>
            <w:tcBorders>
              <w:top w:val="single" w:sz="8" w:space="0" w:color="1A171C"/>
              <w:left w:val="nil"/>
              <w:bottom w:val="single" w:sz="8" w:space="0" w:color="1A171C"/>
              <w:right w:val="single" w:sz="8" w:space="0" w:color="1A171C"/>
            </w:tcBorders>
            <w:vAlign w:val="center"/>
          </w:tcPr>
          <w:p w14:paraId="6A962F58" w14:textId="41C252E0" w:rsidR="00393915" w:rsidRDefault="00F24D68">
            <w:pPr>
              <w:pStyle w:val="P68B1DB1-Normal31"/>
            </w:pPr>
            <w:r>
              <w:t>0095</w:t>
            </w:r>
          </w:p>
        </w:tc>
        <w:tc>
          <w:tcPr>
            <w:tcW w:w="7832" w:type="dxa"/>
            <w:tcBorders>
              <w:top w:val="single" w:sz="8" w:space="0" w:color="1A171C"/>
              <w:left w:val="single" w:sz="8" w:space="0" w:color="1A171C"/>
              <w:bottom w:val="single" w:sz="8" w:space="0" w:color="1A171C"/>
              <w:right w:val="nil"/>
            </w:tcBorders>
            <w:vAlign w:val="bottom"/>
          </w:tcPr>
          <w:p w14:paraId="770D3BD3" w14:textId="77777777" w:rsidR="00393915" w:rsidRDefault="00F24D68">
            <w:pPr>
              <w:pStyle w:val="P68B1DB1-TableParagraph73"/>
              <w:spacing w:before="108"/>
              <w:ind w:left="85"/>
              <w:jc w:val="both"/>
              <w:rPr>
                <w:bCs/>
              </w:rPr>
            </w:pPr>
            <w:r>
              <w:t>Unutargrupna transakcija</w:t>
            </w:r>
          </w:p>
          <w:p w14:paraId="1EA32667" w14:textId="7CB76C0A" w:rsidR="00393915" w:rsidRDefault="00F24D68">
            <w:pPr>
              <w:pStyle w:val="P68B1DB1-TableParagraph40"/>
              <w:spacing w:before="108"/>
              <w:ind w:left="85"/>
              <w:jc w:val="both"/>
            </w:pPr>
            <w:r>
              <w:t>Izvještajni subjekt treba navesti je li transakcija o kojoj se izvješćuje izvršena s drugom ugovornom stranom koja pripada računovodstvenom opsegu konsolidacije krajnjeg matičnog društva. Prihvatljive su vrijednosti „</w:t>
            </w:r>
            <w:r w:rsidR="00F411A4">
              <w:t>Točno</w:t>
            </w:r>
            <w:r>
              <w:t>” ili „Netočno”</w:t>
            </w:r>
          </w:p>
        </w:tc>
      </w:tr>
      <w:tr w:rsidR="00393915" w14:paraId="7FE1D179" w14:textId="77777777">
        <w:tc>
          <w:tcPr>
            <w:tcW w:w="1183" w:type="dxa"/>
            <w:tcBorders>
              <w:top w:val="single" w:sz="8" w:space="0" w:color="1A171C"/>
              <w:left w:val="nil"/>
              <w:bottom w:val="single" w:sz="8" w:space="0" w:color="1A171C"/>
              <w:right w:val="single" w:sz="8" w:space="0" w:color="1A171C"/>
            </w:tcBorders>
            <w:vAlign w:val="center"/>
          </w:tcPr>
          <w:p w14:paraId="7FE1D176" w14:textId="77777777" w:rsidR="00393915" w:rsidRDefault="00F24D68">
            <w:pPr>
              <w:pStyle w:val="P68B1DB1-TableParagraph40"/>
              <w:spacing w:before="108"/>
              <w:ind w:left="85"/>
              <w:jc w:val="both"/>
            </w:pPr>
            <w:r>
              <w:t>0100</w:t>
            </w:r>
          </w:p>
        </w:tc>
        <w:tc>
          <w:tcPr>
            <w:tcW w:w="7832" w:type="dxa"/>
            <w:tcBorders>
              <w:top w:val="single" w:sz="8" w:space="0" w:color="1A171C"/>
              <w:left w:val="single" w:sz="8" w:space="0" w:color="1A171C"/>
              <w:bottom w:val="single" w:sz="8" w:space="0" w:color="1A171C"/>
              <w:right w:val="nil"/>
            </w:tcBorders>
            <w:vAlign w:val="bottom"/>
          </w:tcPr>
          <w:p w14:paraId="7FE1D177" w14:textId="23B8A64C" w:rsidR="00393915" w:rsidRDefault="00F24D68">
            <w:pPr>
              <w:pStyle w:val="P68B1DB1-TableParagraph73"/>
              <w:spacing w:before="108"/>
              <w:ind w:left="85"/>
              <w:jc w:val="both"/>
              <w:rPr>
                <w:bCs/>
              </w:rPr>
            </w:pPr>
            <w:r>
              <w:t>Mjerodavno pravo glavnog sporazuma/</w:t>
            </w:r>
            <w:r w:rsidR="003B7292">
              <w:t xml:space="preserve">pojedinačnog </w:t>
            </w:r>
            <w:r>
              <w:t>ugovora</w:t>
            </w:r>
          </w:p>
          <w:p w14:paraId="7FE1D178" w14:textId="7DD067A1" w:rsidR="00393915" w:rsidRDefault="00F24D68">
            <w:pPr>
              <w:pStyle w:val="P68B1DB1-TableParagraph40"/>
              <w:spacing w:before="108"/>
              <w:ind w:left="85"/>
              <w:jc w:val="both"/>
            </w:pPr>
            <w:r>
              <w:t>Oznaka ISO 3166 – 1 alpha-2 zemlje čije je pravo mjerodavno za glavni sporazum/</w:t>
            </w:r>
            <w:r w:rsidR="00AE3B2B">
              <w:t xml:space="preserve">pojedinačni </w:t>
            </w:r>
            <w:r>
              <w:t xml:space="preserve">ugovor (upotrijebiti oznaku ISO 3166 – 2 ako je mjerodavno pravo upravne potpodjele, npr. „US-NY”). Ako se na ugovor primjenjuje pravo više od jedne zemlje, navodi se zemlja čije je pravo od najveće važnosti za priznavanje ovlasti otpisa i konverzije.  </w:t>
            </w:r>
          </w:p>
        </w:tc>
      </w:tr>
      <w:tr w:rsidR="00393915" w14:paraId="7FE1D17D" w14:textId="77777777">
        <w:tc>
          <w:tcPr>
            <w:tcW w:w="1183" w:type="dxa"/>
            <w:tcBorders>
              <w:top w:val="single" w:sz="8" w:space="0" w:color="1A171C"/>
              <w:left w:val="nil"/>
              <w:bottom w:val="single" w:sz="8" w:space="0" w:color="1A171C"/>
              <w:right w:val="single" w:sz="8" w:space="0" w:color="1A171C"/>
            </w:tcBorders>
            <w:vAlign w:val="center"/>
          </w:tcPr>
          <w:p w14:paraId="7FE1D17A" w14:textId="77777777" w:rsidR="00393915" w:rsidRDefault="00F24D68">
            <w:pPr>
              <w:pStyle w:val="P68B1DB1-Normal31"/>
            </w:pPr>
            <w:r>
              <w:t>0110</w:t>
            </w:r>
          </w:p>
        </w:tc>
        <w:tc>
          <w:tcPr>
            <w:tcW w:w="7832" w:type="dxa"/>
            <w:tcBorders>
              <w:top w:val="single" w:sz="8" w:space="0" w:color="1A171C"/>
              <w:left w:val="single" w:sz="8" w:space="0" w:color="1A171C"/>
              <w:bottom w:val="single" w:sz="8" w:space="0" w:color="1A171C"/>
              <w:right w:val="nil"/>
            </w:tcBorders>
            <w:vAlign w:val="bottom"/>
          </w:tcPr>
          <w:p w14:paraId="7FE1D17B" w14:textId="4C1F1D53" w:rsidR="00393915" w:rsidRDefault="00F24D68">
            <w:pPr>
              <w:pStyle w:val="P68B1DB1-TableParagraph73"/>
              <w:spacing w:before="108"/>
              <w:ind w:left="85"/>
              <w:jc w:val="both"/>
              <w:rPr>
                <w:bCs/>
              </w:rPr>
            </w:pPr>
            <w:r>
              <w:t xml:space="preserve">Broj transakcija obuhvaćenih  </w:t>
            </w:r>
          </w:p>
          <w:p w14:paraId="7FE1D17C" w14:textId="77777777" w:rsidR="00393915" w:rsidRDefault="00F24D68">
            <w:pPr>
              <w:pStyle w:val="P68B1DB1-TableParagraph40"/>
              <w:spacing w:before="108"/>
              <w:ind w:left="85"/>
              <w:jc w:val="both"/>
            </w:pPr>
            <w:r>
              <w:t>Navesti broj pojedinačnih ugovora koji su uključeni u skup za netiranje standardiziranih ugovora.</w:t>
            </w:r>
          </w:p>
        </w:tc>
      </w:tr>
      <w:tr w:rsidR="00393915" w14:paraId="7FE1D181" w14:textId="77777777">
        <w:tc>
          <w:tcPr>
            <w:tcW w:w="1183" w:type="dxa"/>
            <w:tcBorders>
              <w:top w:val="single" w:sz="8" w:space="0" w:color="1A171C"/>
              <w:left w:val="nil"/>
              <w:bottom w:val="single" w:sz="8" w:space="0" w:color="1A171C"/>
              <w:right w:val="single" w:sz="8" w:space="0" w:color="1A171C"/>
            </w:tcBorders>
            <w:vAlign w:val="center"/>
          </w:tcPr>
          <w:p w14:paraId="7FE1D17E" w14:textId="77777777" w:rsidR="00393915" w:rsidRDefault="00F24D68">
            <w:pPr>
              <w:pStyle w:val="P68B1DB1-Normal31"/>
            </w:pPr>
            <w:r>
              <w:t>0120</w:t>
            </w:r>
          </w:p>
        </w:tc>
        <w:tc>
          <w:tcPr>
            <w:tcW w:w="7832" w:type="dxa"/>
            <w:tcBorders>
              <w:top w:val="single" w:sz="8" w:space="0" w:color="1A171C"/>
              <w:left w:val="single" w:sz="8" w:space="0" w:color="1A171C"/>
              <w:bottom w:val="single" w:sz="8" w:space="0" w:color="1A171C"/>
              <w:right w:val="nil"/>
            </w:tcBorders>
            <w:vAlign w:val="bottom"/>
          </w:tcPr>
          <w:p w14:paraId="7FE1D17F" w14:textId="60B4E8A5" w:rsidR="00393915" w:rsidRDefault="00F24D68">
            <w:pPr>
              <w:pStyle w:val="P68B1DB1-TableParagraph73"/>
              <w:spacing w:before="108"/>
              <w:ind w:left="85"/>
              <w:jc w:val="both"/>
              <w:rPr>
                <w:bCs/>
              </w:rPr>
            </w:pPr>
            <w:r>
              <w:t xml:space="preserve">Neto vrijednost po tržišnoj vrijednosti </w:t>
            </w:r>
          </w:p>
          <w:p w14:paraId="7FE1D180" w14:textId="229346B5" w:rsidR="00393915" w:rsidRDefault="00F24D68">
            <w:pPr>
              <w:pStyle w:val="P68B1DB1-TableParagraph40"/>
              <w:spacing w:before="108"/>
              <w:ind w:left="85"/>
              <w:jc w:val="both"/>
            </w:pPr>
            <w:r>
              <w:t xml:space="preserve">Neto tržišna vrijednost obveza po izvedenicama po ugovornom skupu za netiranje uz pretpostavku zatvaranja izvedenica na referentni datum. </w:t>
            </w:r>
          </w:p>
        </w:tc>
      </w:tr>
      <w:tr w:rsidR="00393915" w14:paraId="7FE1D185" w14:textId="77777777">
        <w:tc>
          <w:tcPr>
            <w:tcW w:w="1183" w:type="dxa"/>
            <w:tcBorders>
              <w:top w:val="single" w:sz="8" w:space="0" w:color="1A171C"/>
              <w:left w:val="nil"/>
              <w:bottom w:val="single" w:sz="8" w:space="0" w:color="1A171C"/>
              <w:right w:val="single" w:sz="8" w:space="0" w:color="1A171C"/>
            </w:tcBorders>
            <w:vAlign w:val="center"/>
          </w:tcPr>
          <w:p w14:paraId="7FE1D182" w14:textId="77777777" w:rsidR="00393915" w:rsidRDefault="00F24D68">
            <w:pPr>
              <w:pStyle w:val="P68B1DB1-Normal31"/>
            </w:pPr>
            <w:r>
              <w:t>0130</w:t>
            </w:r>
          </w:p>
        </w:tc>
        <w:tc>
          <w:tcPr>
            <w:tcW w:w="7832" w:type="dxa"/>
            <w:tcBorders>
              <w:top w:val="single" w:sz="8" w:space="0" w:color="1A171C"/>
              <w:left w:val="single" w:sz="8" w:space="0" w:color="1A171C"/>
              <w:bottom w:val="single" w:sz="8" w:space="0" w:color="1A171C"/>
              <w:right w:val="nil"/>
            </w:tcBorders>
            <w:vAlign w:val="bottom"/>
          </w:tcPr>
          <w:p w14:paraId="7FE1D183" w14:textId="070C552A" w:rsidR="00393915" w:rsidRDefault="00F24D68">
            <w:pPr>
              <w:pStyle w:val="P68B1DB1-TableParagraph73"/>
              <w:spacing w:before="108"/>
              <w:ind w:left="85"/>
              <w:jc w:val="both"/>
              <w:rPr>
                <w:bCs/>
              </w:rPr>
            </w:pPr>
            <w:r>
              <w:t xml:space="preserve">Vrijednost neto danog kolaterala </w:t>
            </w:r>
          </w:p>
          <w:p w14:paraId="7FE1D184" w14:textId="014CEFC4" w:rsidR="00393915" w:rsidRDefault="00F24D68">
            <w:pPr>
              <w:pStyle w:val="P68B1DB1-TableParagraph40"/>
              <w:spacing w:before="108"/>
              <w:ind w:left="85"/>
              <w:jc w:val="both"/>
            </w:pPr>
            <w:r>
              <w:t>Neto tržišna vrijednost pozicija kolaterala u skupu za netiranje (tj. dani kolateral umanjen za svaki primljeni kolateral). To uključuje sve maržne račune u okviru sporazuma o netiranju. Iskazati pozitivnu vrijednost neto kolaterala danog drugim ugovornim stranama.</w:t>
            </w:r>
          </w:p>
        </w:tc>
      </w:tr>
      <w:tr w:rsidR="00393915" w14:paraId="7FE1D189" w14:textId="77777777">
        <w:tc>
          <w:tcPr>
            <w:tcW w:w="1183" w:type="dxa"/>
            <w:tcBorders>
              <w:top w:val="single" w:sz="8" w:space="0" w:color="1A171C"/>
              <w:left w:val="nil"/>
              <w:bottom w:val="single" w:sz="8" w:space="0" w:color="1A171C"/>
              <w:right w:val="single" w:sz="8" w:space="0" w:color="1A171C"/>
            </w:tcBorders>
            <w:vAlign w:val="center"/>
          </w:tcPr>
          <w:p w14:paraId="7FE1D186" w14:textId="77777777" w:rsidR="00393915" w:rsidRDefault="00F24D68">
            <w:pPr>
              <w:pStyle w:val="P68B1DB1-Normal31"/>
            </w:pPr>
            <w:r>
              <w:t>0140</w:t>
            </w:r>
          </w:p>
        </w:tc>
        <w:tc>
          <w:tcPr>
            <w:tcW w:w="7832" w:type="dxa"/>
            <w:tcBorders>
              <w:top w:val="single" w:sz="8" w:space="0" w:color="1A171C"/>
              <w:left w:val="single" w:sz="8" w:space="0" w:color="1A171C"/>
              <w:bottom w:val="single" w:sz="8" w:space="0" w:color="1A171C"/>
              <w:right w:val="nil"/>
            </w:tcBorders>
            <w:vAlign w:val="bottom"/>
          </w:tcPr>
          <w:p w14:paraId="7FE1D187" w14:textId="3F248A44" w:rsidR="00393915" w:rsidRDefault="00F24D68">
            <w:pPr>
              <w:pStyle w:val="P68B1DB1-TableParagraph40"/>
              <w:spacing w:before="108"/>
              <w:ind w:left="85"/>
              <w:jc w:val="both"/>
              <w:rPr>
                <w:b/>
                <w:bCs/>
              </w:rPr>
            </w:pPr>
            <w:r>
              <w:t xml:space="preserve"> </w:t>
            </w:r>
            <w:r>
              <w:rPr>
                <w:b/>
              </w:rPr>
              <w:t>Procijenjeni iznos</w:t>
            </w:r>
            <w:r w:rsidR="00A173DD">
              <w:rPr>
                <w:b/>
              </w:rPr>
              <w:t xml:space="preserve"> zatvaranja</w:t>
            </w:r>
          </w:p>
          <w:p w14:paraId="7FE1D188" w14:textId="0AE7DA01" w:rsidR="00393915" w:rsidRDefault="00F24D68">
            <w:pPr>
              <w:pStyle w:val="P68B1DB1-TableParagraph40"/>
              <w:spacing w:before="108"/>
              <w:ind w:left="85"/>
              <w:jc w:val="both"/>
            </w:pPr>
            <w:r>
              <w:t xml:space="preserve">Procijenjeni iznos za zatvaranje koji pokriva iznos gubitaka ili troškova koje snose ugovorne strane </w:t>
            </w:r>
            <w:r w:rsidR="00A173DD">
              <w:t>u</w:t>
            </w:r>
            <w:r>
              <w:t xml:space="preserve"> izvedenicama, ili dobitaka koje su ostvarile, zamjenom ili dobivanjem ekonomskog ekvivalenta značajnih uvjeta ugovora i </w:t>
            </w:r>
            <w:r w:rsidR="00A173DD">
              <w:t>opcijskih prava</w:t>
            </w:r>
            <w:r>
              <w:t xml:space="preserve"> stranaka u pogledu tih </w:t>
            </w:r>
            <w:r w:rsidR="00A173DD">
              <w:t xml:space="preserve">otkazanih </w:t>
            </w:r>
            <w:r>
              <w:t xml:space="preserve">ugovora. U nekim slučajevima; o procjenama potrebnima za utvrđivanje te vrijednosti u skladu </w:t>
            </w:r>
            <w:r>
              <w:lastRenderedPageBreak/>
              <w:t xml:space="preserve">s Delegiranom uredbom (EU) 2016/1401 teško je izvješćivati na pojedinačnoj osnovi. Stoga se umjesto njih mogu koristiti zamjenske vrijednosti, koje se mogu temeljiti na dostupnim podacima kao što su bonitetni zahtjevi za tržišni rizik. Pozitivna vrijednost procijenjenog iznosa za zatvaranje dovodi do povećanja procijenjenog iznosa prijevremenog </w:t>
            </w:r>
            <w:r w:rsidR="002A2108">
              <w:t>otkaza</w:t>
            </w:r>
            <w:r>
              <w:t xml:space="preserve">, dok bi se negativnim predznakom smanjio procijenjeni iznos prijevremenog </w:t>
            </w:r>
            <w:r w:rsidR="002A2108">
              <w:t>otkaza</w:t>
            </w:r>
            <w:r>
              <w:t>.</w:t>
            </w:r>
          </w:p>
        </w:tc>
      </w:tr>
      <w:tr w:rsidR="00393915" w14:paraId="7FE1D18D" w14:textId="77777777">
        <w:tc>
          <w:tcPr>
            <w:tcW w:w="1183" w:type="dxa"/>
            <w:vMerge w:val="restart"/>
            <w:tcBorders>
              <w:top w:val="single" w:sz="8" w:space="0" w:color="1A171C"/>
              <w:left w:val="nil"/>
              <w:right w:val="single" w:sz="8" w:space="0" w:color="1A171C"/>
            </w:tcBorders>
            <w:vAlign w:val="center"/>
          </w:tcPr>
          <w:p w14:paraId="7FE1D18A" w14:textId="77777777" w:rsidR="00393915" w:rsidRDefault="00F24D68">
            <w:pPr>
              <w:pStyle w:val="P68B1DB1-Normal31"/>
            </w:pPr>
            <w:r>
              <w:lastRenderedPageBreak/>
              <w:t>0150</w:t>
            </w:r>
          </w:p>
        </w:tc>
        <w:tc>
          <w:tcPr>
            <w:tcW w:w="7832" w:type="dxa"/>
            <w:tcBorders>
              <w:top w:val="single" w:sz="8" w:space="0" w:color="1A171C"/>
              <w:left w:val="single" w:sz="8" w:space="0" w:color="1A171C"/>
              <w:right w:val="nil"/>
            </w:tcBorders>
            <w:vAlign w:val="bottom"/>
          </w:tcPr>
          <w:p w14:paraId="7FE1D18B" w14:textId="7BA31B1F" w:rsidR="00393915" w:rsidRDefault="00F24D68">
            <w:pPr>
              <w:pStyle w:val="P68B1DB1-TableParagraph40"/>
              <w:spacing w:before="108"/>
              <w:ind w:left="85"/>
              <w:jc w:val="both"/>
              <w:rPr>
                <w:b/>
                <w:bCs/>
              </w:rPr>
            </w:pPr>
            <w:r>
              <w:t xml:space="preserve"> </w:t>
            </w:r>
            <w:r>
              <w:rPr>
                <w:b/>
              </w:rPr>
              <w:t xml:space="preserve">Procijenjeni iznos </w:t>
            </w:r>
            <w:r w:rsidR="0012531D">
              <w:rPr>
                <w:b/>
              </w:rPr>
              <w:t>prijevremenog otkaza</w:t>
            </w:r>
          </w:p>
          <w:p w14:paraId="7FE1D18C" w14:textId="77777777" w:rsidR="00393915" w:rsidRDefault="00F24D68">
            <w:pPr>
              <w:pStyle w:val="P68B1DB1-TableParagraph40"/>
              <w:spacing w:before="108"/>
              <w:ind w:left="85"/>
              <w:jc w:val="both"/>
            </w:pPr>
            <w:r>
              <w:t>S obzirom na Delegiranu uredbu (EU) 2016/1401 o vrednovanju izvedenica u skladu s člankom 49. stavkom 4. BRRD-a, taj se iznos određuje kako slijedi:</w:t>
            </w:r>
          </w:p>
        </w:tc>
      </w:tr>
      <w:tr w:rsidR="00393915" w14:paraId="7FE1D190" w14:textId="77777777">
        <w:tc>
          <w:tcPr>
            <w:tcW w:w="1183" w:type="dxa"/>
            <w:vMerge/>
            <w:tcBorders>
              <w:right w:val="single" w:sz="8" w:space="0" w:color="1A171C"/>
            </w:tcBorders>
            <w:vAlign w:val="center"/>
          </w:tcPr>
          <w:p w14:paraId="7FE1D18E" w14:textId="77777777" w:rsidR="00393915" w:rsidRDefault="00393915">
            <w:pPr>
              <w:rPr>
                <w:rFonts w:ascii="Times New Roman" w:hAnsi="Times New Roman" w:cs="Times New Roman"/>
              </w:rPr>
            </w:pPr>
          </w:p>
        </w:tc>
        <w:tc>
          <w:tcPr>
            <w:tcW w:w="7832" w:type="dxa"/>
            <w:tcBorders>
              <w:left w:val="single" w:sz="8" w:space="0" w:color="1A171C"/>
              <w:right w:val="nil"/>
            </w:tcBorders>
            <w:vAlign w:val="bottom"/>
          </w:tcPr>
          <w:p w14:paraId="7FE1D18F" w14:textId="311BF587" w:rsidR="00393915" w:rsidRDefault="00F24D68">
            <w:pPr>
              <w:pStyle w:val="P68B1DB1-TableParagraph40"/>
              <w:spacing w:before="108"/>
              <w:ind w:left="85"/>
              <w:jc w:val="both"/>
            </w:pPr>
            <w:r>
              <w:t xml:space="preserve"> „Procjenitelj utvrđuje vrijednost obveza koje proizlaze iz ugovora o izvedenicama </w:t>
            </w:r>
            <w:r w:rsidR="008F38E6" w:rsidRPr="008F38E6">
              <w:t>kao iznos za prijevremeni otkaz izračunan kao zbroj sljedećih iznosa:</w:t>
            </w:r>
          </w:p>
        </w:tc>
      </w:tr>
      <w:tr w:rsidR="00393915" w14:paraId="7FE1D193" w14:textId="77777777">
        <w:tc>
          <w:tcPr>
            <w:tcW w:w="1183" w:type="dxa"/>
            <w:vMerge/>
            <w:tcBorders>
              <w:right w:val="single" w:sz="8" w:space="0" w:color="1A171C"/>
            </w:tcBorders>
            <w:vAlign w:val="center"/>
          </w:tcPr>
          <w:p w14:paraId="7FE1D191" w14:textId="77777777" w:rsidR="00393915" w:rsidRDefault="00393915">
            <w:pPr>
              <w:rPr>
                <w:rFonts w:ascii="Times New Roman" w:hAnsi="Times New Roman" w:cs="Times New Roman"/>
              </w:rPr>
            </w:pPr>
          </w:p>
        </w:tc>
        <w:tc>
          <w:tcPr>
            <w:tcW w:w="7832" w:type="dxa"/>
            <w:tcBorders>
              <w:left w:val="single" w:sz="8" w:space="0" w:color="1A171C"/>
              <w:right w:val="nil"/>
            </w:tcBorders>
            <w:vAlign w:val="bottom"/>
          </w:tcPr>
          <w:p w14:paraId="7FE1D192" w14:textId="18A717E8" w:rsidR="00393915" w:rsidRDefault="00F24D68">
            <w:pPr>
              <w:pStyle w:val="P68B1DB1-TableParagraph40"/>
              <w:spacing w:before="108"/>
              <w:ind w:left="85"/>
              <w:jc w:val="both"/>
            </w:pPr>
            <w:r>
              <w:t xml:space="preserve"> · </w:t>
            </w:r>
            <w:r w:rsidR="008F38E6" w:rsidRPr="008F38E6">
              <w:t>neplaćenih iznosa, kolaterala ili drugih iznosa koje je institucija u sanaciji dužna platiti drugoj ugovornoj strani, umanjenih za neplaćene iznose, kolaterale i druge iznose koje je druga ugovorna strana dužna platiti instituciji u sanaciji na datum zatvaranja;</w:t>
            </w:r>
            <w:r>
              <w:t>; kao i</w:t>
            </w:r>
          </w:p>
        </w:tc>
      </w:tr>
      <w:tr w:rsidR="00393915" w14:paraId="7FE1D196" w14:textId="77777777">
        <w:tc>
          <w:tcPr>
            <w:tcW w:w="1183" w:type="dxa"/>
            <w:vMerge/>
            <w:tcBorders>
              <w:right w:val="single" w:sz="8" w:space="0" w:color="1A171C"/>
            </w:tcBorders>
            <w:vAlign w:val="center"/>
          </w:tcPr>
          <w:p w14:paraId="7FE1D194" w14:textId="77777777" w:rsidR="00393915" w:rsidRDefault="00393915">
            <w:pPr>
              <w:rPr>
                <w:rFonts w:ascii="Times New Roman" w:hAnsi="Times New Roman" w:cs="Times New Roman"/>
              </w:rPr>
            </w:pPr>
          </w:p>
        </w:tc>
        <w:tc>
          <w:tcPr>
            <w:tcW w:w="7832" w:type="dxa"/>
            <w:tcBorders>
              <w:left w:val="single" w:sz="8" w:space="0" w:color="1A171C"/>
              <w:right w:val="nil"/>
            </w:tcBorders>
            <w:vAlign w:val="bottom"/>
          </w:tcPr>
          <w:p w14:paraId="7FE1D195" w14:textId="5D4CED48" w:rsidR="00393915" w:rsidRDefault="00F24D68">
            <w:pPr>
              <w:pStyle w:val="P68B1DB1-TableParagraph40"/>
              <w:spacing w:before="108"/>
              <w:ind w:left="85"/>
              <w:jc w:val="both"/>
            </w:pPr>
            <w:r>
              <w:t xml:space="preserve"> · </w:t>
            </w:r>
            <w:r w:rsidR="008F38E6" w:rsidRPr="008F38E6">
              <w:t>iznosa za zatvaranje koji pokriva iznos gubitaka ili troškova koje snose druge ugovorne strane ugovora o izvedenicama, ili dobitaka koje su ostvarile, zamjenom ili dobivanjem ekonomskog ekvivalenta značajnih uvjeta otkazanih ugovora i prava na opcije stranaka u pogledu tih ugovora</w:t>
            </w:r>
            <w:r>
              <w:t>.</w:t>
            </w:r>
            <w:r w:rsidR="0006104B">
              <w:t xml:space="preserve"> ”</w:t>
            </w:r>
          </w:p>
        </w:tc>
      </w:tr>
      <w:tr w:rsidR="00393915" w14:paraId="7FE1D199" w14:textId="77777777">
        <w:tc>
          <w:tcPr>
            <w:tcW w:w="1183" w:type="dxa"/>
            <w:vMerge/>
            <w:tcBorders>
              <w:right w:val="single" w:sz="8" w:space="0" w:color="1A171C"/>
            </w:tcBorders>
            <w:vAlign w:val="center"/>
          </w:tcPr>
          <w:p w14:paraId="7FE1D197" w14:textId="77777777" w:rsidR="00393915" w:rsidRDefault="00393915">
            <w:pPr>
              <w:rPr>
                <w:rFonts w:ascii="Times New Roman" w:hAnsi="Times New Roman" w:cs="Times New Roman"/>
              </w:rPr>
            </w:pPr>
          </w:p>
        </w:tc>
        <w:tc>
          <w:tcPr>
            <w:tcW w:w="7832" w:type="dxa"/>
            <w:tcBorders>
              <w:left w:val="single" w:sz="8" w:space="0" w:color="1A171C"/>
              <w:bottom w:val="single" w:sz="8" w:space="0" w:color="1A171C"/>
              <w:right w:val="nil"/>
            </w:tcBorders>
            <w:vAlign w:val="bottom"/>
          </w:tcPr>
          <w:p w14:paraId="7FE1D198" w14:textId="54DBAE7D" w:rsidR="00393915" w:rsidRDefault="00F24D68">
            <w:pPr>
              <w:pStyle w:val="P68B1DB1-TableParagraph40"/>
              <w:spacing w:before="108"/>
              <w:ind w:left="85"/>
              <w:jc w:val="both"/>
            </w:pPr>
            <w:r>
              <w:t xml:space="preserve"> Procijenjeni iznos prijevremenog </w:t>
            </w:r>
            <w:r w:rsidR="00E64C8B">
              <w:t xml:space="preserve">otkaza </w:t>
            </w:r>
            <w:r>
              <w:t xml:space="preserve">kao takav mora biti jednak neto tržišnoj vrijednosti (c0120) – vrijednost neto poštanskog kolaterala (c0130) + procijenjeni iznos </w:t>
            </w:r>
            <w:r w:rsidR="00C7429E">
              <w:t>zatvaranja</w:t>
            </w:r>
            <w:r>
              <w:t xml:space="preserve"> </w:t>
            </w:r>
            <w:r>
              <w:t>(c0140).</w:t>
            </w:r>
          </w:p>
        </w:tc>
      </w:tr>
    </w:tbl>
    <w:p w14:paraId="7FE1D19A" w14:textId="77777777" w:rsidR="00393915" w:rsidRDefault="00393915">
      <w:pPr>
        <w:pStyle w:val="Instructionsberschrift2"/>
        <w:ind w:left="357"/>
        <w:rPr>
          <w:rFonts w:ascii="Times New Roman" w:eastAsia="Calibri" w:hAnsi="Times New Roman" w:cs="Times New Roman"/>
          <w:szCs w:val="20"/>
        </w:rPr>
      </w:pPr>
      <w:bookmarkStart w:id="251" w:name="_Toc81454217"/>
    </w:p>
    <w:p w14:paraId="7FE1D19B" w14:textId="0AC1D13F" w:rsidR="00393915" w:rsidRDefault="00F24D68">
      <w:pPr>
        <w:pStyle w:val="Instructionsberschrift2"/>
        <w:numPr>
          <w:ilvl w:val="1"/>
          <w:numId w:val="49"/>
        </w:numPr>
        <w:spacing w:before="0"/>
        <w:ind w:left="357" w:hanging="357"/>
        <w:rPr>
          <w:rFonts w:ascii="Times New Roman" w:hAnsi="Times New Roman" w:cs="Times New Roman"/>
        </w:rPr>
      </w:pPr>
      <w:bookmarkStart w:id="252" w:name="_Toc208244834"/>
      <w:r>
        <w:rPr>
          <w:rFonts w:ascii="Times New Roman" w:eastAsiaTheme="minorEastAsia" w:hAnsi="Times New Roman" w:cs="Times New Roman"/>
        </w:rPr>
        <w:t xml:space="preserve">Z 16.00 – </w:t>
      </w:r>
      <w:r w:rsidR="00A56FBC" w:rsidRPr="00A56FBC">
        <w:rPr>
          <w:rFonts w:ascii="Times New Roman" w:eastAsiaTheme="minorEastAsia" w:hAnsi="Times New Roman" w:cs="Times New Roman"/>
        </w:rPr>
        <w:t>Transakcije osiguranog financiranja</w:t>
      </w:r>
      <w:r>
        <w:rPr>
          <w:rFonts w:ascii="Times New Roman" w:eastAsiaTheme="minorEastAsia" w:hAnsi="Times New Roman" w:cs="Times New Roman"/>
        </w:rPr>
        <w:t xml:space="preserve">, isključujući unutargrupne </w:t>
      </w:r>
      <w:r>
        <w:rPr>
          <w:rFonts w:ascii="Times New Roman" w:eastAsia="Calibri" w:hAnsi="Times New Roman" w:cs="Times New Roman"/>
          <w:szCs w:val="20"/>
        </w:rPr>
        <w:t>(LIAB-G-6)</w:t>
      </w:r>
      <w:bookmarkEnd w:id="252"/>
    </w:p>
    <w:p w14:paraId="7FE1D19C" w14:textId="07C13721" w:rsidR="00393915" w:rsidRDefault="00F24D68">
      <w:pPr>
        <w:pStyle w:val="P68B1DB1-Instructionsberschrift289"/>
        <w:rPr>
          <w:rFonts w:eastAsiaTheme="minorEastAsia"/>
        </w:rPr>
      </w:pPr>
      <w:r>
        <w:t xml:space="preserve"> </w:t>
      </w:r>
      <w:bookmarkEnd w:id="251"/>
    </w:p>
    <w:p w14:paraId="7FE1D19D" w14:textId="77777777" w:rsidR="00393915" w:rsidRDefault="00F24D68">
      <w:pPr>
        <w:pStyle w:val="P68B1DB1-Numberedtitlelevel388"/>
      </w:pPr>
      <w:r>
        <w:t>Opće napomene</w:t>
      </w:r>
    </w:p>
    <w:p w14:paraId="7FE1D19E" w14:textId="3901B7DB" w:rsidR="00393915" w:rsidRDefault="00F24D68">
      <w:pPr>
        <w:pStyle w:val="P68B1DB1-InstructionsText286"/>
        <w:numPr>
          <w:ilvl w:val="2"/>
          <w:numId w:val="209"/>
        </w:numPr>
        <w:spacing w:before="0"/>
        <w:ind w:left="1276"/>
        <w:rPr>
          <w:rFonts w:eastAsiaTheme="majorEastAsia"/>
        </w:rPr>
      </w:pPr>
      <w:r>
        <w:t xml:space="preserve">Osigurano financiranje uključuje sve aranžmane financiranja koji podliježu davanju kolaterala, zaloga ili založnih prava, isključujući, na primjer, vrijednosne papire koji se moraju iskazati u predlošku Z12.00. </w:t>
      </w:r>
    </w:p>
    <w:p w14:paraId="7FE1D19F" w14:textId="77777777" w:rsidR="00393915" w:rsidRDefault="00F24D68">
      <w:pPr>
        <w:pStyle w:val="P68B1DB1-InstructionsText286"/>
        <w:numPr>
          <w:ilvl w:val="2"/>
          <w:numId w:val="209"/>
        </w:numPr>
        <w:spacing w:before="0"/>
        <w:ind w:left="1276"/>
      </w:pPr>
      <w:r>
        <w:t>Tipični su primjeri takvih sporazuma financiranje središnje banke ili repo ugovori.</w:t>
      </w:r>
    </w:p>
    <w:p w14:paraId="7FE1D1A0" w14:textId="77777777" w:rsidR="00393915" w:rsidRDefault="00F24D68">
      <w:pPr>
        <w:pStyle w:val="P68B1DB1-InstructionsText286"/>
        <w:numPr>
          <w:ilvl w:val="2"/>
          <w:numId w:val="209"/>
        </w:numPr>
        <w:spacing w:before="0"/>
        <w:ind w:left="1276"/>
      </w:pPr>
      <w:r>
        <w:t>Iskazuje se osigurana obveza, a ne sam kolateral.</w:t>
      </w:r>
    </w:p>
    <w:p w14:paraId="7FE1D1A1" w14:textId="05645F2D" w:rsidR="00393915" w:rsidRDefault="00F24D68">
      <w:pPr>
        <w:pStyle w:val="P68B1DB1-InstructionsText286"/>
        <w:numPr>
          <w:ilvl w:val="2"/>
          <w:numId w:val="209"/>
        </w:numPr>
        <w:spacing w:before="0"/>
        <w:ind w:left="1276"/>
      </w:pPr>
      <w:r>
        <w:t xml:space="preserve">Za potrebe ove tablice, </w:t>
      </w:r>
      <w:r w:rsidR="00A56FBC">
        <w:t>aranžmani osiguranog financiranja</w:t>
      </w:r>
      <w:r>
        <w:t xml:space="preserve"> moraju se iskazati po skupu za netiranje, tj. svaki skup za netiranje iskazuje se kao pojedinačna stavka za netiranje. Međutim, osigurani dio i neosigurani dio istog skupa za netiranje moraju se iskazati u različitim stavkama redaka ako se odnose na različit red prvenstva u slučaju insolventnosti. </w:t>
      </w:r>
    </w:p>
    <w:p w14:paraId="7FE1D1A2" w14:textId="77777777" w:rsidR="00393915" w:rsidRDefault="00F24D68">
      <w:pPr>
        <w:pStyle w:val="P68B1DB1-InstructionsText286"/>
        <w:numPr>
          <w:ilvl w:val="2"/>
          <w:numId w:val="209"/>
        </w:numPr>
        <w:spacing w:before="0"/>
        <w:ind w:left="1276"/>
      </w:pPr>
      <w:r>
        <w:t>U tom se pogledu ne primjenjuju pragovi za izvješćivanje.</w:t>
      </w:r>
    </w:p>
    <w:p w14:paraId="7FE1D1A3" w14:textId="77777777" w:rsidR="00393915" w:rsidRDefault="00F24D68">
      <w:pPr>
        <w:pStyle w:val="P68B1DB1-Numberedtitlelevel388"/>
      </w:pPr>
      <w:r>
        <w:t>Upute za specifične pozicije</w:t>
      </w:r>
    </w:p>
    <w:tbl>
      <w:tblPr>
        <w:tblW w:w="9015" w:type="dxa"/>
        <w:tblInd w:w="135" w:type="dxa"/>
        <w:tblLayout w:type="fixed"/>
        <w:tblLook w:val="04A0" w:firstRow="1" w:lastRow="0" w:firstColumn="1" w:lastColumn="0" w:noHBand="0" w:noVBand="1"/>
      </w:tblPr>
      <w:tblGrid>
        <w:gridCol w:w="1183"/>
        <w:gridCol w:w="7832"/>
      </w:tblGrid>
      <w:tr w:rsidR="00393915" w14:paraId="7FE1D1A6" w14:textId="77777777">
        <w:trPr>
          <w:tblHeader/>
        </w:trPr>
        <w:tc>
          <w:tcPr>
            <w:tcW w:w="1183" w:type="dxa"/>
            <w:tcBorders>
              <w:top w:val="single" w:sz="8" w:space="0" w:color="1A171C"/>
              <w:left w:val="nil"/>
              <w:bottom w:val="single" w:sz="8" w:space="0" w:color="1A171C"/>
              <w:right w:val="single" w:sz="8" w:space="0" w:color="1A171C"/>
            </w:tcBorders>
            <w:shd w:val="clear" w:color="auto" w:fill="D9D9D9" w:themeFill="background1" w:themeFillShade="D9"/>
          </w:tcPr>
          <w:p w14:paraId="7FE1D1A4" w14:textId="77777777" w:rsidR="00393915" w:rsidRDefault="00F24D68">
            <w:pPr>
              <w:pStyle w:val="P68B1DB1-Normal31"/>
            </w:pPr>
            <w:r>
              <w:t xml:space="preserve">Stupci </w:t>
            </w:r>
          </w:p>
        </w:tc>
        <w:tc>
          <w:tcPr>
            <w:tcW w:w="7832" w:type="dxa"/>
            <w:tcBorders>
              <w:top w:val="single" w:sz="8" w:space="0" w:color="1A171C"/>
              <w:left w:val="single" w:sz="8" w:space="0" w:color="1A171C"/>
              <w:bottom w:val="single" w:sz="8" w:space="0" w:color="1A171C"/>
              <w:right w:val="nil"/>
            </w:tcBorders>
            <w:shd w:val="clear" w:color="auto" w:fill="D9D9D9" w:themeFill="background1" w:themeFillShade="D9"/>
          </w:tcPr>
          <w:p w14:paraId="7FE1D1A5" w14:textId="77777777" w:rsidR="00393915" w:rsidRDefault="00F24D68">
            <w:pPr>
              <w:pStyle w:val="P68B1DB1-Normal31"/>
            </w:pPr>
            <w:r>
              <w:t xml:space="preserve">Upute </w:t>
            </w:r>
          </w:p>
        </w:tc>
      </w:tr>
      <w:tr w:rsidR="00393915" w14:paraId="7FE1D1AA" w14:textId="77777777">
        <w:tc>
          <w:tcPr>
            <w:tcW w:w="1183" w:type="dxa"/>
            <w:tcBorders>
              <w:top w:val="single" w:sz="8" w:space="0" w:color="1A171C"/>
              <w:left w:val="nil"/>
              <w:bottom w:val="single" w:sz="8" w:space="0" w:color="1A171C"/>
              <w:right w:val="single" w:sz="8" w:space="0" w:color="1A171C"/>
            </w:tcBorders>
            <w:vAlign w:val="center"/>
          </w:tcPr>
          <w:p w14:paraId="7FE1D1A7" w14:textId="77777777" w:rsidR="00393915" w:rsidRDefault="00F24D68">
            <w:pPr>
              <w:pStyle w:val="P68B1DB1-Normal31"/>
            </w:pPr>
            <w:r>
              <w:t>0010</w:t>
            </w:r>
          </w:p>
        </w:tc>
        <w:tc>
          <w:tcPr>
            <w:tcW w:w="7832" w:type="dxa"/>
            <w:tcBorders>
              <w:top w:val="single" w:sz="8" w:space="0" w:color="1A171C"/>
              <w:left w:val="single" w:sz="8" w:space="0" w:color="1A171C"/>
              <w:bottom w:val="single" w:sz="8" w:space="0" w:color="1A171C"/>
              <w:right w:val="nil"/>
            </w:tcBorders>
            <w:vAlign w:val="bottom"/>
          </w:tcPr>
          <w:p w14:paraId="7FE1D1A8" w14:textId="76A3FB6A" w:rsidR="00393915" w:rsidRDefault="00F24D68">
            <w:pPr>
              <w:pStyle w:val="P68B1DB1-TableParagraph40"/>
              <w:spacing w:before="108"/>
              <w:ind w:left="85"/>
              <w:jc w:val="both"/>
              <w:rPr>
                <w:b/>
                <w:bCs/>
              </w:rPr>
            </w:pPr>
            <w:r>
              <w:t xml:space="preserve"> </w:t>
            </w:r>
            <w:r>
              <w:rPr>
                <w:b/>
              </w:rPr>
              <w:t>B</w:t>
            </w:r>
            <w:r w:rsidR="00E64C8B">
              <w:rPr>
                <w:b/>
              </w:rPr>
              <w:t>r</w:t>
            </w:r>
            <w:r>
              <w:rPr>
                <w:b/>
              </w:rPr>
              <w:t>.</w:t>
            </w:r>
          </w:p>
          <w:p w14:paraId="7FE1D1A9" w14:textId="7C09A169" w:rsidR="00393915" w:rsidRDefault="00F24D68">
            <w:pPr>
              <w:pStyle w:val="P68B1DB1-TableParagraph40"/>
              <w:spacing w:before="108"/>
              <w:ind w:left="85"/>
              <w:jc w:val="both"/>
            </w:pPr>
            <w:r>
              <w:t>Jedinstveni broj/primarni ključ za identifikaciju stavki retka.</w:t>
            </w:r>
          </w:p>
        </w:tc>
      </w:tr>
      <w:tr w:rsidR="00393915" w14:paraId="7FE1D1AE" w14:textId="77777777">
        <w:tc>
          <w:tcPr>
            <w:tcW w:w="1183" w:type="dxa"/>
            <w:tcBorders>
              <w:top w:val="single" w:sz="8" w:space="0" w:color="1A171C"/>
              <w:left w:val="nil"/>
              <w:bottom w:val="single" w:sz="8" w:space="0" w:color="1A171C"/>
              <w:right w:val="single" w:sz="8" w:space="0" w:color="1A171C"/>
            </w:tcBorders>
            <w:vAlign w:val="center"/>
          </w:tcPr>
          <w:p w14:paraId="7FE1D1AB" w14:textId="77777777" w:rsidR="00393915" w:rsidRDefault="00F24D68">
            <w:pPr>
              <w:pStyle w:val="P68B1DB1-Normal31"/>
            </w:pPr>
            <w:r>
              <w:t>0020</w:t>
            </w:r>
          </w:p>
        </w:tc>
        <w:tc>
          <w:tcPr>
            <w:tcW w:w="7832" w:type="dxa"/>
            <w:tcBorders>
              <w:top w:val="single" w:sz="8" w:space="0" w:color="1A171C"/>
              <w:left w:val="single" w:sz="8" w:space="0" w:color="1A171C"/>
              <w:bottom w:val="single" w:sz="8" w:space="0" w:color="1A171C"/>
              <w:right w:val="nil"/>
            </w:tcBorders>
            <w:vAlign w:val="bottom"/>
          </w:tcPr>
          <w:p w14:paraId="7FE1D1AC" w14:textId="77777777" w:rsidR="00393915" w:rsidRDefault="00F24D68">
            <w:pPr>
              <w:pStyle w:val="P68B1DB1-TableParagraph40"/>
              <w:spacing w:before="108"/>
              <w:ind w:left="85"/>
              <w:jc w:val="both"/>
              <w:rPr>
                <w:b/>
                <w:bCs/>
              </w:rPr>
            </w:pPr>
            <w:r>
              <w:t xml:space="preserve"> </w:t>
            </w:r>
            <w:r>
              <w:rPr>
                <w:b/>
              </w:rPr>
              <w:t>Stupac</w:t>
            </w:r>
          </w:p>
          <w:p w14:paraId="7FE1D1AD" w14:textId="57B67374" w:rsidR="00393915" w:rsidRDefault="00F24D68">
            <w:pPr>
              <w:pStyle w:val="P68B1DB1-TableParagraph40"/>
              <w:spacing w:before="108"/>
              <w:ind w:left="85"/>
              <w:jc w:val="both"/>
            </w:pPr>
            <w:r>
              <w:t>Za svaki skup za netiranje potrebno je dostaviti usklađivanje s klasom druge ugovorne strane u predlošku Z02.00 prema kojoj se obveza duguje s unaprijed utvrđenog popisa vrijednosti.</w:t>
            </w:r>
          </w:p>
        </w:tc>
      </w:tr>
      <w:tr w:rsidR="00393915" w14:paraId="7FE1D1B2" w14:textId="77777777">
        <w:tc>
          <w:tcPr>
            <w:tcW w:w="1183" w:type="dxa"/>
            <w:tcBorders>
              <w:top w:val="single" w:sz="8" w:space="0" w:color="1A171C"/>
              <w:left w:val="nil"/>
              <w:bottom w:val="single" w:sz="8" w:space="0" w:color="1A171C"/>
              <w:right w:val="single" w:sz="8" w:space="0" w:color="1A171C"/>
            </w:tcBorders>
            <w:vAlign w:val="center"/>
          </w:tcPr>
          <w:p w14:paraId="7FE1D1AF" w14:textId="77777777" w:rsidR="00393915" w:rsidRDefault="00F24D68">
            <w:pPr>
              <w:pStyle w:val="P68B1DB1-Normal31"/>
            </w:pPr>
            <w:r>
              <w:lastRenderedPageBreak/>
              <w:t>0030</w:t>
            </w:r>
          </w:p>
        </w:tc>
        <w:tc>
          <w:tcPr>
            <w:tcW w:w="7832" w:type="dxa"/>
            <w:tcBorders>
              <w:top w:val="single" w:sz="8" w:space="0" w:color="1A171C"/>
              <w:left w:val="single" w:sz="8" w:space="0" w:color="1A171C"/>
              <w:bottom w:val="single" w:sz="8" w:space="0" w:color="1A171C"/>
              <w:right w:val="nil"/>
            </w:tcBorders>
            <w:vAlign w:val="bottom"/>
          </w:tcPr>
          <w:p w14:paraId="7FE1D1B0" w14:textId="0BF108F2" w:rsidR="00393915" w:rsidRDefault="00F24D68">
            <w:pPr>
              <w:pStyle w:val="P68B1DB1-TableParagraph40"/>
              <w:spacing w:before="108"/>
              <w:ind w:left="85"/>
              <w:jc w:val="both"/>
              <w:rPr>
                <w:b/>
                <w:bCs/>
              </w:rPr>
            </w:pPr>
            <w:r>
              <w:t xml:space="preserve"> </w:t>
            </w:r>
            <w:r w:rsidR="00B03628">
              <w:rPr>
                <w:b/>
              </w:rPr>
              <w:t>Red u slučaju insolventnosti</w:t>
            </w:r>
          </w:p>
          <w:p w14:paraId="7FE1D1B1" w14:textId="6366F036" w:rsidR="00393915" w:rsidRDefault="00F24D68">
            <w:pPr>
              <w:pStyle w:val="P68B1DB1-TableParagraph40"/>
              <w:spacing w:before="108"/>
              <w:ind w:left="85"/>
              <w:jc w:val="both"/>
            </w:pPr>
            <w:r>
              <w:t xml:space="preserve">Red </w:t>
            </w:r>
            <w:r w:rsidR="00E06174">
              <w:t>u slučaju insolventnosti bit će</w:t>
            </w:r>
            <w:r>
              <w:t xml:space="preserve"> jedan od redova prvenstva </w:t>
            </w:r>
            <w:r w:rsidR="00E06174">
              <w:t xml:space="preserve">u slučaju insolventnosti </w:t>
            </w:r>
            <w:r>
              <w:t>koje objavljuje sanacijsko tijelo te jurisdikcije.</w:t>
            </w:r>
          </w:p>
        </w:tc>
      </w:tr>
      <w:tr w:rsidR="00393915" w14:paraId="7FE1D1B6" w14:textId="77777777">
        <w:tc>
          <w:tcPr>
            <w:tcW w:w="1183" w:type="dxa"/>
            <w:tcBorders>
              <w:top w:val="single" w:sz="8" w:space="0" w:color="1A171C"/>
              <w:left w:val="nil"/>
              <w:bottom w:val="single" w:sz="8" w:space="0" w:color="1A171C"/>
              <w:right w:val="single" w:sz="8" w:space="0" w:color="1A171C"/>
            </w:tcBorders>
            <w:vAlign w:val="center"/>
          </w:tcPr>
          <w:p w14:paraId="7FE1D1B3" w14:textId="77777777" w:rsidR="00393915" w:rsidRDefault="00F24D68">
            <w:pPr>
              <w:pStyle w:val="P68B1DB1-Normal31"/>
            </w:pPr>
            <w:r>
              <w:t>0040</w:t>
            </w:r>
          </w:p>
        </w:tc>
        <w:tc>
          <w:tcPr>
            <w:tcW w:w="7832" w:type="dxa"/>
            <w:tcBorders>
              <w:top w:val="single" w:sz="8" w:space="0" w:color="1A171C"/>
              <w:left w:val="single" w:sz="8" w:space="0" w:color="1A171C"/>
              <w:bottom w:val="single" w:sz="8" w:space="0" w:color="1A171C"/>
              <w:right w:val="nil"/>
            </w:tcBorders>
            <w:vAlign w:val="bottom"/>
          </w:tcPr>
          <w:p w14:paraId="7FE1D1B4" w14:textId="7F1A3083" w:rsidR="00393915" w:rsidRDefault="00F24D68">
            <w:pPr>
              <w:pStyle w:val="P68B1DB1-TableParagraph73"/>
              <w:spacing w:before="108"/>
              <w:ind w:left="85"/>
              <w:jc w:val="both"/>
              <w:rPr>
                <w:bCs/>
              </w:rPr>
            </w:pPr>
            <w:r>
              <w:t xml:space="preserve"> Identifikacijska oznaka </w:t>
            </w:r>
            <w:r w:rsidR="00E06174">
              <w:t xml:space="preserve">glavnog </w:t>
            </w:r>
            <w:r>
              <w:t xml:space="preserve">sporazuma </w:t>
            </w:r>
          </w:p>
          <w:p w14:paraId="7FE1D1B5" w14:textId="2AC41D2F" w:rsidR="00393915" w:rsidRDefault="00F24D68">
            <w:pPr>
              <w:pStyle w:val="P68B1DB1-TableParagraph40"/>
              <w:spacing w:before="108"/>
              <w:ind w:left="85"/>
              <w:jc w:val="both"/>
            </w:pPr>
            <w:r>
              <w:t xml:space="preserve">Interna identifikacijska oznaka </w:t>
            </w:r>
            <w:r w:rsidR="00FF27B2">
              <w:t xml:space="preserve">glavnog </w:t>
            </w:r>
            <w:r>
              <w:t>sporazuma ili pojedinačnog ugovora.</w:t>
            </w:r>
          </w:p>
        </w:tc>
      </w:tr>
      <w:tr w:rsidR="00393915" w14:paraId="7FE1D1BA" w14:textId="77777777">
        <w:tc>
          <w:tcPr>
            <w:tcW w:w="1183" w:type="dxa"/>
            <w:tcBorders>
              <w:top w:val="single" w:sz="8" w:space="0" w:color="1A171C"/>
              <w:left w:val="nil"/>
              <w:bottom w:val="single" w:sz="8" w:space="0" w:color="1A171C"/>
              <w:right w:val="single" w:sz="8" w:space="0" w:color="1A171C"/>
            </w:tcBorders>
            <w:vAlign w:val="center"/>
          </w:tcPr>
          <w:p w14:paraId="7FE1D1B7" w14:textId="77777777" w:rsidR="00393915" w:rsidRDefault="00F24D68">
            <w:pPr>
              <w:pStyle w:val="P68B1DB1-Normal31"/>
            </w:pPr>
            <w:r>
              <w:t>0050</w:t>
            </w:r>
          </w:p>
        </w:tc>
        <w:tc>
          <w:tcPr>
            <w:tcW w:w="7832" w:type="dxa"/>
            <w:tcBorders>
              <w:top w:val="single" w:sz="8" w:space="0" w:color="1A171C"/>
              <w:left w:val="single" w:sz="8" w:space="0" w:color="1A171C"/>
              <w:bottom w:val="single" w:sz="8" w:space="0" w:color="1A171C"/>
              <w:right w:val="nil"/>
            </w:tcBorders>
            <w:vAlign w:val="bottom"/>
          </w:tcPr>
          <w:p w14:paraId="7FE1D1B8" w14:textId="62302383" w:rsidR="00393915" w:rsidRDefault="00F24D68">
            <w:pPr>
              <w:pStyle w:val="P68B1DB1-TableParagraph73"/>
              <w:spacing w:before="108"/>
              <w:ind w:left="85"/>
              <w:jc w:val="both"/>
              <w:rPr>
                <w:bCs/>
              </w:rPr>
            </w:pPr>
            <w:r>
              <w:t xml:space="preserve"> Vrsta </w:t>
            </w:r>
            <w:r w:rsidR="004916D4">
              <w:t xml:space="preserve">glavnog sporazuma </w:t>
            </w:r>
            <w:r>
              <w:t xml:space="preserve">(npr. </w:t>
            </w:r>
            <w:r w:rsidR="00A505E4">
              <w:t>Globalni glavn</w:t>
            </w:r>
            <w:r w:rsidR="00670FCF">
              <w:t>i</w:t>
            </w:r>
            <w:r w:rsidR="00A505E4">
              <w:t xml:space="preserve"> repo ugovori</w:t>
            </w:r>
            <w:r>
              <w:t xml:space="preserve">) </w:t>
            </w:r>
          </w:p>
          <w:p w14:paraId="7FE1D1B9" w14:textId="49285B49" w:rsidR="00393915" w:rsidRDefault="00726DFC">
            <w:pPr>
              <w:pStyle w:val="P68B1DB1-TableParagraph40"/>
              <w:spacing w:before="108"/>
              <w:ind w:left="85"/>
              <w:jc w:val="both"/>
            </w:pPr>
            <w:r>
              <w:t xml:space="preserve">Navesti glavni </w:t>
            </w:r>
            <w:r w:rsidR="00F24D68">
              <w:t xml:space="preserve"> ugovor, odnosno „ICMA 2011. Globalni glavni repo ugovori”, „ICMA 2000 Globalni glavni repo ugovori”, „</w:t>
            </w:r>
            <w:r w:rsidR="00F13A5A">
              <w:t xml:space="preserve">ICMA 1995. </w:t>
            </w:r>
            <w:r w:rsidR="00F24D68">
              <w:t xml:space="preserve">Globalni </w:t>
            </w:r>
            <w:r w:rsidR="00F13A5A">
              <w:t xml:space="preserve">glavni </w:t>
            </w:r>
            <w:r w:rsidR="00F24D68">
              <w:t>repo ugovori”, „</w:t>
            </w:r>
            <w:r w:rsidR="00F13A5A">
              <w:t xml:space="preserve">ICMA 1992. </w:t>
            </w:r>
            <w:r w:rsidR="00F24D68">
              <w:t>Globalni glavni repo ugovori ”, „Ostali globalni glavni repo ugovori” ili „</w:t>
            </w:r>
            <w:r w:rsidR="00F13A5A">
              <w:t xml:space="preserve">Pojedinačni </w:t>
            </w:r>
            <w:r w:rsidR="00F24D68">
              <w:t>ugovor” s unaprijed definiranog popisa.</w:t>
            </w:r>
          </w:p>
        </w:tc>
      </w:tr>
      <w:tr w:rsidR="00393915" w14:paraId="7FE1D1BE" w14:textId="77777777">
        <w:tc>
          <w:tcPr>
            <w:tcW w:w="1183" w:type="dxa"/>
            <w:tcBorders>
              <w:top w:val="single" w:sz="8" w:space="0" w:color="1A171C"/>
              <w:left w:val="nil"/>
              <w:bottom w:val="single" w:sz="8" w:space="0" w:color="1A171C"/>
              <w:right w:val="single" w:sz="8" w:space="0" w:color="1A171C"/>
            </w:tcBorders>
            <w:vAlign w:val="center"/>
          </w:tcPr>
          <w:p w14:paraId="7FE1D1BB" w14:textId="77777777" w:rsidR="00393915" w:rsidRDefault="00F24D68">
            <w:pPr>
              <w:pStyle w:val="P68B1DB1-Normal31"/>
            </w:pPr>
            <w:r>
              <w:t>0055</w:t>
            </w:r>
          </w:p>
        </w:tc>
        <w:tc>
          <w:tcPr>
            <w:tcW w:w="7832" w:type="dxa"/>
            <w:tcBorders>
              <w:top w:val="single" w:sz="8" w:space="0" w:color="1A171C"/>
              <w:left w:val="single" w:sz="8" w:space="0" w:color="1A171C"/>
              <w:bottom w:val="single" w:sz="8" w:space="0" w:color="1A171C"/>
              <w:right w:val="nil"/>
            </w:tcBorders>
            <w:vAlign w:val="bottom"/>
          </w:tcPr>
          <w:p w14:paraId="7FE1D1BC" w14:textId="6A2B6D2B" w:rsidR="00393915" w:rsidRDefault="00F24D68">
            <w:pPr>
              <w:pStyle w:val="P68B1DB1-TableParagraph73"/>
              <w:spacing w:before="108"/>
              <w:ind w:left="85"/>
              <w:jc w:val="both"/>
              <w:rPr>
                <w:bCs/>
              </w:rPr>
            </w:pPr>
            <w:bookmarkStart w:id="253" w:name="_Hlk189839338"/>
            <w:r>
              <w:t xml:space="preserve">Naziv druge ugovorne strane </w:t>
            </w:r>
          </w:p>
          <w:bookmarkEnd w:id="253"/>
          <w:p w14:paraId="7FE1D1BD" w14:textId="0E71EEA1" w:rsidR="00393915" w:rsidRDefault="00F24D68">
            <w:pPr>
              <w:pStyle w:val="P68B1DB1-TableParagraph40"/>
              <w:spacing w:before="108"/>
              <w:ind w:left="85"/>
              <w:jc w:val="both"/>
            </w:pPr>
            <w:r>
              <w:t>Naziv subjekta druge ugovorne strane.</w:t>
            </w:r>
          </w:p>
        </w:tc>
      </w:tr>
      <w:tr w:rsidR="00393915" w14:paraId="7FE1D1C2" w14:textId="77777777">
        <w:tc>
          <w:tcPr>
            <w:tcW w:w="1183" w:type="dxa"/>
            <w:tcBorders>
              <w:top w:val="single" w:sz="8" w:space="0" w:color="1A171C"/>
              <w:left w:val="nil"/>
              <w:bottom w:val="single" w:sz="8" w:space="0" w:color="1A171C"/>
              <w:right w:val="single" w:sz="8" w:space="0" w:color="1A171C"/>
            </w:tcBorders>
            <w:vAlign w:val="center"/>
          </w:tcPr>
          <w:p w14:paraId="7FE1D1BF" w14:textId="77777777" w:rsidR="00393915" w:rsidRDefault="00F24D68">
            <w:pPr>
              <w:pStyle w:val="P68B1DB1-Normal31"/>
            </w:pPr>
            <w:r>
              <w:t>0060</w:t>
            </w:r>
          </w:p>
        </w:tc>
        <w:tc>
          <w:tcPr>
            <w:tcW w:w="7832" w:type="dxa"/>
            <w:tcBorders>
              <w:top w:val="single" w:sz="8" w:space="0" w:color="1A171C"/>
              <w:left w:val="single" w:sz="8" w:space="0" w:color="1A171C"/>
              <w:bottom w:val="single" w:sz="8" w:space="0" w:color="1A171C"/>
              <w:right w:val="nil"/>
            </w:tcBorders>
            <w:vAlign w:val="bottom"/>
          </w:tcPr>
          <w:p w14:paraId="7FE1D1C0" w14:textId="77777777" w:rsidR="00393915" w:rsidRDefault="00F24D68">
            <w:pPr>
              <w:pStyle w:val="P68B1DB1-TableParagraph40"/>
              <w:spacing w:before="108"/>
              <w:ind w:left="85"/>
              <w:jc w:val="both"/>
              <w:rPr>
                <w:b/>
                <w:bCs/>
              </w:rPr>
            </w:pPr>
            <w:r>
              <w:t xml:space="preserve"> </w:t>
            </w:r>
            <w:r>
              <w:rPr>
                <w:b/>
              </w:rPr>
              <w:t>Druga ugovorna strana (LEI/MFI/lokalna identifikacijska oznaka)</w:t>
            </w:r>
          </w:p>
          <w:p w14:paraId="7FE1D1C1" w14:textId="63B8E86A" w:rsidR="00393915" w:rsidRDefault="00F24D68">
            <w:pPr>
              <w:pStyle w:val="P68B1DB1-TableParagraph40"/>
              <w:spacing w:before="108"/>
              <w:ind w:left="85"/>
              <w:jc w:val="both"/>
            </w:pPr>
            <w:r>
              <w:t xml:space="preserve">Navesti </w:t>
            </w:r>
            <w:r w:rsidR="00717FC9">
              <w:t xml:space="preserve">LEI </w:t>
            </w:r>
            <w:r>
              <w:t xml:space="preserve">oznaku vjerovnika. U nedostatku LEI-ja, u slučaju izvješća banaka, </w:t>
            </w:r>
            <w:r w:rsidR="00001ED1">
              <w:t xml:space="preserve">navesti </w:t>
            </w:r>
            <w:r>
              <w:t>identifikacijsk</w:t>
            </w:r>
            <w:r w:rsidR="00001ED1">
              <w:t>u</w:t>
            </w:r>
            <w:r>
              <w:t xml:space="preserve"> oznak</w:t>
            </w:r>
            <w:r w:rsidR="00001ED1">
              <w:t>u</w:t>
            </w:r>
            <w:r>
              <w:t xml:space="preserve"> </w:t>
            </w:r>
            <w:r>
              <w:t xml:space="preserve">monetarnih financijskih institucija ESB-a (MFI ID) </w:t>
            </w:r>
            <w:r>
              <w:t>korišten</w:t>
            </w:r>
            <w:r w:rsidR="00001ED1">
              <w:t>u</w:t>
            </w:r>
            <w:r>
              <w:t xml:space="preserve"> u RIAD-u. Ako nijedna od tih identifikacijskih oznaka ne postoji, </w:t>
            </w:r>
            <w:r>
              <w:t>prijavit</w:t>
            </w:r>
            <w:r w:rsidR="00001ED1">
              <w:t>i</w:t>
            </w:r>
            <w:r>
              <w:t xml:space="preserve"> internu identifikacijsku oznaku.</w:t>
            </w:r>
          </w:p>
        </w:tc>
      </w:tr>
      <w:tr w:rsidR="00393915" w14:paraId="7FE1D1C6" w14:textId="77777777">
        <w:tc>
          <w:tcPr>
            <w:tcW w:w="1183" w:type="dxa"/>
            <w:tcBorders>
              <w:top w:val="single" w:sz="8" w:space="0" w:color="1A171C"/>
              <w:left w:val="nil"/>
              <w:bottom w:val="single" w:sz="8" w:space="0" w:color="1A171C"/>
              <w:right w:val="single" w:sz="8" w:space="0" w:color="1A171C"/>
            </w:tcBorders>
            <w:vAlign w:val="center"/>
          </w:tcPr>
          <w:p w14:paraId="7FE1D1C3" w14:textId="77777777" w:rsidR="00393915" w:rsidRDefault="00F24D68">
            <w:pPr>
              <w:pStyle w:val="P68B1DB1-Normal31"/>
            </w:pPr>
            <w:r>
              <w:t>0065</w:t>
            </w:r>
          </w:p>
        </w:tc>
        <w:tc>
          <w:tcPr>
            <w:tcW w:w="7832" w:type="dxa"/>
            <w:tcBorders>
              <w:top w:val="single" w:sz="8" w:space="0" w:color="1A171C"/>
              <w:left w:val="single" w:sz="8" w:space="0" w:color="1A171C"/>
              <w:bottom w:val="single" w:sz="8" w:space="0" w:color="1A171C"/>
              <w:right w:val="nil"/>
            </w:tcBorders>
            <w:vAlign w:val="bottom"/>
          </w:tcPr>
          <w:p w14:paraId="7FE1D1C4" w14:textId="77777777" w:rsidR="00393915" w:rsidRDefault="00F24D68">
            <w:pPr>
              <w:pStyle w:val="P68B1DB1-TableParagraph73"/>
              <w:spacing w:before="108"/>
              <w:ind w:left="85"/>
              <w:jc w:val="both"/>
              <w:rPr>
                <w:bCs/>
              </w:rPr>
            </w:pPr>
            <w:r>
              <w:t xml:space="preserve">Vrsta identifikatora </w:t>
            </w:r>
          </w:p>
          <w:p w14:paraId="7FE1D1C5" w14:textId="6A1ED325" w:rsidR="00393915" w:rsidRDefault="00F24D68">
            <w:pPr>
              <w:pStyle w:val="P68B1DB1-TableParagraph40"/>
              <w:spacing w:before="108"/>
              <w:ind w:left="85"/>
              <w:jc w:val="both"/>
            </w:pPr>
            <w:r>
              <w:t>Odabrati među sljedećim opcijama: „LEI</w:t>
            </w:r>
            <w:r w:rsidR="007A1ADE">
              <w:t xml:space="preserve"> o</w:t>
            </w:r>
            <w:r>
              <w:t>znaka ”, „</w:t>
            </w:r>
            <w:r w:rsidR="007A1ADE">
              <w:t xml:space="preserve">MFI </w:t>
            </w:r>
            <w:r>
              <w:t>oznaka ” ili „Vrsta identifikacijske oznake, osim LEI ili MFI</w:t>
            </w:r>
            <w:r w:rsidR="00C35F2A">
              <w:t xml:space="preserve"> oznake</w:t>
            </w:r>
            <w:r>
              <w:t>”.</w:t>
            </w:r>
          </w:p>
        </w:tc>
      </w:tr>
      <w:tr w:rsidR="00393915" w14:paraId="7FE1D1CA" w14:textId="77777777">
        <w:tc>
          <w:tcPr>
            <w:tcW w:w="1183" w:type="dxa"/>
            <w:tcBorders>
              <w:top w:val="single" w:sz="8" w:space="0" w:color="1A171C"/>
              <w:left w:val="nil"/>
              <w:bottom w:val="single" w:sz="8" w:space="0" w:color="1A171C"/>
              <w:right w:val="single" w:sz="8" w:space="0" w:color="1A171C"/>
            </w:tcBorders>
            <w:vAlign w:val="center"/>
          </w:tcPr>
          <w:p w14:paraId="7FE1D1C7" w14:textId="77777777" w:rsidR="00393915" w:rsidRDefault="00F24D68">
            <w:pPr>
              <w:pStyle w:val="P68B1DB1-Normal31"/>
            </w:pPr>
            <w:r>
              <w:t>0070</w:t>
            </w:r>
          </w:p>
        </w:tc>
        <w:tc>
          <w:tcPr>
            <w:tcW w:w="7832" w:type="dxa"/>
            <w:tcBorders>
              <w:top w:val="single" w:sz="8" w:space="0" w:color="1A171C"/>
              <w:left w:val="single" w:sz="8" w:space="0" w:color="1A171C"/>
              <w:bottom w:val="single" w:sz="8" w:space="0" w:color="1A171C"/>
              <w:right w:val="nil"/>
            </w:tcBorders>
            <w:vAlign w:val="bottom"/>
          </w:tcPr>
          <w:p w14:paraId="7FE1D1C8" w14:textId="77777777" w:rsidR="00393915" w:rsidRDefault="00F24D68">
            <w:pPr>
              <w:pStyle w:val="P68B1DB1-TableParagraph40"/>
              <w:spacing w:before="108"/>
              <w:ind w:left="85"/>
              <w:jc w:val="both"/>
              <w:rPr>
                <w:b/>
                <w:bCs/>
              </w:rPr>
            </w:pPr>
            <w:r>
              <w:t xml:space="preserve"> </w:t>
            </w:r>
            <w:r>
              <w:rPr>
                <w:b/>
              </w:rPr>
              <w:t>Zemlja ugovorne strane</w:t>
            </w:r>
          </w:p>
          <w:p w14:paraId="7FE1D1C9" w14:textId="77777777" w:rsidR="00393915" w:rsidRDefault="00F24D68">
            <w:pPr>
              <w:pStyle w:val="P68B1DB1-TableParagraph40"/>
              <w:spacing w:before="108"/>
              <w:ind w:left="85"/>
              <w:jc w:val="both"/>
            </w:pPr>
            <w:r>
              <w:t>Ime države u kojoj je druga ugovorna strana osnovana.</w:t>
            </w:r>
          </w:p>
        </w:tc>
      </w:tr>
      <w:tr w:rsidR="00393915" w14:paraId="7FE1D1CE" w14:textId="77777777">
        <w:tc>
          <w:tcPr>
            <w:tcW w:w="1183" w:type="dxa"/>
            <w:tcBorders>
              <w:top w:val="single" w:sz="8" w:space="0" w:color="1A171C"/>
              <w:left w:val="nil"/>
              <w:bottom w:val="single" w:sz="8" w:space="0" w:color="1A171C"/>
              <w:right w:val="single" w:sz="8" w:space="0" w:color="1A171C"/>
            </w:tcBorders>
            <w:vAlign w:val="center"/>
          </w:tcPr>
          <w:p w14:paraId="7FE1D1CB" w14:textId="77777777" w:rsidR="00393915" w:rsidRDefault="00F24D68">
            <w:pPr>
              <w:pStyle w:val="P68B1DB1-Normal31"/>
            </w:pPr>
            <w:r>
              <w:t>0080</w:t>
            </w:r>
          </w:p>
        </w:tc>
        <w:tc>
          <w:tcPr>
            <w:tcW w:w="7832" w:type="dxa"/>
            <w:tcBorders>
              <w:top w:val="single" w:sz="8" w:space="0" w:color="1A171C"/>
              <w:left w:val="single" w:sz="8" w:space="0" w:color="1A171C"/>
              <w:bottom w:val="single" w:sz="8" w:space="0" w:color="1A171C"/>
              <w:right w:val="nil"/>
            </w:tcBorders>
            <w:vAlign w:val="bottom"/>
          </w:tcPr>
          <w:p w14:paraId="7FE1D1CC" w14:textId="349AC7DF" w:rsidR="00393915" w:rsidRDefault="00F24D68">
            <w:pPr>
              <w:pStyle w:val="P68B1DB1-TableParagraph40"/>
              <w:spacing w:before="108"/>
              <w:ind w:left="85"/>
              <w:jc w:val="both"/>
              <w:rPr>
                <w:b/>
                <w:bCs/>
              </w:rPr>
            </w:pPr>
            <w:r>
              <w:t xml:space="preserve"> </w:t>
            </w:r>
            <w:r>
              <w:rPr>
                <w:b/>
              </w:rPr>
              <w:t xml:space="preserve">Mjerodavno pravo </w:t>
            </w:r>
            <w:r w:rsidR="00F25041">
              <w:rPr>
                <w:b/>
              </w:rPr>
              <w:t>glavnog</w:t>
            </w:r>
            <w:r>
              <w:rPr>
                <w:b/>
              </w:rPr>
              <w:t xml:space="preserve"> </w:t>
            </w:r>
            <w:r w:rsidR="00F25041">
              <w:rPr>
                <w:b/>
              </w:rPr>
              <w:t>ugovora</w:t>
            </w:r>
            <w:r w:rsidR="00A575BC">
              <w:rPr>
                <w:b/>
              </w:rPr>
              <w:t>/pojedinačnog ugovora</w:t>
            </w:r>
          </w:p>
          <w:p w14:paraId="7FE1D1CD" w14:textId="63C7B867" w:rsidR="00393915" w:rsidRDefault="00F24D68">
            <w:pPr>
              <w:pStyle w:val="P68B1DB1-TableParagraph40"/>
              <w:spacing w:before="108"/>
              <w:ind w:left="85"/>
              <w:jc w:val="both"/>
            </w:pPr>
            <w:r>
              <w:t xml:space="preserve">Ime države čije je pravo mjerodavno za </w:t>
            </w:r>
            <w:r w:rsidR="00B751F3">
              <w:t>glavni ugovor/pojedinačni ugovor</w:t>
            </w:r>
            <w:r>
              <w:t>.</w:t>
            </w:r>
            <w:r>
              <w:t xml:space="preserve"> Ako se na ugovor primjenjuje pravo više od jedne zemlje, navodi se zemlja čije je pravo od najveće važnosti za priznavanje ovlasti otpisa i konverzije.  </w:t>
            </w:r>
          </w:p>
        </w:tc>
      </w:tr>
      <w:tr w:rsidR="00393915" w14:paraId="7FE1D1D2" w14:textId="77777777">
        <w:tc>
          <w:tcPr>
            <w:tcW w:w="1183" w:type="dxa"/>
            <w:tcBorders>
              <w:top w:val="single" w:sz="8" w:space="0" w:color="1A171C"/>
              <w:left w:val="nil"/>
              <w:bottom w:val="single" w:sz="8" w:space="0" w:color="1A171C"/>
              <w:right w:val="single" w:sz="8" w:space="0" w:color="1A171C"/>
            </w:tcBorders>
            <w:vAlign w:val="center"/>
          </w:tcPr>
          <w:p w14:paraId="7FE1D1CF" w14:textId="77777777" w:rsidR="00393915" w:rsidRDefault="00F24D68">
            <w:pPr>
              <w:pStyle w:val="P68B1DB1-Normal31"/>
            </w:pPr>
            <w:r>
              <w:t>0090</w:t>
            </w:r>
          </w:p>
        </w:tc>
        <w:tc>
          <w:tcPr>
            <w:tcW w:w="7832" w:type="dxa"/>
            <w:tcBorders>
              <w:top w:val="single" w:sz="8" w:space="0" w:color="1A171C"/>
              <w:left w:val="single" w:sz="8" w:space="0" w:color="1A171C"/>
              <w:bottom w:val="single" w:sz="8" w:space="0" w:color="1A171C"/>
              <w:right w:val="nil"/>
            </w:tcBorders>
            <w:vAlign w:val="bottom"/>
          </w:tcPr>
          <w:p w14:paraId="7FE1D1D0" w14:textId="7FFA2440" w:rsidR="00393915" w:rsidRDefault="00F24D68">
            <w:pPr>
              <w:pStyle w:val="P68B1DB1-TableParagraph40"/>
              <w:spacing w:before="108"/>
              <w:ind w:left="85"/>
              <w:jc w:val="both"/>
              <w:rPr>
                <w:b/>
                <w:bCs/>
              </w:rPr>
            </w:pPr>
            <w:r>
              <w:t xml:space="preserve"> </w:t>
            </w:r>
            <w:r>
              <w:rPr>
                <w:b/>
              </w:rPr>
              <w:t xml:space="preserve">Broj </w:t>
            </w:r>
            <w:r w:rsidR="00E75948">
              <w:rPr>
                <w:b/>
              </w:rPr>
              <w:t xml:space="preserve">obuhvaćenih </w:t>
            </w:r>
            <w:r>
              <w:rPr>
                <w:b/>
              </w:rPr>
              <w:t xml:space="preserve">transakcija </w:t>
            </w:r>
          </w:p>
          <w:p w14:paraId="7FE1D1D1" w14:textId="3A4DAD7A" w:rsidR="00393915" w:rsidRDefault="00F24D68">
            <w:pPr>
              <w:pStyle w:val="P68B1DB1-TableParagraph40"/>
              <w:spacing w:before="108"/>
              <w:ind w:left="85"/>
              <w:jc w:val="both"/>
            </w:pPr>
            <w:r>
              <w:t xml:space="preserve">Navesti broj pojedinačnih ugovora koji su uključeni u skup za netiranje </w:t>
            </w:r>
            <w:r w:rsidR="00E75948">
              <w:t>glavnog ugovora</w:t>
            </w:r>
            <w:r>
              <w:t>.</w:t>
            </w:r>
          </w:p>
        </w:tc>
      </w:tr>
      <w:tr w:rsidR="00393915" w14:paraId="7FE1D1D6" w14:textId="77777777">
        <w:tc>
          <w:tcPr>
            <w:tcW w:w="1183" w:type="dxa"/>
            <w:tcBorders>
              <w:top w:val="single" w:sz="8" w:space="0" w:color="1A171C"/>
              <w:left w:val="nil"/>
              <w:bottom w:val="single" w:sz="8" w:space="0" w:color="1A171C"/>
              <w:right w:val="single" w:sz="8" w:space="0" w:color="1A171C"/>
            </w:tcBorders>
            <w:vAlign w:val="center"/>
          </w:tcPr>
          <w:p w14:paraId="7FE1D1D3" w14:textId="77777777" w:rsidR="00393915" w:rsidRDefault="00F24D68">
            <w:pPr>
              <w:pStyle w:val="P68B1DB1-Normal31"/>
            </w:pPr>
            <w:r>
              <w:t>0100</w:t>
            </w:r>
          </w:p>
        </w:tc>
        <w:tc>
          <w:tcPr>
            <w:tcW w:w="7832" w:type="dxa"/>
            <w:tcBorders>
              <w:top w:val="single" w:sz="8" w:space="0" w:color="1A171C"/>
              <w:left w:val="single" w:sz="8" w:space="0" w:color="1A171C"/>
              <w:bottom w:val="single" w:sz="8" w:space="0" w:color="1A171C"/>
              <w:right w:val="nil"/>
            </w:tcBorders>
            <w:vAlign w:val="bottom"/>
          </w:tcPr>
          <w:p w14:paraId="7FE1D1D4" w14:textId="77777777" w:rsidR="00393915" w:rsidRDefault="00F24D68">
            <w:pPr>
              <w:pStyle w:val="P68B1DB1-TableParagraph40"/>
              <w:spacing w:before="108"/>
              <w:ind w:left="85"/>
              <w:jc w:val="both"/>
              <w:rPr>
                <w:b/>
                <w:bCs/>
              </w:rPr>
            </w:pPr>
            <w:r>
              <w:t xml:space="preserve"> </w:t>
            </w:r>
            <w:r>
              <w:rPr>
                <w:b/>
              </w:rPr>
              <w:t>Neto iznos primljenog financiranja</w:t>
            </w:r>
          </w:p>
          <w:p w14:paraId="7FE1D1D5" w14:textId="0E0F9C9C" w:rsidR="00393915" w:rsidRDefault="00F24D68">
            <w:pPr>
              <w:pStyle w:val="P68B1DB1-TableParagraph40"/>
              <w:spacing w:before="108"/>
              <w:ind w:left="85"/>
              <w:jc w:val="both"/>
            </w:pPr>
            <w:r>
              <w:t xml:space="preserve">Navesti neto iznos financiranja primljen na temelju sporazuma </w:t>
            </w:r>
            <w:r w:rsidR="008E2B12">
              <w:t xml:space="preserve">s osiguranim </w:t>
            </w:r>
            <w:r>
              <w:t xml:space="preserve"> financiranj</w:t>
            </w:r>
            <w:r w:rsidR="008E2B12">
              <w:t>em</w:t>
            </w:r>
            <w:r>
              <w:t xml:space="preserve">, uzimajući u obzir sve transakcije koje su predmet sporazuma o netiranju. Potrebno je napomenuti da taj iznos ne uključuje obračunate kamate, </w:t>
            </w:r>
            <w:r w:rsidR="000D5275">
              <w:t xml:space="preserve">ali ih </w:t>
            </w:r>
            <w:r w:rsidR="00DA23B6">
              <w:t xml:space="preserve">uključuje </w:t>
            </w:r>
            <w:r>
              <w:t>povezani iznos u retku 0120 predloška Z02.00.</w:t>
            </w:r>
          </w:p>
        </w:tc>
      </w:tr>
      <w:tr w:rsidR="00393915" w14:paraId="7FE1D1DA" w14:textId="77777777">
        <w:tc>
          <w:tcPr>
            <w:tcW w:w="1183" w:type="dxa"/>
            <w:tcBorders>
              <w:top w:val="single" w:sz="8" w:space="0" w:color="1A171C"/>
              <w:left w:val="nil"/>
              <w:bottom w:val="single" w:sz="8" w:space="0" w:color="1A171C"/>
              <w:right w:val="single" w:sz="8" w:space="0" w:color="1A171C"/>
            </w:tcBorders>
            <w:vAlign w:val="center"/>
          </w:tcPr>
          <w:p w14:paraId="7FE1D1D7" w14:textId="77777777" w:rsidR="00393915" w:rsidRDefault="00F24D68">
            <w:pPr>
              <w:pStyle w:val="P68B1DB1-Normal31"/>
            </w:pPr>
            <w:r>
              <w:t>0110</w:t>
            </w:r>
          </w:p>
        </w:tc>
        <w:tc>
          <w:tcPr>
            <w:tcW w:w="7832" w:type="dxa"/>
            <w:tcBorders>
              <w:top w:val="single" w:sz="8" w:space="0" w:color="1A171C"/>
              <w:left w:val="single" w:sz="8" w:space="0" w:color="1A171C"/>
              <w:bottom w:val="single" w:sz="8" w:space="0" w:color="1A171C"/>
              <w:right w:val="nil"/>
            </w:tcBorders>
            <w:vAlign w:val="bottom"/>
          </w:tcPr>
          <w:p w14:paraId="7FE1D1D8" w14:textId="77777777" w:rsidR="00393915" w:rsidRDefault="00F24D68">
            <w:pPr>
              <w:pStyle w:val="P68B1DB1-TableParagraph73"/>
              <w:spacing w:before="108"/>
              <w:ind w:left="85"/>
              <w:jc w:val="both"/>
              <w:rPr>
                <w:bCs/>
              </w:rPr>
            </w:pPr>
            <w:r>
              <w:t xml:space="preserve"> Neto iznos izdanog kolaterala  </w:t>
            </w:r>
          </w:p>
          <w:p w14:paraId="7FE1D1D9" w14:textId="70CD0EC3" w:rsidR="00393915" w:rsidRDefault="00F24D68">
            <w:pPr>
              <w:pStyle w:val="P68B1DB1-TableParagraph40"/>
              <w:spacing w:before="108"/>
              <w:ind w:left="85"/>
              <w:jc w:val="both"/>
            </w:pPr>
            <w:r>
              <w:t xml:space="preserve">Po skupu za netiranje navesti neto vrijednost kolaterala danog za pokriće transakcija </w:t>
            </w:r>
            <w:r w:rsidR="0058408A">
              <w:t>s osiguranim</w:t>
            </w:r>
            <w:r>
              <w:t xml:space="preserve"> financiranj</w:t>
            </w:r>
            <w:r w:rsidR="0058408A">
              <w:t>em</w:t>
            </w:r>
            <w:r>
              <w:t>, uzimajući u obzir sve pozicije kolaterala koje se razmatraju u sporazumu o netiranju. To uključuje svaki iznos kolaterala ili marže koji se razmjenjuje.</w:t>
            </w:r>
          </w:p>
        </w:tc>
      </w:tr>
    </w:tbl>
    <w:p w14:paraId="7FE1D1DB" w14:textId="77777777" w:rsidR="00393915" w:rsidRDefault="00393915">
      <w:pPr>
        <w:pStyle w:val="Instructionsberschrift2"/>
        <w:ind w:left="357"/>
        <w:rPr>
          <w:rFonts w:ascii="Times New Roman" w:eastAsia="Calibri" w:hAnsi="Times New Roman" w:cs="Times New Roman"/>
          <w:szCs w:val="20"/>
        </w:rPr>
      </w:pPr>
      <w:bookmarkStart w:id="254" w:name="_Toc81454218"/>
    </w:p>
    <w:p w14:paraId="7FE1D1DC" w14:textId="4F83132F" w:rsidR="00393915" w:rsidRDefault="00F24D68">
      <w:pPr>
        <w:pStyle w:val="Instructionsberschrift2"/>
        <w:numPr>
          <w:ilvl w:val="1"/>
          <w:numId w:val="49"/>
        </w:numPr>
        <w:spacing w:before="0"/>
        <w:ind w:left="357" w:hanging="357"/>
        <w:rPr>
          <w:rFonts w:ascii="Times New Roman" w:hAnsi="Times New Roman" w:cs="Times New Roman"/>
        </w:rPr>
      </w:pPr>
      <w:bookmarkStart w:id="255" w:name="_Toc208244835"/>
      <w:r>
        <w:rPr>
          <w:rFonts w:ascii="Times New Roman" w:eastAsiaTheme="minorEastAsia" w:hAnsi="Times New Roman" w:cs="Times New Roman"/>
        </w:rPr>
        <w:t xml:space="preserve">Z 17.00 – </w:t>
      </w:r>
      <w:r>
        <w:rPr>
          <w:rFonts w:ascii="Times New Roman" w:hAnsi="Times New Roman" w:cs="Times New Roman"/>
          <w:color w:val="000000" w:themeColor="text1"/>
        </w:rPr>
        <w:t xml:space="preserve">Ostale nefinancijske obveze (nisu uključene u ostale kartice, isključujući unutargrupne) </w:t>
      </w:r>
      <w:r>
        <w:rPr>
          <w:rFonts w:ascii="Times New Roman" w:eastAsia="Calibri" w:hAnsi="Times New Roman" w:cs="Times New Roman"/>
          <w:szCs w:val="20"/>
        </w:rPr>
        <w:t>(LIAB-G-7)</w:t>
      </w:r>
      <w:bookmarkEnd w:id="255"/>
    </w:p>
    <w:bookmarkEnd w:id="254"/>
    <w:p w14:paraId="7FE1D1DD" w14:textId="28BEEC11" w:rsidR="00393915" w:rsidRDefault="00393915">
      <w:pPr>
        <w:pStyle w:val="Instructionsberschrift2"/>
        <w:ind w:left="357"/>
        <w:rPr>
          <w:rFonts w:ascii="Times New Roman" w:eastAsiaTheme="minorEastAsia" w:hAnsi="Times New Roman" w:cs="Times New Roman"/>
          <w:u w:val="none"/>
        </w:rPr>
      </w:pPr>
    </w:p>
    <w:p w14:paraId="7FE1D1DE" w14:textId="77777777" w:rsidR="00393915" w:rsidRDefault="00F24D68">
      <w:pPr>
        <w:pStyle w:val="P68B1DB1-Numberedtitlelevel388"/>
      </w:pPr>
      <w:r>
        <w:t>Opće napomene</w:t>
      </w:r>
    </w:p>
    <w:p w14:paraId="7FE1D1DF" w14:textId="6152DD19" w:rsidR="00393915" w:rsidRDefault="00F24D68">
      <w:pPr>
        <w:pStyle w:val="P68B1DB1-InstructionsText286"/>
        <w:numPr>
          <w:ilvl w:val="2"/>
          <w:numId w:val="209"/>
        </w:numPr>
        <w:spacing w:before="0"/>
        <w:ind w:left="1276"/>
        <w:rPr>
          <w:rFonts w:eastAsiaTheme="majorEastAsia"/>
        </w:rPr>
      </w:pPr>
      <w:r>
        <w:lastRenderedPageBreak/>
        <w:t>Ova tablica obuhvaća nefinancijske obveze kao što su rezervacije, porezne obveze i odgođeni prihodi.</w:t>
      </w:r>
    </w:p>
    <w:p w14:paraId="7FE1D1E0" w14:textId="6480C40E" w:rsidR="00393915" w:rsidRDefault="00F24D68">
      <w:pPr>
        <w:pStyle w:val="P68B1DB1-InstructionsText286"/>
        <w:numPr>
          <w:ilvl w:val="2"/>
          <w:numId w:val="209"/>
        </w:numPr>
        <w:spacing w:before="0"/>
        <w:ind w:left="1276"/>
      </w:pPr>
      <w:r>
        <w:t>Grupirati te obveze prema vrsti nefinancijske obveze i insolvencijskom redoslijedu.</w:t>
      </w:r>
    </w:p>
    <w:p w14:paraId="7FE1D1E2" w14:textId="77777777" w:rsidR="00393915" w:rsidRDefault="00F24D68">
      <w:pPr>
        <w:pStyle w:val="P68B1DB1-Numberedtitlelevel388"/>
      </w:pPr>
      <w:r>
        <w:t>Upute za specifične pozicije</w:t>
      </w:r>
    </w:p>
    <w:tbl>
      <w:tblPr>
        <w:tblW w:w="9015" w:type="dxa"/>
        <w:tblInd w:w="135" w:type="dxa"/>
        <w:tblLayout w:type="fixed"/>
        <w:tblLook w:val="04A0" w:firstRow="1" w:lastRow="0" w:firstColumn="1" w:lastColumn="0" w:noHBand="0" w:noVBand="1"/>
      </w:tblPr>
      <w:tblGrid>
        <w:gridCol w:w="1183"/>
        <w:gridCol w:w="7832"/>
      </w:tblGrid>
      <w:tr w:rsidR="00393915" w14:paraId="7FE1D1E5" w14:textId="77777777">
        <w:trPr>
          <w:tblHeader/>
        </w:trPr>
        <w:tc>
          <w:tcPr>
            <w:tcW w:w="1183" w:type="dxa"/>
            <w:tcBorders>
              <w:top w:val="single" w:sz="8" w:space="0" w:color="1A171C"/>
              <w:left w:val="nil"/>
              <w:bottom w:val="single" w:sz="8" w:space="0" w:color="1A171C"/>
              <w:right w:val="single" w:sz="8" w:space="0" w:color="1A171C"/>
            </w:tcBorders>
            <w:shd w:val="clear" w:color="auto" w:fill="D9D9D9" w:themeFill="background1" w:themeFillShade="D9"/>
          </w:tcPr>
          <w:p w14:paraId="7FE1D1E3" w14:textId="77777777" w:rsidR="00393915" w:rsidRDefault="00F24D68">
            <w:pPr>
              <w:pStyle w:val="P68B1DB1-Normal31"/>
            </w:pPr>
            <w:r>
              <w:t xml:space="preserve">Stupci </w:t>
            </w:r>
          </w:p>
        </w:tc>
        <w:tc>
          <w:tcPr>
            <w:tcW w:w="7832" w:type="dxa"/>
            <w:tcBorders>
              <w:top w:val="single" w:sz="8" w:space="0" w:color="1A171C"/>
              <w:left w:val="single" w:sz="8" w:space="0" w:color="1A171C"/>
              <w:bottom w:val="single" w:sz="8" w:space="0" w:color="1A171C"/>
              <w:right w:val="nil"/>
            </w:tcBorders>
            <w:shd w:val="clear" w:color="auto" w:fill="D9D9D9" w:themeFill="background1" w:themeFillShade="D9"/>
          </w:tcPr>
          <w:p w14:paraId="7FE1D1E4" w14:textId="77777777" w:rsidR="00393915" w:rsidRDefault="00F24D68">
            <w:pPr>
              <w:pStyle w:val="P68B1DB1-Normal31"/>
            </w:pPr>
            <w:r>
              <w:t xml:space="preserve">Upute </w:t>
            </w:r>
          </w:p>
        </w:tc>
      </w:tr>
      <w:tr w:rsidR="00393915" w14:paraId="7FE1D1E9" w14:textId="77777777">
        <w:tc>
          <w:tcPr>
            <w:tcW w:w="1183" w:type="dxa"/>
            <w:tcBorders>
              <w:top w:val="single" w:sz="8" w:space="0" w:color="1A171C"/>
              <w:left w:val="nil"/>
              <w:bottom w:val="single" w:sz="8" w:space="0" w:color="1A171C"/>
              <w:right w:val="single" w:sz="8" w:space="0" w:color="1A171C"/>
            </w:tcBorders>
            <w:vAlign w:val="center"/>
          </w:tcPr>
          <w:p w14:paraId="7FE1D1E6" w14:textId="77777777" w:rsidR="00393915" w:rsidRDefault="00F24D68">
            <w:pPr>
              <w:pStyle w:val="P68B1DB1-Normal31"/>
            </w:pPr>
            <w:r>
              <w:t>0010</w:t>
            </w:r>
          </w:p>
        </w:tc>
        <w:tc>
          <w:tcPr>
            <w:tcW w:w="7832" w:type="dxa"/>
            <w:tcBorders>
              <w:top w:val="single" w:sz="8" w:space="0" w:color="1A171C"/>
              <w:left w:val="single" w:sz="8" w:space="0" w:color="1A171C"/>
              <w:bottom w:val="single" w:sz="8" w:space="0" w:color="1A171C"/>
              <w:right w:val="nil"/>
            </w:tcBorders>
            <w:vAlign w:val="bottom"/>
          </w:tcPr>
          <w:p w14:paraId="7FE1D1E7" w14:textId="05BC48C1" w:rsidR="00393915" w:rsidRDefault="00F24D68">
            <w:pPr>
              <w:pStyle w:val="P68B1DB1-TableParagraph73"/>
              <w:spacing w:before="108"/>
              <w:ind w:left="85"/>
              <w:jc w:val="both"/>
              <w:rPr>
                <w:bCs/>
              </w:rPr>
            </w:pPr>
            <w:r>
              <w:t xml:space="preserve"> B</w:t>
            </w:r>
            <w:r w:rsidR="00E64C8B">
              <w:t>r</w:t>
            </w:r>
            <w:r>
              <w:t xml:space="preserve">. </w:t>
            </w:r>
          </w:p>
          <w:p w14:paraId="7FE1D1E8" w14:textId="5AB7F74C" w:rsidR="00393915" w:rsidRDefault="00F24D68">
            <w:pPr>
              <w:pStyle w:val="P68B1DB1-TableParagraph40"/>
              <w:spacing w:before="108"/>
              <w:ind w:left="85"/>
              <w:jc w:val="both"/>
            </w:pPr>
            <w:r>
              <w:t>Jedinstveni broj/primarni ključ za identifikaciju stavki retka.</w:t>
            </w:r>
          </w:p>
        </w:tc>
      </w:tr>
      <w:tr w:rsidR="00393915" w14:paraId="7FE1D1ED" w14:textId="77777777">
        <w:tc>
          <w:tcPr>
            <w:tcW w:w="1183" w:type="dxa"/>
            <w:tcBorders>
              <w:top w:val="single" w:sz="8" w:space="0" w:color="1A171C"/>
              <w:left w:val="nil"/>
              <w:bottom w:val="single" w:sz="8" w:space="0" w:color="1A171C"/>
              <w:right w:val="single" w:sz="8" w:space="0" w:color="1A171C"/>
            </w:tcBorders>
            <w:vAlign w:val="center"/>
          </w:tcPr>
          <w:p w14:paraId="7FE1D1EA" w14:textId="77777777" w:rsidR="00393915" w:rsidRDefault="00F24D68">
            <w:pPr>
              <w:pStyle w:val="P68B1DB1-Normal31"/>
            </w:pPr>
            <w:r>
              <w:t>0020</w:t>
            </w:r>
          </w:p>
        </w:tc>
        <w:tc>
          <w:tcPr>
            <w:tcW w:w="7832" w:type="dxa"/>
            <w:tcBorders>
              <w:top w:val="single" w:sz="8" w:space="0" w:color="1A171C"/>
              <w:left w:val="single" w:sz="8" w:space="0" w:color="1A171C"/>
              <w:bottom w:val="single" w:sz="8" w:space="0" w:color="1A171C"/>
              <w:right w:val="nil"/>
            </w:tcBorders>
            <w:vAlign w:val="bottom"/>
          </w:tcPr>
          <w:p w14:paraId="7FE1D1EB" w14:textId="632D49C6" w:rsidR="00393915" w:rsidRDefault="00F24D68">
            <w:pPr>
              <w:pStyle w:val="P68B1DB1-TableParagraph73"/>
              <w:spacing w:before="108"/>
              <w:ind w:left="85"/>
              <w:jc w:val="both"/>
              <w:rPr>
                <w:bCs/>
              </w:rPr>
            </w:pPr>
            <w:r>
              <w:t xml:space="preserve"> Redak </w:t>
            </w:r>
          </w:p>
          <w:p w14:paraId="7FE1D1EC" w14:textId="31DF728D" w:rsidR="00393915" w:rsidRDefault="00F24D68">
            <w:pPr>
              <w:pStyle w:val="P68B1DB1-TableParagraph40"/>
              <w:spacing w:before="108"/>
              <w:ind w:left="85"/>
              <w:jc w:val="both"/>
            </w:pPr>
            <w:r>
              <w:t>Za svaku obvezu potrebno je provesti usklađivanje s kategorijama obveza strukture obveza u predlošku Z02.00 na razini dospijeća s unaprijed utvrđenog popisa vrijednosti.</w:t>
            </w:r>
          </w:p>
        </w:tc>
      </w:tr>
      <w:tr w:rsidR="00393915" w14:paraId="7FE1D1F1" w14:textId="77777777">
        <w:tc>
          <w:tcPr>
            <w:tcW w:w="1183" w:type="dxa"/>
            <w:tcBorders>
              <w:top w:val="single" w:sz="8" w:space="0" w:color="1A171C"/>
              <w:left w:val="nil"/>
              <w:bottom w:val="single" w:sz="8" w:space="0" w:color="1A171C"/>
              <w:right w:val="single" w:sz="8" w:space="0" w:color="1A171C"/>
            </w:tcBorders>
            <w:vAlign w:val="center"/>
          </w:tcPr>
          <w:p w14:paraId="7FE1D1EE" w14:textId="77777777" w:rsidR="00393915" w:rsidRDefault="00F24D68">
            <w:pPr>
              <w:pStyle w:val="P68B1DB1-Normal31"/>
            </w:pPr>
            <w:r>
              <w:t>0030</w:t>
            </w:r>
          </w:p>
        </w:tc>
        <w:tc>
          <w:tcPr>
            <w:tcW w:w="7832" w:type="dxa"/>
            <w:tcBorders>
              <w:top w:val="single" w:sz="8" w:space="0" w:color="1A171C"/>
              <w:left w:val="single" w:sz="8" w:space="0" w:color="1A171C"/>
              <w:bottom w:val="single" w:sz="8" w:space="0" w:color="1A171C"/>
              <w:right w:val="nil"/>
            </w:tcBorders>
            <w:vAlign w:val="bottom"/>
          </w:tcPr>
          <w:p w14:paraId="7FE1D1EF" w14:textId="77777777" w:rsidR="00393915" w:rsidRDefault="00F24D68">
            <w:pPr>
              <w:pStyle w:val="P68B1DB1-TableParagraph40"/>
              <w:spacing w:before="108"/>
              <w:ind w:left="85"/>
              <w:jc w:val="both"/>
              <w:rPr>
                <w:b/>
                <w:bCs/>
              </w:rPr>
            </w:pPr>
            <w:r>
              <w:t xml:space="preserve"> </w:t>
            </w:r>
            <w:r>
              <w:rPr>
                <w:b/>
              </w:rPr>
              <w:t>Stupac</w:t>
            </w:r>
          </w:p>
          <w:p w14:paraId="7FE1D1F0" w14:textId="2D865C88" w:rsidR="00393915" w:rsidRDefault="00F24D68">
            <w:pPr>
              <w:pStyle w:val="P68B1DB1-TableParagraph40"/>
              <w:spacing w:before="108"/>
              <w:ind w:left="85"/>
              <w:jc w:val="both"/>
            </w:pPr>
            <w:r>
              <w:t>Za svaku obvezu, usklađivanje s klasom druge ugovorne strane u predlošku Z 02.00 prema kojoj se obveza duguje mora se dostaviti s unaprijed utvrđenog popisa vrijednosti.</w:t>
            </w:r>
          </w:p>
        </w:tc>
      </w:tr>
      <w:tr w:rsidR="00393915" w14:paraId="7FE1D1F5" w14:textId="77777777">
        <w:tc>
          <w:tcPr>
            <w:tcW w:w="1183" w:type="dxa"/>
            <w:tcBorders>
              <w:top w:val="single" w:sz="8" w:space="0" w:color="1A171C"/>
              <w:left w:val="nil"/>
              <w:bottom w:val="single" w:sz="8" w:space="0" w:color="1A171C"/>
              <w:right w:val="single" w:sz="8" w:space="0" w:color="1A171C"/>
            </w:tcBorders>
            <w:vAlign w:val="center"/>
          </w:tcPr>
          <w:p w14:paraId="7FE1D1F2" w14:textId="77777777" w:rsidR="00393915" w:rsidRDefault="00F24D68">
            <w:pPr>
              <w:pStyle w:val="P68B1DB1-Normal31"/>
            </w:pPr>
            <w:r>
              <w:t>0040</w:t>
            </w:r>
          </w:p>
        </w:tc>
        <w:tc>
          <w:tcPr>
            <w:tcW w:w="7832" w:type="dxa"/>
            <w:tcBorders>
              <w:top w:val="single" w:sz="8" w:space="0" w:color="1A171C"/>
              <w:left w:val="single" w:sz="8" w:space="0" w:color="1A171C"/>
              <w:bottom w:val="single" w:sz="8" w:space="0" w:color="1A171C"/>
              <w:right w:val="nil"/>
            </w:tcBorders>
            <w:vAlign w:val="bottom"/>
          </w:tcPr>
          <w:p w14:paraId="110D00A0" w14:textId="77777777" w:rsidR="00113647" w:rsidRDefault="00F24D68" w:rsidP="00113647">
            <w:pPr>
              <w:pStyle w:val="P68B1DB1-TableParagraph40"/>
              <w:spacing w:before="108"/>
              <w:ind w:left="85"/>
              <w:jc w:val="both"/>
              <w:rPr>
                <w:b/>
                <w:bCs/>
              </w:rPr>
            </w:pPr>
            <w:r>
              <w:t xml:space="preserve"> </w:t>
            </w:r>
            <w:r w:rsidR="00113647">
              <w:rPr>
                <w:b/>
              </w:rPr>
              <w:t>Red u slučaju insolventnosti</w:t>
            </w:r>
          </w:p>
          <w:p w14:paraId="7FE1D1F4" w14:textId="13E877AD" w:rsidR="00393915" w:rsidRDefault="00113647">
            <w:pPr>
              <w:pStyle w:val="P68B1DB1-TableParagraph40"/>
              <w:spacing w:before="108"/>
              <w:ind w:left="85"/>
              <w:jc w:val="both"/>
            </w:pPr>
            <w:r>
              <w:t>Red u slučaju insolventnosti bit će jedan od redova prvenstva u slučaju insolventnosti koje objavljuje sanacijsko tijelo te jurisdikcije.</w:t>
            </w:r>
          </w:p>
        </w:tc>
      </w:tr>
      <w:tr w:rsidR="00393915" w14:paraId="7FE1D1F9" w14:textId="77777777">
        <w:tc>
          <w:tcPr>
            <w:tcW w:w="1183" w:type="dxa"/>
            <w:tcBorders>
              <w:top w:val="single" w:sz="8" w:space="0" w:color="1A171C"/>
              <w:left w:val="nil"/>
              <w:bottom w:val="single" w:sz="8" w:space="0" w:color="1A171C"/>
              <w:right w:val="single" w:sz="8" w:space="0" w:color="1A171C"/>
            </w:tcBorders>
            <w:vAlign w:val="center"/>
          </w:tcPr>
          <w:p w14:paraId="7FE1D1F6" w14:textId="77777777" w:rsidR="00393915" w:rsidRDefault="00F24D68">
            <w:pPr>
              <w:pStyle w:val="P68B1DB1-Normal31"/>
            </w:pPr>
            <w:r>
              <w:t>0050</w:t>
            </w:r>
          </w:p>
        </w:tc>
        <w:tc>
          <w:tcPr>
            <w:tcW w:w="7832" w:type="dxa"/>
            <w:tcBorders>
              <w:top w:val="single" w:sz="8" w:space="0" w:color="1A171C"/>
              <w:left w:val="single" w:sz="8" w:space="0" w:color="1A171C"/>
              <w:bottom w:val="single" w:sz="8" w:space="0" w:color="1A171C"/>
              <w:right w:val="nil"/>
            </w:tcBorders>
            <w:vAlign w:val="bottom"/>
          </w:tcPr>
          <w:p w14:paraId="7FE1D1F7" w14:textId="77777777" w:rsidR="00393915" w:rsidRDefault="00F24D68">
            <w:pPr>
              <w:pStyle w:val="P68B1DB1-TableParagraph73"/>
              <w:spacing w:before="108"/>
              <w:ind w:left="85"/>
              <w:jc w:val="both"/>
              <w:rPr>
                <w:bCs/>
              </w:rPr>
            </w:pPr>
            <w:r>
              <w:t xml:space="preserve">Identifikacijska oznaka ugovora </w:t>
            </w:r>
          </w:p>
          <w:p w14:paraId="7FE1D1F8" w14:textId="77777777" w:rsidR="00393915" w:rsidRDefault="00F24D68">
            <w:pPr>
              <w:pStyle w:val="P68B1DB1-TableParagraph40"/>
              <w:spacing w:before="108"/>
              <w:ind w:left="85"/>
              <w:jc w:val="both"/>
            </w:pPr>
            <w:r>
              <w:t>Interna identifikacijska oznaka ugovora, istovrijedna ISIN-u za vrijednosne papire.</w:t>
            </w:r>
          </w:p>
        </w:tc>
      </w:tr>
      <w:tr w:rsidR="00393915" w14:paraId="7FE1D1FD" w14:textId="77777777">
        <w:tc>
          <w:tcPr>
            <w:tcW w:w="1183" w:type="dxa"/>
            <w:tcBorders>
              <w:top w:val="single" w:sz="8" w:space="0" w:color="1A171C"/>
              <w:left w:val="nil"/>
              <w:bottom w:val="single" w:sz="8" w:space="0" w:color="1A171C"/>
              <w:right w:val="single" w:sz="8" w:space="0" w:color="1A171C"/>
            </w:tcBorders>
            <w:vAlign w:val="center"/>
          </w:tcPr>
          <w:p w14:paraId="7FE1D1FA" w14:textId="77777777" w:rsidR="00393915" w:rsidRDefault="00F24D68">
            <w:pPr>
              <w:pStyle w:val="P68B1DB1-Normal31"/>
            </w:pPr>
            <w:r>
              <w:t>0060</w:t>
            </w:r>
          </w:p>
        </w:tc>
        <w:tc>
          <w:tcPr>
            <w:tcW w:w="7832" w:type="dxa"/>
            <w:tcBorders>
              <w:top w:val="single" w:sz="8" w:space="0" w:color="1A171C"/>
              <w:left w:val="single" w:sz="8" w:space="0" w:color="1A171C"/>
              <w:bottom w:val="single" w:sz="8" w:space="0" w:color="1A171C"/>
              <w:right w:val="nil"/>
            </w:tcBorders>
            <w:vAlign w:val="bottom"/>
          </w:tcPr>
          <w:p w14:paraId="7FE1D1FB" w14:textId="7741257B" w:rsidR="00393915" w:rsidRDefault="00F24D68">
            <w:pPr>
              <w:pStyle w:val="P68B1DB1-TableParagraph73"/>
              <w:spacing w:before="108"/>
              <w:ind w:left="85"/>
              <w:jc w:val="both"/>
              <w:rPr>
                <w:bCs/>
              </w:rPr>
            </w:pPr>
            <w:r>
              <w:t xml:space="preserve"> Identifikacijska oznaka druge ugovorne strane </w:t>
            </w:r>
          </w:p>
          <w:p w14:paraId="7FE1D1FC" w14:textId="404A196B" w:rsidR="00393915" w:rsidRDefault="00F24D68">
            <w:pPr>
              <w:pStyle w:val="P68B1DB1-TableParagraph40"/>
              <w:spacing w:before="108"/>
              <w:ind w:left="85"/>
              <w:jc w:val="both"/>
            </w:pPr>
            <w:r>
              <w:t xml:space="preserve">Navesti </w:t>
            </w:r>
            <w:r w:rsidR="00113647">
              <w:t xml:space="preserve">LEI </w:t>
            </w:r>
            <w:r>
              <w:t xml:space="preserve">oznaku vjerovnika. </w:t>
            </w:r>
            <w:r w:rsidR="00113647">
              <w:t>U nedostatku LEI-ja, u slučaju izvješća banaka, navesti identifikacijsku oznaku monetarnih financijskih institucija ESB-a (MFI ID) korištenu u RIAD-u. Ako nijedna od tih identifikacijskih oznaka ne postoji, prijaviti internu identifikacijsku oznaku.</w:t>
            </w:r>
          </w:p>
        </w:tc>
      </w:tr>
      <w:tr w:rsidR="00393915" w14:paraId="7FE1D201" w14:textId="77777777">
        <w:tc>
          <w:tcPr>
            <w:tcW w:w="1183" w:type="dxa"/>
            <w:tcBorders>
              <w:top w:val="single" w:sz="8" w:space="0" w:color="1A171C"/>
              <w:left w:val="nil"/>
              <w:bottom w:val="single" w:sz="8" w:space="0" w:color="1A171C"/>
              <w:right w:val="single" w:sz="8" w:space="0" w:color="1A171C"/>
            </w:tcBorders>
            <w:vAlign w:val="center"/>
          </w:tcPr>
          <w:p w14:paraId="7FE1D1FE" w14:textId="77777777" w:rsidR="00393915" w:rsidRDefault="00F24D68">
            <w:pPr>
              <w:pStyle w:val="P68B1DB1-Normal31"/>
            </w:pPr>
            <w:r>
              <w:t>0065</w:t>
            </w:r>
          </w:p>
        </w:tc>
        <w:tc>
          <w:tcPr>
            <w:tcW w:w="7832" w:type="dxa"/>
            <w:tcBorders>
              <w:top w:val="single" w:sz="8" w:space="0" w:color="1A171C"/>
              <w:left w:val="single" w:sz="8" w:space="0" w:color="1A171C"/>
              <w:bottom w:val="single" w:sz="8" w:space="0" w:color="1A171C"/>
              <w:right w:val="nil"/>
            </w:tcBorders>
            <w:vAlign w:val="bottom"/>
          </w:tcPr>
          <w:p w14:paraId="7FE1D1FF" w14:textId="77777777" w:rsidR="00393915" w:rsidRDefault="00F24D68">
            <w:pPr>
              <w:pStyle w:val="P68B1DB1-TableParagraph73"/>
              <w:spacing w:before="108"/>
              <w:ind w:left="85"/>
              <w:jc w:val="both"/>
              <w:rPr>
                <w:bCs/>
              </w:rPr>
            </w:pPr>
            <w:r>
              <w:t xml:space="preserve">Vrsta identifikatora </w:t>
            </w:r>
          </w:p>
          <w:p w14:paraId="7FE1D200" w14:textId="3EF00C8D" w:rsidR="00393915" w:rsidRDefault="00F24D68">
            <w:pPr>
              <w:pStyle w:val="P68B1DB1-TableParagraph40"/>
              <w:spacing w:before="108"/>
              <w:ind w:left="85"/>
              <w:jc w:val="both"/>
            </w:pPr>
            <w:r>
              <w:t>Odabrati među sljedećim opcijama: „LEI</w:t>
            </w:r>
            <w:r w:rsidR="008129B9">
              <w:t xml:space="preserve"> o</w:t>
            </w:r>
            <w:r>
              <w:t>znaka ”, „</w:t>
            </w:r>
            <w:r w:rsidR="008129B9">
              <w:t xml:space="preserve">MFI </w:t>
            </w:r>
            <w:r>
              <w:t>oznaka ” ili „Vrsta identifikacijske oznake, osim LEI ili MFI</w:t>
            </w:r>
            <w:r w:rsidR="008129B9">
              <w:t xml:space="preserve"> oznake</w:t>
            </w:r>
            <w:r>
              <w:t>”.</w:t>
            </w:r>
          </w:p>
        </w:tc>
      </w:tr>
      <w:tr w:rsidR="00393915" w14:paraId="7FE1D205" w14:textId="77777777">
        <w:tc>
          <w:tcPr>
            <w:tcW w:w="1183" w:type="dxa"/>
            <w:tcBorders>
              <w:top w:val="single" w:sz="8" w:space="0" w:color="1A171C"/>
              <w:left w:val="nil"/>
              <w:bottom w:val="single" w:sz="8" w:space="0" w:color="1A171C"/>
              <w:right w:val="single" w:sz="8" w:space="0" w:color="1A171C"/>
            </w:tcBorders>
            <w:vAlign w:val="center"/>
          </w:tcPr>
          <w:p w14:paraId="7FE1D202" w14:textId="0E607091" w:rsidR="00393915" w:rsidRDefault="00F24D68">
            <w:pPr>
              <w:pStyle w:val="P68B1DB1-Normal31"/>
            </w:pPr>
            <w:r>
              <w:t>0070</w:t>
            </w:r>
          </w:p>
        </w:tc>
        <w:tc>
          <w:tcPr>
            <w:tcW w:w="7832" w:type="dxa"/>
            <w:tcBorders>
              <w:top w:val="single" w:sz="8" w:space="0" w:color="1A171C"/>
              <w:left w:val="single" w:sz="8" w:space="0" w:color="1A171C"/>
              <w:bottom w:val="single" w:sz="8" w:space="0" w:color="1A171C"/>
              <w:right w:val="nil"/>
            </w:tcBorders>
            <w:vAlign w:val="bottom"/>
          </w:tcPr>
          <w:p w14:paraId="7FE1D203" w14:textId="1A1E48E7" w:rsidR="00393915" w:rsidRDefault="00F24D68">
            <w:pPr>
              <w:pStyle w:val="P68B1DB1-TableParagraph40"/>
              <w:spacing w:before="108"/>
              <w:ind w:left="85"/>
              <w:jc w:val="both"/>
              <w:rPr>
                <w:b/>
                <w:bCs/>
              </w:rPr>
            </w:pPr>
            <w:r>
              <w:t xml:space="preserve"> </w:t>
            </w:r>
            <w:r w:rsidR="001D062E">
              <w:rPr>
                <w:b/>
              </w:rPr>
              <w:t xml:space="preserve">Mjerodavno </w:t>
            </w:r>
            <w:r>
              <w:rPr>
                <w:b/>
              </w:rPr>
              <w:t>pravo</w:t>
            </w:r>
          </w:p>
          <w:p w14:paraId="7FE1D204" w14:textId="24CB3395" w:rsidR="00393915" w:rsidRDefault="00F24D68">
            <w:pPr>
              <w:pStyle w:val="P68B1DB1-TableParagraph40"/>
              <w:spacing w:before="108"/>
              <w:ind w:left="85"/>
              <w:jc w:val="both"/>
            </w:pPr>
            <w:r>
              <w:t xml:space="preserve">Ime države čije je pravo mjerodavno za odgovornost. Ako se na ugovor primjenjuje pravo više od jedne zemlje, navodi se zemlja čije je pravo od najveće važnosti za priznavanje ovlasti otpisa i konverzije.  </w:t>
            </w:r>
          </w:p>
        </w:tc>
      </w:tr>
      <w:tr w:rsidR="00393915" w14:paraId="7FE1D213" w14:textId="77777777">
        <w:trPr>
          <w:trHeight w:val="5139"/>
        </w:trPr>
        <w:tc>
          <w:tcPr>
            <w:tcW w:w="1183" w:type="dxa"/>
            <w:tcBorders>
              <w:top w:val="single" w:sz="8" w:space="0" w:color="1A171C"/>
              <w:left w:val="nil"/>
              <w:bottom w:val="single" w:sz="4" w:space="0" w:color="auto"/>
              <w:right w:val="single" w:sz="4" w:space="0" w:color="auto"/>
            </w:tcBorders>
            <w:vAlign w:val="center"/>
          </w:tcPr>
          <w:p w14:paraId="7FE1D206" w14:textId="2286AADB" w:rsidR="00393915" w:rsidRDefault="00F24D68">
            <w:pPr>
              <w:pStyle w:val="P68B1DB1-Normal31"/>
            </w:pPr>
            <w:r>
              <w:lastRenderedPageBreak/>
              <w:t>0080</w:t>
            </w:r>
          </w:p>
        </w:tc>
        <w:tc>
          <w:tcPr>
            <w:tcW w:w="7832" w:type="dxa"/>
            <w:tcBorders>
              <w:top w:val="single" w:sz="8" w:space="0" w:color="1A171C"/>
              <w:left w:val="single" w:sz="4" w:space="0" w:color="auto"/>
              <w:right w:val="nil"/>
            </w:tcBorders>
            <w:vAlign w:val="bottom"/>
          </w:tcPr>
          <w:p w14:paraId="7FE1D207" w14:textId="77777777" w:rsidR="00393915" w:rsidRDefault="00F24D68">
            <w:pPr>
              <w:pStyle w:val="P68B1DB1-TableParagraph40"/>
              <w:spacing w:before="108"/>
              <w:ind w:left="85"/>
              <w:jc w:val="both"/>
              <w:rPr>
                <w:b/>
                <w:bCs/>
              </w:rPr>
            </w:pPr>
            <w:r>
              <w:t xml:space="preserve"> </w:t>
            </w:r>
            <w:r>
              <w:rPr>
                <w:b/>
              </w:rPr>
              <w:t>Vrsta nefinancijskih obveza</w:t>
            </w:r>
          </w:p>
          <w:p w14:paraId="7FE1D208" w14:textId="234E81AF" w:rsidR="00393915" w:rsidRDefault="00F24D68">
            <w:pPr>
              <w:pStyle w:val="P68B1DB1-TableParagraph40"/>
              <w:spacing w:before="108"/>
              <w:ind w:left="85"/>
              <w:jc w:val="both"/>
            </w:pPr>
            <w:r>
              <w:t>Odabrati među sljedećim opcijama:</w:t>
            </w:r>
          </w:p>
          <w:p w14:paraId="7FE1D209" w14:textId="16DF8AEE" w:rsidR="00393915" w:rsidRDefault="00EF4852">
            <w:pPr>
              <w:pStyle w:val="P68B1DB1-TableParagraph40"/>
              <w:numPr>
                <w:ilvl w:val="0"/>
                <w:numId w:val="269"/>
              </w:numPr>
              <w:spacing w:before="108"/>
              <w:jc w:val="both"/>
            </w:pPr>
            <w:r>
              <w:t xml:space="preserve">Sredstva </w:t>
            </w:r>
            <w:r w:rsidR="00F24D68">
              <w:t>za opće bankovne rizike</w:t>
            </w:r>
          </w:p>
          <w:p w14:paraId="7FE1D20B" w14:textId="7C84AB9D" w:rsidR="00393915" w:rsidRDefault="000908BB">
            <w:pPr>
              <w:pStyle w:val="P68B1DB1-TableParagraph40"/>
              <w:numPr>
                <w:ilvl w:val="0"/>
                <w:numId w:val="269"/>
              </w:numPr>
              <w:spacing w:before="108"/>
              <w:jc w:val="both"/>
            </w:pPr>
            <w:r w:rsidRPr="000908BB">
              <w:t>Mirovine i ostale obveze s definiranim naknadama nakon prestanka zaposlenja</w:t>
            </w:r>
            <w:r w:rsidR="00F24D68">
              <w:t>Pogodnosti zaposlenika</w:t>
            </w:r>
            <w:r w:rsidR="00F56DB6">
              <w:t>,</w:t>
            </w:r>
            <w:r w:rsidR="00F24D68">
              <w:t xml:space="preserve"> </w:t>
            </w:r>
            <w:r w:rsidR="00F56DB6">
              <w:t>o</w:t>
            </w:r>
            <w:r w:rsidR="00F56DB6" w:rsidRPr="00F56DB6">
              <w:t xml:space="preserve">sim mirovina i ostalih </w:t>
            </w:r>
            <w:r w:rsidR="00F56DB6">
              <w:t>pogodnosti</w:t>
            </w:r>
            <w:r w:rsidR="00F56DB6" w:rsidRPr="00F56DB6">
              <w:t xml:space="preserve"> definiranih nakon prestanka zaposlenja</w:t>
            </w:r>
          </w:p>
          <w:p w14:paraId="7FE1D20C" w14:textId="66AEA5AF" w:rsidR="00393915" w:rsidRDefault="00F24D68">
            <w:pPr>
              <w:pStyle w:val="P68B1DB1-TableParagraph40"/>
              <w:numPr>
                <w:ilvl w:val="0"/>
                <w:numId w:val="269"/>
              </w:numPr>
              <w:spacing w:before="108"/>
              <w:jc w:val="both"/>
            </w:pPr>
            <w:r>
              <w:t>Restrukturiranje</w:t>
            </w:r>
          </w:p>
          <w:p w14:paraId="7FE1D20D" w14:textId="72D6FCB9" w:rsidR="00393915" w:rsidRDefault="00F24D68">
            <w:pPr>
              <w:pStyle w:val="P68B1DB1-TableParagraph40"/>
              <w:numPr>
                <w:ilvl w:val="0"/>
                <w:numId w:val="269"/>
              </w:numPr>
              <w:spacing w:before="108"/>
              <w:jc w:val="both"/>
            </w:pPr>
            <w:r>
              <w:t>Pravna pitanja i porezni sporovi u tijeku</w:t>
            </w:r>
          </w:p>
          <w:p w14:paraId="7FE1D20E" w14:textId="6A9A65DF" w:rsidR="00393915" w:rsidRDefault="00F24D68">
            <w:pPr>
              <w:pStyle w:val="P68B1DB1-TableParagraph40"/>
              <w:numPr>
                <w:ilvl w:val="0"/>
                <w:numId w:val="269"/>
              </w:numPr>
              <w:spacing w:before="108"/>
              <w:jc w:val="both"/>
            </w:pPr>
            <w:r>
              <w:t>Izvanbilančne izloženosti koje podliježu kreditnom riziku</w:t>
            </w:r>
          </w:p>
          <w:p w14:paraId="7FE1D20F" w14:textId="130D4182" w:rsidR="00393915" w:rsidRDefault="00F24D68">
            <w:pPr>
              <w:pStyle w:val="P68B1DB1-TableParagraph40"/>
              <w:numPr>
                <w:ilvl w:val="0"/>
                <w:numId w:val="269"/>
              </w:numPr>
              <w:spacing w:before="108"/>
              <w:jc w:val="both"/>
            </w:pPr>
            <w:r>
              <w:t xml:space="preserve">Osim pogodnosti zaposlenika, restrukturiranja, pravnih i poreznih postupaka u tijeku, </w:t>
            </w:r>
            <w:r w:rsidR="00E6112C">
              <w:t xml:space="preserve">izvanbilančne </w:t>
            </w:r>
            <w:r>
              <w:t>stavk</w:t>
            </w:r>
            <w:r w:rsidR="00E6112C">
              <w:t>e</w:t>
            </w:r>
            <w:r>
              <w:t xml:space="preserve"> koje podliježu kreditnom riziku</w:t>
            </w:r>
          </w:p>
          <w:p w14:paraId="7FE1D210" w14:textId="00431AB4" w:rsidR="00393915" w:rsidRDefault="00F24D68">
            <w:pPr>
              <w:pStyle w:val="P68B1DB1-TableParagraph40"/>
              <w:numPr>
                <w:ilvl w:val="0"/>
                <w:numId w:val="269"/>
              </w:numPr>
              <w:spacing w:before="108"/>
              <w:jc w:val="both"/>
            </w:pPr>
            <w:r>
              <w:t>Porezne obveze</w:t>
            </w:r>
          </w:p>
          <w:p w14:paraId="7FE1D211" w14:textId="29640DA2" w:rsidR="00393915" w:rsidRDefault="00F24D68">
            <w:pPr>
              <w:pStyle w:val="P68B1DB1-TableParagraph40"/>
              <w:numPr>
                <w:ilvl w:val="0"/>
                <w:numId w:val="269"/>
              </w:numPr>
              <w:spacing w:before="108"/>
              <w:jc w:val="both"/>
            </w:pPr>
            <w:r>
              <w:t>Odgođeni prihodi</w:t>
            </w:r>
          </w:p>
          <w:p w14:paraId="7FE1D212" w14:textId="7E6BDA10" w:rsidR="00393915" w:rsidRDefault="00F24D68">
            <w:pPr>
              <w:pStyle w:val="P68B1DB1-TableParagraph40"/>
              <w:numPr>
                <w:ilvl w:val="0"/>
                <w:numId w:val="269"/>
              </w:numPr>
              <w:spacing w:before="108"/>
              <w:jc w:val="both"/>
            </w:pPr>
            <w:r>
              <w:t>Obveze osim financijskih obveza, rezervacija, poreznih obveza, odgođenih prihoda</w:t>
            </w:r>
          </w:p>
        </w:tc>
      </w:tr>
      <w:tr w:rsidR="00393915" w14:paraId="7FE1D217" w14:textId="77777777">
        <w:tc>
          <w:tcPr>
            <w:tcW w:w="1183" w:type="dxa"/>
            <w:tcBorders>
              <w:top w:val="single" w:sz="4" w:space="0" w:color="auto"/>
              <w:left w:val="nil"/>
              <w:bottom w:val="single" w:sz="8" w:space="0" w:color="1A171C"/>
              <w:right w:val="single" w:sz="8" w:space="0" w:color="1A171C"/>
            </w:tcBorders>
            <w:vAlign w:val="center"/>
          </w:tcPr>
          <w:p w14:paraId="7FE1D214" w14:textId="77777777" w:rsidR="00393915" w:rsidRDefault="00F24D68">
            <w:pPr>
              <w:pStyle w:val="P68B1DB1-Normal31"/>
            </w:pPr>
            <w:r>
              <w:t>0090</w:t>
            </w:r>
          </w:p>
        </w:tc>
        <w:tc>
          <w:tcPr>
            <w:tcW w:w="7832" w:type="dxa"/>
            <w:tcBorders>
              <w:top w:val="single" w:sz="8" w:space="0" w:color="1A171C"/>
              <w:left w:val="single" w:sz="8" w:space="0" w:color="1A171C"/>
              <w:bottom w:val="single" w:sz="8" w:space="0" w:color="1A171C"/>
              <w:right w:val="nil"/>
            </w:tcBorders>
            <w:vAlign w:val="bottom"/>
          </w:tcPr>
          <w:p w14:paraId="7FE1D215" w14:textId="77777777" w:rsidR="00393915" w:rsidRDefault="00F24D68">
            <w:pPr>
              <w:pStyle w:val="P68B1DB1-TableParagraph40"/>
              <w:spacing w:before="108"/>
              <w:ind w:left="85"/>
              <w:jc w:val="both"/>
              <w:rPr>
                <w:b/>
                <w:bCs/>
              </w:rPr>
            </w:pPr>
            <w:r>
              <w:t xml:space="preserve"> </w:t>
            </w:r>
            <w:r>
              <w:rPr>
                <w:b/>
              </w:rPr>
              <w:t>Nepodmireni iznos</w:t>
            </w:r>
          </w:p>
          <w:p w14:paraId="7FE1D216" w14:textId="41D11E8B" w:rsidR="00393915" w:rsidRDefault="00F24D68">
            <w:pPr>
              <w:pStyle w:val="P68B1DB1-TableParagraph40"/>
              <w:spacing w:before="108"/>
              <w:ind w:left="85"/>
              <w:jc w:val="both"/>
            </w:pPr>
            <w:r>
              <w:t>Nepodmireni iznos obveze.</w:t>
            </w:r>
          </w:p>
        </w:tc>
      </w:tr>
      <w:tr w:rsidR="00393915" w14:paraId="7FE1D21B" w14:textId="77777777">
        <w:tc>
          <w:tcPr>
            <w:tcW w:w="1183" w:type="dxa"/>
            <w:tcBorders>
              <w:top w:val="single" w:sz="8" w:space="0" w:color="1A171C"/>
              <w:left w:val="nil"/>
              <w:bottom w:val="single" w:sz="8" w:space="0" w:color="1A171C"/>
              <w:right w:val="single" w:sz="8" w:space="0" w:color="1A171C"/>
            </w:tcBorders>
            <w:vAlign w:val="center"/>
          </w:tcPr>
          <w:p w14:paraId="7FE1D218" w14:textId="77777777" w:rsidR="00393915" w:rsidRDefault="00F24D68">
            <w:pPr>
              <w:pStyle w:val="P68B1DB1-Normal31"/>
            </w:pPr>
            <w:r>
              <w:t>0100</w:t>
            </w:r>
          </w:p>
        </w:tc>
        <w:tc>
          <w:tcPr>
            <w:tcW w:w="7832" w:type="dxa"/>
            <w:tcBorders>
              <w:top w:val="single" w:sz="8" w:space="0" w:color="1A171C"/>
              <w:left w:val="single" w:sz="8" w:space="0" w:color="1A171C"/>
              <w:bottom w:val="single" w:sz="8" w:space="0" w:color="1A171C"/>
              <w:right w:val="nil"/>
            </w:tcBorders>
            <w:vAlign w:val="bottom"/>
          </w:tcPr>
          <w:p w14:paraId="7FE1D219" w14:textId="77777777" w:rsidR="00393915" w:rsidRDefault="00F24D68">
            <w:pPr>
              <w:pStyle w:val="P68B1DB1-TableParagraph73"/>
              <w:spacing w:before="108"/>
              <w:ind w:left="85"/>
              <w:jc w:val="both"/>
              <w:rPr>
                <w:bCs/>
              </w:rPr>
            </w:pPr>
            <w:r>
              <w:t xml:space="preserve">Valuta  </w:t>
            </w:r>
          </w:p>
          <w:p w14:paraId="7FE1D21A" w14:textId="0E8D9FF4" w:rsidR="00393915" w:rsidRDefault="00F24D68">
            <w:pPr>
              <w:pStyle w:val="P68B1DB1-TableParagraph40"/>
              <w:spacing w:before="108"/>
              <w:ind w:left="85"/>
              <w:jc w:val="both"/>
            </w:pPr>
            <w:r>
              <w:t>Valuta obveze izdaje se u skladu s troslovnom oznakom ISO 4217.</w:t>
            </w:r>
          </w:p>
        </w:tc>
      </w:tr>
      <w:tr w:rsidR="00393915" w14:paraId="7FE1D21F" w14:textId="77777777">
        <w:tc>
          <w:tcPr>
            <w:tcW w:w="1183" w:type="dxa"/>
            <w:tcBorders>
              <w:top w:val="single" w:sz="8" w:space="0" w:color="1A171C"/>
              <w:left w:val="nil"/>
              <w:bottom w:val="single" w:sz="8" w:space="0" w:color="1A171C"/>
              <w:right w:val="single" w:sz="8" w:space="0" w:color="1A171C"/>
            </w:tcBorders>
            <w:vAlign w:val="center"/>
          </w:tcPr>
          <w:p w14:paraId="7FE1D21C" w14:textId="77777777" w:rsidR="00393915" w:rsidRDefault="00F24D68">
            <w:pPr>
              <w:pStyle w:val="P68B1DB1-Normal31"/>
            </w:pPr>
            <w:r>
              <w:t>0110</w:t>
            </w:r>
          </w:p>
        </w:tc>
        <w:tc>
          <w:tcPr>
            <w:tcW w:w="7832" w:type="dxa"/>
            <w:tcBorders>
              <w:top w:val="single" w:sz="8" w:space="0" w:color="1A171C"/>
              <w:left w:val="single" w:sz="8" w:space="0" w:color="1A171C"/>
              <w:bottom w:val="single" w:sz="8" w:space="0" w:color="1A171C"/>
              <w:right w:val="nil"/>
            </w:tcBorders>
            <w:vAlign w:val="bottom"/>
          </w:tcPr>
          <w:p w14:paraId="7FE1D21D" w14:textId="77777777" w:rsidR="00393915" w:rsidRDefault="00F24D68">
            <w:pPr>
              <w:pStyle w:val="P68B1DB1-TableParagraph73"/>
              <w:spacing w:before="108"/>
              <w:ind w:left="85"/>
              <w:jc w:val="both"/>
              <w:rPr>
                <w:bCs/>
              </w:rPr>
            </w:pPr>
            <w:r>
              <w:t xml:space="preserve"> Datum priznavanja </w:t>
            </w:r>
          </w:p>
          <w:p w14:paraId="7FE1D21E" w14:textId="6A3E04DE" w:rsidR="00393915" w:rsidRDefault="00F24D68">
            <w:pPr>
              <w:pStyle w:val="P68B1DB1-TableParagraph40"/>
              <w:spacing w:before="108"/>
              <w:ind w:left="85"/>
              <w:jc w:val="both"/>
            </w:pPr>
            <w:r>
              <w:t>Datum na koji je obveza priznata u financijskim izvještajima, u skladu s primjenjivim računovodstvenim standardima.</w:t>
            </w:r>
          </w:p>
        </w:tc>
      </w:tr>
      <w:tr w:rsidR="00393915" w14:paraId="7FE1D223" w14:textId="77777777">
        <w:tc>
          <w:tcPr>
            <w:tcW w:w="1183" w:type="dxa"/>
            <w:tcBorders>
              <w:top w:val="single" w:sz="8" w:space="0" w:color="1A171C"/>
              <w:left w:val="nil"/>
              <w:bottom w:val="single" w:sz="8" w:space="0" w:color="1A171C"/>
              <w:right w:val="single" w:sz="8" w:space="0" w:color="1A171C"/>
            </w:tcBorders>
            <w:vAlign w:val="center"/>
          </w:tcPr>
          <w:p w14:paraId="7FE1D220" w14:textId="77777777" w:rsidR="00393915" w:rsidRDefault="00F24D68">
            <w:pPr>
              <w:pStyle w:val="P68B1DB1-Normal31"/>
            </w:pPr>
            <w:r>
              <w:t>0120</w:t>
            </w:r>
          </w:p>
        </w:tc>
        <w:tc>
          <w:tcPr>
            <w:tcW w:w="7832" w:type="dxa"/>
            <w:tcBorders>
              <w:top w:val="single" w:sz="8" w:space="0" w:color="1A171C"/>
              <w:left w:val="single" w:sz="8" w:space="0" w:color="1A171C"/>
              <w:bottom w:val="single" w:sz="8" w:space="0" w:color="1A171C"/>
              <w:right w:val="nil"/>
            </w:tcBorders>
            <w:vAlign w:val="bottom"/>
          </w:tcPr>
          <w:p w14:paraId="7FE1D221" w14:textId="77777777" w:rsidR="00393915" w:rsidRDefault="00F24D68">
            <w:pPr>
              <w:pStyle w:val="P68B1DB1-TableParagraph73"/>
              <w:spacing w:before="108"/>
              <w:ind w:left="85"/>
              <w:jc w:val="both"/>
              <w:rPr>
                <w:bCs/>
              </w:rPr>
            </w:pPr>
            <w:r>
              <w:t xml:space="preserve">Datum dospijeća </w:t>
            </w:r>
          </w:p>
          <w:p w14:paraId="7FE1D222" w14:textId="7DBA9FE6" w:rsidR="00393915" w:rsidRDefault="00F24D68">
            <w:pPr>
              <w:pStyle w:val="P68B1DB1-TableParagraph40"/>
              <w:spacing w:before="108"/>
              <w:ind w:left="85"/>
              <w:jc w:val="both"/>
            </w:pPr>
            <w:r>
              <w:t xml:space="preserve">Datum </w:t>
            </w:r>
            <w:r w:rsidR="00E6112C">
              <w:t>propisanog</w:t>
            </w:r>
            <w:r>
              <w:t>, konačnog dospijeća obveze. Za vrijednosne papire bez dospijeća navodi se „</w:t>
            </w:r>
            <w:r w:rsidR="001D45A3" w:rsidRPr="001D45A3">
              <w:t>2099-01-31</w:t>
            </w:r>
            <w:r>
              <w:t>”.</w:t>
            </w:r>
          </w:p>
        </w:tc>
      </w:tr>
      <w:tr w:rsidR="00393915" w14:paraId="7FE1D228" w14:textId="77777777">
        <w:trPr>
          <w:trHeight w:val="2644"/>
        </w:trPr>
        <w:tc>
          <w:tcPr>
            <w:tcW w:w="1183" w:type="dxa"/>
            <w:tcBorders>
              <w:top w:val="single" w:sz="8" w:space="0" w:color="1A171C"/>
              <w:left w:val="nil"/>
              <w:bottom w:val="single" w:sz="8" w:space="0" w:color="1A171C"/>
              <w:right w:val="single" w:sz="8" w:space="0" w:color="1A171C"/>
            </w:tcBorders>
            <w:vAlign w:val="center"/>
          </w:tcPr>
          <w:p w14:paraId="7FE1D224" w14:textId="77777777" w:rsidR="00393915" w:rsidRDefault="00F24D68">
            <w:pPr>
              <w:pStyle w:val="P68B1DB1-Normal31"/>
            </w:pPr>
            <w:r>
              <w:t>0130</w:t>
            </w:r>
          </w:p>
        </w:tc>
        <w:tc>
          <w:tcPr>
            <w:tcW w:w="7832" w:type="dxa"/>
            <w:tcBorders>
              <w:top w:val="single" w:sz="8" w:space="0" w:color="1A171C"/>
              <w:left w:val="single" w:sz="8" w:space="0" w:color="1A171C"/>
              <w:right w:val="nil"/>
            </w:tcBorders>
            <w:vAlign w:val="bottom"/>
          </w:tcPr>
          <w:p w14:paraId="7FE1D225" w14:textId="7B95398E" w:rsidR="00393915" w:rsidRDefault="00F24D68">
            <w:pPr>
              <w:pStyle w:val="P68B1DB1-TableParagraph40"/>
              <w:spacing w:before="108"/>
              <w:ind w:left="85"/>
              <w:jc w:val="both"/>
              <w:rPr>
                <w:b/>
                <w:bCs/>
              </w:rPr>
            </w:pPr>
            <w:r>
              <w:t xml:space="preserve"> </w:t>
            </w:r>
            <w:r>
              <w:rPr>
                <w:b/>
              </w:rPr>
              <w:t xml:space="preserve">Ispunjava uvjete za </w:t>
            </w:r>
            <w:r w:rsidR="004A5CDE">
              <w:rPr>
                <w:b/>
              </w:rPr>
              <w:t>regulatorni kapital</w:t>
            </w:r>
          </w:p>
          <w:p w14:paraId="7FE1D226" w14:textId="156937E9" w:rsidR="00393915" w:rsidRDefault="00F24D68">
            <w:pPr>
              <w:pStyle w:val="P68B1DB1-TableParagraph40"/>
              <w:spacing w:before="108"/>
              <w:ind w:left="85"/>
              <w:jc w:val="both"/>
            </w:pPr>
            <w:r>
              <w:t>Navesti je li i na kojoj razini instrument uključen u regulatorni kapital, uz informacije o režimu postupnog ukidanja i aranžmanima za nastavak priznavanja. Vrijednost može biti „Ne”, „</w:t>
            </w:r>
            <w:r w:rsidR="00A824DE">
              <w:t xml:space="preserve">Djelomično </w:t>
            </w:r>
            <w:r>
              <w:t>AT1, T1 i T2”, „T2 u postupnom ukidanju”, „</w:t>
            </w:r>
            <w:r w:rsidR="00A824DE">
              <w:t xml:space="preserve">Nastavak priznavanja </w:t>
            </w:r>
            <w:r>
              <w:t>T2”, „Potpuno usklađeni T2”, „</w:t>
            </w:r>
            <w:r w:rsidR="00A824DE">
              <w:t xml:space="preserve">Nastavak priznavanja </w:t>
            </w:r>
            <w:r>
              <w:t xml:space="preserve">AT1”, „Potpuno usklađeni AT1” ili „CET1” s unaprijed definiranog popisa. </w:t>
            </w:r>
          </w:p>
          <w:p w14:paraId="7FE1D227" w14:textId="130ECBAE" w:rsidR="00393915" w:rsidRDefault="00F24D68">
            <w:pPr>
              <w:pStyle w:val="P68B1DB1-TableParagraph40"/>
              <w:spacing w:before="108"/>
              <w:ind w:left="85"/>
              <w:jc w:val="both"/>
            </w:pPr>
            <w:r>
              <w:t xml:space="preserve"> U popisu opcija pojam „postupno ukidanje” odnosi se na razdoblje od pet godina prije dospijeća bilo kojeg instrumenta dopunskog kapitala, tijekom kojeg postoji samo razmjerno priznavanje na temelju preostalog vremena do dospijeća. „</w:t>
            </w:r>
            <w:r w:rsidR="00AE3897">
              <w:t>Nastavak priznavanja</w:t>
            </w:r>
            <w:r>
              <w:t>” odnosi se na bilo koju prijelaznu mjeru koja se primjenjuje na instrument dopunskog kapitala, ne uključujući „postupno ukidanje”. Tijekom tog „</w:t>
            </w:r>
            <w:r w:rsidR="00EB1215">
              <w:t>Nastavka priznavanja</w:t>
            </w:r>
            <w:r>
              <w:t>” priznavanje može biti potpuno ili djelomično.</w:t>
            </w:r>
          </w:p>
        </w:tc>
      </w:tr>
      <w:tr w:rsidR="00393915" w14:paraId="7FE1D22C" w14:textId="77777777">
        <w:tc>
          <w:tcPr>
            <w:tcW w:w="1183" w:type="dxa"/>
            <w:tcBorders>
              <w:top w:val="nil"/>
              <w:left w:val="nil"/>
              <w:bottom w:val="single" w:sz="8" w:space="0" w:color="1A171C"/>
              <w:right w:val="single" w:sz="8" w:space="0" w:color="1A171C"/>
            </w:tcBorders>
            <w:vAlign w:val="center"/>
          </w:tcPr>
          <w:p w14:paraId="7FE1D229" w14:textId="77777777" w:rsidR="00393915" w:rsidRDefault="00F24D68">
            <w:pPr>
              <w:pStyle w:val="P68B1DB1-Normal31"/>
            </w:pPr>
            <w:r>
              <w:t>0140</w:t>
            </w:r>
          </w:p>
        </w:tc>
        <w:tc>
          <w:tcPr>
            <w:tcW w:w="7832" w:type="dxa"/>
            <w:tcBorders>
              <w:top w:val="single" w:sz="8" w:space="0" w:color="1A171C"/>
              <w:left w:val="single" w:sz="8" w:space="0" w:color="1A171C"/>
              <w:bottom w:val="single" w:sz="8" w:space="0" w:color="1A171C"/>
              <w:right w:val="nil"/>
            </w:tcBorders>
            <w:vAlign w:val="bottom"/>
          </w:tcPr>
          <w:p w14:paraId="7FE1D22A" w14:textId="39A87CFF" w:rsidR="00393915" w:rsidRDefault="00F24D68">
            <w:pPr>
              <w:pStyle w:val="P68B1DB1-TableParagraph40"/>
              <w:spacing w:before="108"/>
              <w:ind w:left="85"/>
              <w:jc w:val="both"/>
              <w:rPr>
                <w:b/>
                <w:bCs/>
              </w:rPr>
            </w:pPr>
            <w:r>
              <w:t xml:space="preserve"> </w:t>
            </w:r>
            <w:r>
              <w:rPr>
                <w:b/>
              </w:rPr>
              <w:t xml:space="preserve">Iznos koji je kvalificiran kao </w:t>
            </w:r>
            <w:r w:rsidR="00BB3F10">
              <w:rPr>
                <w:b/>
              </w:rPr>
              <w:t>regulatorni kapital</w:t>
            </w:r>
          </w:p>
          <w:p w14:paraId="7FE1D22B" w14:textId="01A9A811" w:rsidR="00393915" w:rsidRDefault="00F24D68">
            <w:pPr>
              <w:pStyle w:val="P68B1DB1-TableParagraph40"/>
              <w:spacing w:before="108"/>
              <w:ind w:left="85"/>
              <w:jc w:val="both"/>
            </w:pPr>
            <w:r>
              <w:t>Iznos instrumenta koji se smatra regulatornim kapitalom.</w:t>
            </w:r>
          </w:p>
        </w:tc>
      </w:tr>
    </w:tbl>
    <w:p w14:paraId="7FE1D22D" w14:textId="01F1CEAB" w:rsidR="00393915" w:rsidRDefault="00393915">
      <w:pPr>
        <w:pStyle w:val="body"/>
        <w:rPr>
          <w:rFonts w:ascii="Times New Roman" w:hAnsi="Times New Roman" w:cs="Times New Roman"/>
          <w:sz w:val="20"/>
          <w:szCs w:val="20"/>
        </w:rPr>
      </w:pPr>
    </w:p>
    <w:p w14:paraId="42DED9B4" w14:textId="0FD01D1E" w:rsidR="00393915" w:rsidRPr="00F83F66" w:rsidRDefault="00F24D68" w:rsidP="00F83F66">
      <w:pPr>
        <w:pStyle w:val="Instructionsberschrift2"/>
        <w:ind w:left="357"/>
        <w:rPr>
          <w:rFonts w:ascii="Times New Roman" w:eastAsia="Calibri" w:hAnsi="Times New Roman"/>
        </w:rPr>
      </w:pPr>
      <w:r>
        <w:br w:type="page"/>
      </w:r>
    </w:p>
    <w:p w14:paraId="4BD624F8" w14:textId="77777777" w:rsidR="00393915" w:rsidRDefault="00393915">
      <w:pPr>
        <w:spacing w:after="200" w:line="276" w:lineRule="auto"/>
        <w:rPr>
          <w:rFonts w:ascii="Times New Roman" w:hAnsi="Times New Roman" w:cs="Times New Roman"/>
          <w:sz w:val="20"/>
          <w:szCs w:val="20"/>
        </w:rPr>
      </w:pPr>
    </w:p>
    <w:p w14:paraId="715529B0" w14:textId="64A141F4" w:rsidR="00393915" w:rsidRDefault="00F24D68">
      <w:pPr>
        <w:pStyle w:val="P68B1DB1-Instructionsberschrift284"/>
        <w:numPr>
          <w:ilvl w:val="1"/>
          <w:numId w:val="49"/>
        </w:numPr>
        <w:spacing w:before="0"/>
        <w:ind w:left="357" w:hanging="357"/>
      </w:pPr>
      <w:bookmarkStart w:id="256" w:name="_Toc192248856"/>
      <w:bookmarkStart w:id="257" w:name="_Toc208244836"/>
      <w:r>
        <w:t>Prilog I. – Popis infrastruktura financijskog tržišta za Z 09.01 – c0050</w:t>
      </w:r>
      <w:bookmarkEnd w:id="256"/>
      <w:bookmarkEnd w:id="257"/>
    </w:p>
    <w:p w14:paraId="31681B73" w14:textId="51FEAE08" w:rsidR="00393915" w:rsidRDefault="00393915">
      <w:pPr>
        <w:pStyle w:val="body"/>
        <w:rPr>
          <w:rFonts w:ascii="Times New Roman" w:hAnsi="Times New Roman" w:cs="Times New Roman"/>
          <w:sz w:val="20"/>
          <w:szCs w:val="20"/>
        </w:rPr>
      </w:pPr>
    </w:p>
    <w:tbl>
      <w:tblPr>
        <w:tblW w:w="9072" w:type="dxa"/>
        <w:tblLook w:val="04A0" w:firstRow="1" w:lastRow="0" w:firstColumn="1" w:lastColumn="0" w:noHBand="0" w:noVBand="1"/>
      </w:tblPr>
      <w:tblGrid>
        <w:gridCol w:w="9072"/>
      </w:tblGrid>
      <w:tr w:rsidR="00393915" w14:paraId="567BC9DC" w14:textId="77777777">
        <w:trPr>
          <w:trHeight w:val="80"/>
        </w:trPr>
        <w:tc>
          <w:tcPr>
            <w:tcW w:w="9072" w:type="dxa"/>
            <w:tcBorders>
              <w:top w:val="nil"/>
              <w:left w:val="nil"/>
              <w:bottom w:val="nil"/>
              <w:right w:val="nil"/>
            </w:tcBorders>
            <w:shd w:val="clear" w:color="auto" w:fill="EEECE1" w:themeFill="background2"/>
            <w:noWrap/>
            <w:vAlign w:val="bottom"/>
          </w:tcPr>
          <w:p w14:paraId="1C1E6E57" w14:textId="77777777" w:rsidR="00393915" w:rsidRDefault="00F24D68">
            <w:pPr>
              <w:pStyle w:val="P68B1DB1-Normal90"/>
            </w:pPr>
            <w:r>
              <w:t>Unos na padajući popis infrastruktura financijskog tržišta</w:t>
            </w:r>
          </w:p>
        </w:tc>
      </w:tr>
      <w:tr w:rsidR="00393915" w14:paraId="09736821" w14:textId="77777777" w:rsidTr="00F83F66">
        <w:trPr>
          <w:trHeight w:val="300"/>
        </w:trPr>
        <w:tc>
          <w:tcPr>
            <w:tcW w:w="9072" w:type="dxa"/>
            <w:tcBorders>
              <w:top w:val="nil"/>
              <w:left w:val="nil"/>
              <w:bottom w:val="nil"/>
              <w:right w:val="nil"/>
            </w:tcBorders>
            <w:noWrap/>
            <w:hideMark/>
          </w:tcPr>
          <w:p w14:paraId="65FBD6FC" w14:textId="3DF9B4DB" w:rsidR="00393915" w:rsidRDefault="00817E01">
            <w:pPr>
              <w:pStyle w:val="P68B1DB1-Normal91"/>
            </w:pPr>
            <w:bookmarkStart w:id="258" w:name="RANGE!A3:A168"/>
            <w:r w:rsidRPr="00AE309B">
              <w:t>Athens Clearing Office (ACO)</w:t>
            </w:r>
            <w:bookmarkEnd w:id="258"/>
          </w:p>
        </w:tc>
      </w:tr>
      <w:tr w:rsidR="00393915" w14:paraId="447EB604" w14:textId="77777777" w:rsidTr="00F83F66">
        <w:trPr>
          <w:trHeight w:val="300"/>
        </w:trPr>
        <w:tc>
          <w:tcPr>
            <w:tcW w:w="9072" w:type="dxa"/>
            <w:tcBorders>
              <w:top w:val="nil"/>
              <w:left w:val="nil"/>
              <w:bottom w:val="nil"/>
              <w:right w:val="nil"/>
            </w:tcBorders>
            <w:noWrap/>
            <w:hideMark/>
          </w:tcPr>
          <w:p w14:paraId="2B6E60A7" w14:textId="4505E5D8" w:rsidR="00393915" w:rsidRDefault="00817E01">
            <w:pPr>
              <w:pStyle w:val="P68B1DB1-Normal91"/>
            </w:pPr>
            <w:r w:rsidRPr="00AE309B">
              <w:t>ATHEX (Athens Stock Exchange)</w:t>
            </w:r>
          </w:p>
        </w:tc>
      </w:tr>
      <w:tr w:rsidR="00393915" w14:paraId="0DF5C441" w14:textId="77777777" w:rsidTr="00F83F66">
        <w:trPr>
          <w:trHeight w:val="300"/>
        </w:trPr>
        <w:tc>
          <w:tcPr>
            <w:tcW w:w="9072" w:type="dxa"/>
            <w:tcBorders>
              <w:top w:val="nil"/>
              <w:left w:val="nil"/>
              <w:bottom w:val="nil"/>
              <w:right w:val="nil"/>
            </w:tcBorders>
            <w:noWrap/>
            <w:hideMark/>
          </w:tcPr>
          <w:p w14:paraId="4C199F01" w14:textId="0E4F6B69" w:rsidR="00393915" w:rsidRDefault="00817E01">
            <w:pPr>
              <w:pStyle w:val="P68B1DB1-Normal91"/>
            </w:pPr>
            <w:r w:rsidRPr="00AE309B">
              <w:t>ATHEX CSD</w:t>
            </w:r>
          </w:p>
        </w:tc>
      </w:tr>
      <w:tr w:rsidR="00393915" w14:paraId="6C8DFF2B" w14:textId="77777777" w:rsidTr="00F83F66">
        <w:trPr>
          <w:trHeight w:val="300"/>
        </w:trPr>
        <w:tc>
          <w:tcPr>
            <w:tcW w:w="9072" w:type="dxa"/>
            <w:tcBorders>
              <w:top w:val="nil"/>
              <w:left w:val="nil"/>
              <w:bottom w:val="nil"/>
              <w:right w:val="nil"/>
            </w:tcBorders>
            <w:noWrap/>
            <w:hideMark/>
          </w:tcPr>
          <w:p w14:paraId="2876B1C1" w14:textId="17D849C1" w:rsidR="00393915" w:rsidRDefault="00817E01">
            <w:pPr>
              <w:pStyle w:val="P68B1DB1-Normal91"/>
            </w:pPr>
            <w:r w:rsidRPr="00AE309B">
              <w:t>ATHEXClear SA</w:t>
            </w:r>
          </w:p>
        </w:tc>
      </w:tr>
      <w:tr w:rsidR="00393915" w14:paraId="24CE5F78" w14:textId="77777777" w:rsidTr="00F83F66">
        <w:trPr>
          <w:trHeight w:val="300"/>
        </w:trPr>
        <w:tc>
          <w:tcPr>
            <w:tcW w:w="9072" w:type="dxa"/>
            <w:tcBorders>
              <w:top w:val="nil"/>
              <w:left w:val="nil"/>
              <w:bottom w:val="nil"/>
              <w:right w:val="nil"/>
            </w:tcBorders>
            <w:noWrap/>
            <w:hideMark/>
          </w:tcPr>
          <w:p w14:paraId="1E830E75" w14:textId="5F9223D7" w:rsidR="00393915" w:rsidRDefault="00817E01">
            <w:pPr>
              <w:pStyle w:val="P68B1DB1-Normal91"/>
            </w:pPr>
            <w:r w:rsidRPr="00AE309B">
              <w:t>The Clearing House ACH</w:t>
            </w:r>
          </w:p>
        </w:tc>
      </w:tr>
      <w:tr w:rsidR="00393915" w14:paraId="2920AE45" w14:textId="77777777" w:rsidTr="00F83F66">
        <w:trPr>
          <w:trHeight w:val="300"/>
        </w:trPr>
        <w:tc>
          <w:tcPr>
            <w:tcW w:w="9072" w:type="dxa"/>
            <w:tcBorders>
              <w:top w:val="nil"/>
              <w:left w:val="nil"/>
              <w:bottom w:val="nil"/>
              <w:right w:val="nil"/>
            </w:tcBorders>
            <w:noWrap/>
            <w:hideMark/>
          </w:tcPr>
          <w:p w14:paraId="1C314494" w14:textId="0475C7D3" w:rsidR="00393915" w:rsidRDefault="00817E01">
            <w:pPr>
              <w:pStyle w:val="P68B1DB1-Normal91"/>
            </w:pPr>
            <w:r w:rsidRPr="00AE309B">
              <w:t>Automated Clearing Settlement System (ACSS)</w:t>
            </w:r>
          </w:p>
        </w:tc>
      </w:tr>
      <w:tr w:rsidR="00393915" w14:paraId="1DB8A80A" w14:textId="77777777" w:rsidTr="00F83F66">
        <w:trPr>
          <w:trHeight w:val="300"/>
        </w:trPr>
        <w:tc>
          <w:tcPr>
            <w:tcW w:w="9072" w:type="dxa"/>
            <w:tcBorders>
              <w:top w:val="nil"/>
              <w:left w:val="nil"/>
              <w:bottom w:val="nil"/>
              <w:right w:val="nil"/>
            </w:tcBorders>
            <w:noWrap/>
            <w:hideMark/>
          </w:tcPr>
          <w:p w14:paraId="65CA5200" w14:textId="357F9F87" w:rsidR="00393915" w:rsidRDefault="00817E01">
            <w:pPr>
              <w:pStyle w:val="P68B1DB1-Normal91"/>
            </w:pPr>
            <w:r w:rsidRPr="00AE309B">
              <w:t>BACS (Bankers' Automated Clearing Services)</w:t>
            </w:r>
          </w:p>
        </w:tc>
      </w:tr>
      <w:tr w:rsidR="00393915" w14:paraId="0C931590" w14:textId="77777777" w:rsidTr="00F83F66">
        <w:trPr>
          <w:trHeight w:val="300"/>
        </w:trPr>
        <w:tc>
          <w:tcPr>
            <w:tcW w:w="9072" w:type="dxa"/>
            <w:tcBorders>
              <w:top w:val="nil"/>
              <w:left w:val="nil"/>
              <w:bottom w:val="nil"/>
              <w:right w:val="nil"/>
            </w:tcBorders>
            <w:noWrap/>
            <w:hideMark/>
          </w:tcPr>
          <w:p w14:paraId="50133989" w14:textId="7C17C885" w:rsidR="00393915" w:rsidRDefault="00817E01">
            <w:pPr>
              <w:pStyle w:val="P68B1DB1-Normal91"/>
            </w:pPr>
            <w:r w:rsidRPr="00AE309B">
              <w:t>Bankgirot (Bankgirocentralen BGC AB)</w:t>
            </w:r>
          </w:p>
        </w:tc>
      </w:tr>
      <w:tr w:rsidR="00393915" w14:paraId="2F8CAEE4" w14:textId="77777777" w:rsidTr="00F83F66">
        <w:trPr>
          <w:trHeight w:val="300"/>
        </w:trPr>
        <w:tc>
          <w:tcPr>
            <w:tcW w:w="9072" w:type="dxa"/>
            <w:tcBorders>
              <w:top w:val="nil"/>
              <w:left w:val="nil"/>
              <w:bottom w:val="nil"/>
              <w:right w:val="nil"/>
            </w:tcBorders>
            <w:noWrap/>
            <w:hideMark/>
          </w:tcPr>
          <w:p w14:paraId="01AEF229" w14:textId="37748549" w:rsidR="00393915" w:rsidRDefault="00817E01">
            <w:pPr>
              <w:pStyle w:val="P68B1DB1-Normal91"/>
            </w:pPr>
            <w:r w:rsidRPr="00AE309B">
              <w:t>BI-COMP</w:t>
            </w:r>
          </w:p>
        </w:tc>
      </w:tr>
      <w:tr w:rsidR="00393915" w14:paraId="7736D7E4" w14:textId="77777777" w:rsidTr="00F83F66">
        <w:trPr>
          <w:trHeight w:val="300"/>
        </w:trPr>
        <w:tc>
          <w:tcPr>
            <w:tcW w:w="9072" w:type="dxa"/>
            <w:tcBorders>
              <w:top w:val="nil"/>
              <w:left w:val="nil"/>
              <w:bottom w:val="nil"/>
              <w:right w:val="nil"/>
            </w:tcBorders>
            <w:noWrap/>
            <w:hideMark/>
          </w:tcPr>
          <w:p w14:paraId="431E29D0" w14:textId="0C2A1BD0" w:rsidR="00393915" w:rsidRDefault="00817E01">
            <w:pPr>
              <w:pStyle w:val="P68B1DB1-Normal91"/>
            </w:pPr>
            <w:r w:rsidRPr="00AE309B">
              <w:t>BISERA (Bank Integrated System for Electronic Payments)</w:t>
            </w:r>
          </w:p>
        </w:tc>
      </w:tr>
      <w:tr w:rsidR="00393915" w14:paraId="7AE977D3" w14:textId="77777777" w:rsidTr="00F83F66">
        <w:trPr>
          <w:trHeight w:val="300"/>
        </w:trPr>
        <w:tc>
          <w:tcPr>
            <w:tcW w:w="9072" w:type="dxa"/>
            <w:tcBorders>
              <w:top w:val="nil"/>
              <w:left w:val="nil"/>
              <w:bottom w:val="nil"/>
              <w:right w:val="nil"/>
            </w:tcBorders>
            <w:noWrap/>
            <w:hideMark/>
          </w:tcPr>
          <w:p w14:paraId="0E054309" w14:textId="4679A951" w:rsidR="00393915" w:rsidRDefault="00817E01">
            <w:pPr>
              <w:pStyle w:val="P68B1DB1-Normal91"/>
            </w:pPr>
            <w:r w:rsidRPr="00AE309B">
              <w:t>Bloomberg Trade Repository Limited</w:t>
            </w:r>
          </w:p>
        </w:tc>
      </w:tr>
      <w:tr w:rsidR="00393915" w14:paraId="3DEFBBB0" w14:textId="77777777" w:rsidTr="00F83F66">
        <w:trPr>
          <w:trHeight w:val="300"/>
        </w:trPr>
        <w:tc>
          <w:tcPr>
            <w:tcW w:w="9072" w:type="dxa"/>
            <w:tcBorders>
              <w:top w:val="nil"/>
              <w:left w:val="nil"/>
              <w:bottom w:val="nil"/>
              <w:right w:val="nil"/>
            </w:tcBorders>
            <w:noWrap/>
            <w:hideMark/>
          </w:tcPr>
          <w:p w14:paraId="69A6C566" w14:textId="44616F74" w:rsidR="00393915" w:rsidRDefault="00817E01">
            <w:pPr>
              <w:pStyle w:val="P68B1DB1-Normal91"/>
            </w:pPr>
            <w:r w:rsidRPr="00AE309B">
              <w:t>BME</w:t>
            </w:r>
          </w:p>
        </w:tc>
      </w:tr>
      <w:tr w:rsidR="00393915" w14:paraId="6C4EE14D" w14:textId="77777777" w:rsidTr="00F83F66">
        <w:trPr>
          <w:trHeight w:val="300"/>
        </w:trPr>
        <w:tc>
          <w:tcPr>
            <w:tcW w:w="9072" w:type="dxa"/>
            <w:tcBorders>
              <w:top w:val="nil"/>
              <w:left w:val="nil"/>
              <w:bottom w:val="nil"/>
              <w:right w:val="nil"/>
            </w:tcBorders>
            <w:noWrap/>
            <w:hideMark/>
          </w:tcPr>
          <w:p w14:paraId="31001C6A" w14:textId="68FD859D" w:rsidR="00393915" w:rsidRDefault="00817E01">
            <w:pPr>
              <w:pStyle w:val="P68B1DB1-Normal91"/>
            </w:pPr>
            <w:r w:rsidRPr="00AE309B">
              <w:t>BME Clearing</w:t>
            </w:r>
          </w:p>
        </w:tc>
      </w:tr>
      <w:tr w:rsidR="00393915" w14:paraId="3ADECE08" w14:textId="77777777" w:rsidTr="00F83F66">
        <w:trPr>
          <w:trHeight w:val="300"/>
        </w:trPr>
        <w:tc>
          <w:tcPr>
            <w:tcW w:w="9072" w:type="dxa"/>
            <w:tcBorders>
              <w:top w:val="nil"/>
              <w:left w:val="nil"/>
              <w:bottom w:val="nil"/>
              <w:right w:val="nil"/>
            </w:tcBorders>
            <w:noWrap/>
            <w:hideMark/>
          </w:tcPr>
          <w:p w14:paraId="29263C2A" w14:textId="60FBB505" w:rsidR="00393915" w:rsidRDefault="00817E01">
            <w:pPr>
              <w:pStyle w:val="P68B1DB1-Normal91"/>
            </w:pPr>
            <w:r w:rsidRPr="00AE309B">
              <w:t>BOGS (Bank of Greece Securities Settlement System)</w:t>
            </w:r>
          </w:p>
        </w:tc>
      </w:tr>
      <w:tr w:rsidR="00393915" w14:paraId="6CCCB9AC" w14:textId="77777777" w:rsidTr="00F83F66">
        <w:trPr>
          <w:trHeight w:val="300"/>
        </w:trPr>
        <w:tc>
          <w:tcPr>
            <w:tcW w:w="9072" w:type="dxa"/>
            <w:tcBorders>
              <w:top w:val="nil"/>
              <w:left w:val="nil"/>
              <w:bottom w:val="nil"/>
              <w:right w:val="nil"/>
            </w:tcBorders>
            <w:noWrap/>
            <w:hideMark/>
          </w:tcPr>
          <w:p w14:paraId="1092DA48" w14:textId="335C6A9E" w:rsidR="00393915" w:rsidRDefault="00817E01">
            <w:pPr>
              <w:pStyle w:val="P68B1DB1-Normal91"/>
            </w:pPr>
            <w:r w:rsidRPr="00AE309B">
              <w:t>BOJ-NET</w:t>
            </w:r>
          </w:p>
        </w:tc>
      </w:tr>
      <w:tr w:rsidR="00393915" w14:paraId="4CEE7A6B" w14:textId="77777777" w:rsidTr="00F83F66">
        <w:trPr>
          <w:trHeight w:val="300"/>
        </w:trPr>
        <w:tc>
          <w:tcPr>
            <w:tcW w:w="9072" w:type="dxa"/>
            <w:tcBorders>
              <w:top w:val="nil"/>
              <w:left w:val="nil"/>
              <w:bottom w:val="nil"/>
              <w:right w:val="nil"/>
            </w:tcBorders>
            <w:noWrap/>
            <w:hideMark/>
          </w:tcPr>
          <w:p w14:paraId="04FBDA33" w14:textId="7B72F527" w:rsidR="00393915" w:rsidRDefault="00817E01">
            <w:pPr>
              <w:pStyle w:val="P68B1DB1-Normal91"/>
            </w:pPr>
            <w:r w:rsidRPr="00AE309B">
              <w:t>BondSpot S.A.</w:t>
            </w:r>
          </w:p>
        </w:tc>
      </w:tr>
      <w:tr w:rsidR="00393915" w14:paraId="3B8A9B67" w14:textId="77777777" w:rsidTr="00F83F66">
        <w:trPr>
          <w:trHeight w:val="300"/>
        </w:trPr>
        <w:tc>
          <w:tcPr>
            <w:tcW w:w="9072" w:type="dxa"/>
            <w:tcBorders>
              <w:top w:val="nil"/>
              <w:left w:val="nil"/>
              <w:bottom w:val="nil"/>
              <w:right w:val="nil"/>
            </w:tcBorders>
            <w:noWrap/>
            <w:hideMark/>
          </w:tcPr>
          <w:p w14:paraId="73DB34EF" w14:textId="0433DD7F" w:rsidR="00393915" w:rsidRDefault="00817E01">
            <w:pPr>
              <w:pStyle w:val="P68B1DB1-Normal91"/>
            </w:pPr>
            <w:r w:rsidRPr="00AE309B">
              <w:t>BORICA</w:t>
            </w:r>
          </w:p>
        </w:tc>
      </w:tr>
      <w:tr w:rsidR="00393915" w14:paraId="5E8D43A2" w14:textId="77777777" w:rsidTr="00F83F66">
        <w:trPr>
          <w:trHeight w:val="300"/>
        </w:trPr>
        <w:tc>
          <w:tcPr>
            <w:tcW w:w="9072" w:type="dxa"/>
            <w:tcBorders>
              <w:top w:val="nil"/>
              <w:left w:val="nil"/>
              <w:bottom w:val="nil"/>
              <w:right w:val="nil"/>
            </w:tcBorders>
            <w:noWrap/>
            <w:hideMark/>
          </w:tcPr>
          <w:p w14:paraId="4F788B85" w14:textId="54C4FC38" w:rsidR="00393915" w:rsidRDefault="00817E01">
            <w:pPr>
              <w:pStyle w:val="P68B1DB1-Normal91"/>
            </w:pPr>
            <w:r w:rsidRPr="00AE309B">
              <w:t>Borsa Italiana SpA</w:t>
            </w:r>
          </w:p>
        </w:tc>
      </w:tr>
      <w:tr w:rsidR="00393915" w14:paraId="0034826C" w14:textId="77777777" w:rsidTr="00F83F66">
        <w:trPr>
          <w:trHeight w:val="300"/>
        </w:trPr>
        <w:tc>
          <w:tcPr>
            <w:tcW w:w="9072" w:type="dxa"/>
            <w:tcBorders>
              <w:top w:val="nil"/>
              <w:left w:val="nil"/>
              <w:bottom w:val="nil"/>
              <w:right w:val="nil"/>
            </w:tcBorders>
            <w:noWrap/>
            <w:hideMark/>
          </w:tcPr>
          <w:p w14:paraId="6C688147" w14:textId="240CDB32" w:rsidR="00393915" w:rsidRDefault="00817E01">
            <w:pPr>
              <w:pStyle w:val="P68B1DB1-Normal91"/>
            </w:pPr>
            <w:r w:rsidRPr="00AE309B">
              <w:t>Bratislava Stock Exchange</w:t>
            </w:r>
          </w:p>
        </w:tc>
      </w:tr>
      <w:tr w:rsidR="00393915" w14:paraId="2ACAB3C1" w14:textId="77777777" w:rsidTr="00F83F66">
        <w:trPr>
          <w:trHeight w:val="300"/>
        </w:trPr>
        <w:tc>
          <w:tcPr>
            <w:tcW w:w="9072" w:type="dxa"/>
            <w:tcBorders>
              <w:top w:val="nil"/>
              <w:left w:val="nil"/>
              <w:bottom w:val="nil"/>
              <w:right w:val="nil"/>
            </w:tcBorders>
            <w:noWrap/>
            <w:hideMark/>
          </w:tcPr>
          <w:p w14:paraId="797C25FF" w14:textId="1C41C164" w:rsidR="00393915" w:rsidRDefault="00817E01">
            <w:pPr>
              <w:pStyle w:val="P68B1DB1-Normal91"/>
            </w:pPr>
            <w:r w:rsidRPr="00AE309B">
              <w:t>Budapest Stock Exchange</w:t>
            </w:r>
          </w:p>
        </w:tc>
      </w:tr>
      <w:tr w:rsidR="00393915" w14:paraId="7928BB77" w14:textId="77777777" w:rsidTr="00F83F66">
        <w:trPr>
          <w:trHeight w:val="300"/>
        </w:trPr>
        <w:tc>
          <w:tcPr>
            <w:tcW w:w="9072" w:type="dxa"/>
            <w:tcBorders>
              <w:top w:val="nil"/>
              <w:left w:val="nil"/>
              <w:bottom w:val="nil"/>
              <w:right w:val="nil"/>
            </w:tcBorders>
            <w:noWrap/>
            <w:hideMark/>
          </w:tcPr>
          <w:p w14:paraId="3D5ECE9A" w14:textId="21A4E3F5" w:rsidR="00393915" w:rsidRDefault="00817E01">
            <w:pPr>
              <w:pStyle w:val="P68B1DB1-Normal91"/>
            </w:pPr>
            <w:r w:rsidRPr="00AE309B">
              <w:t>Bulgarian Stock Exchange</w:t>
            </w:r>
          </w:p>
        </w:tc>
      </w:tr>
      <w:tr w:rsidR="00393915" w14:paraId="3ED0C0E7" w14:textId="77777777" w:rsidTr="00F83F66">
        <w:trPr>
          <w:trHeight w:val="300"/>
        </w:trPr>
        <w:tc>
          <w:tcPr>
            <w:tcW w:w="9072" w:type="dxa"/>
            <w:tcBorders>
              <w:top w:val="nil"/>
              <w:left w:val="nil"/>
              <w:bottom w:val="nil"/>
              <w:right w:val="nil"/>
            </w:tcBorders>
            <w:noWrap/>
            <w:hideMark/>
          </w:tcPr>
          <w:p w14:paraId="2AACB60C" w14:textId="4DCA048C" w:rsidR="00393915" w:rsidRDefault="00817E01">
            <w:pPr>
              <w:pStyle w:val="P68B1DB1-Normal91"/>
            </w:pPr>
            <w:r w:rsidRPr="00AE309B">
              <w:t>Bursa de Valori Bucaresti</w:t>
            </w:r>
          </w:p>
        </w:tc>
      </w:tr>
      <w:tr w:rsidR="00393915" w14:paraId="358B0CBB" w14:textId="77777777" w:rsidTr="00F83F66">
        <w:trPr>
          <w:trHeight w:val="300"/>
        </w:trPr>
        <w:tc>
          <w:tcPr>
            <w:tcW w:w="9072" w:type="dxa"/>
            <w:tcBorders>
              <w:top w:val="nil"/>
              <w:left w:val="nil"/>
              <w:bottom w:val="nil"/>
              <w:right w:val="nil"/>
            </w:tcBorders>
            <w:noWrap/>
            <w:hideMark/>
          </w:tcPr>
          <w:p w14:paraId="69852FE3" w14:textId="5A1D40D4" w:rsidR="00393915" w:rsidRDefault="00817E01">
            <w:pPr>
              <w:pStyle w:val="P68B1DB1-Normal91"/>
            </w:pPr>
            <w:r w:rsidRPr="00AE309B">
              <w:t>Burza cenných papírů Praha, a.s. (Prague Stock Exchange)</w:t>
            </w:r>
          </w:p>
        </w:tc>
      </w:tr>
      <w:tr w:rsidR="00393915" w14:paraId="2BEFFD1A" w14:textId="77777777" w:rsidTr="00F83F66">
        <w:trPr>
          <w:trHeight w:val="300"/>
        </w:trPr>
        <w:tc>
          <w:tcPr>
            <w:tcW w:w="9072" w:type="dxa"/>
            <w:tcBorders>
              <w:top w:val="nil"/>
              <w:left w:val="nil"/>
              <w:bottom w:val="nil"/>
              <w:right w:val="nil"/>
            </w:tcBorders>
            <w:noWrap/>
            <w:hideMark/>
          </w:tcPr>
          <w:p w14:paraId="32741FAD" w14:textId="2F4CFA48" w:rsidR="00393915" w:rsidRDefault="00817E01">
            <w:pPr>
              <w:pStyle w:val="P68B1DB1-Normal91"/>
            </w:pPr>
            <w:r w:rsidRPr="00AE309B">
              <w:t>Canadian depository for securities (CDS)</w:t>
            </w:r>
          </w:p>
        </w:tc>
      </w:tr>
      <w:tr w:rsidR="00393915" w14:paraId="588D9A6E" w14:textId="77777777" w:rsidTr="00F83F66">
        <w:trPr>
          <w:trHeight w:val="300"/>
        </w:trPr>
        <w:tc>
          <w:tcPr>
            <w:tcW w:w="9072" w:type="dxa"/>
            <w:tcBorders>
              <w:top w:val="nil"/>
              <w:left w:val="nil"/>
              <w:bottom w:val="nil"/>
              <w:right w:val="nil"/>
            </w:tcBorders>
            <w:noWrap/>
            <w:hideMark/>
          </w:tcPr>
          <w:p w14:paraId="30CD8C56" w14:textId="372A59E6" w:rsidR="00393915" w:rsidRDefault="00817E01">
            <w:pPr>
              <w:pStyle w:val="P68B1DB1-Normal91"/>
            </w:pPr>
            <w:r w:rsidRPr="00AE309B">
              <w:t>Canadian Derivatives Clearing Corporation</w:t>
            </w:r>
          </w:p>
        </w:tc>
      </w:tr>
      <w:tr w:rsidR="00393915" w14:paraId="47A4B165" w14:textId="77777777" w:rsidTr="00F83F66">
        <w:trPr>
          <w:trHeight w:val="300"/>
        </w:trPr>
        <w:tc>
          <w:tcPr>
            <w:tcW w:w="9072" w:type="dxa"/>
            <w:tcBorders>
              <w:top w:val="nil"/>
              <w:left w:val="nil"/>
              <w:bottom w:val="nil"/>
              <w:right w:val="nil"/>
            </w:tcBorders>
            <w:noWrap/>
          </w:tcPr>
          <w:p w14:paraId="4B6A49F9" w14:textId="6EC799CE" w:rsidR="00393915" w:rsidRDefault="00817E01">
            <w:pPr>
              <w:pStyle w:val="P68B1DB1-Normal91"/>
            </w:pPr>
            <w:r w:rsidRPr="00AE309B">
              <w:t>Cboe Clear Europe</w:t>
            </w:r>
          </w:p>
        </w:tc>
      </w:tr>
      <w:tr w:rsidR="00393915" w14:paraId="00F4E07D" w14:textId="77777777" w:rsidTr="00F83F66">
        <w:trPr>
          <w:trHeight w:val="300"/>
        </w:trPr>
        <w:tc>
          <w:tcPr>
            <w:tcW w:w="9072" w:type="dxa"/>
            <w:tcBorders>
              <w:top w:val="nil"/>
              <w:left w:val="nil"/>
              <w:bottom w:val="nil"/>
              <w:right w:val="nil"/>
            </w:tcBorders>
            <w:noWrap/>
            <w:hideMark/>
          </w:tcPr>
          <w:p w14:paraId="143644AA" w14:textId="7A645816" w:rsidR="00393915" w:rsidRDefault="00817E01">
            <w:pPr>
              <w:pStyle w:val="P68B1DB1-Normal91"/>
            </w:pPr>
            <w:r w:rsidRPr="00AE309B">
              <w:t>CCP Austria</w:t>
            </w:r>
          </w:p>
        </w:tc>
      </w:tr>
      <w:tr w:rsidR="00393915" w14:paraId="49668E14" w14:textId="77777777" w:rsidTr="00F83F66">
        <w:trPr>
          <w:trHeight w:val="300"/>
        </w:trPr>
        <w:tc>
          <w:tcPr>
            <w:tcW w:w="9072" w:type="dxa"/>
            <w:tcBorders>
              <w:top w:val="nil"/>
              <w:left w:val="nil"/>
              <w:bottom w:val="nil"/>
              <w:right w:val="nil"/>
            </w:tcBorders>
            <w:noWrap/>
            <w:hideMark/>
          </w:tcPr>
          <w:p w14:paraId="4D54CDC3" w14:textId="769445B1" w:rsidR="00393915" w:rsidRDefault="00817E01">
            <w:pPr>
              <w:pStyle w:val="P68B1DB1-Normal91"/>
            </w:pPr>
            <w:r w:rsidRPr="00AE309B">
              <w:t>CEC/UCV</w:t>
            </w:r>
          </w:p>
        </w:tc>
      </w:tr>
      <w:tr w:rsidR="00393915" w14:paraId="13CEB735" w14:textId="77777777" w:rsidTr="00F83F66">
        <w:trPr>
          <w:trHeight w:val="300"/>
        </w:trPr>
        <w:tc>
          <w:tcPr>
            <w:tcW w:w="9072" w:type="dxa"/>
            <w:tcBorders>
              <w:top w:val="nil"/>
              <w:left w:val="nil"/>
              <w:bottom w:val="nil"/>
              <w:right w:val="nil"/>
            </w:tcBorders>
            <w:noWrap/>
            <w:hideMark/>
          </w:tcPr>
          <w:p w14:paraId="7E656B34" w14:textId="31428153" w:rsidR="00393915" w:rsidRDefault="00817E01">
            <w:pPr>
              <w:pStyle w:val="P68B1DB1-Normal91"/>
            </w:pPr>
            <w:r w:rsidRPr="00AE309B">
              <w:t>CEESEG AG (Wiener Borse)</w:t>
            </w:r>
          </w:p>
        </w:tc>
      </w:tr>
      <w:tr w:rsidR="00393915" w14:paraId="38BBF453" w14:textId="77777777" w:rsidTr="00F83F66">
        <w:trPr>
          <w:trHeight w:val="300"/>
        </w:trPr>
        <w:tc>
          <w:tcPr>
            <w:tcW w:w="9072" w:type="dxa"/>
            <w:tcBorders>
              <w:top w:val="nil"/>
              <w:left w:val="nil"/>
              <w:bottom w:val="nil"/>
              <w:right w:val="nil"/>
            </w:tcBorders>
            <w:noWrap/>
            <w:hideMark/>
          </w:tcPr>
          <w:p w14:paraId="7C5735E8" w14:textId="5F6827E4" w:rsidR="00393915" w:rsidRDefault="00817E01">
            <w:pPr>
              <w:pStyle w:val="P68B1DB1-Normal91"/>
            </w:pPr>
            <w:r w:rsidRPr="00AE309B">
              <w:t>Central Depository &amp; Clearing Company</w:t>
            </w:r>
          </w:p>
        </w:tc>
      </w:tr>
      <w:tr w:rsidR="00393915" w14:paraId="100E6E04" w14:textId="77777777" w:rsidTr="00F83F66">
        <w:trPr>
          <w:trHeight w:val="300"/>
        </w:trPr>
        <w:tc>
          <w:tcPr>
            <w:tcW w:w="9072" w:type="dxa"/>
            <w:tcBorders>
              <w:top w:val="nil"/>
              <w:left w:val="nil"/>
              <w:bottom w:val="nil"/>
              <w:right w:val="nil"/>
            </w:tcBorders>
            <w:noWrap/>
            <w:hideMark/>
          </w:tcPr>
          <w:p w14:paraId="1D98F57D" w14:textId="39CF2E65" w:rsidR="00393915" w:rsidRDefault="00817E01">
            <w:pPr>
              <w:pStyle w:val="P68B1DB1-Normal91"/>
            </w:pPr>
            <w:r w:rsidRPr="00AE309B">
              <w:t>Central Depository AD</w:t>
            </w:r>
          </w:p>
        </w:tc>
      </w:tr>
      <w:tr w:rsidR="00393915" w14:paraId="3E41A5D7" w14:textId="77777777" w:rsidTr="00F83F66">
        <w:trPr>
          <w:trHeight w:val="300"/>
        </w:trPr>
        <w:tc>
          <w:tcPr>
            <w:tcW w:w="9072" w:type="dxa"/>
            <w:tcBorders>
              <w:top w:val="nil"/>
              <w:left w:val="nil"/>
              <w:bottom w:val="nil"/>
              <w:right w:val="nil"/>
            </w:tcBorders>
            <w:noWrap/>
            <w:hideMark/>
          </w:tcPr>
          <w:p w14:paraId="149F4C5F" w14:textId="5C33A6FD" w:rsidR="00393915" w:rsidRDefault="00817E01">
            <w:pPr>
              <w:pStyle w:val="P68B1DB1-Normal91"/>
            </w:pPr>
            <w:r w:rsidRPr="00AE309B">
              <w:t>Central Depository and Central Registry</w:t>
            </w:r>
          </w:p>
        </w:tc>
      </w:tr>
      <w:tr w:rsidR="00393915" w14:paraId="1B4CF3CD" w14:textId="77777777" w:rsidTr="00F83F66">
        <w:trPr>
          <w:trHeight w:val="300"/>
        </w:trPr>
        <w:tc>
          <w:tcPr>
            <w:tcW w:w="9072" w:type="dxa"/>
            <w:tcBorders>
              <w:top w:val="nil"/>
              <w:left w:val="nil"/>
              <w:bottom w:val="nil"/>
              <w:right w:val="nil"/>
            </w:tcBorders>
            <w:noWrap/>
            <w:hideMark/>
          </w:tcPr>
          <w:p w14:paraId="7783EDF6" w14:textId="449A30FF" w:rsidR="00393915" w:rsidRDefault="00817E01">
            <w:pPr>
              <w:pStyle w:val="P68B1DB1-Normal91"/>
            </w:pPr>
            <w:r w:rsidRPr="00AE309B">
              <w:t>Centralna klirinško depotna družba (KDD)</w:t>
            </w:r>
          </w:p>
        </w:tc>
      </w:tr>
      <w:tr w:rsidR="00393915" w14:paraId="7812614A" w14:textId="77777777" w:rsidTr="00F83F66">
        <w:trPr>
          <w:trHeight w:val="300"/>
        </w:trPr>
        <w:tc>
          <w:tcPr>
            <w:tcW w:w="9072" w:type="dxa"/>
            <w:tcBorders>
              <w:top w:val="nil"/>
              <w:left w:val="nil"/>
              <w:bottom w:val="nil"/>
              <w:right w:val="nil"/>
            </w:tcBorders>
            <w:noWrap/>
            <w:hideMark/>
          </w:tcPr>
          <w:p w14:paraId="7231B5A5" w14:textId="10D9B909" w:rsidR="00393915" w:rsidRDefault="00F24D68">
            <w:pPr>
              <w:pStyle w:val="P68B1DB1-Normal91"/>
            </w:pPr>
            <w:r>
              <w:t xml:space="preserve">Centrální depozitár cenných papíru SR a.s. </w:t>
            </w:r>
            <w:r w:rsidR="00817E01" w:rsidRPr="00AE309B">
              <w:t>(CDCP) / Central Depository of Securities Prague</w:t>
            </w:r>
          </w:p>
        </w:tc>
      </w:tr>
      <w:tr w:rsidR="00393915" w14:paraId="3DFD9976" w14:textId="77777777" w:rsidTr="00F83F66">
        <w:trPr>
          <w:trHeight w:val="300"/>
        </w:trPr>
        <w:tc>
          <w:tcPr>
            <w:tcW w:w="9072" w:type="dxa"/>
            <w:tcBorders>
              <w:top w:val="nil"/>
              <w:left w:val="nil"/>
              <w:bottom w:val="nil"/>
              <w:right w:val="nil"/>
            </w:tcBorders>
            <w:noWrap/>
            <w:hideMark/>
          </w:tcPr>
          <w:p w14:paraId="742B58E1" w14:textId="0B9C38E8" w:rsidR="00393915" w:rsidRDefault="00817E01">
            <w:pPr>
              <w:pStyle w:val="P68B1DB1-Normal91"/>
            </w:pPr>
            <w:r w:rsidRPr="00AE309B">
              <w:t>Centrálny Depositár Cenných Papierov (CDCP) SR</w:t>
            </w:r>
          </w:p>
        </w:tc>
      </w:tr>
      <w:tr w:rsidR="00393915" w14:paraId="0C3666C6" w14:textId="77777777" w:rsidTr="00F83F66">
        <w:trPr>
          <w:trHeight w:val="300"/>
        </w:trPr>
        <w:tc>
          <w:tcPr>
            <w:tcW w:w="9072" w:type="dxa"/>
            <w:tcBorders>
              <w:top w:val="nil"/>
              <w:left w:val="nil"/>
              <w:bottom w:val="nil"/>
              <w:right w:val="nil"/>
            </w:tcBorders>
            <w:noWrap/>
            <w:hideMark/>
          </w:tcPr>
          <w:p w14:paraId="44F52918" w14:textId="033FDD53" w:rsidR="00393915" w:rsidRDefault="00817E01">
            <w:pPr>
              <w:pStyle w:val="P68B1DB1-Normal91"/>
            </w:pPr>
            <w:r w:rsidRPr="00AE309B">
              <w:t>CENTROlink</w:t>
            </w:r>
          </w:p>
        </w:tc>
      </w:tr>
      <w:tr w:rsidR="00393915" w14:paraId="1BAAD6F5" w14:textId="77777777" w:rsidTr="00F83F66">
        <w:trPr>
          <w:trHeight w:val="300"/>
        </w:trPr>
        <w:tc>
          <w:tcPr>
            <w:tcW w:w="9072" w:type="dxa"/>
            <w:tcBorders>
              <w:top w:val="nil"/>
              <w:left w:val="nil"/>
              <w:bottom w:val="nil"/>
              <w:right w:val="nil"/>
            </w:tcBorders>
            <w:noWrap/>
            <w:hideMark/>
          </w:tcPr>
          <w:p w14:paraId="1E11605F" w14:textId="441A5FBE" w:rsidR="00393915" w:rsidRDefault="00817E01">
            <w:pPr>
              <w:pStyle w:val="P68B1DB1-Normal91"/>
            </w:pPr>
            <w:r w:rsidRPr="00AE309B">
              <w:t>CERTIS (Czech Express Real Time Interbank Gross Settlement System)</w:t>
            </w:r>
          </w:p>
        </w:tc>
      </w:tr>
      <w:tr w:rsidR="00393915" w14:paraId="58D71B59" w14:textId="77777777" w:rsidTr="00F83F66">
        <w:trPr>
          <w:trHeight w:val="300"/>
        </w:trPr>
        <w:tc>
          <w:tcPr>
            <w:tcW w:w="9072" w:type="dxa"/>
            <w:tcBorders>
              <w:top w:val="nil"/>
              <w:left w:val="nil"/>
              <w:bottom w:val="nil"/>
              <w:right w:val="nil"/>
            </w:tcBorders>
            <w:noWrap/>
            <w:hideMark/>
          </w:tcPr>
          <w:p w14:paraId="0405428F" w14:textId="42D7C468" w:rsidR="00393915" w:rsidRDefault="00817E01">
            <w:pPr>
              <w:pStyle w:val="P68B1DB1-Normal91"/>
            </w:pPr>
            <w:r w:rsidRPr="00AE309B">
              <w:t>CHAPS (Clearing House Automated Payment System )</w:t>
            </w:r>
          </w:p>
        </w:tc>
      </w:tr>
      <w:tr w:rsidR="00393915" w14:paraId="0F052492" w14:textId="77777777" w:rsidTr="00F83F66">
        <w:trPr>
          <w:trHeight w:val="300"/>
        </w:trPr>
        <w:tc>
          <w:tcPr>
            <w:tcW w:w="9072" w:type="dxa"/>
            <w:tcBorders>
              <w:top w:val="nil"/>
              <w:left w:val="nil"/>
              <w:bottom w:val="nil"/>
              <w:right w:val="nil"/>
            </w:tcBorders>
            <w:noWrap/>
            <w:hideMark/>
          </w:tcPr>
          <w:p w14:paraId="4F411666" w14:textId="6A96A617" w:rsidR="00393915" w:rsidRDefault="00817E01">
            <w:pPr>
              <w:pStyle w:val="P68B1DB1-Normal91"/>
            </w:pPr>
            <w:r w:rsidRPr="00AE309B">
              <w:t>Cheque &amp; Credit Clearing System Ltd</w:t>
            </w:r>
          </w:p>
        </w:tc>
      </w:tr>
      <w:tr w:rsidR="00393915" w14:paraId="0979B652" w14:textId="77777777" w:rsidTr="00F83F66">
        <w:trPr>
          <w:trHeight w:val="300"/>
        </w:trPr>
        <w:tc>
          <w:tcPr>
            <w:tcW w:w="9072" w:type="dxa"/>
            <w:tcBorders>
              <w:top w:val="nil"/>
              <w:left w:val="nil"/>
              <w:bottom w:val="nil"/>
              <w:right w:val="nil"/>
            </w:tcBorders>
            <w:noWrap/>
            <w:hideMark/>
          </w:tcPr>
          <w:p w14:paraId="53589C87" w14:textId="306EB82B" w:rsidR="00393915" w:rsidRDefault="00817E01">
            <w:pPr>
              <w:pStyle w:val="P68B1DB1-Normal91"/>
            </w:pPr>
            <w:r w:rsidRPr="00AE309B">
              <w:t>CHIPS</w:t>
            </w:r>
          </w:p>
        </w:tc>
      </w:tr>
      <w:tr w:rsidR="00393915" w14:paraId="3FA985BC" w14:textId="77777777" w:rsidTr="00F83F66">
        <w:trPr>
          <w:trHeight w:val="300"/>
        </w:trPr>
        <w:tc>
          <w:tcPr>
            <w:tcW w:w="9072" w:type="dxa"/>
            <w:tcBorders>
              <w:top w:val="nil"/>
              <w:left w:val="nil"/>
              <w:bottom w:val="nil"/>
              <w:right w:val="nil"/>
            </w:tcBorders>
            <w:noWrap/>
            <w:hideMark/>
          </w:tcPr>
          <w:p w14:paraId="1D542203" w14:textId="229C0E1C" w:rsidR="00393915" w:rsidRDefault="00817E01">
            <w:pPr>
              <w:pStyle w:val="P68B1DB1-Normal91"/>
            </w:pPr>
            <w:r w:rsidRPr="00AE309B">
              <w:lastRenderedPageBreak/>
              <w:t>Clearing Service Austria (CSA)</w:t>
            </w:r>
          </w:p>
        </w:tc>
      </w:tr>
      <w:tr w:rsidR="00393915" w14:paraId="6FFF162D" w14:textId="77777777" w:rsidTr="00F83F66">
        <w:trPr>
          <w:trHeight w:val="300"/>
        </w:trPr>
        <w:tc>
          <w:tcPr>
            <w:tcW w:w="9072" w:type="dxa"/>
            <w:tcBorders>
              <w:top w:val="nil"/>
              <w:left w:val="nil"/>
              <w:bottom w:val="nil"/>
              <w:right w:val="nil"/>
            </w:tcBorders>
            <w:noWrap/>
            <w:hideMark/>
          </w:tcPr>
          <w:p w14:paraId="657C636C" w14:textId="57D5FC65" w:rsidR="00393915" w:rsidRDefault="00817E01">
            <w:pPr>
              <w:pStyle w:val="P68B1DB1-Normal91"/>
            </w:pPr>
            <w:r w:rsidRPr="00AE309B">
              <w:t>Clearing Service International (CSI)</w:t>
            </w:r>
          </w:p>
        </w:tc>
      </w:tr>
      <w:tr w:rsidR="00393915" w14:paraId="086AA89E" w14:textId="77777777" w:rsidTr="00F83F66">
        <w:trPr>
          <w:trHeight w:val="300"/>
        </w:trPr>
        <w:tc>
          <w:tcPr>
            <w:tcW w:w="9072" w:type="dxa"/>
            <w:tcBorders>
              <w:top w:val="nil"/>
              <w:left w:val="nil"/>
              <w:bottom w:val="nil"/>
              <w:right w:val="nil"/>
            </w:tcBorders>
            <w:noWrap/>
            <w:hideMark/>
          </w:tcPr>
          <w:p w14:paraId="2802A46D" w14:textId="47409FAF" w:rsidR="00393915" w:rsidRDefault="00817E01">
            <w:pPr>
              <w:pStyle w:val="P68B1DB1-Normal91"/>
            </w:pPr>
            <w:r w:rsidRPr="00AE309B">
              <w:t>Clearstream Banking AG</w:t>
            </w:r>
          </w:p>
        </w:tc>
      </w:tr>
      <w:tr w:rsidR="00393915" w14:paraId="0E099AF5" w14:textId="77777777" w:rsidTr="00F83F66">
        <w:trPr>
          <w:trHeight w:val="300"/>
        </w:trPr>
        <w:tc>
          <w:tcPr>
            <w:tcW w:w="9072" w:type="dxa"/>
            <w:tcBorders>
              <w:top w:val="nil"/>
              <w:left w:val="nil"/>
              <w:bottom w:val="nil"/>
              <w:right w:val="nil"/>
            </w:tcBorders>
            <w:noWrap/>
            <w:hideMark/>
          </w:tcPr>
          <w:p w14:paraId="7ED35FA8" w14:textId="153AD31F" w:rsidR="00393915" w:rsidRDefault="00817E01">
            <w:pPr>
              <w:pStyle w:val="P68B1DB1-Normal91"/>
            </w:pPr>
            <w:r w:rsidRPr="00AE309B">
              <w:t>Clearstream Banking Luxembourg</w:t>
            </w:r>
          </w:p>
        </w:tc>
      </w:tr>
      <w:tr w:rsidR="00393915" w14:paraId="55359EE8" w14:textId="77777777" w:rsidTr="00F83F66">
        <w:trPr>
          <w:trHeight w:val="300"/>
        </w:trPr>
        <w:tc>
          <w:tcPr>
            <w:tcW w:w="9072" w:type="dxa"/>
            <w:tcBorders>
              <w:top w:val="nil"/>
              <w:left w:val="nil"/>
              <w:bottom w:val="nil"/>
              <w:right w:val="nil"/>
            </w:tcBorders>
            <w:noWrap/>
            <w:hideMark/>
          </w:tcPr>
          <w:p w14:paraId="218A6446" w14:textId="0CC1F7E0" w:rsidR="00393915" w:rsidRDefault="00817E01">
            <w:pPr>
              <w:pStyle w:val="P68B1DB1-Normal91"/>
            </w:pPr>
            <w:r w:rsidRPr="00AE309B">
              <w:t>CLS</w:t>
            </w:r>
          </w:p>
        </w:tc>
      </w:tr>
      <w:tr w:rsidR="00393915" w14:paraId="6A82B717" w14:textId="77777777" w:rsidTr="00F83F66">
        <w:trPr>
          <w:trHeight w:val="300"/>
        </w:trPr>
        <w:tc>
          <w:tcPr>
            <w:tcW w:w="9072" w:type="dxa"/>
            <w:tcBorders>
              <w:top w:val="nil"/>
              <w:left w:val="nil"/>
              <w:bottom w:val="nil"/>
              <w:right w:val="nil"/>
            </w:tcBorders>
            <w:noWrap/>
            <w:hideMark/>
          </w:tcPr>
          <w:p w14:paraId="051DFD15" w14:textId="084EF4EA" w:rsidR="00393915" w:rsidRDefault="00817E01">
            <w:pPr>
              <w:pStyle w:val="P68B1DB1-Normal91"/>
            </w:pPr>
            <w:r w:rsidRPr="00AE309B">
              <w:t>CME Trade Repository Ltd (CME TR)</w:t>
            </w:r>
          </w:p>
        </w:tc>
      </w:tr>
      <w:tr w:rsidR="00393915" w14:paraId="06831526" w14:textId="77777777" w:rsidTr="00F83F66">
        <w:trPr>
          <w:trHeight w:val="300"/>
        </w:trPr>
        <w:tc>
          <w:tcPr>
            <w:tcW w:w="9072" w:type="dxa"/>
            <w:tcBorders>
              <w:top w:val="nil"/>
              <w:left w:val="nil"/>
              <w:bottom w:val="nil"/>
              <w:right w:val="nil"/>
            </w:tcBorders>
            <w:noWrap/>
            <w:hideMark/>
          </w:tcPr>
          <w:p w14:paraId="33B6CA7E" w14:textId="581672BF" w:rsidR="00393915" w:rsidRDefault="00817E01">
            <w:pPr>
              <w:pStyle w:val="P68B1DB1-Normal91"/>
            </w:pPr>
            <w:r w:rsidRPr="00AE309B">
              <w:t>Cyprus Clearing House</w:t>
            </w:r>
          </w:p>
        </w:tc>
      </w:tr>
      <w:tr w:rsidR="00393915" w14:paraId="3BB1F880" w14:textId="77777777" w:rsidTr="00F83F66">
        <w:trPr>
          <w:trHeight w:val="300"/>
        </w:trPr>
        <w:tc>
          <w:tcPr>
            <w:tcW w:w="9072" w:type="dxa"/>
            <w:tcBorders>
              <w:top w:val="nil"/>
              <w:left w:val="nil"/>
              <w:bottom w:val="nil"/>
              <w:right w:val="nil"/>
            </w:tcBorders>
            <w:noWrap/>
            <w:hideMark/>
          </w:tcPr>
          <w:p w14:paraId="6DCF1051" w14:textId="703CFD00" w:rsidR="00393915" w:rsidRDefault="00817E01">
            <w:pPr>
              <w:pStyle w:val="P68B1DB1-Normal91"/>
            </w:pPr>
            <w:r w:rsidRPr="00AE309B">
              <w:t>Cyprus Stock Exchange</w:t>
            </w:r>
          </w:p>
        </w:tc>
      </w:tr>
      <w:tr w:rsidR="00393915" w14:paraId="7F6A962C" w14:textId="77777777" w:rsidTr="00F83F66">
        <w:trPr>
          <w:trHeight w:val="300"/>
        </w:trPr>
        <w:tc>
          <w:tcPr>
            <w:tcW w:w="9072" w:type="dxa"/>
            <w:tcBorders>
              <w:top w:val="nil"/>
              <w:left w:val="nil"/>
              <w:bottom w:val="nil"/>
              <w:right w:val="nil"/>
            </w:tcBorders>
            <w:noWrap/>
            <w:hideMark/>
          </w:tcPr>
          <w:p w14:paraId="359710C1" w14:textId="6EC2CD40" w:rsidR="00393915" w:rsidRDefault="00817E01">
            <w:pPr>
              <w:pStyle w:val="P68B1DB1-Normal91"/>
            </w:pPr>
            <w:r w:rsidRPr="00AE309B">
              <w:t>Dataclearing</w:t>
            </w:r>
          </w:p>
        </w:tc>
      </w:tr>
      <w:tr w:rsidR="00393915" w14:paraId="0118AB34" w14:textId="77777777" w:rsidTr="00F83F66">
        <w:trPr>
          <w:trHeight w:val="300"/>
        </w:trPr>
        <w:tc>
          <w:tcPr>
            <w:tcW w:w="9072" w:type="dxa"/>
            <w:tcBorders>
              <w:top w:val="nil"/>
              <w:left w:val="nil"/>
              <w:bottom w:val="nil"/>
              <w:right w:val="nil"/>
            </w:tcBorders>
            <w:noWrap/>
            <w:hideMark/>
          </w:tcPr>
          <w:p w14:paraId="371022ED" w14:textId="424911F3" w:rsidR="00393915" w:rsidRDefault="00817E01">
            <w:pPr>
              <w:pStyle w:val="P68B1DB1-Normal91"/>
            </w:pPr>
            <w:r w:rsidRPr="00AE309B">
              <w:t>Depozitarul Central S.A.</w:t>
            </w:r>
          </w:p>
        </w:tc>
      </w:tr>
      <w:tr w:rsidR="00393915" w14:paraId="2356D6E7" w14:textId="77777777" w:rsidTr="00F83F66">
        <w:trPr>
          <w:trHeight w:val="300"/>
        </w:trPr>
        <w:tc>
          <w:tcPr>
            <w:tcW w:w="9072" w:type="dxa"/>
            <w:tcBorders>
              <w:top w:val="nil"/>
              <w:left w:val="nil"/>
              <w:bottom w:val="nil"/>
              <w:right w:val="nil"/>
            </w:tcBorders>
            <w:noWrap/>
            <w:hideMark/>
          </w:tcPr>
          <w:p w14:paraId="2A6C99D9" w14:textId="0842814E" w:rsidR="00393915" w:rsidRDefault="00817E01">
            <w:pPr>
              <w:pStyle w:val="P68B1DB1-Normal91"/>
            </w:pPr>
            <w:r w:rsidRPr="00AE309B">
              <w:t>Deutsche Börse AG</w:t>
            </w:r>
          </w:p>
        </w:tc>
      </w:tr>
      <w:tr w:rsidR="00393915" w14:paraId="086E410F" w14:textId="77777777" w:rsidTr="00F83F66">
        <w:trPr>
          <w:trHeight w:val="300"/>
        </w:trPr>
        <w:tc>
          <w:tcPr>
            <w:tcW w:w="9072" w:type="dxa"/>
            <w:tcBorders>
              <w:top w:val="nil"/>
              <w:left w:val="nil"/>
              <w:bottom w:val="nil"/>
              <w:right w:val="nil"/>
            </w:tcBorders>
            <w:noWrap/>
            <w:hideMark/>
          </w:tcPr>
          <w:p w14:paraId="557F1C51" w14:textId="7A6741A2" w:rsidR="00393915" w:rsidRDefault="00817E01">
            <w:pPr>
              <w:pStyle w:val="P68B1DB1-Normal91"/>
            </w:pPr>
            <w:r w:rsidRPr="00AE309B">
              <w:t>DIAS (Interbanking Systems S.A.)</w:t>
            </w:r>
          </w:p>
        </w:tc>
      </w:tr>
      <w:tr w:rsidR="00393915" w14:paraId="2ADBEB7D" w14:textId="77777777" w:rsidTr="00F83F66">
        <w:trPr>
          <w:trHeight w:val="300"/>
        </w:trPr>
        <w:tc>
          <w:tcPr>
            <w:tcW w:w="9072" w:type="dxa"/>
            <w:tcBorders>
              <w:top w:val="nil"/>
              <w:left w:val="nil"/>
              <w:bottom w:val="nil"/>
              <w:right w:val="nil"/>
            </w:tcBorders>
            <w:noWrap/>
            <w:hideMark/>
          </w:tcPr>
          <w:p w14:paraId="08C28E5B" w14:textId="664DDBCF" w:rsidR="00393915" w:rsidRDefault="00817E01">
            <w:pPr>
              <w:pStyle w:val="P68B1DB1-Normal91"/>
            </w:pPr>
            <w:r w:rsidRPr="00AE309B">
              <w:t>DTC (Depository Trust Company)</w:t>
            </w:r>
          </w:p>
        </w:tc>
      </w:tr>
      <w:tr w:rsidR="00393915" w14:paraId="797F9EF8" w14:textId="77777777" w:rsidTr="00F83F66">
        <w:trPr>
          <w:trHeight w:val="300"/>
        </w:trPr>
        <w:tc>
          <w:tcPr>
            <w:tcW w:w="9072" w:type="dxa"/>
            <w:tcBorders>
              <w:top w:val="nil"/>
              <w:left w:val="nil"/>
              <w:bottom w:val="nil"/>
              <w:right w:val="nil"/>
            </w:tcBorders>
            <w:noWrap/>
            <w:hideMark/>
          </w:tcPr>
          <w:p w14:paraId="51E5D740" w14:textId="53F68D0F" w:rsidR="00393915" w:rsidRDefault="00817E01">
            <w:pPr>
              <w:pStyle w:val="P68B1DB1-Normal91"/>
            </w:pPr>
            <w:r w:rsidRPr="00AE309B">
              <w:t>DTCC Derivatives Repository Plc</w:t>
            </w:r>
          </w:p>
        </w:tc>
      </w:tr>
      <w:tr w:rsidR="00393915" w14:paraId="6ADFC287" w14:textId="77777777" w:rsidTr="00F83F66">
        <w:trPr>
          <w:trHeight w:val="300"/>
        </w:trPr>
        <w:tc>
          <w:tcPr>
            <w:tcW w:w="9072" w:type="dxa"/>
            <w:tcBorders>
              <w:top w:val="nil"/>
              <w:left w:val="nil"/>
              <w:bottom w:val="nil"/>
              <w:right w:val="nil"/>
            </w:tcBorders>
            <w:noWrap/>
            <w:hideMark/>
          </w:tcPr>
          <w:p w14:paraId="30027F70" w14:textId="348E51C4" w:rsidR="00393915" w:rsidRDefault="00817E01">
            <w:pPr>
              <w:pStyle w:val="P68B1DB1-Normal91"/>
            </w:pPr>
            <w:r w:rsidRPr="00AE309B">
              <w:t>Electronic Clearing System (EKS)</w:t>
            </w:r>
          </w:p>
        </w:tc>
      </w:tr>
      <w:tr w:rsidR="00393915" w14:paraId="3C13C365" w14:textId="77777777" w:rsidTr="00F83F66">
        <w:trPr>
          <w:trHeight w:val="300"/>
        </w:trPr>
        <w:tc>
          <w:tcPr>
            <w:tcW w:w="9072" w:type="dxa"/>
            <w:tcBorders>
              <w:top w:val="nil"/>
              <w:left w:val="nil"/>
              <w:bottom w:val="nil"/>
              <w:right w:val="nil"/>
            </w:tcBorders>
            <w:noWrap/>
            <w:hideMark/>
          </w:tcPr>
          <w:p w14:paraId="2536A2E4" w14:textId="52E39376" w:rsidR="00393915" w:rsidRDefault="00817E01">
            <w:pPr>
              <w:pStyle w:val="P68B1DB1-Normal91"/>
            </w:pPr>
            <w:r w:rsidRPr="00AE309B">
              <w:t>ELIXIR</w:t>
            </w:r>
          </w:p>
        </w:tc>
      </w:tr>
      <w:tr w:rsidR="00393915" w14:paraId="59490FEF" w14:textId="77777777" w:rsidTr="00F83F66">
        <w:trPr>
          <w:trHeight w:val="300"/>
        </w:trPr>
        <w:tc>
          <w:tcPr>
            <w:tcW w:w="9072" w:type="dxa"/>
            <w:tcBorders>
              <w:top w:val="nil"/>
              <w:left w:val="nil"/>
              <w:bottom w:val="nil"/>
              <w:right w:val="nil"/>
            </w:tcBorders>
            <w:noWrap/>
            <w:hideMark/>
          </w:tcPr>
          <w:p w14:paraId="5D3BC6DE" w14:textId="7F9CE5BD" w:rsidR="00393915" w:rsidRDefault="00817E01">
            <w:pPr>
              <w:pStyle w:val="P68B1DB1-Normal91"/>
            </w:pPr>
            <w:r w:rsidRPr="00AE309B">
              <w:t>Equens</w:t>
            </w:r>
          </w:p>
        </w:tc>
      </w:tr>
      <w:tr w:rsidR="00393915" w14:paraId="7151AAFC" w14:textId="77777777" w:rsidTr="00F83F66">
        <w:trPr>
          <w:trHeight w:val="300"/>
        </w:trPr>
        <w:tc>
          <w:tcPr>
            <w:tcW w:w="9072" w:type="dxa"/>
            <w:tcBorders>
              <w:top w:val="nil"/>
              <w:left w:val="nil"/>
              <w:bottom w:val="nil"/>
              <w:right w:val="nil"/>
            </w:tcBorders>
            <w:noWrap/>
            <w:hideMark/>
          </w:tcPr>
          <w:p w14:paraId="62F52322" w14:textId="412675A0" w:rsidR="00393915" w:rsidRDefault="00817E01">
            <w:pPr>
              <w:pStyle w:val="P68B1DB1-Normal91"/>
            </w:pPr>
            <w:r w:rsidRPr="00AE309B">
              <w:t>EUREX Clearing AG</w:t>
            </w:r>
          </w:p>
        </w:tc>
      </w:tr>
      <w:tr w:rsidR="00393915" w14:paraId="20047EE0" w14:textId="77777777" w:rsidTr="00F83F66">
        <w:trPr>
          <w:trHeight w:val="300"/>
        </w:trPr>
        <w:tc>
          <w:tcPr>
            <w:tcW w:w="9072" w:type="dxa"/>
            <w:tcBorders>
              <w:top w:val="nil"/>
              <w:left w:val="nil"/>
              <w:bottom w:val="nil"/>
              <w:right w:val="nil"/>
            </w:tcBorders>
            <w:noWrap/>
            <w:hideMark/>
          </w:tcPr>
          <w:p w14:paraId="65198B5E" w14:textId="7B7B5F9A" w:rsidR="00393915" w:rsidRDefault="00817E01">
            <w:pPr>
              <w:pStyle w:val="P68B1DB1-Normal91"/>
            </w:pPr>
            <w:r w:rsidRPr="00AE309B">
              <w:t>EURO 1</w:t>
            </w:r>
          </w:p>
        </w:tc>
      </w:tr>
      <w:tr w:rsidR="00393915" w14:paraId="51532B57" w14:textId="77777777" w:rsidTr="00F83F66">
        <w:trPr>
          <w:trHeight w:val="300"/>
        </w:trPr>
        <w:tc>
          <w:tcPr>
            <w:tcW w:w="9072" w:type="dxa"/>
            <w:tcBorders>
              <w:top w:val="nil"/>
              <w:left w:val="nil"/>
              <w:bottom w:val="nil"/>
              <w:right w:val="nil"/>
            </w:tcBorders>
            <w:noWrap/>
            <w:hideMark/>
          </w:tcPr>
          <w:p w14:paraId="6784162A" w14:textId="470F870A" w:rsidR="00393915" w:rsidRDefault="00817E01">
            <w:pPr>
              <w:pStyle w:val="P68B1DB1-Normal91"/>
            </w:pPr>
            <w:r w:rsidRPr="00AE309B">
              <w:t>Euroclear Bank</w:t>
            </w:r>
          </w:p>
        </w:tc>
      </w:tr>
      <w:tr w:rsidR="00393915" w14:paraId="1FED107A" w14:textId="77777777" w:rsidTr="00F83F66">
        <w:trPr>
          <w:trHeight w:val="300"/>
        </w:trPr>
        <w:tc>
          <w:tcPr>
            <w:tcW w:w="9072" w:type="dxa"/>
            <w:tcBorders>
              <w:top w:val="nil"/>
              <w:left w:val="nil"/>
              <w:bottom w:val="nil"/>
              <w:right w:val="nil"/>
            </w:tcBorders>
            <w:noWrap/>
            <w:hideMark/>
          </w:tcPr>
          <w:p w14:paraId="7EB27986" w14:textId="39BC5A48" w:rsidR="00393915" w:rsidRDefault="00817E01">
            <w:pPr>
              <w:pStyle w:val="P68B1DB1-Normal91"/>
            </w:pPr>
            <w:r w:rsidRPr="00AE309B">
              <w:t>Euroclear Belgium (ESES)</w:t>
            </w:r>
          </w:p>
        </w:tc>
      </w:tr>
      <w:tr w:rsidR="00393915" w14:paraId="19126F92" w14:textId="77777777" w:rsidTr="00F83F66">
        <w:trPr>
          <w:trHeight w:val="300"/>
        </w:trPr>
        <w:tc>
          <w:tcPr>
            <w:tcW w:w="9072" w:type="dxa"/>
            <w:tcBorders>
              <w:top w:val="nil"/>
              <w:left w:val="nil"/>
              <w:bottom w:val="nil"/>
              <w:right w:val="nil"/>
            </w:tcBorders>
            <w:noWrap/>
            <w:hideMark/>
          </w:tcPr>
          <w:p w14:paraId="649DE977" w14:textId="09E05939" w:rsidR="00393915" w:rsidRDefault="00817E01">
            <w:pPr>
              <w:pStyle w:val="P68B1DB1-Normal91"/>
            </w:pPr>
            <w:r w:rsidRPr="00AE309B">
              <w:t>Euroclear Finland</w:t>
            </w:r>
          </w:p>
        </w:tc>
      </w:tr>
      <w:tr w:rsidR="00393915" w14:paraId="37A9A6E1" w14:textId="77777777" w:rsidTr="00F83F66">
        <w:trPr>
          <w:trHeight w:val="300"/>
        </w:trPr>
        <w:tc>
          <w:tcPr>
            <w:tcW w:w="9072" w:type="dxa"/>
            <w:tcBorders>
              <w:top w:val="nil"/>
              <w:left w:val="nil"/>
              <w:bottom w:val="nil"/>
              <w:right w:val="nil"/>
            </w:tcBorders>
            <w:noWrap/>
            <w:hideMark/>
          </w:tcPr>
          <w:p w14:paraId="734EF8BF" w14:textId="7ECB83BE" w:rsidR="00393915" w:rsidRDefault="00817E01">
            <w:pPr>
              <w:pStyle w:val="P68B1DB1-Normal91"/>
            </w:pPr>
            <w:r w:rsidRPr="00AE309B">
              <w:t>Euroclear France (ESES)</w:t>
            </w:r>
          </w:p>
        </w:tc>
      </w:tr>
      <w:tr w:rsidR="00393915" w14:paraId="33F2EFD1" w14:textId="77777777" w:rsidTr="00F83F66">
        <w:trPr>
          <w:trHeight w:val="300"/>
        </w:trPr>
        <w:tc>
          <w:tcPr>
            <w:tcW w:w="9072" w:type="dxa"/>
            <w:tcBorders>
              <w:top w:val="nil"/>
              <w:left w:val="nil"/>
              <w:bottom w:val="nil"/>
              <w:right w:val="nil"/>
            </w:tcBorders>
            <w:noWrap/>
            <w:hideMark/>
          </w:tcPr>
          <w:p w14:paraId="0273EA5F" w14:textId="608A1E63" w:rsidR="00393915" w:rsidRDefault="00817E01">
            <w:pPr>
              <w:pStyle w:val="P68B1DB1-Normal91"/>
            </w:pPr>
            <w:r w:rsidRPr="00AE309B">
              <w:t>Euroclear Netherlands (ESES)</w:t>
            </w:r>
          </w:p>
        </w:tc>
      </w:tr>
      <w:tr w:rsidR="00393915" w14:paraId="7B056DB0" w14:textId="77777777" w:rsidTr="00F83F66">
        <w:trPr>
          <w:trHeight w:val="300"/>
        </w:trPr>
        <w:tc>
          <w:tcPr>
            <w:tcW w:w="9072" w:type="dxa"/>
            <w:tcBorders>
              <w:top w:val="nil"/>
              <w:left w:val="nil"/>
              <w:bottom w:val="nil"/>
              <w:right w:val="nil"/>
            </w:tcBorders>
            <w:noWrap/>
            <w:hideMark/>
          </w:tcPr>
          <w:p w14:paraId="09E6EC57" w14:textId="2DBC9A4D" w:rsidR="00393915" w:rsidRDefault="00817E01">
            <w:pPr>
              <w:pStyle w:val="P68B1DB1-Normal91"/>
            </w:pPr>
            <w:r w:rsidRPr="00AE309B">
              <w:t>Euroclear Sweden AB (VPC systemet)</w:t>
            </w:r>
          </w:p>
        </w:tc>
      </w:tr>
      <w:tr w:rsidR="00393915" w14:paraId="3D614022" w14:textId="77777777" w:rsidTr="00F83F66">
        <w:trPr>
          <w:trHeight w:val="300"/>
        </w:trPr>
        <w:tc>
          <w:tcPr>
            <w:tcW w:w="9072" w:type="dxa"/>
            <w:tcBorders>
              <w:top w:val="nil"/>
              <w:left w:val="nil"/>
              <w:bottom w:val="nil"/>
              <w:right w:val="nil"/>
            </w:tcBorders>
            <w:noWrap/>
            <w:hideMark/>
          </w:tcPr>
          <w:p w14:paraId="1A4DFFF6" w14:textId="377849C0" w:rsidR="00393915" w:rsidRDefault="00817E01">
            <w:pPr>
              <w:pStyle w:val="P68B1DB1-Normal91"/>
            </w:pPr>
            <w:r w:rsidRPr="00AE309B">
              <w:t>Euroclear UK &amp; Ireland Limited (EUI) (CREST)</w:t>
            </w:r>
          </w:p>
        </w:tc>
      </w:tr>
      <w:tr w:rsidR="00393915" w14:paraId="55B08F89" w14:textId="77777777" w:rsidTr="00F83F66">
        <w:trPr>
          <w:trHeight w:val="300"/>
        </w:trPr>
        <w:tc>
          <w:tcPr>
            <w:tcW w:w="9072" w:type="dxa"/>
            <w:tcBorders>
              <w:top w:val="nil"/>
              <w:left w:val="nil"/>
              <w:bottom w:val="nil"/>
              <w:right w:val="nil"/>
            </w:tcBorders>
            <w:noWrap/>
            <w:hideMark/>
          </w:tcPr>
          <w:p w14:paraId="56E621EE" w14:textId="1CB2130F" w:rsidR="00393915" w:rsidRDefault="00817E01">
            <w:pPr>
              <w:pStyle w:val="P68B1DB1-Normal91"/>
            </w:pPr>
            <w:r w:rsidRPr="00AE309B">
              <w:t>Euronext Amsterdam Cash Market</w:t>
            </w:r>
          </w:p>
        </w:tc>
      </w:tr>
      <w:tr w:rsidR="00393915" w14:paraId="08BE70B5" w14:textId="77777777">
        <w:trPr>
          <w:trHeight w:val="300"/>
        </w:trPr>
        <w:tc>
          <w:tcPr>
            <w:tcW w:w="9072" w:type="dxa"/>
            <w:tcBorders>
              <w:top w:val="nil"/>
              <w:left w:val="nil"/>
              <w:bottom w:val="nil"/>
              <w:right w:val="nil"/>
            </w:tcBorders>
            <w:noWrap/>
            <w:vAlign w:val="bottom"/>
            <w:hideMark/>
          </w:tcPr>
          <w:p w14:paraId="717F6012" w14:textId="77777777" w:rsidR="00393915" w:rsidRDefault="00F24D68">
            <w:pPr>
              <w:pStyle w:val="P68B1DB1-Normal91"/>
            </w:pPr>
            <w:r>
              <w:t>Euronext Brussels SA</w:t>
            </w:r>
          </w:p>
          <w:p w14:paraId="3E95828F" w14:textId="77777777" w:rsidR="00393915" w:rsidRDefault="00F24D68">
            <w:pPr>
              <w:rPr>
                <w:rFonts w:eastAsia="Times New Roman" w:cs="Calibri"/>
                <w:color w:val="000000"/>
                <w:sz w:val="18"/>
                <w:szCs w:val="18"/>
              </w:rPr>
            </w:pPr>
            <w:r>
              <w:rPr>
                <w:rFonts w:eastAsia="Times New Roman" w:cs="Calibri"/>
                <w:color w:val="000000"/>
                <w:sz w:val="18"/>
                <w:szCs w:val="18"/>
              </w:rPr>
              <w:t>Euronext Clearing</w:t>
            </w:r>
            <w:r>
              <w:rPr>
                <w:rStyle w:val="FootnoteReference"/>
                <w:rFonts w:eastAsia="Times New Roman" w:cs="Calibri"/>
                <w:color w:val="000000"/>
                <w:sz w:val="18"/>
              </w:rPr>
              <w:footnoteReference w:id="37"/>
            </w:r>
          </w:p>
        </w:tc>
      </w:tr>
      <w:tr w:rsidR="00393915" w14:paraId="6A3A4767" w14:textId="77777777" w:rsidTr="00F83F66">
        <w:trPr>
          <w:trHeight w:val="300"/>
        </w:trPr>
        <w:tc>
          <w:tcPr>
            <w:tcW w:w="9072" w:type="dxa"/>
            <w:tcBorders>
              <w:top w:val="nil"/>
              <w:left w:val="nil"/>
              <w:bottom w:val="nil"/>
              <w:right w:val="nil"/>
            </w:tcBorders>
            <w:noWrap/>
            <w:hideMark/>
          </w:tcPr>
          <w:p w14:paraId="0CF6918B" w14:textId="7691E4C9" w:rsidR="00393915" w:rsidRDefault="00817E01">
            <w:pPr>
              <w:pStyle w:val="P68B1DB1-Normal91"/>
            </w:pPr>
            <w:r w:rsidRPr="00D920ED">
              <w:t>Euronext Lisbon SA</w:t>
            </w:r>
          </w:p>
        </w:tc>
      </w:tr>
      <w:tr w:rsidR="00393915" w14:paraId="1114BA7C" w14:textId="77777777" w:rsidTr="00F83F66">
        <w:trPr>
          <w:trHeight w:val="300"/>
        </w:trPr>
        <w:tc>
          <w:tcPr>
            <w:tcW w:w="9072" w:type="dxa"/>
            <w:tcBorders>
              <w:top w:val="nil"/>
              <w:left w:val="nil"/>
              <w:bottom w:val="nil"/>
              <w:right w:val="nil"/>
            </w:tcBorders>
            <w:noWrap/>
            <w:hideMark/>
          </w:tcPr>
          <w:p w14:paraId="58D22650" w14:textId="5602F804" w:rsidR="00393915" w:rsidRDefault="00817E01">
            <w:pPr>
              <w:pStyle w:val="P68B1DB1-Normal91"/>
            </w:pPr>
            <w:r w:rsidRPr="00D920ED">
              <w:t>European CCP NV</w:t>
            </w:r>
          </w:p>
        </w:tc>
      </w:tr>
      <w:tr w:rsidR="00393915" w14:paraId="1758B1C2" w14:textId="77777777" w:rsidTr="00F83F66">
        <w:trPr>
          <w:trHeight w:val="300"/>
        </w:trPr>
        <w:tc>
          <w:tcPr>
            <w:tcW w:w="9072" w:type="dxa"/>
            <w:tcBorders>
              <w:top w:val="nil"/>
              <w:left w:val="nil"/>
              <w:bottom w:val="nil"/>
              <w:right w:val="nil"/>
            </w:tcBorders>
            <w:noWrap/>
            <w:hideMark/>
          </w:tcPr>
          <w:p w14:paraId="6342DE58" w14:textId="4AF19B2D" w:rsidR="00393915" w:rsidRDefault="00817E01">
            <w:pPr>
              <w:pStyle w:val="P68B1DB1-Normal91"/>
            </w:pPr>
            <w:r w:rsidRPr="00D920ED">
              <w:t>European Commodity Clearing (ECC)</w:t>
            </w:r>
          </w:p>
        </w:tc>
      </w:tr>
      <w:tr w:rsidR="00393915" w14:paraId="0DDA2A90" w14:textId="77777777" w:rsidTr="00F83F66">
        <w:trPr>
          <w:trHeight w:val="300"/>
        </w:trPr>
        <w:tc>
          <w:tcPr>
            <w:tcW w:w="9072" w:type="dxa"/>
            <w:tcBorders>
              <w:top w:val="nil"/>
              <w:left w:val="nil"/>
              <w:bottom w:val="nil"/>
              <w:right w:val="nil"/>
            </w:tcBorders>
            <w:noWrap/>
            <w:hideMark/>
          </w:tcPr>
          <w:p w14:paraId="40A82682" w14:textId="31DAF281" w:rsidR="00393915" w:rsidRDefault="00817E01">
            <w:pPr>
              <w:pStyle w:val="P68B1DB1-Normal91"/>
            </w:pPr>
            <w:r w:rsidRPr="00D920ED">
              <w:t>Express Elixir</w:t>
            </w:r>
          </w:p>
        </w:tc>
      </w:tr>
      <w:tr w:rsidR="00393915" w14:paraId="542DFF49" w14:textId="77777777" w:rsidTr="00F83F66">
        <w:trPr>
          <w:trHeight w:val="300"/>
        </w:trPr>
        <w:tc>
          <w:tcPr>
            <w:tcW w:w="9072" w:type="dxa"/>
            <w:tcBorders>
              <w:top w:val="nil"/>
              <w:left w:val="nil"/>
              <w:bottom w:val="nil"/>
              <w:right w:val="nil"/>
            </w:tcBorders>
            <w:noWrap/>
            <w:hideMark/>
          </w:tcPr>
          <w:p w14:paraId="059F87EB" w14:textId="3795FA95" w:rsidR="00393915" w:rsidRDefault="00817E01">
            <w:pPr>
              <w:pStyle w:val="P68B1DB1-Normal91"/>
            </w:pPr>
            <w:r w:rsidRPr="00D920ED">
              <w:t>Faster Payments Service (FPS)</w:t>
            </w:r>
          </w:p>
        </w:tc>
      </w:tr>
      <w:tr w:rsidR="00393915" w14:paraId="4CFAE77A" w14:textId="77777777" w:rsidTr="00F83F66">
        <w:trPr>
          <w:trHeight w:val="300"/>
        </w:trPr>
        <w:tc>
          <w:tcPr>
            <w:tcW w:w="9072" w:type="dxa"/>
            <w:tcBorders>
              <w:top w:val="nil"/>
              <w:left w:val="nil"/>
              <w:bottom w:val="nil"/>
              <w:right w:val="nil"/>
            </w:tcBorders>
            <w:noWrap/>
            <w:hideMark/>
          </w:tcPr>
          <w:p w14:paraId="03A78736" w14:textId="0FBAF70E" w:rsidR="00393915" w:rsidRDefault="00817E01">
            <w:pPr>
              <w:pStyle w:val="P68B1DB1-Normal91"/>
            </w:pPr>
            <w:r w:rsidRPr="00D920ED">
              <w:t>FedACH Services</w:t>
            </w:r>
          </w:p>
        </w:tc>
      </w:tr>
      <w:tr w:rsidR="00393915" w14:paraId="1A8E545B" w14:textId="77777777" w:rsidTr="00F83F66">
        <w:trPr>
          <w:trHeight w:val="300"/>
        </w:trPr>
        <w:tc>
          <w:tcPr>
            <w:tcW w:w="9072" w:type="dxa"/>
            <w:tcBorders>
              <w:top w:val="nil"/>
              <w:left w:val="nil"/>
              <w:bottom w:val="nil"/>
              <w:right w:val="nil"/>
            </w:tcBorders>
            <w:noWrap/>
            <w:hideMark/>
          </w:tcPr>
          <w:p w14:paraId="508F0A63" w14:textId="12A48E29" w:rsidR="00393915" w:rsidRDefault="00817E01">
            <w:pPr>
              <w:pStyle w:val="P68B1DB1-Normal91"/>
            </w:pPr>
            <w:r w:rsidRPr="00D920ED">
              <w:t>Fedwire Funds Service</w:t>
            </w:r>
          </w:p>
        </w:tc>
      </w:tr>
      <w:tr w:rsidR="00393915" w14:paraId="7603EDE5" w14:textId="77777777" w:rsidTr="00F83F66">
        <w:trPr>
          <w:trHeight w:val="300"/>
        </w:trPr>
        <w:tc>
          <w:tcPr>
            <w:tcW w:w="9072" w:type="dxa"/>
            <w:tcBorders>
              <w:top w:val="nil"/>
              <w:left w:val="nil"/>
              <w:bottom w:val="nil"/>
              <w:right w:val="nil"/>
            </w:tcBorders>
            <w:noWrap/>
            <w:hideMark/>
          </w:tcPr>
          <w:p w14:paraId="6146D91C" w14:textId="4DEE659A" w:rsidR="00393915" w:rsidRDefault="00817E01">
            <w:pPr>
              <w:pStyle w:val="P68B1DB1-Normal91"/>
            </w:pPr>
            <w:r w:rsidRPr="00D920ED">
              <w:t>Fedwire Securities Services</w:t>
            </w:r>
          </w:p>
        </w:tc>
      </w:tr>
      <w:tr w:rsidR="00393915" w14:paraId="638B9492" w14:textId="77777777" w:rsidTr="00F83F66">
        <w:trPr>
          <w:trHeight w:val="300"/>
        </w:trPr>
        <w:tc>
          <w:tcPr>
            <w:tcW w:w="9072" w:type="dxa"/>
            <w:tcBorders>
              <w:top w:val="nil"/>
              <w:left w:val="nil"/>
              <w:bottom w:val="nil"/>
              <w:right w:val="nil"/>
            </w:tcBorders>
            <w:noWrap/>
            <w:hideMark/>
          </w:tcPr>
          <w:p w14:paraId="0FCA6B85" w14:textId="4DBCB350" w:rsidR="00393915" w:rsidRDefault="00817E01">
            <w:pPr>
              <w:pStyle w:val="P68B1DB1-Normal91"/>
            </w:pPr>
            <w:r w:rsidRPr="00D920ED">
              <w:t>Fixed Income Clearing Corp (FICC)</w:t>
            </w:r>
          </w:p>
        </w:tc>
      </w:tr>
      <w:tr w:rsidR="00393915" w14:paraId="4384BE65" w14:textId="77777777" w:rsidTr="00F83F66">
        <w:trPr>
          <w:trHeight w:val="300"/>
        </w:trPr>
        <w:tc>
          <w:tcPr>
            <w:tcW w:w="9072" w:type="dxa"/>
            <w:tcBorders>
              <w:top w:val="nil"/>
              <w:left w:val="nil"/>
              <w:bottom w:val="nil"/>
              <w:right w:val="nil"/>
            </w:tcBorders>
            <w:noWrap/>
            <w:hideMark/>
          </w:tcPr>
          <w:p w14:paraId="7CCF9B46" w14:textId="5B37F341" w:rsidR="00393915" w:rsidRDefault="00817E01">
            <w:pPr>
              <w:pStyle w:val="P68B1DB1-Normal91"/>
            </w:pPr>
            <w:r w:rsidRPr="00D920ED">
              <w:t>Gielda Papierow Wartosciowych w Warszawie (Warsaw Stock Exchange)</w:t>
            </w:r>
          </w:p>
        </w:tc>
      </w:tr>
      <w:tr w:rsidR="00393915" w14:paraId="62CB1AB6" w14:textId="77777777" w:rsidTr="00F83F66">
        <w:trPr>
          <w:trHeight w:val="300"/>
        </w:trPr>
        <w:tc>
          <w:tcPr>
            <w:tcW w:w="9072" w:type="dxa"/>
            <w:tcBorders>
              <w:top w:val="nil"/>
              <w:left w:val="nil"/>
              <w:bottom w:val="nil"/>
              <w:right w:val="nil"/>
            </w:tcBorders>
            <w:noWrap/>
            <w:hideMark/>
          </w:tcPr>
          <w:p w14:paraId="56890D2B" w14:textId="0C7BF3BC" w:rsidR="00393915" w:rsidRDefault="00817E01">
            <w:pPr>
              <w:pStyle w:val="P68B1DB1-Normal91"/>
            </w:pPr>
            <w:r w:rsidRPr="00D920ED">
              <w:t>Government Securities Depository (GSD)</w:t>
            </w:r>
          </w:p>
        </w:tc>
      </w:tr>
      <w:tr w:rsidR="00393915" w14:paraId="5B41050C" w14:textId="77777777" w:rsidTr="00F83F66">
        <w:trPr>
          <w:trHeight w:val="300"/>
        </w:trPr>
        <w:tc>
          <w:tcPr>
            <w:tcW w:w="9072" w:type="dxa"/>
            <w:tcBorders>
              <w:top w:val="nil"/>
              <w:left w:val="nil"/>
              <w:bottom w:val="nil"/>
              <w:right w:val="nil"/>
            </w:tcBorders>
            <w:noWrap/>
            <w:hideMark/>
          </w:tcPr>
          <w:p w14:paraId="24CCAE22" w14:textId="0A423516" w:rsidR="00393915" w:rsidRDefault="00817E01">
            <w:pPr>
              <w:pStyle w:val="P68B1DB1-Normal91"/>
            </w:pPr>
            <w:r w:rsidRPr="00D920ED">
              <w:t>HSVP (RTGS)</w:t>
            </w:r>
          </w:p>
        </w:tc>
      </w:tr>
      <w:tr w:rsidR="00393915" w14:paraId="013849A1" w14:textId="77777777" w:rsidTr="00F83F66">
        <w:trPr>
          <w:trHeight w:val="300"/>
        </w:trPr>
        <w:tc>
          <w:tcPr>
            <w:tcW w:w="9072" w:type="dxa"/>
            <w:tcBorders>
              <w:top w:val="nil"/>
              <w:left w:val="nil"/>
              <w:bottom w:val="nil"/>
              <w:right w:val="nil"/>
            </w:tcBorders>
            <w:noWrap/>
            <w:hideMark/>
          </w:tcPr>
          <w:p w14:paraId="686B8E20" w14:textId="28FB52E7" w:rsidR="00393915" w:rsidRDefault="00817E01">
            <w:pPr>
              <w:pStyle w:val="P68B1DB1-Normal91"/>
            </w:pPr>
            <w:r w:rsidRPr="00D920ED">
              <w:t>Iberclear</w:t>
            </w:r>
          </w:p>
        </w:tc>
      </w:tr>
      <w:tr w:rsidR="00393915" w14:paraId="69A745A4" w14:textId="77777777" w:rsidTr="00F83F66">
        <w:trPr>
          <w:trHeight w:val="300"/>
        </w:trPr>
        <w:tc>
          <w:tcPr>
            <w:tcW w:w="9072" w:type="dxa"/>
            <w:tcBorders>
              <w:top w:val="nil"/>
              <w:left w:val="nil"/>
              <w:bottom w:val="nil"/>
              <w:right w:val="nil"/>
            </w:tcBorders>
            <w:noWrap/>
            <w:hideMark/>
          </w:tcPr>
          <w:p w14:paraId="676D5D75" w14:textId="4CA82D73" w:rsidR="00393915" w:rsidRDefault="00817E01">
            <w:pPr>
              <w:pStyle w:val="P68B1DB1-Normal91"/>
            </w:pPr>
            <w:r w:rsidRPr="00D920ED">
              <w:t>ICE Clear</w:t>
            </w:r>
          </w:p>
        </w:tc>
      </w:tr>
      <w:tr w:rsidR="00393915" w14:paraId="780088CD" w14:textId="77777777" w:rsidTr="00F83F66">
        <w:trPr>
          <w:trHeight w:val="300"/>
        </w:trPr>
        <w:tc>
          <w:tcPr>
            <w:tcW w:w="9072" w:type="dxa"/>
            <w:tcBorders>
              <w:top w:val="nil"/>
              <w:left w:val="nil"/>
              <w:bottom w:val="nil"/>
              <w:right w:val="nil"/>
            </w:tcBorders>
            <w:noWrap/>
            <w:hideMark/>
          </w:tcPr>
          <w:p w14:paraId="51279EB6" w14:textId="6AE48432" w:rsidR="00393915" w:rsidRDefault="00817E01">
            <w:pPr>
              <w:pStyle w:val="P68B1DB1-Normal91"/>
            </w:pPr>
            <w:r w:rsidRPr="00D920ED">
              <w:t>ICE Clear Europe Limited</w:t>
            </w:r>
          </w:p>
        </w:tc>
      </w:tr>
      <w:tr w:rsidR="00393915" w14:paraId="0A625316" w14:textId="77777777" w:rsidTr="00F83F66">
        <w:trPr>
          <w:trHeight w:val="300"/>
        </w:trPr>
        <w:tc>
          <w:tcPr>
            <w:tcW w:w="9072" w:type="dxa"/>
            <w:tcBorders>
              <w:top w:val="nil"/>
              <w:left w:val="nil"/>
              <w:bottom w:val="nil"/>
              <w:right w:val="nil"/>
            </w:tcBorders>
            <w:noWrap/>
            <w:hideMark/>
          </w:tcPr>
          <w:p w14:paraId="478D14C3" w14:textId="5BB04FD3" w:rsidR="00393915" w:rsidRDefault="00817E01">
            <w:pPr>
              <w:pStyle w:val="P68B1DB1-Normal91"/>
            </w:pPr>
            <w:r w:rsidRPr="00D920ED">
              <w:lastRenderedPageBreak/>
              <w:t>ICE Clear Netherlands</w:t>
            </w:r>
          </w:p>
        </w:tc>
      </w:tr>
      <w:tr w:rsidR="00393915" w14:paraId="7BA736BC" w14:textId="77777777" w:rsidTr="00F83F66">
        <w:trPr>
          <w:trHeight w:val="300"/>
        </w:trPr>
        <w:tc>
          <w:tcPr>
            <w:tcW w:w="9072" w:type="dxa"/>
            <w:tcBorders>
              <w:top w:val="nil"/>
              <w:left w:val="nil"/>
              <w:bottom w:val="nil"/>
              <w:right w:val="nil"/>
            </w:tcBorders>
            <w:noWrap/>
            <w:hideMark/>
          </w:tcPr>
          <w:p w14:paraId="791A2916" w14:textId="15F32D98" w:rsidR="00393915" w:rsidRDefault="00817E01">
            <w:pPr>
              <w:pStyle w:val="P68B1DB1-Normal91"/>
            </w:pPr>
            <w:r w:rsidRPr="00D920ED">
              <w:t>ICE Trade Vault Europe Limited (ICE TVEL)</w:t>
            </w:r>
          </w:p>
        </w:tc>
      </w:tr>
      <w:tr w:rsidR="00393915" w14:paraId="6A1792FC" w14:textId="77777777" w:rsidTr="00F83F66">
        <w:trPr>
          <w:trHeight w:val="300"/>
        </w:trPr>
        <w:tc>
          <w:tcPr>
            <w:tcW w:w="9072" w:type="dxa"/>
            <w:tcBorders>
              <w:top w:val="nil"/>
              <w:left w:val="nil"/>
              <w:bottom w:val="nil"/>
              <w:right w:val="nil"/>
            </w:tcBorders>
            <w:noWrap/>
            <w:hideMark/>
          </w:tcPr>
          <w:p w14:paraId="58EBD357" w14:textId="2D28CED3" w:rsidR="00393915" w:rsidRDefault="00817E01">
            <w:pPr>
              <w:pStyle w:val="P68B1DB1-Normal91"/>
            </w:pPr>
            <w:r w:rsidRPr="00D920ED">
              <w:t>ID2S/RSSS</w:t>
            </w:r>
          </w:p>
        </w:tc>
      </w:tr>
      <w:tr w:rsidR="00393915" w14:paraId="23EF91EB" w14:textId="77777777" w:rsidTr="00F83F66">
        <w:trPr>
          <w:trHeight w:val="300"/>
        </w:trPr>
        <w:tc>
          <w:tcPr>
            <w:tcW w:w="9072" w:type="dxa"/>
            <w:tcBorders>
              <w:top w:val="nil"/>
              <w:left w:val="nil"/>
              <w:bottom w:val="nil"/>
              <w:right w:val="nil"/>
            </w:tcBorders>
            <w:noWrap/>
            <w:hideMark/>
          </w:tcPr>
          <w:p w14:paraId="256EBA58" w14:textId="11934DBF" w:rsidR="00393915" w:rsidRDefault="00817E01">
            <w:pPr>
              <w:pStyle w:val="P68B1DB1-Normal91"/>
            </w:pPr>
            <w:r w:rsidRPr="00D920ED">
              <w:t>Interbank Clearing System (ICS)</w:t>
            </w:r>
          </w:p>
        </w:tc>
      </w:tr>
      <w:tr w:rsidR="00393915" w14:paraId="61201BD5" w14:textId="77777777" w:rsidTr="00F83F66">
        <w:trPr>
          <w:trHeight w:val="300"/>
        </w:trPr>
        <w:tc>
          <w:tcPr>
            <w:tcW w:w="9072" w:type="dxa"/>
            <w:tcBorders>
              <w:top w:val="nil"/>
              <w:left w:val="nil"/>
              <w:bottom w:val="nil"/>
              <w:right w:val="nil"/>
            </w:tcBorders>
            <w:noWrap/>
            <w:hideMark/>
          </w:tcPr>
          <w:p w14:paraId="38BDB6F1" w14:textId="5B1A4ABD" w:rsidR="00393915" w:rsidRDefault="00817E01">
            <w:pPr>
              <w:pStyle w:val="P68B1DB1-Normal91"/>
            </w:pPr>
            <w:r w:rsidRPr="00D920ED">
              <w:t>INTERBOLSA</w:t>
            </w:r>
          </w:p>
        </w:tc>
      </w:tr>
      <w:tr w:rsidR="00393915" w14:paraId="3D13BEFD" w14:textId="77777777" w:rsidTr="00F83F66">
        <w:trPr>
          <w:trHeight w:val="300"/>
        </w:trPr>
        <w:tc>
          <w:tcPr>
            <w:tcW w:w="9072" w:type="dxa"/>
            <w:tcBorders>
              <w:top w:val="nil"/>
              <w:left w:val="nil"/>
              <w:bottom w:val="nil"/>
              <w:right w:val="nil"/>
            </w:tcBorders>
            <w:noWrap/>
            <w:hideMark/>
          </w:tcPr>
          <w:p w14:paraId="27D8A3E1" w14:textId="1AB210E6" w:rsidR="00393915" w:rsidRDefault="00817E01">
            <w:pPr>
              <w:pStyle w:val="P68B1DB1-Normal91"/>
            </w:pPr>
            <w:r w:rsidRPr="00D920ED">
              <w:t>IntradagClearing</w:t>
            </w:r>
          </w:p>
        </w:tc>
      </w:tr>
      <w:tr w:rsidR="00393915" w14:paraId="4CA95B12" w14:textId="77777777" w:rsidTr="00F83F66">
        <w:trPr>
          <w:trHeight w:val="300"/>
        </w:trPr>
        <w:tc>
          <w:tcPr>
            <w:tcW w:w="9072" w:type="dxa"/>
            <w:tcBorders>
              <w:top w:val="nil"/>
              <w:left w:val="nil"/>
              <w:bottom w:val="nil"/>
              <w:right w:val="nil"/>
            </w:tcBorders>
            <w:noWrap/>
            <w:hideMark/>
          </w:tcPr>
          <w:p w14:paraId="3992B7FE" w14:textId="3C3F1209" w:rsidR="00393915" w:rsidRDefault="00817E01">
            <w:pPr>
              <w:pStyle w:val="P68B1DB1-Normal91"/>
            </w:pPr>
            <w:r w:rsidRPr="00D920ED">
              <w:t>IRGiT Izba Rozliczeniowa Giełd Towarowych S.A (Commodity Clearing House</w:t>
            </w:r>
          </w:p>
        </w:tc>
      </w:tr>
      <w:tr w:rsidR="00393915" w14:paraId="5F42EC4B" w14:textId="77777777" w:rsidTr="00F83F66">
        <w:trPr>
          <w:trHeight w:val="300"/>
        </w:trPr>
        <w:tc>
          <w:tcPr>
            <w:tcW w:w="9072" w:type="dxa"/>
            <w:tcBorders>
              <w:top w:val="nil"/>
              <w:left w:val="nil"/>
              <w:bottom w:val="nil"/>
              <w:right w:val="nil"/>
            </w:tcBorders>
            <w:noWrap/>
            <w:hideMark/>
          </w:tcPr>
          <w:p w14:paraId="1817AC8A" w14:textId="5AA3ABE0" w:rsidR="00393915" w:rsidRDefault="00817E01">
            <w:pPr>
              <w:pStyle w:val="P68B1DB1-Normal91"/>
            </w:pPr>
            <w:r w:rsidRPr="00D920ED">
              <w:t>Irish Paper Clearing Company (IPCC)</w:t>
            </w:r>
          </w:p>
        </w:tc>
      </w:tr>
      <w:tr w:rsidR="00393915" w14:paraId="503DCAED" w14:textId="77777777" w:rsidTr="00F83F66">
        <w:trPr>
          <w:trHeight w:val="300"/>
        </w:trPr>
        <w:tc>
          <w:tcPr>
            <w:tcW w:w="9072" w:type="dxa"/>
            <w:tcBorders>
              <w:top w:val="nil"/>
              <w:left w:val="nil"/>
              <w:bottom w:val="nil"/>
              <w:right w:val="nil"/>
            </w:tcBorders>
            <w:noWrap/>
            <w:hideMark/>
          </w:tcPr>
          <w:p w14:paraId="256FE1FF" w14:textId="54058A96" w:rsidR="00393915" w:rsidRDefault="00817E01">
            <w:pPr>
              <w:pStyle w:val="P68B1DB1-Normal91"/>
            </w:pPr>
            <w:r w:rsidRPr="00D920ED">
              <w:t>Irish Stock Exchange Ltd</w:t>
            </w:r>
          </w:p>
        </w:tc>
      </w:tr>
      <w:tr w:rsidR="00393915" w14:paraId="01B9E362" w14:textId="77777777" w:rsidTr="00F83F66">
        <w:trPr>
          <w:trHeight w:val="300"/>
        </w:trPr>
        <w:tc>
          <w:tcPr>
            <w:tcW w:w="9072" w:type="dxa"/>
            <w:tcBorders>
              <w:top w:val="nil"/>
              <w:left w:val="nil"/>
              <w:bottom w:val="nil"/>
              <w:right w:val="nil"/>
            </w:tcBorders>
            <w:noWrap/>
            <w:hideMark/>
          </w:tcPr>
          <w:p w14:paraId="6D9ED763" w14:textId="73A29101" w:rsidR="00393915" w:rsidRDefault="00817E01">
            <w:pPr>
              <w:pStyle w:val="P68B1DB1-Normal91"/>
            </w:pPr>
            <w:r w:rsidRPr="00D920ED">
              <w:t>Japan Securities Clearing Corporation</w:t>
            </w:r>
          </w:p>
        </w:tc>
      </w:tr>
      <w:tr w:rsidR="00393915" w14:paraId="7B5B6AA0" w14:textId="77777777" w:rsidTr="00F83F66">
        <w:trPr>
          <w:trHeight w:val="300"/>
        </w:trPr>
        <w:tc>
          <w:tcPr>
            <w:tcW w:w="9072" w:type="dxa"/>
            <w:tcBorders>
              <w:top w:val="nil"/>
              <w:left w:val="nil"/>
              <w:bottom w:val="nil"/>
              <w:right w:val="nil"/>
            </w:tcBorders>
            <w:noWrap/>
            <w:hideMark/>
          </w:tcPr>
          <w:p w14:paraId="5354E82A" w14:textId="3EA1BE83" w:rsidR="00393915" w:rsidRDefault="00817E01">
            <w:pPr>
              <w:pStyle w:val="P68B1DB1-Normal91"/>
            </w:pPr>
            <w:r w:rsidRPr="00D920ED">
              <w:t>JASDEC</w:t>
            </w:r>
          </w:p>
        </w:tc>
      </w:tr>
      <w:tr w:rsidR="00393915" w14:paraId="5F2E7C68" w14:textId="77777777" w:rsidTr="00F83F66">
        <w:trPr>
          <w:trHeight w:val="300"/>
        </w:trPr>
        <w:tc>
          <w:tcPr>
            <w:tcW w:w="9072" w:type="dxa"/>
            <w:tcBorders>
              <w:top w:val="nil"/>
              <w:left w:val="nil"/>
              <w:bottom w:val="nil"/>
              <w:right w:val="nil"/>
            </w:tcBorders>
            <w:noWrap/>
            <w:hideMark/>
          </w:tcPr>
          <w:p w14:paraId="7D166505" w14:textId="5E1677D6" w:rsidR="00393915" w:rsidRDefault="00817E01">
            <w:pPr>
              <w:pStyle w:val="P68B1DB1-Normal91"/>
            </w:pPr>
            <w:r w:rsidRPr="00D920ED">
              <w:t>JASDEC DVP</w:t>
            </w:r>
          </w:p>
        </w:tc>
      </w:tr>
      <w:tr w:rsidR="00393915" w14:paraId="4048BA0D" w14:textId="77777777" w:rsidTr="00F83F66">
        <w:trPr>
          <w:trHeight w:val="300"/>
        </w:trPr>
        <w:tc>
          <w:tcPr>
            <w:tcW w:w="9072" w:type="dxa"/>
            <w:tcBorders>
              <w:top w:val="nil"/>
              <w:left w:val="nil"/>
              <w:bottom w:val="nil"/>
              <w:right w:val="nil"/>
            </w:tcBorders>
            <w:noWrap/>
            <w:hideMark/>
          </w:tcPr>
          <w:p w14:paraId="15678AE9" w14:textId="1F003B30" w:rsidR="00393915" w:rsidRDefault="00817E01">
            <w:pPr>
              <w:pStyle w:val="P68B1DB1-Normal91"/>
            </w:pPr>
            <w:r w:rsidRPr="00D920ED">
              <w:t>JCC</w:t>
            </w:r>
          </w:p>
        </w:tc>
      </w:tr>
      <w:tr w:rsidR="00393915" w14:paraId="12A3C713" w14:textId="77777777" w:rsidTr="00F83F66">
        <w:trPr>
          <w:trHeight w:val="300"/>
        </w:trPr>
        <w:tc>
          <w:tcPr>
            <w:tcW w:w="9072" w:type="dxa"/>
            <w:tcBorders>
              <w:top w:val="nil"/>
              <w:left w:val="nil"/>
              <w:bottom w:val="nil"/>
              <w:right w:val="nil"/>
            </w:tcBorders>
            <w:noWrap/>
            <w:hideMark/>
          </w:tcPr>
          <w:p w14:paraId="41166169" w14:textId="66EB703C" w:rsidR="00393915" w:rsidRDefault="00817E01">
            <w:pPr>
              <w:pStyle w:val="P68B1DB1-Normal91"/>
            </w:pPr>
            <w:r w:rsidRPr="00D920ED">
              <w:t>KDPW S.A.</w:t>
            </w:r>
          </w:p>
        </w:tc>
      </w:tr>
      <w:tr w:rsidR="00393915" w14:paraId="43817C1E" w14:textId="77777777" w:rsidTr="00F83F66">
        <w:trPr>
          <w:trHeight w:val="300"/>
        </w:trPr>
        <w:tc>
          <w:tcPr>
            <w:tcW w:w="9072" w:type="dxa"/>
            <w:tcBorders>
              <w:top w:val="nil"/>
              <w:left w:val="nil"/>
              <w:bottom w:val="nil"/>
              <w:right w:val="nil"/>
            </w:tcBorders>
            <w:noWrap/>
            <w:hideMark/>
          </w:tcPr>
          <w:p w14:paraId="3018D3C8" w14:textId="713D98CB" w:rsidR="00393915" w:rsidRDefault="00817E01">
            <w:pPr>
              <w:pStyle w:val="P68B1DB1-Normal91"/>
            </w:pPr>
            <w:r w:rsidRPr="00D920ED">
              <w:t>KDPW_CCP S.A.</w:t>
            </w:r>
          </w:p>
        </w:tc>
      </w:tr>
      <w:tr w:rsidR="00393915" w14:paraId="21912EC4" w14:textId="77777777" w:rsidTr="00F83F66">
        <w:trPr>
          <w:trHeight w:val="300"/>
        </w:trPr>
        <w:tc>
          <w:tcPr>
            <w:tcW w:w="9072" w:type="dxa"/>
            <w:tcBorders>
              <w:top w:val="nil"/>
              <w:left w:val="nil"/>
              <w:bottom w:val="nil"/>
              <w:right w:val="nil"/>
            </w:tcBorders>
            <w:noWrap/>
            <w:hideMark/>
          </w:tcPr>
          <w:p w14:paraId="59836A48" w14:textId="631B8C45" w:rsidR="00393915" w:rsidRDefault="00817E01">
            <w:pPr>
              <w:pStyle w:val="P68B1DB1-Normal91"/>
            </w:pPr>
            <w:r w:rsidRPr="00D920ED">
              <w:t>KDPW-TR</w:t>
            </w:r>
          </w:p>
        </w:tc>
      </w:tr>
      <w:tr w:rsidR="00393915" w14:paraId="14480A4D" w14:textId="77777777" w:rsidTr="00F83F66">
        <w:trPr>
          <w:trHeight w:val="300"/>
        </w:trPr>
        <w:tc>
          <w:tcPr>
            <w:tcW w:w="9072" w:type="dxa"/>
            <w:tcBorders>
              <w:top w:val="nil"/>
              <w:left w:val="nil"/>
              <w:bottom w:val="nil"/>
              <w:right w:val="nil"/>
            </w:tcBorders>
            <w:noWrap/>
            <w:hideMark/>
          </w:tcPr>
          <w:p w14:paraId="59BBCA2D" w14:textId="32E11BE4" w:rsidR="00393915" w:rsidRDefault="00817E01">
            <w:pPr>
              <w:pStyle w:val="P68B1DB1-Normal91"/>
            </w:pPr>
            <w:r w:rsidRPr="00D920ED">
              <w:t>KELER CCP</w:t>
            </w:r>
          </w:p>
        </w:tc>
      </w:tr>
      <w:tr w:rsidR="00393915" w14:paraId="1D005B0E" w14:textId="77777777" w:rsidTr="00F83F66">
        <w:trPr>
          <w:trHeight w:val="300"/>
        </w:trPr>
        <w:tc>
          <w:tcPr>
            <w:tcW w:w="9072" w:type="dxa"/>
            <w:tcBorders>
              <w:top w:val="nil"/>
              <w:left w:val="nil"/>
              <w:bottom w:val="nil"/>
              <w:right w:val="nil"/>
            </w:tcBorders>
            <w:noWrap/>
            <w:hideMark/>
          </w:tcPr>
          <w:p w14:paraId="2ABFD94E" w14:textId="00F7D818" w:rsidR="00393915" w:rsidRDefault="00817E01">
            <w:pPr>
              <w:pStyle w:val="P68B1DB1-Normal91"/>
            </w:pPr>
            <w:r w:rsidRPr="00D920ED">
              <w:t>KELER CSD</w:t>
            </w:r>
          </w:p>
        </w:tc>
      </w:tr>
      <w:tr w:rsidR="00393915" w14:paraId="13D5C039" w14:textId="77777777" w:rsidTr="00F83F66">
        <w:trPr>
          <w:trHeight w:val="300"/>
        </w:trPr>
        <w:tc>
          <w:tcPr>
            <w:tcW w:w="9072" w:type="dxa"/>
            <w:tcBorders>
              <w:top w:val="nil"/>
              <w:left w:val="nil"/>
              <w:bottom w:val="nil"/>
              <w:right w:val="nil"/>
            </w:tcBorders>
            <w:noWrap/>
            <w:hideMark/>
          </w:tcPr>
          <w:p w14:paraId="31B1FA22" w14:textId="3F29B12A" w:rsidR="00393915" w:rsidRDefault="00817E01">
            <w:pPr>
              <w:pStyle w:val="P68B1DB1-Normal91"/>
            </w:pPr>
            <w:r w:rsidRPr="00D920ED">
              <w:t>KRONOS</w:t>
            </w:r>
          </w:p>
        </w:tc>
      </w:tr>
      <w:tr w:rsidR="00393915" w14:paraId="3B7ED824" w14:textId="77777777" w:rsidTr="00F83F66">
        <w:trPr>
          <w:trHeight w:val="300"/>
        </w:trPr>
        <w:tc>
          <w:tcPr>
            <w:tcW w:w="9072" w:type="dxa"/>
            <w:tcBorders>
              <w:top w:val="nil"/>
              <w:left w:val="nil"/>
              <w:bottom w:val="nil"/>
              <w:right w:val="nil"/>
            </w:tcBorders>
            <w:noWrap/>
            <w:hideMark/>
          </w:tcPr>
          <w:p w14:paraId="0A3C0455" w14:textId="3D7E64B0" w:rsidR="00393915" w:rsidRDefault="00817E01">
            <w:pPr>
              <w:pStyle w:val="P68B1DB1-Normal91"/>
            </w:pPr>
            <w:r w:rsidRPr="00D920ED">
              <w:t>KUBAS</w:t>
            </w:r>
          </w:p>
        </w:tc>
      </w:tr>
      <w:tr w:rsidR="00393915" w14:paraId="2B1C9B26" w14:textId="77777777" w:rsidTr="00F83F66">
        <w:trPr>
          <w:trHeight w:val="300"/>
        </w:trPr>
        <w:tc>
          <w:tcPr>
            <w:tcW w:w="9072" w:type="dxa"/>
            <w:tcBorders>
              <w:top w:val="nil"/>
              <w:left w:val="nil"/>
              <w:bottom w:val="nil"/>
              <w:right w:val="nil"/>
            </w:tcBorders>
            <w:noWrap/>
            <w:hideMark/>
          </w:tcPr>
          <w:p w14:paraId="0C36BDD0" w14:textId="34E97D5E" w:rsidR="00393915" w:rsidRDefault="00817E01">
            <w:pPr>
              <w:pStyle w:val="P68B1DB1-Normal91"/>
            </w:pPr>
            <w:r w:rsidRPr="00D920ED">
              <w:t>Large Value Transfer System (LVTS)</w:t>
            </w:r>
          </w:p>
        </w:tc>
      </w:tr>
      <w:tr w:rsidR="00393915" w14:paraId="494438D8" w14:textId="77777777" w:rsidTr="00F83F66">
        <w:trPr>
          <w:trHeight w:val="300"/>
        </w:trPr>
        <w:tc>
          <w:tcPr>
            <w:tcW w:w="9072" w:type="dxa"/>
            <w:tcBorders>
              <w:top w:val="nil"/>
              <w:left w:val="nil"/>
              <w:bottom w:val="nil"/>
              <w:right w:val="nil"/>
            </w:tcBorders>
            <w:noWrap/>
            <w:hideMark/>
          </w:tcPr>
          <w:p w14:paraId="0378B855" w14:textId="7C7B5949" w:rsidR="00393915" w:rsidRDefault="00817E01">
            <w:pPr>
              <w:pStyle w:val="P68B1DB1-Normal91"/>
            </w:pPr>
            <w:r w:rsidRPr="00D920ED">
              <w:t>LCH Ltd</w:t>
            </w:r>
          </w:p>
        </w:tc>
      </w:tr>
      <w:tr w:rsidR="00393915" w14:paraId="5DD1EBF4" w14:textId="77777777" w:rsidTr="00F83F66">
        <w:trPr>
          <w:trHeight w:val="300"/>
        </w:trPr>
        <w:tc>
          <w:tcPr>
            <w:tcW w:w="9072" w:type="dxa"/>
            <w:tcBorders>
              <w:top w:val="nil"/>
              <w:left w:val="nil"/>
              <w:bottom w:val="nil"/>
              <w:right w:val="nil"/>
            </w:tcBorders>
            <w:noWrap/>
            <w:hideMark/>
          </w:tcPr>
          <w:p w14:paraId="59459780" w14:textId="231D3311" w:rsidR="00393915" w:rsidRDefault="00817E01">
            <w:pPr>
              <w:pStyle w:val="P68B1DB1-Normal91"/>
            </w:pPr>
            <w:r w:rsidRPr="00D920ED">
              <w:t>LCH SA</w:t>
            </w:r>
          </w:p>
        </w:tc>
      </w:tr>
      <w:tr w:rsidR="00393915" w14:paraId="4F01D89C" w14:textId="77777777" w:rsidTr="00F83F66">
        <w:trPr>
          <w:trHeight w:val="300"/>
        </w:trPr>
        <w:tc>
          <w:tcPr>
            <w:tcW w:w="9072" w:type="dxa"/>
            <w:tcBorders>
              <w:top w:val="nil"/>
              <w:left w:val="nil"/>
              <w:bottom w:val="nil"/>
              <w:right w:val="nil"/>
            </w:tcBorders>
            <w:noWrap/>
            <w:hideMark/>
          </w:tcPr>
          <w:p w14:paraId="5955E367" w14:textId="323CDC3B" w:rsidR="00393915" w:rsidRDefault="00817E01">
            <w:pPr>
              <w:pStyle w:val="P68B1DB1-Normal91"/>
            </w:pPr>
            <w:r w:rsidRPr="00D920ED">
              <w:t>Ljubljana Stock Exchange</w:t>
            </w:r>
          </w:p>
        </w:tc>
      </w:tr>
      <w:tr w:rsidR="00393915" w14:paraId="63C7A928" w14:textId="77777777" w:rsidTr="00F83F66">
        <w:trPr>
          <w:trHeight w:val="300"/>
        </w:trPr>
        <w:tc>
          <w:tcPr>
            <w:tcW w:w="9072" w:type="dxa"/>
            <w:tcBorders>
              <w:top w:val="nil"/>
              <w:left w:val="nil"/>
              <w:bottom w:val="nil"/>
              <w:right w:val="nil"/>
            </w:tcBorders>
            <w:noWrap/>
            <w:hideMark/>
          </w:tcPr>
          <w:p w14:paraId="14DFAB9F" w14:textId="63D9A118" w:rsidR="00393915" w:rsidRDefault="00817E01">
            <w:pPr>
              <w:pStyle w:val="P68B1DB1-Normal91"/>
            </w:pPr>
            <w:r w:rsidRPr="00D920ED">
              <w:t>LME Clear Limited</w:t>
            </w:r>
          </w:p>
        </w:tc>
      </w:tr>
      <w:tr w:rsidR="00393915" w14:paraId="188E3D82" w14:textId="77777777" w:rsidTr="00F83F66">
        <w:trPr>
          <w:trHeight w:val="300"/>
        </w:trPr>
        <w:tc>
          <w:tcPr>
            <w:tcW w:w="9072" w:type="dxa"/>
            <w:tcBorders>
              <w:top w:val="nil"/>
              <w:left w:val="nil"/>
              <w:bottom w:val="nil"/>
              <w:right w:val="nil"/>
            </w:tcBorders>
            <w:noWrap/>
            <w:hideMark/>
          </w:tcPr>
          <w:p w14:paraId="7DB15EC9" w14:textId="2F05F182" w:rsidR="00393915" w:rsidRDefault="00817E01">
            <w:pPr>
              <w:pStyle w:val="P68B1DB1-Normal91"/>
            </w:pPr>
            <w:r w:rsidRPr="00D920ED">
              <w:t>London Stock Exchange Ltd (LSE)</w:t>
            </w:r>
          </w:p>
        </w:tc>
      </w:tr>
      <w:tr w:rsidR="00393915" w14:paraId="0AD660E5" w14:textId="77777777" w:rsidTr="00F83F66">
        <w:trPr>
          <w:trHeight w:val="300"/>
        </w:trPr>
        <w:tc>
          <w:tcPr>
            <w:tcW w:w="9072" w:type="dxa"/>
            <w:tcBorders>
              <w:top w:val="nil"/>
              <w:left w:val="nil"/>
              <w:bottom w:val="nil"/>
              <w:right w:val="nil"/>
            </w:tcBorders>
            <w:noWrap/>
            <w:hideMark/>
          </w:tcPr>
          <w:p w14:paraId="23DA5AB4" w14:textId="120ECF43" w:rsidR="00393915" w:rsidRDefault="00817E01">
            <w:pPr>
              <w:pStyle w:val="P68B1DB1-Normal91"/>
            </w:pPr>
            <w:r w:rsidRPr="00D920ED">
              <w:t>LUX CSD</w:t>
            </w:r>
          </w:p>
        </w:tc>
      </w:tr>
      <w:tr w:rsidR="00393915" w14:paraId="5B3E1A3A" w14:textId="77777777" w:rsidTr="00F83F66">
        <w:trPr>
          <w:trHeight w:val="300"/>
        </w:trPr>
        <w:tc>
          <w:tcPr>
            <w:tcW w:w="9072" w:type="dxa"/>
            <w:tcBorders>
              <w:top w:val="nil"/>
              <w:left w:val="nil"/>
              <w:bottom w:val="nil"/>
              <w:right w:val="nil"/>
            </w:tcBorders>
            <w:noWrap/>
            <w:hideMark/>
          </w:tcPr>
          <w:p w14:paraId="5D4FD8D4" w14:textId="5D31F84F" w:rsidR="00393915" w:rsidRDefault="00817E01">
            <w:pPr>
              <w:pStyle w:val="P68B1DB1-Normal91"/>
            </w:pPr>
            <w:r w:rsidRPr="00D920ED">
              <w:t>Malta Clearing House</w:t>
            </w:r>
          </w:p>
        </w:tc>
      </w:tr>
      <w:tr w:rsidR="00393915" w14:paraId="0739CAE8" w14:textId="77777777" w:rsidTr="00F83F66">
        <w:trPr>
          <w:trHeight w:val="300"/>
        </w:trPr>
        <w:tc>
          <w:tcPr>
            <w:tcW w:w="9072" w:type="dxa"/>
            <w:tcBorders>
              <w:top w:val="nil"/>
              <w:left w:val="nil"/>
              <w:bottom w:val="nil"/>
              <w:right w:val="nil"/>
            </w:tcBorders>
            <w:noWrap/>
            <w:hideMark/>
          </w:tcPr>
          <w:p w14:paraId="7880FB68" w14:textId="610FC6AA" w:rsidR="00393915" w:rsidRDefault="00817E01">
            <w:pPr>
              <w:pStyle w:val="P68B1DB1-Normal91"/>
            </w:pPr>
            <w:r w:rsidRPr="00D920ED">
              <w:t>Malta Stock Exchange</w:t>
            </w:r>
          </w:p>
        </w:tc>
      </w:tr>
      <w:tr w:rsidR="00393915" w14:paraId="1462AFD7" w14:textId="77777777" w:rsidTr="00F83F66">
        <w:trPr>
          <w:trHeight w:val="300"/>
        </w:trPr>
        <w:tc>
          <w:tcPr>
            <w:tcW w:w="9072" w:type="dxa"/>
            <w:tcBorders>
              <w:top w:val="nil"/>
              <w:left w:val="nil"/>
              <w:bottom w:val="nil"/>
              <w:right w:val="nil"/>
            </w:tcBorders>
            <w:noWrap/>
            <w:hideMark/>
          </w:tcPr>
          <w:p w14:paraId="4F29DF27" w14:textId="35454B0A" w:rsidR="00393915" w:rsidRDefault="00817E01">
            <w:pPr>
              <w:pStyle w:val="P68B1DB1-Normal91"/>
            </w:pPr>
            <w:r w:rsidRPr="00D920ED">
              <w:t>Malta Stock Exchange CSD</w:t>
            </w:r>
          </w:p>
        </w:tc>
      </w:tr>
      <w:tr w:rsidR="00393915" w14:paraId="147A9AFE" w14:textId="77777777" w:rsidTr="00F83F66">
        <w:trPr>
          <w:trHeight w:val="300"/>
        </w:trPr>
        <w:tc>
          <w:tcPr>
            <w:tcW w:w="9072" w:type="dxa"/>
            <w:tcBorders>
              <w:top w:val="nil"/>
              <w:left w:val="nil"/>
              <w:bottom w:val="nil"/>
              <w:right w:val="nil"/>
            </w:tcBorders>
            <w:noWrap/>
            <w:hideMark/>
          </w:tcPr>
          <w:p w14:paraId="29008853" w14:textId="7F722139" w:rsidR="00393915" w:rsidRDefault="00F24D68">
            <w:pPr>
              <w:pStyle w:val="P68B1DB1-Normal91"/>
            </w:pPr>
            <w:r>
              <w:t xml:space="preserve">MEFF Sociedad Rectora de Productos Derivados S. </w:t>
            </w:r>
            <w:r w:rsidR="00817E01" w:rsidRPr="00D920ED">
              <w:t>A.</w:t>
            </w:r>
          </w:p>
        </w:tc>
      </w:tr>
      <w:tr w:rsidR="00393915" w14:paraId="03A3D6E0" w14:textId="77777777" w:rsidTr="00F83F66">
        <w:trPr>
          <w:trHeight w:val="300"/>
        </w:trPr>
        <w:tc>
          <w:tcPr>
            <w:tcW w:w="9072" w:type="dxa"/>
            <w:tcBorders>
              <w:top w:val="nil"/>
              <w:left w:val="nil"/>
              <w:bottom w:val="nil"/>
              <w:right w:val="nil"/>
            </w:tcBorders>
            <w:noWrap/>
            <w:hideMark/>
          </w:tcPr>
          <w:p w14:paraId="3E98B6A6" w14:textId="58718523" w:rsidR="00393915" w:rsidRDefault="00817E01">
            <w:pPr>
              <w:pStyle w:val="P68B1DB1-Normal91"/>
            </w:pPr>
            <w:r w:rsidRPr="00D920ED">
              <w:t>Mercados de Deuda Pública en Anotaciones</w:t>
            </w:r>
          </w:p>
        </w:tc>
      </w:tr>
      <w:tr w:rsidR="00393915" w14:paraId="51FA8AC8" w14:textId="77777777" w:rsidTr="00F83F66">
        <w:trPr>
          <w:trHeight w:val="300"/>
        </w:trPr>
        <w:tc>
          <w:tcPr>
            <w:tcW w:w="9072" w:type="dxa"/>
            <w:tcBorders>
              <w:top w:val="nil"/>
              <w:left w:val="nil"/>
              <w:bottom w:val="nil"/>
              <w:right w:val="nil"/>
            </w:tcBorders>
            <w:noWrap/>
            <w:hideMark/>
          </w:tcPr>
          <w:p w14:paraId="3F76F750" w14:textId="160D6C41" w:rsidR="00393915" w:rsidRDefault="00817E01">
            <w:pPr>
              <w:pStyle w:val="P68B1DB1-Normal91"/>
            </w:pPr>
            <w:r w:rsidRPr="00D920ED">
              <w:t>Monte Titoli</w:t>
            </w:r>
          </w:p>
        </w:tc>
      </w:tr>
      <w:tr w:rsidR="00393915" w14:paraId="23805AA2" w14:textId="77777777" w:rsidTr="00F83F66">
        <w:trPr>
          <w:trHeight w:val="300"/>
        </w:trPr>
        <w:tc>
          <w:tcPr>
            <w:tcW w:w="9072" w:type="dxa"/>
            <w:tcBorders>
              <w:top w:val="nil"/>
              <w:left w:val="nil"/>
              <w:bottom w:val="nil"/>
              <w:right w:val="nil"/>
            </w:tcBorders>
            <w:noWrap/>
            <w:hideMark/>
          </w:tcPr>
          <w:p w14:paraId="13AB08E1" w14:textId="1BFEB99B" w:rsidR="00393915" w:rsidRDefault="00817E01">
            <w:pPr>
              <w:pStyle w:val="P68B1DB1-Normal91"/>
            </w:pPr>
            <w:r w:rsidRPr="00D920ED">
              <w:t>MTS</w:t>
            </w:r>
          </w:p>
        </w:tc>
      </w:tr>
      <w:tr w:rsidR="00393915" w14:paraId="4149713C" w14:textId="77777777" w:rsidTr="00F83F66">
        <w:trPr>
          <w:trHeight w:val="300"/>
        </w:trPr>
        <w:tc>
          <w:tcPr>
            <w:tcW w:w="9072" w:type="dxa"/>
            <w:tcBorders>
              <w:top w:val="nil"/>
              <w:left w:val="nil"/>
              <w:bottom w:val="nil"/>
              <w:right w:val="nil"/>
            </w:tcBorders>
            <w:noWrap/>
            <w:hideMark/>
          </w:tcPr>
          <w:p w14:paraId="0E21C9DA" w14:textId="1623276F" w:rsidR="00393915" w:rsidRDefault="00817E01">
            <w:pPr>
              <w:pStyle w:val="P68B1DB1-Normal91"/>
            </w:pPr>
            <w:r w:rsidRPr="00D920ED">
              <w:t>Národný Centralny Depositar Cennych Papierov (nCDCP) as</w:t>
            </w:r>
          </w:p>
        </w:tc>
      </w:tr>
      <w:tr w:rsidR="00393915" w14:paraId="7826A921" w14:textId="77777777" w:rsidTr="00F83F66">
        <w:trPr>
          <w:trHeight w:val="300"/>
        </w:trPr>
        <w:tc>
          <w:tcPr>
            <w:tcW w:w="9072" w:type="dxa"/>
            <w:tcBorders>
              <w:top w:val="nil"/>
              <w:left w:val="nil"/>
              <w:bottom w:val="nil"/>
              <w:right w:val="nil"/>
            </w:tcBorders>
            <w:noWrap/>
            <w:hideMark/>
          </w:tcPr>
          <w:p w14:paraId="3989D7C0" w14:textId="5DAC82AC" w:rsidR="00393915" w:rsidRDefault="00817E01">
            <w:pPr>
              <w:pStyle w:val="P68B1DB1-Normal91"/>
            </w:pPr>
            <w:r w:rsidRPr="00D920ED">
              <w:t>Nasdaq CSD SE</w:t>
            </w:r>
          </w:p>
        </w:tc>
      </w:tr>
      <w:tr w:rsidR="00393915" w14:paraId="0F9127FC" w14:textId="77777777" w:rsidTr="00F83F66">
        <w:trPr>
          <w:trHeight w:val="300"/>
        </w:trPr>
        <w:tc>
          <w:tcPr>
            <w:tcW w:w="9072" w:type="dxa"/>
            <w:tcBorders>
              <w:top w:val="nil"/>
              <w:left w:val="nil"/>
              <w:bottom w:val="nil"/>
              <w:right w:val="nil"/>
            </w:tcBorders>
            <w:noWrap/>
            <w:hideMark/>
          </w:tcPr>
          <w:p w14:paraId="7E3342A8" w14:textId="3E1DE6E9" w:rsidR="00393915" w:rsidRDefault="00817E01">
            <w:pPr>
              <w:pStyle w:val="P68B1DB1-Normal91"/>
            </w:pPr>
            <w:r w:rsidRPr="00D920ED">
              <w:t>Nasdaq Helsinki</w:t>
            </w:r>
          </w:p>
        </w:tc>
      </w:tr>
      <w:tr w:rsidR="00393915" w14:paraId="794AA9C2" w14:textId="77777777" w:rsidTr="00F83F66">
        <w:trPr>
          <w:trHeight w:val="300"/>
        </w:trPr>
        <w:tc>
          <w:tcPr>
            <w:tcW w:w="9072" w:type="dxa"/>
            <w:tcBorders>
              <w:top w:val="nil"/>
              <w:left w:val="nil"/>
              <w:bottom w:val="nil"/>
              <w:right w:val="nil"/>
            </w:tcBorders>
            <w:noWrap/>
            <w:hideMark/>
          </w:tcPr>
          <w:p w14:paraId="4EB7B940" w14:textId="1C305E1A" w:rsidR="00393915" w:rsidRDefault="00817E01">
            <w:pPr>
              <w:pStyle w:val="P68B1DB1-Normal91"/>
            </w:pPr>
            <w:r w:rsidRPr="00D920ED">
              <w:t>Nasdaq OMX Clearing</w:t>
            </w:r>
          </w:p>
        </w:tc>
      </w:tr>
      <w:tr w:rsidR="00393915" w14:paraId="27B334A7" w14:textId="77777777" w:rsidTr="00F83F66">
        <w:trPr>
          <w:trHeight w:val="300"/>
        </w:trPr>
        <w:tc>
          <w:tcPr>
            <w:tcW w:w="9072" w:type="dxa"/>
            <w:tcBorders>
              <w:top w:val="nil"/>
              <w:left w:val="nil"/>
              <w:bottom w:val="nil"/>
              <w:right w:val="nil"/>
            </w:tcBorders>
            <w:noWrap/>
            <w:hideMark/>
          </w:tcPr>
          <w:p w14:paraId="405F6BB1" w14:textId="0696BCAD" w:rsidR="00393915" w:rsidRDefault="00817E01">
            <w:pPr>
              <w:pStyle w:val="P68B1DB1-Normal91"/>
            </w:pPr>
            <w:r w:rsidRPr="00D920ED">
              <w:t>Nasdaq OMX Stockholm</w:t>
            </w:r>
          </w:p>
        </w:tc>
      </w:tr>
      <w:tr w:rsidR="00393915" w14:paraId="5888CB72" w14:textId="77777777" w:rsidTr="00F83F66">
        <w:trPr>
          <w:trHeight w:val="300"/>
        </w:trPr>
        <w:tc>
          <w:tcPr>
            <w:tcW w:w="9072" w:type="dxa"/>
            <w:tcBorders>
              <w:top w:val="nil"/>
              <w:left w:val="nil"/>
              <w:bottom w:val="nil"/>
              <w:right w:val="nil"/>
            </w:tcBorders>
            <w:noWrap/>
            <w:hideMark/>
          </w:tcPr>
          <w:p w14:paraId="20F7ABDC" w14:textId="5FD0F949" w:rsidR="00393915" w:rsidRDefault="00817E01">
            <w:pPr>
              <w:pStyle w:val="P68B1DB1-Normal91"/>
            </w:pPr>
            <w:r w:rsidRPr="00D920ED">
              <w:t>National Securities Clearing Corp. (NSCC)</w:t>
            </w:r>
          </w:p>
        </w:tc>
      </w:tr>
      <w:tr w:rsidR="00393915" w14:paraId="5E9C8F6D" w14:textId="77777777" w:rsidTr="00F83F66">
        <w:trPr>
          <w:trHeight w:val="300"/>
        </w:trPr>
        <w:tc>
          <w:tcPr>
            <w:tcW w:w="9072" w:type="dxa"/>
            <w:tcBorders>
              <w:top w:val="nil"/>
              <w:left w:val="nil"/>
              <w:bottom w:val="nil"/>
              <w:right w:val="nil"/>
            </w:tcBorders>
            <w:noWrap/>
            <w:hideMark/>
          </w:tcPr>
          <w:p w14:paraId="12F1BAEB" w14:textId="6EF84773" w:rsidR="00393915" w:rsidRDefault="00817E01">
            <w:pPr>
              <w:pStyle w:val="P68B1DB1-Normal91"/>
            </w:pPr>
            <w:r w:rsidRPr="00D920ED">
              <w:t>NBB SSS</w:t>
            </w:r>
          </w:p>
        </w:tc>
      </w:tr>
      <w:tr w:rsidR="00393915" w14:paraId="5DFC5D23" w14:textId="77777777" w:rsidTr="00F83F66">
        <w:trPr>
          <w:trHeight w:val="300"/>
        </w:trPr>
        <w:tc>
          <w:tcPr>
            <w:tcW w:w="9072" w:type="dxa"/>
            <w:tcBorders>
              <w:top w:val="nil"/>
              <w:left w:val="nil"/>
              <w:bottom w:val="nil"/>
              <w:right w:val="nil"/>
            </w:tcBorders>
            <w:noWrap/>
            <w:hideMark/>
          </w:tcPr>
          <w:p w14:paraId="3737426F" w14:textId="45D9F020" w:rsidR="00393915" w:rsidRDefault="00817E01">
            <w:pPr>
              <w:pStyle w:val="P68B1DB1-Normal91"/>
            </w:pPr>
            <w:r w:rsidRPr="00D920ED">
              <w:t>NBP bills and treasury bills Register</w:t>
            </w:r>
          </w:p>
        </w:tc>
      </w:tr>
      <w:tr w:rsidR="00393915" w14:paraId="1FC22E5F" w14:textId="77777777" w:rsidTr="00F83F66">
        <w:trPr>
          <w:trHeight w:val="300"/>
        </w:trPr>
        <w:tc>
          <w:tcPr>
            <w:tcW w:w="9072" w:type="dxa"/>
            <w:tcBorders>
              <w:top w:val="nil"/>
              <w:left w:val="nil"/>
              <w:bottom w:val="nil"/>
              <w:right w:val="nil"/>
            </w:tcBorders>
            <w:noWrap/>
            <w:hideMark/>
          </w:tcPr>
          <w:p w14:paraId="358DE620" w14:textId="54DDE473" w:rsidR="00393915" w:rsidRDefault="00817E01">
            <w:pPr>
              <w:pStyle w:val="P68B1DB1-Normal91"/>
            </w:pPr>
            <w:r w:rsidRPr="00D920ED">
              <w:t>NEX Abide Trade Repository AB</w:t>
            </w:r>
          </w:p>
        </w:tc>
      </w:tr>
      <w:tr w:rsidR="00393915" w14:paraId="1362AFBF" w14:textId="77777777" w:rsidTr="00F83F66">
        <w:trPr>
          <w:trHeight w:val="300"/>
        </w:trPr>
        <w:tc>
          <w:tcPr>
            <w:tcW w:w="9072" w:type="dxa"/>
            <w:tcBorders>
              <w:top w:val="nil"/>
              <w:left w:val="nil"/>
              <w:bottom w:val="nil"/>
              <w:right w:val="nil"/>
            </w:tcBorders>
            <w:noWrap/>
            <w:hideMark/>
          </w:tcPr>
          <w:p w14:paraId="7779B6B2" w14:textId="5F91EE09" w:rsidR="00393915" w:rsidRDefault="00817E01">
            <w:pPr>
              <w:pStyle w:val="P68B1DB1-Normal91"/>
            </w:pPr>
            <w:r w:rsidRPr="00D920ED">
              <w:t>NICS (Norwegian Inter Bank Clearing System)</w:t>
            </w:r>
          </w:p>
        </w:tc>
      </w:tr>
      <w:tr w:rsidR="00393915" w14:paraId="403EDEA1" w14:textId="77777777" w:rsidTr="00F83F66">
        <w:trPr>
          <w:trHeight w:val="300"/>
        </w:trPr>
        <w:tc>
          <w:tcPr>
            <w:tcW w:w="9072" w:type="dxa"/>
            <w:tcBorders>
              <w:top w:val="nil"/>
              <w:left w:val="nil"/>
              <w:bottom w:val="nil"/>
              <w:right w:val="nil"/>
            </w:tcBorders>
            <w:noWrap/>
            <w:hideMark/>
          </w:tcPr>
          <w:p w14:paraId="4BFCE736" w14:textId="7C65BC70" w:rsidR="00393915" w:rsidRDefault="00817E01">
            <w:pPr>
              <w:pStyle w:val="P68B1DB1-Normal91"/>
            </w:pPr>
            <w:r w:rsidRPr="00D920ED">
              <w:t>NKS ( National Clearing System)/EuroNKS</w:t>
            </w:r>
          </w:p>
        </w:tc>
      </w:tr>
      <w:tr w:rsidR="00393915" w14:paraId="72370490" w14:textId="77777777" w:rsidTr="00F83F66">
        <w:trPr>
          <w:trHeight w:val="300"/>
        </w:trPr>
        <w:tc>
          <w:tcPr>
            <w:tcW w:w="9072" w:type="dxa"/>
            <w:tcBorders>
              <w:top w:val="nil"/>
              <w:left w:val="nil"/>
              <w:bottom w:val="nil"/>
              <w:right w:val="nil"/>
            </w:tcBorders>
            <w:noWrap/>
            <w:hideMark/>
          </w:tcPr>
          <w:p w14:paraId="46EFA26D" w14:textId="65FB077A" w:rsidR="00393915" w:rsidRDefault="00817E01">
            <w:pPr>
              <w:pStyle w:val="P68B1DB1-Normal91"/>
            </w:pPr>
            <w:r w:rsidRPr="00D920ED">
              <w:lastRenderedPageBreak/>
              <w:t>NYSE Euronext Paris</w:t>
            </w:r>
          </w:p>
        </w:tc>
      </w:tr>
      <w:tr w:rsidR="00393915" w14:paraId="5FB1C2FE" w14:textId="77777777" w:rsidTr="00F83F66">
        <w:trPr>
          <w:trHeight w:val="300"/>
        </w:trPr>
        <w:tc>
          <w:tcPr>
            <w:tcW w:w="9072" w:type="dxa"/>
            <w:tcBorders>
              <w:top w:val="nil"/>
              <w:left w:val="nil"/>
              <w:bottom w:val="nil"/>
              <w:right w:val="nil"/>
            </w:tcBorders>
            <w:noWrap/>
            <w:hideMark/>
          </w:tcPr>
          <w:p w14:paraId="43B707C4" w14:textId="6A5AB7A6" w:rsidR="00393915" w:rsidRDefault="00817E01">
            <w:pPr>
              <w:pStyle w:val="P68B1DB1-Normal91"/>
            </w:pPr>
            <w:r w:rsidRPr="00D920ED">
              <w:t>OeKB CSD GmbH (WSB System)</w:t>
            </w:r>
          </w:p>
        </w:tc>
      </w:tr>
      <w:tr w:rsidR="00393915" w14:paraId="297ECE0B" w14:textId="77777777" w:rsidTr="00F83F66">
        <w:trPr>
          <w:trHeight w:val="300"/>
        </w:trPr>
        <w:tc>
          <w:tcPr>
            <w:tcW w:w="9072" w:type="dxa"/>
            <w:tcBorders>
              <w:top w:val="nil"/>
              <w:left w:val="nil"/>
              <w:bottom w:val="nil"/>
              <w:right w:val="nil"/>
            </w:tcBorders>
            <w:noWrap/>
            <w:hideMark/>
          </w:tcPr>
          <w:p w14:paraId="41926D7B" w14:textId="35443D76" w:rsidR="00393915" w:rsidRDefault="00817E01">
            <w:pPr>
              <w:pStyle w:val="P68B1DB1-Normal91"/>
            </w:pPr>
            <w:r w:rsidRPr="00D920ED">
              <w:t>OMI Clear</w:t>
            </w:r>
          </w:p>
        </w:tc>
      </w:tr>
      <w:tr w:rsidR="00393915" w14:paraId="786A0182" w14:textId="77777777" w:rsidTr="00F83F66">
        <w:trPr>
          <w:trHeight w:val="300"/>
        </w:trPr>
        <w:tc>
          <w:tcPr>
            <w:tcW w:w="9072" w:type="dxa"/>
            <w:tcBorders>
              <w:top w:val="nil"/>
              <w:left w:val="nil"/>
              <w:bottom w:val="nil"/>
              <w:right w:val="nil"/>
            </w:tcBorders>
            <w:noWrap/>
            <w:hideMark/>
          </w:tcPr>
          <w:p w14:paraId="00B344FB" w14:textId="15F6AFC3" w:rsidR="00393915" w:rsidRDefault="00817E01">
            <w:pPr>
              <w:pStyle w:val="P68B1DB1-Normal91"/>
            </w:pPr>
            <w:r w:rsidRPr="00D920ED">
              <w:t>POPS</w:t>
            </w:r>
          </w:p>
        </w:tc>
      </w:tr>
      <w:tr w:rsidR="00393915" w14:paraId="560CA6B2" w14:textId="77777777" w:rsidTr="00F83F66">
        <w:trPr>
          <w:trHeight w:val="300"/>
        </w:trPr>
        <w:tc>
          <w:tcPr>
            <w:tcW w:w="9072" w:type="dxa"/>
            <w:tcBorders>
              <w:top w:val="nil"/>
              <w:left w:val="nil"/>
              <w:bottom w:val="nil"/>
              <w:right w:val="nil"/>
            </w:tcBorders>
            <w:noWrap/>
            <w:hideMark/>
          </w:tcPr>
          <w:p w14:paraId="15C8DE81" w14:textId="33C181CA" w:rsidR="00393915" w:rsidRDefault="00817E01">
            <w:pPr>
              <w:pStyle w:val="P68B1DB1-Normal91"/>
            </w:pPr>
            <w:r w:rsidRPr="00D920ED">
              <w:t>REGIS</w:t>
            </w:r>
          </w:p>
        </w:tc>
      </w:tr>
      <w:tr w:rsidR="00393915" w14:paraId="185A7956" w14:textId="77777777" w:rsidTr="00F83F66">
        <w:trPr>
          <w:trHeight w:val="300"/>
        </w:trPr>
        <w:tc>
          <w:tcPr>
            <w:tcW w:w="9072" w:type="dxa"/>
            <w:tcBorders>
              <w:top w:val="nil"/>
              <w:left w:val="nil"/>
              <w:bottom w:val="nil"/>
              <w:right w:val="nil"/>
            </w:tcBorders>
            <w:noWrap/>
            <w:hideMark/>
          </w:tcPr>
          <w:p w14:paraId="3E63DE78" w14:textId="219CF3D5" w:rsidR="00393915" w:rsidRDefault="00817E01">
            <w:pPr>
              <w:pStyle w:val="P68B1DB1-Normal91"/>
            </w:pPr>
            <w:r w:rsidRPr="00D920ED">
              <w:t>Regis-TR</w:t>
            </w:r>
          </w:p>
        </w:tc>
      </w:tr>
      <w:tr w:rsidR="00393915" w14:paraId="751DD516" w14:textId="77777777" w:rsidTr="00F83F66">
        <w:trPr>
          <w:trHeight w:val="300"/>
        </w:trPr>
        <w:tc>
          <w:tcPr>
            <w:tcW w:w="9072" w:type="dxa"/>
            <w:tcBorders>
              <w:top w:val="nil"/>
              <w:left w:val="nil"/>
              <w:bottom w:val="nil"/>
              <w:right w:val="nil"/>
            </w:tcBorders>
            <w:noWrap/>
            <w:hideMark/>
          </w:tcPr>
          <w:p w14:paraId="61EDA69E" w14:textId="1D42F6DE" w:rsidR="00393915" w:rsidRDefault="00817E01">
            <w:pPr>
              <w:pStyle w:val="P68B1DB1-Normal91"/>
            </w:pPr>
            <w:r w:rsidRPr="00D920ED">
              <w:t>RINGS (Real-time INterbank Gross-settlement System)</w:t>
            </w:r>
          </w:p>
        </w:tc>
      </w:tr>
      <w:tr w:rsidR="00393915" w14:paraId="3DA52EFD" w14:textId="77777777" w:rsidTr="00F83F66">
        <w:trPr>
          <w:trHeight w:val="300"/>
        </w:trPr>
        <w:tc>
          <w:tcPr>
            <w:tcW w:w="9072" w:type="dxa"/>
            <w:tcBorders>
              <w:top w:val="nil"/>
              <w:left w:val="nil"/>
              <w:bottom w:val="nil"/>
              <w:right w:val="nil"/>
            </w:tcBorders>
            <w:noWrap/>
            <w:hideMark/>
          </w:tcPr>
          <w:p w14:paraId="14849718" w14:textId="2D0556E0" w:rsidR="00393915" w:rsidRDefault="00817E01">
            <w:pPr>
              <w:pStyle w:val="P68B1DB1-Normal91"/>
            </w:pPr>
            <w:r w:rsidRPr="00D920ED">
              <w:t>RIX</w:t>
            </w:r>
          </w:p>
        </w:tc>
      </w:tr>
      <w:tr w:rsidR="00393915" w14:paraId="2F5941C3" w14:textId="77777777" w:rsidTr="00F83F66">
        <w:trPr>
          <w:trHeight w:val="300"/>
        </w:trPr>
        <w:tc>
          <w:tcPr>
            <w:tcW w:w="9072" w:type="dxa"/>
            <w:tcBorders>
              <w:top w:val="nil"/>
              <w:left w:val="nil"/>
              <w:bottom w:val="nil"/>
              <w:right w:val="nil"/>
            </w:tcBorders>
            <w:noWrap/>
            <w:hideMark/>
          </w:tcPr>
          <w:p w14:paraId="05086D64" w14:textId="40E29A01" w:rsidR="00393915" w:rsidRDefault="00817E01">
            <w:pPr>
              <w:pStyle w:val="P68B1DB1-Normal91"/>
            </w:pPr>
            <w:r w:rsidRPr="00D920ED">
              <w:t>RM-SYSTEM Czech Stock Exchange</w:t>
            </w:r>
          </w:p>
        </w:tc>
      </w:tr>
      <w:tr w:rsidR="00393915" w14:paraId="4785EAE5" w14:textId="77777777" w:rsidTr="00F83F66">
        <w:trPr>
          <w:trHeight w:val="300"/>
        </w:trPr>
        <w:tc>
          <w:tcPr>
            <w:tcW w:w="9072" w:type="dxa"/>
            <w:tcBorders>
              <w:top w:val="nil"/>
              <w:left w:val="nil"/>
              <w:bottom w:val="nil"/>
              <w:right w:val="nil"/>
            </w:tcBorders>
            <w:noWrap/>
            <w:hideMark/>
          </w:tcPr>
          <w:p w14:paraId="0E3CA4AB" w14:textId="503AEEE8" w:rsidR="00393915" w:rsidRDefault="00817E01">
            <w:pPr>
              <w:pStyle w:val="P68B1DB1-Normal91"/>
            </w:pPr>
            <w:r w:rsidRPr="00D920ED">
              <w:t>RoClear</w:t>
            </w:r>
          </w:p>
        </w:tc>
      </w:tr>
      <w:tr w:rsidR="00393915" w14:paraId="16348C32" w14:textId="77777777" w:rsidTr="00F83F66">
        <w:trPr>
          <w:trHeight w:val="300"/>
        </w:trPr>
        <w:tc>
          <w:tcPr>
            <w:tcW w:w="9072" w:type="dxa"/>
            <w:tcBorders>
              <w:top w:val="nil"/>
              <w:left w:val="nil"/>
              <w:bottom w:val="nil"/>
              <w:right w:val="nil"/>
            </w:tcBorders>
            <w:noWrap/>
            <w:hideMark/>
          </w:tcPr>
          <w:p w14:paraId="7791248F" w14:textId="7FEC0C40" w:rsidR="00393915" w:rsidRDefault="00817E01">
            <w:pPr>
              <w:pStyle w:val="P68B1DB1-Normal91"/>
            </w:pPr>
            <w:r w:rsidRPr="00D920ED">
              <w:t>RPS</w:t>
            </w:r>
          </w:p>
        </w:tc>
      </w:tr>
      <w:tr w:rsidR="00393915" w14:paraId="201CD5B7" w14:textId="77777777" w:rsidTr="00F83F66">
        <w:trPr>
          <w:trHeight w:val="300"/>
        </w:trPr>
        <w:tc>
          <w:tcPr>
            <w:tcW w:w="9072" w:type="dxa"/>
            <w:tcBorders>
              <w:top w:val="nil"/>
              <w:left w:val="nil"/>
              <w:bottom w:val="nil"/>
              <w:right w:val="nil"/>
            </w:tcBorders>
            <w:noWrap/>
            <w:hideMark/>
          </w:tcPr>
          <w:p w14:paraId="78F31295" w14:textId="1D9EE884" w:rsidR="00393915" w:rsidRDefault="00817E01">
            <w:pPr>
              <w:pStyle w:val="P68B1DB1-Normal91"/>
            </w:pPr>
            <w:r w:rsidRPr="00D920ED">
              <w:t>RT1</w:t>
            </w:r>
          </w:p>
        </w:tc>
      </w:tr>
      <w:tr w:rsidR="00393915" w14:paraId="5D6D4D2F" w14:textId="77777777" w:rsidTr="00F83F66">
        <w:trPr>
          <w:trHeight w:val="300"/>
        </w:trPr>
        <w:tc>
          <w:tcPr>
            <w:tcW w:w="9072" w:type="dxa"/>
            <w:tcBorders>
              <w:top w:val="nil"/>
              <w:left w:val="nil"/>
              <w:bottom w:val="nil"/>
              <w:right w:val="nil"/>
            </w:tcBorders>
            <w:noWrap/>
            <w:hideMark/>
          </w:tcPr>
          <w:p w14:paraId="0D3FA36D" w14:textId="744ACDC4" w:rsidR="00393915" w:rsidRDefault="00817E01">
            <w:pPr>
              <w:pStyle w:val="P68B1DB1-Normal91"/>
            </w:pPr>
            <w:r w:rsidRPr="00D920ED">
              <w:t>SAFIR</w:t>
            </w:r>
          </w:p>
        </w:tc>
      </w:tr>
      <w:tr w:rsidR="00393915" w14:paraId="683945A8" w14:textId="77777777" w:rsidTr="00F83F66">
        <w:trPr>
          <w:trHeight w:val="300"/>
        </w:trPr>
        <w:tc>
          <w:tcPr>
            <w:tcW w:w="9072" w:type="dxa"/>
            <w:tcBorders>
              <w:top w:val="nil"/>
              <w:left w:val="nil"/>
              <w:bottom w:val="nil"/>
              <w:right w:val="nil"/>
            </w:tcBorders>
            <w:noWrap/>
            <w:hideMark/>
          </w:tcPr>
          <w:p w14:paraId="4536F3F1" w14:textId="74C4D2C8" w:rsidR="00393915" w:rsidRDefault="00817E01">
            <w:pPr>
              <w:pStyle w:val="P68B1DB1-Normal91"/>
            </w:pPr>
            <w:r w:rsidRPr="00D920ED">
              <w:t>SENT</w:t>
            </w:r>
          </w:p>
        </w:tc>
      </w:tr>
      <w:tr w:rsidR="00393915" w14:paraId="37207CC9" w14:textId="77777777" w:rsidTr="00F83F66">
        <w:trPr>
          <w:trHeight w:val="300"/>
        </w:trPr>
        <w:tc>
          <w:tcPr>
            <w:tcW w:w="9072" w:type="dxa"/>
            <w:tcBorders>
              <w:top w:val="nil"/>
              <w:left w:val="nil"/>
              <w:bottom w:val="nil"/>
              <w:right w:val="nil"/>
            </w:tcBorders>
            <w:noWrap/>
            <w:hideMark/>
          </w:tcPr>
          <w:p w14:paraId="78322774" w14:textId="3DD74927" w:rsidR="00393915" w:rsidRDefault="00817E01">
            <w:pPr>
              <w:pStyle w:val="P68B1DB1-Normal91"/>
            </w:pPr>
            <w:r w:rsidRPr="00D920ED">
              <w:t>SICOI</w:t>
            </w:r>
          </w:p>
        </w:tc>
      </w:tr>
      <w:tr w:rsidR="00393915" w14:paraId="20A1D4E0" w14:textId="77777777" w:rsidTr="00F83F66">
        <w:trPr>
          <w:trHeight w:val="300"/>
        </w:trPr>
        <w:tc>
          <w:tcPr>
            <w:tcW w:w="9072" w:type="dxa"/>
            <w:tcBorders>
              <w:top w:val="nil"/>
              <w:left w:val="nil"/>
              <w:bottom w:val="nil"/>
              <w:right w:val="nil"/>
            </w:tcBorders>
            <w:noWrap/>
            <w:hideMark/>
          </w:tcPr>
          <w:p w14:paraId="745FF75E" w14:textId="071E38CF" w:rsidR="00393915" w:rsidRDefault="00817E01">
            <w:pPr>
              <w:pStyle w:val="P68B1DB1-Normal91"/>
            </w:pPr>
            <w:r w:rsidRPr="00D920ED">
              <w:t>SIMP - PS</w:t>
            </w:r>
          </w:p>
        </w:tc>
      </w:tr>
      <w:tr w:rsidR="00393915" w14:paraId="1F8A8F25" w14:textId="77777777" w:rsidTr="00F83F66">
        <w:trPr>
          <w:trHeight w:val="300"/>
        </w:trPr>
        <w:tc>
          <w:tcPr>
            <w:tcW w:w="9072" w:type="dxa"/>
            <w:tcBorders>
              <w:top w:val="nil"/>
              <w:left w:val="nil"/>
              <w:bottom w:val="nil"/>
              <w:right w:val="nil"/>
            </w:tcBorders>
            <w:noWrap/>
            <w:hideMark/>
          </w:tcPr>
          <w:p w14:paraId="7B70556F" w14:textId="2D76164C" w:rsidR="00393915" w:rsidRDefault="00817E01">
            <w:pPr>
              <w:pStyle w:val="P68B1DB1-Normal91"/>
            </w:pPr>
            <w:r w:rsidRPr="00D920ED">
              <w:t>SIP SPlatobný systém</w:t>
            </w:r>
          </w:p>
        </w:tc>
      </w:tr>
      <w:tr w:rsidR="00393915" w14:paraId="661159A9" w14:textId="77777777" w:rsidTr="00F83F66">
        <w:trPr>
          <w:trHeight w:val="300"/>
        </w:trPr>
        <w:tc>
          <w:tcPr>
            <w:tcW w:w="9072" w:type="dxa"/>
            <w:tcBorders>
              <w:top w:val="nil"/>
              <w:left w:val="nil"/>
              <w:bottom w:val="nil"/>
              <w:right w:val="nil"/>
            </w:tcBorders>
            <w:noWrap/>
            <w:hideMark/>
          </w:tcPr>
          <w:p w14:paraId="21A22FD2" w14:textId="264224D2" w:rsidR="00393915" w:rsidRDefault="00817E01">
            <w:pPr>
              <w:pStyle w:val="P68B1DB1-Normal91"/>
            </w:pPr>
            <w:r w:rsidRPr="00D920ED">
              <w:t>SIX</w:t>
            </w:r>
          </w:p>
        </w:tc>
      </w:tr>
      <w:tr w:rsidR="00393915" w14:paraId="01B00784" w14:textId="77777777" w:rsidTr="00F83F66">
        <w:trPr>
          <w:trHeight w:val="300"/>
        </w:trPr>
        <w:tc>
          <w:tcPr>
            <w:tcW w:w="9072" w:type="dxa"/>
            <w:tcBorders>
              <w:top w:val="nil"/>
              <w:left w:val="nil"/>
              <w:bottom w:val="nil"/>
              <w:right w:val="nil"/>
            </w:tcBorders>
            <w:noWrap/>
            <w:hideMark/>
          </w:tcPr>
          <w:p w14:paraId="42A9A872" w14:textId="528B6381" w:rsidR="00393915" w:rsidRDefault="00817E01">
            <w:pPr>
              <w:pStyle w:val="P68B1DB1-Normal91"/>
            </w:pPr>
            <w:r w:rsidRPr="00D920ED">
              <w:t>SIX InterbankClearing (SIC)/EuroSIC</w:t>
            </w:r>
          </w:p>
        </w:tc>
      </w:tr>
      <w:tr w:rsidR="00393915" w14:paraId="4AB76E2F" w14:textId="77777777" w:rsidTr="00F83F66">
        <w:trPr>
          <w:trHeight w:val="300"/>
        </w:trPr>
        <w:tc>
          <w:tcPr>
            <w:tcW w:w="9072" w:type="dxa"/>
            <w:tcBorders>
              <w:top w:val="nil"/>
              <w:left w:val="nil"/>
              <w:bottom w:val="nil"/>
              <w:right w:val="nil"/>
            </w:tcBorders>
            <w:noWrap/>
            <w:hideMark/>
          </w:tcPr>
          <w:p w14:paraId="591D0E38" w14:textId="48753630" w:rsidR="00393915" w:rsidRDefault="00817E01">
            <w:pPr>
              <w:pStyle w:val="P68B1DB1-Normal91"/>
            </w:pPr>
            <w:r w:rsidRPr="00D920ED">
              <w:t>SIX Swiss Exchange</w:t>
            </w:r>
          </w:p>
        </w:tc>
      </w:tr>
      <w:tr w:rsidR="00393915" w14:paraId="0FE15923" w14:textId="77777777" w:rsidTr="00F83F66">
        <w:trPr>
          <w:trHeight w:val="300"/>
        </w:trPr>
        <w:tc>
          <w:tcPr>
            <w:tcW w:w="9072" w:type="dxa"/>
            <w:tcBorders>
              <w:top w:val="nil"/>
              <w:left w:val="nil"/>
              <w:bottom w:val="nil"/>
              <w:right w:val="nil"/>
            </w:tcBorders>
            <w:noWrap/>
            <w:hideMark/>
          </w:tcPr>
          <w:p w14:paraId="7A0AEADF" w14:textId="53AC9F9C" w:rsidR="00393915" w:rsidRDefault="00817E01">
            <w:pPr>
              <w:pStyle w:val="P68B1DB1-Normal91"/>
            </w:pPr>
            <w:r w:rsidRPr="00D920ED">
              <w:t>SIX x-clear</w:t>
            </w:r>
          </w:p>
        </w:tc>
      </w:tr>
      <w:tr w:rsidR="00393915" w14:paraId="58C9ED3B" w14:textId="77777777" w:rsidTr="00F83F66">
        <w:trPr>
          <w:trHeight w:val="300"/>
        </w:trPr>
        <w:tc>
          <w:tcPr>
            <w:tcW w:w="9072" w:type="dxa"/>
            <w:tcBorders>
              <w:top w:val="nil"/>
              <w:left w:val="nil"/>
              <w:bottom w:val="nil"/>
              <w:right w:val="nil"/>
            </w:tcBorders>
            <w:noWrap/>
            <w:hideMark/>
          </w:tcPr>
          <w:p w14:paraId="53254B63" w14:textId="20740B26" w:rsidR="00393915" w:rsidRDefault="00817E01">
            <w:pPr>
              <w:pStyle w:val="P68B1DB1-Normal91"/>
            </w:pPr>
            <w:r w:rsidRPr="00D920ED">
              <w:t>SKD (Short Term Bond System)</w:t>
            </w:r>
          </w:p>
        </w:tc>
      </w:tr>
      <w:tr w:rsidR="00393915" w14:paraId="479A72E9" w14:textId="77777777" w:rsidTr="00F83F66">
        <w:trPr>
          <w:trHeight w:val="300"/>
        </w:trPr>
        <w:tc>
          <w:tcPr>
            <w:tcW w:w="9072" w:type="dxa"/>
            <w:tcBorders>
              <w:top w:val="nil"/>
              <w:left w:val="nil"/>
              <w:bottom w:val="nil"/>
              <w:right w:val="nil"/>
            </w:tcBorders>
            <w:noWrap/>
            <w:hideMark/>
          </w:tcPr>
          <w:p w14:paraId="559EC939" w14:textId="1EDC84BA" w:rsidR="00393915" w:rsidRDefault="00817E01">
            <w:pPr>
              <w:pStyle w:val="P68B1DB1-Normal91"/>
            </w:pPr>
            <w:r w:rsidRPr="00D920ED">
              <w:t>SNCE (Sistema Nacional de Compensación Electrónica)</w:t>
            </w:r>
          </w:p>
        </w:tc>
      </w:tr>
      <w:tr w:rsidR="00393915" w14:paraId="61D37C20" w14:textId="77777777" w:rsidTr="00F83F66">
        <w:trPr>
          <w:trHeight w:val="300"/>
        </w:trPr>
        <w:tc>
          <w:tcPr>
            <w:tcW w:w="9072" w:type="dxa"/>
            <w:tcBorders>
              <w:top w:val="nil"/>
              <w:left w:val="nil"/>
              <w:bottom w:val="nil"/>
              <w:right w:val="nil"/>
            </w:tcBorders>
            <w:noWrap/>
            <w:hideMark/>
          </w:tcPr>
          <w:p w14:paraId="0B37415E" w14:textId="0CDC97D5" w:rsidR="00393915" w:rsidRDefault="00817E01">
            <w:pPr>
              <w:pStyle w:val="P68B1DB1-Normal91"/>
            </w:pPr>
            <w:r w:rsidRPr="00D920ED">
              <w:t>Société de la Bourse du Luxembourg SA</w:t>
            </w:r>
          </w:p>
        </w:tc>
      </w:tr>
      <w:tr w:rsidR="00393915" w14:paraId="09E4F71F" w14:textId="77777777" w:rsidTr="00F83F66">
        <w:trPr>
          <w:trHeight w:val="300"/>
        </w:trPr>
        <w:tc>
          <w:tcPr>
            <w:tcW w:w="9072" w:type="dxa"/>
            <w:tcBorders>
              <w:top w:val="nil"/>
              <w:left w:val="nil"/>
              <w:bottom w:val="nil"/>
              <w:right w:val="nil"/>
            </w:tcBorders>
            <w:noWrap/>
            <w:hideMark/>
          </w:tcPr>
          <w:p w14:paraId="094DD4AF" w14:textId="05B98C11" w:rsidR="00393915" w:rsidRDefault="00817E01">
            <w:pPr>
              <w:pStyle w:val="P68B1DB1-Normal91"/>
            </w:pPr>
            <w:r w:rsidRPr="00D920ED">
              <w:t>SORBNET2</w:t>
            </w:r>
          </w:p>
        </w:tc>
      </w:tr>
      <w:tr w:rsidR="00393915" w14:paraId="1E86EA3A" w14:textId="77777777" w:rsidTr="00F83F66">
        <w:trPr>
          <w:trHeight w:val="300"/>
        </w:trPr>
        <w:tc>
          <w:tcPr>
            <w:tcW w:w="9072" w:type="dxa"/>
            <w:tcBorders>
              <w:top w:val="nil"/>
              <w:left w:val="nil"/>
              <w:bottom w:val="nil"/>
              <w:right w:val="nil"/>
            </w:tcBorders>
            <w:noWrap/>
            <w:hideMark/>
          </w:tcPr>
          <w:p w14:paraId="2FE926EC" w14:textId="3A3F18CE" w:rsidR="00393915" w:rsidRDefault="00817E01">
            <w:pPr>
              <w:pStyle w:val="P68B1DB1-Normal91"/>
            </w:pPr>
            <w:r w:rsidRPr="00D920ED">
              <w:t>STEP 1</w:t>
            </w:r>
          </w:p>
        </w:tc>
      </w:tr>
      <w:tr w:rsidR="00393915" w14:paraId="4A3D7A33" w14:textId="77777777" w:rsidTr="00F83F66">
        <w:trPr>
          <w:trHeight w:val="300"/>
        </w:trPr>
        <w:tc>
          <w:tcPr>
            <w:tcW w:w="9072" w:type="dxa"/>
            <w:tcBorders>
              <w:top w:val="nil"/>
              <w:left w:val="nil"/>
              <w:bottom w:val="nil"/>
              <w:right w:val="nil"/>
            </w:tcBorders>
            <w:noWrap/>
            <w:hideMark/>
          </w:tcPr>
          <w:p w14:paraId="38D47947" w14:textId="21A76C42" w:rsidR="00393915" w:rsidRDefault="00817E01">
            <w:pPr>
              <w:pStyle w:val="P68B1DB1-Normal91"/>
            </w:pPr>
            <w:r w:rsidRPr="00D920ED">
              <w:t>STEP 2</w:t>
            </w:r>
          </w:p>
        </w:tc>
      </w:tr>
      <w:tr w:rsidR="00393915" w14:paraId="305AEF07" w14:textId="77777777" w:rsidTr="00F83F66">
        <w:trPr>
          <w:trHeight w:val="300"/>
        </w:trPr>
        <w:tc>
          <w:tcPr>
            <w:tcW w:w="9072" w:type="dxa"/>
            <w:tcBorders>
              <w:top w:val="nil"/>
              <w:left w:val="nil"/>
              <w:bottom w:val="nil"/>
              <w:right w:val="nil"/>
            </w:tcBorders>
            <w:noWrap/>
            <w:hideMark/>
          </w:tcPr>
          <w:p w14:paraId="3385D576" w14:textId="2EF0D627" w:rsidR="00393915" w:rsidRDefault="00817E01">
            <w:pPr>
              <w:pStyle w:val="P68B1DB1-Normal91"/>
            </w:pPr>
            <w:r w:rsidRPr="00D920ED">
              <w:t>STET/CORE</w:t>
            </w:r>
          </w:p>
        </w:tc>
      </w:tr>
      <w:tr w:rsidR="00393915" w14:paraId="68530B39" w14:textId="77777777" w:rsidTr="00F83F66">
        <w:trPr>
          <w:trHeight w:val="300"/>
        </w:trPr>
        <w:tc>
          <w:tcPr>
            <w:tcW w:w="9072" w:type="dxa"/>
            <w:tcBorders>
              <w:top w:val="nil"/>
              <w:left w:val="nil"/>
              <w:bottom w:val="nil"/>
              <w:right w:val="nil"/>
            </w:tcBorders>
            <w:noWrap/>
            <w:hideMark/>
          </w:tcPr>
          <w:p w14:paraId="2B90AD3F" w14:textId="68545628" w:rsidR="00393915" w:rsidRDefault="00817E01">
            <w:pPr>
              <w:pStyle w:val="P68B1DB1-Normal91"/>
            </w:pPr>
            <w:r w:rsidRPr="00D920ED">
              <w:t>Straksclearingen</w:t>
            </w:r>
          </w:p>
        </w:tc>
      </w:tr>
      <w:tr w:rsidR="00393915" w14:paraId="0E50A9AB" w14:textId="77777777" w:rsidTr="00F83F66">
        <w:trPr>
          <w:trHeight w:val="300"/>
        </w:trPr>
        <w:tc>
          <w:tcPr>
            <w:tcW w:w="9072" w:type="dxa"/>
            <w:tcBorders>
              <w:top w:val="nil"/>
              <w:left w:val="nil"/>
              <w:bottom w:val="nil"/>
              <w:right w:val="nil"/>
            </w:tcBorders>
            <w:noWrap/>
            <w:hideMark/>
          </w:tcPr>
          <w:p w14:paraId="54E27288" w14:textId="067A1B05" w:rsidR="00393915" w:rsidRDefault="00817E01">
            <w:pPr>
              <w:pStyle w:val="P68B1DB1-Normal91"/>
            </w:pPr>
            <w:r w:rsidRPr="00D920ED">
              <w:t>Sumclearingen</w:t>
            </w:r>
          </w:p>
        </w:tc>
      </w:tr>
      <w:tr w:rsidR="00393915" w14:paraId="0C6135E4" w14:textId="77777777" w:rsidTr="00F83F66">
        <w:trPr>
          <w:trHeight w:val="300"/>
        </w:trPr>
        <w:tc>
          <w:tcPr>
            <w:tcW w:w="9072" w:type="dxa"/>
            <w:tcBorders>
              <w:top w:val="nil"/>
              <w:left w:val="nil"/>
              <w:bottom w:val="nil"/>
              <w:right w:val="nil"/>
            </w:tcBorders>
            <w:noWrap/>
            <w:hideMark/>
          </w:tcPr>
          <w:p w14:paraId="4789CBEE" w14:textId="156B442B" w:rsidR="00393915" w:rsidRDefault="00817E01">
            <w:pPr>
              <w:pStyle w:val="P68B1DB1-Normal91"/>
            </w:pPr>
            <w:r w:rsidRPr="00D920ED">
              <w:t>T2S (SSS - only for direct connectivity)</w:t>
            </w:r>
          </w:p>
        </w:tc>
      </w:tr>
      <w:tr w:rsidR="00393915" w14:paraId="791932E6" w14:textId="77777777" w:rsidTr="00F83F66">
        <w:trPr>
          <w:trHeight w:val="300"/>
        </w:trPr>
        <w:tc>
          <w:tcPr>
            <w:tcW w:w="9072" w:type="dxa"/>
            <w:tcBorders>
              <w:top w:val="nil"/>
              <w:left w:val="nil"/>
              <w:bottom w:val="nil"/>
              <w:right w:val="nil"/>
            </w:tcBorders>
            <w:noWrap/>
            <w:hideMark/>
          </w:tcPr>
          <w:p w14:paraId="085D29CC" w14:textId="4F22E5AF" w:rsidR="00393915" w:rsidRDefault="00817E01">
            <w:pPr>
              <w:pStyle w:val="P68B1DB1-Normal91"/>
            </w:pPr>
            <w:r w:rsidRPr="00D920ED">
              <w:t>TARGET2</w:t>
            </w:r>
          </w:p>
        </w:tc>
      </w:tr>
      <w:tr w:rsidR="00393915" w14:paraId="0379A497" w14:textId="77777777" w:rsidTr="00F83F66">
        <w:trPr>
          <w:trHeight w:val="300"/>
        </w:trPr>
        <w:tc>
          <w:tcPr>
            <w:tcW w:w="9072" w:type="dxa"/>
            <w:tcBorders>
              <w:top w:val="nil"/>
              <w:left w:val="nil"/>
              <w:bottom w:val="nil"/>
              <w:right w:val="nil"/>
            </w:tcBorders>
            <w:noWrap/>
            <w:hideMark/>
          </w:tcPr>
          <w:p w14:paraId="56C29FCF" w14:textId="08D25008" w:rsidR="00393915" w:rsidRDefault="00817E01">
            <w:pPr>
              <w:pStyle w:val="P68B1DB1-Normal91"/>
            </w:pPr>
            <w:r w:rsidRPr="00D920ED">
              <w:t>TIPS</w:t>
            </w:r>
          </w:p>
        </w:tc>
      </w:tr>
      <w:tr w:rsidR="00393915" w14:paraId="19C63903" w14:textId="77777777" w:rsidTr="00F83F66">
        <w:trPr>
          <w:trHeight w:val="300"/>
        </w:trPr>
        <w:tc>
          <w:tcPr>
            <w:tcW w:w="9072" w:type="dxa"/>
            <w:tcBorders>
              <w:top w:val="nil"/>
              <w:left w:val="nil"/>
              <w:bottom w:val="nil"/>
              <w:right w:val="nil"/>
            </w:tcBorders>
            <w:noWrap/>
            <w:hideMark/>
          </w:tcPr>
          <w:p w14:paraId="6CABE6E8" w14:textId="0754F423" w:rsidR="00393915" w:rsidRDefault="00817E01">
            <w:pPr>
              <w:pStyle w:val="P68B1DB1-Normal91"/>
            </w:pPr>
            <w:r w:rsidRPr="00D920ED">
              <w:t>UnaVista Limited</w:t>
            </w:r>
          </w:p>
        </w:tc>
      </w:tr>
      <w:tr w:rsidR="00393915" w14:paraId="7E731946" w14:textId="77777777" w:rsidTr="00F83F66">
        <w:trPr>
          <w:trHeight w:val="300"/>
        </w:trPr>
        <w:tc>
          <w:tcPr>
            <w:tcW w:w="9072" w:type="dxa"/>
            <w:tcBorders>
              <w:top w:val="nil"/>
              <w:left w:val="nil"/>
              <w:bottom w:val="nil"/>
              <w:right w:val="nil"/>
            </w:tcBorders>
            <w:noWrap/>
            <w:hideMark/>
          </w:tcPr>
          <w:p w14:paraId="6485DCC3" w14:textId="6126A327" w:rsidR="00393915" w:rsidRDefault="00817E01">
            <w:pPr>
              <w:pStyle w:val="P68B1DB1-Normal91"/>
            </w:pPr>
            <w:r w:rsidRPr="00D920ED">
              <w:t>Verdipapirsentralen (VPS)</w:t>
            </w:r>
          </w:p>
        </w:tc>
      </w:tr>
      <w:tr w:rsidR="00393915" w14:paraId="599BD0C0" w14:textId="77777777" w:rsidTr="00F83F66">
        <w:trPr>
          <w:trHeight w:val="300"/>
        </w:trPr>
        <w:tc>
          <w:tcPr>
            <w:tcW w:w="9072" w:type="dxa"/>
            <w:tcBorders>
              <w:top w:val="nil"/>
              <w:left w:val="nil"/>
              <w:bottom w:val="nil"/>
              <w:right w:val="nil"/>
            </w:tcBorders>
            <w:noWrap/>
            <w:hideMark/>
          </w:tcPr>
          <w:p w14:paraId="209D9CF9" w14:textId="224DF11A" w:rsidR="00393915" w:rsidRDefault="00817E01">
            <w:pPr>
              <w:pStyle w:val="P68B1DB1-Normal91"/>
            </w:pPr>
            <w:r w:rsidRPr="00D920ED">
              <w:t>VIBER</w:t>
            </w:r>
          </w:p>
        </w:tc>
      </w:tr>
      <w:tr w:rsidR="00393915" w14:paraId="3CBF4EA3" w14:textId="77777777" w:rsidTr="00F83F66">
        <w:trPr>
          <w:trHeight w:val="300"/>
        </w:trPr>
        <w:tc>
          <w:tcPr>
            <w:tcW w:w="9072" w:type="dxa"/>
            <w:tcBorders>
              <w:top w:val="nil"/>
              <w:left w:val="nil"/>
              <w:bottom w:val="nil"/>
              <w:right w:val="nil"/>
            </w:tcBorders>
            <w:noWrap/>
            <w:hideMark/>
          </w:tcPr>
          <w:p w14:paraId="49A43CDA" w14:textId="2327356F" w:rsidR="00393915" w:rsidRDefault="00817E01">
            <w:pPr>
              <w:pStyle w:val="P68B1DB1-Normal91"/>
            </w:pPr>
            <w:r w:rsidRPr="00D920ED">
              <w:t>VP Lux</w:t>
            </w:r>
          </w:p>
        </w:tc>
      </w:tr>
      <w:tr w:rsidR="00393915" w14:paraId="20C89571" w14:textId="77777777" w:rsidTr="00F83F66">
        <w:trPr>
          <w:trHeight w:val="300"/>
        </w:trPr>
        <w:tc>
          <w:tcPr>
            <w:tcW w:w="9072" w:type="dxa"/>
            <w:tcBorders>
              <w:top w:val="nil"/>
              <w:left w:val="nil"/>
              <w:bottom w:val="nil"/>
              <w:right w:val="nil"/>
            </w:tcBorders>
            <w:noWrap/>
            <w:hideMark/>
          </w:tcPr>
          <w:p w14:paraId="12389C15" w14:textId="3239A5A3" w:rsidR="00393915" w:rsidRDefault="00817E01">
            <w:pPr>
              <w:pStyle w:val="P68B1DB1-Normal91"/>
            </w:pPr>
            <w:r w:rsidRPr="00D920ED">
              <w:t>VP Securities A/S</w:t>
            </w:r>
          </w:p>
        </w:tc>
      </w:tr>
    </w:tbl>
    <w:p w14:paraId="1E4D7216" w14:textId="77777777" w:rsidR="00393915" w:rsidRDefault="00393915">
      <w:pPr>
        <w:pStyle w:val="body"/>
        <w:rPr>
          <w:rFonts w:ascii="Times New Roman" w:hAnsi="Times New Roman" w:cs="Times New Roman"/>
          <w:sz w:val="20"/>
          <w:szCs w:val="20"/>
        </w:rPr>
      </w:pPr>
    </w:p>
    <w:sectPr w:rsidR="00393915">
      <w:headerReference w:type="even" r:id="rId16"/>
      <w:headerReference w:type="default" r:id="rId17"/>
      <w:footerReference w:type="default" r:id="rId18"/>
      <w:headerReference w:type="first" r:id="rId19"/>
      <w:footerReference w:type="first" r:id="rId20"/>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17C7B4" w14:textId="77777777" w:rsidR="001645B7" w:rsidRDefault="001645B7">
      <w:r>
        <w:separator/>
      </w:r>
    </w:p>
  </w:endnote>
  <w:endnote w:type="continuationSeparator" w:id="0">
    <w:p w14:paraId="3A54413A" w14:textId="77777777" w:rsidR="001645B7" w:rsidRDefault="001645B7">
      <w:r>
        <w:continuationSeparator/>
      </w:r>
    </w:p>
  </w:endnote>
  <w:endnote w:type="continuationNotice" w:id="1">
    <w:p w14:paraId="24CAF9FF" w14:textId="77777777" w:rsidR="001645B7" w:rsidRDefault="001645B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EUAlbertina">
    <w:altName w:val="Cambria"/>
    <w:panose1 w:val="00000000000000000000"/>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quot;Calibri&quot;,sans-serif">
    <w:altName w:val="Cambria"/>
    <w:panose1 w:val="00000000000000000000"/>
    <w:charset w:val="00"/>
    <w:family w:val="roman"/>
    <w:notTrueType/>
    <w:pitch w:val="default"/>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Times New Roman"/>
    <w:charset w:val="00"/>
    <w:family w:val="auto"/>
    <w:pitch w:val="variable"/>
    <w:sig w:usb0="00000000" w:usb1="5000A1FF" w:usb2="00000000" w:usb3="00000000" w:csb0="000001BF" w:csb1="00000000"/>
  </w:font>
  <w:font w:name="Aptos">
    <w:charset w:val="00"/>
    <w:family w:val="swiss"/>
    <w:pitch w:val="variable"/>
    <w:sig w:usb0="20000287" w:usb1="00000003" w:usb2="00000000" w:usb3="00000000" w:csb0="0000019F" w:csb1="00000000"/>
  </w:font>
  <w:font w:name="Book Antiqua">
    <w:panose1 w:val="02040602050305030304"/>
    <w:charset w:val="00"/>
    <w:family w:val="roman"/>
    <w:pitch w:val="variable"/>
    <w:sig w:usb0="00000287" w:usb1="00000000" w:usb2="00000000" w:usb3="00000000" w:csb0="0000009F" w:csb1="00000000"/>
  </w:font>
  <w:font w:name="Roboto">
    <w:charset w:val="00"/>
    <w:family w:val="auto"/>
    <w:pitch w:val="variable"/>
    <w:sig w:usb0="E0000AFF" w:usb1="5000217F" w:usb2="00000021"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53105955"/>
      <w:docPartObj>
        <w:docPartGallery w:val="Page Numbers (Bottom of Page)"/>
        <w:docPartUnique/>
      </w:docPartObj>
    </w:sdtPr>
    <w:sdtEndPr>
      <w:rPr>
        <w:noProof/>
      </w:rPr>
    </w:sdtEndPr>
    <w:sdtContent>
      <w:p w14:paraId="7FE1D24E" w14:textId="77777777" w:rsidR="00393915" w:rsidRDefault="00F24D68">
        <w:pPr>
          <w:pStyle w:val="body"/>
          <w:jc w:val="right"/>
        </w:pPr>
        <w:r>
          <w:fldChar w:fldCharType="begin"/>
        </w:r>
        <w:r>
          <w:instrText xml:space="preserve"> PAGE   \* MERGEFORMAT </w:instrText>
        </w:r>
        <w:r>
          <w:fldChar w:fldCharType="separate"/>
        </w:r>
        <w:r>
          <w:t>89</w:t>
        </w:r>
        <w:r>
          <w:fldChar w:fldCharType="end"/>
        </w:r>
      </w:p>
    </w:sdtContent>
  </w:sdt>
  <w:p w14:paraId="7FE1D24F" w14:textId="77777777" w:rsidR="00393915" w:rsidRDefault="0039391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15EADD" w14:textId="740A5FB6" w:rsidR="00393915" w:rsidRDefault="00F24D68">
    <w:pPr>
      <w:pStyle w:val="Footer"/>
    </w:pPr>
    <w:r>
      <w:rPr>
        <w:noProof/>
      </w:rPr>
      <mc:AlternateContent>
        <mc:Choice Requires="wps">
          <w:drawing>
            <wp:anchor distT="0" distB="0" distL="114300" distR="114300" simplePos="0" relativeHeight="251659266" behindDoc="0" locked="0" layoutInCell="1" allowOverlap="1" wp14:anchorId="7D4B7297" wp14:editId="3C7A4C7A">
              <wp:simplePos x="0" y="0"/>
              <wp:positionH relativeFrom="margin">
                <wp:align>left</wp:align>
              </wp:positionH>
              <wp:positionV relativeFrom="paragraph">
                <wp:posOffset>-89067</wp:posOffset>
              </wp:positionV>
              <wp:extent cx="5587466" cy="351322"/>
              <wp:effectExtent l="0" t="0" r="13335" b="10795"/>
              <wp:wrapNone/>
              <wp:docPr id="978482222" name="Text Box 5"/>
              <wp:cNvGraphicFramePr/>
              <a:graphic xmlns:a="http://schemas.openxmlformats.org/drawingml/2006/main">
                <a:graphicData uri="http://schemas.microsoft.com/office/word/2010/wordprocessingShape">
                  <wps:wsp>
                    <wps:cNvSpPr txBox="1"/>
                    <wps:spPr>
                      <a:xfrm>
                        <a:off x="0" y="0"/>
                        <a:ext cx="5587466" cy="351322"/>
                      </a:xfrm>
                      <a:prstGeom prst="rect">
                        <a:avLst/>
                      </a:prstGeom>
                      <a:solidFill>
                        <a:schemeClr val="lt1"/>
                      </a:solidFill>
                      <a:ln w="6350">
                        <a:solidFill>
                          <a:prstClr val="black"/>
                        </a:solidFill>
                      </a:ln>
                    </wps:spPr>
                    <wps:txbx>
                      <w:txbxContent>
                        <w:p w14:paraId="59008DEE" w14:textId="3CBD8109" w:rsidR="00393915" w:rsidRDefault="00F24D68">
                          <w:pPr>
                            <w:pStyle w:val="P68B1DB1-Normal92"/>
                            <w:rPr>
                              <w:bCs/>
                            </w:rPr>
                          </w:pPr>
                          <w:r>
                            <w:t>Te su upute izvorno sastavljene na engleskom jeziku. Njihov prijevod na druge službene jezike EU-a odvija se putem eTranslation, službe Europske komisije za strojno prevođenje.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7D4B7297" id="_x0000_t202" coordsize="21600,21600" o:spt="202" path="m,l,21600r21600,l21600,xe">
              <v:stroke joinstyle="miter"/>
              <v:path gradientshapeok="t" o:connecttype="rect"/>
            </v:shapetype>
            <v:shape id="Text Box 5" o:spid="_x0000_s1029" type="#_x0000_t202" style="position:absolute;margin-left:0;margin-top:-7pt;width:439.95pt;height:27.65pt;z-index:251659266;visibility:visible;mso-wrap-style:square;mso-height-percent:0;mso-wrap-distance-left:9pt;mso-wrap-distance-top:0;mso-wrap-distance-right:9pt;mso-wrap-distance-bottom:0;mso-position-horizontal:left;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" fillcolor="white [3201]" strokeweight=".5pt">
              <v:textbox>
                <w:txbxContent>
                  <w:p w14:paraId="59008DEE" w14:textId="3CBD8109" w:rsidR="00393915" w:rsidRDefault="00F24D68">
                    <w:pPr>
                      <w:pStyle w:val="P68B1DB1-Normal92"/>
                      <w:rPr>
                        <w:bCs/>
                      </w:rPr>
                    </w:pPr>
                    <w:r>
                      <w:t>Te su upute izvorno sastavljene na engleskom jeziku. Njihov prijevod na druge službene jezike EU-a odvija se putem eTranslation, službe Europske komisije za strojno prevođenje.</w:t>
                    </w:r>
                  </w:p>
                </w:txbxContent>
              </v:textbox>
              <w10:wrap anchorx="margin"/>
            </v:shape>
          </w:pict>
        </mc:Fallback>
      </mc:AlternateContent>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55E357" w14:textId="77777777" w:rsidR="001645B7" w:rsidRDefault="001645B7">
      <w:r>
        <w:separator/>
      </w:r>
    </w:p>
  </w:footnote>
  <w:footnote w:type="continuationSeparator" w:id="0">
    <w:p w14:paraId="15D28FD5" w14:textId="77777777" w:rsidR="001645B7" w:rsidRDefault="001645B7">
      <w:r>
        <w:continuationSeparator/>
      </w:r>
    </w:p>
  </w:footnote>
  <w:footnote w:type="continuationNotice" w:id="1">
    <w:p w14:paraId="64E10082" w14:textId="77777777" w:rsidR="001645B7" w:rsidRDefault="001645B7"/>
  </w:footnote>
  <w:footnote w:id="2">
    <w:p w14:paraId="0A3F5404" w14:textId="77777777" w:rsidR="00393915" w:rsidRDefault="00F24D68">
      <w:pPr>
        <w:pStyle w:val="FootnoteText"/>
      </w:pPr>
      <w:r>
        <w:rPr>
          <w:rStyle w:val="FootnoteReference"/>
        </w:rPr>
        <w:footnoteRef/>
      </w:r>
      <w:r>
        <w:t xml:space="preserve"> PROVEDEBNA UREDBA KOMISIJE (EU) 2024/3117 оd 29. studenog 2024. o utvrđivanju provedbenih tehničkih standarda za primjenu Uredbe (EU) br. 575/2013 Europskog parlamenta i Vijeća u pogledu nadzornog izvješćivanja institucija i stavljanju izvan snage Provedbene uredbe Komisije (EU) 2021/451 (</w:t>
      </w:r>
      <w:r>
        <w:rPr>
          <w:i/>
        </w:rPr>
        <w:t>SL L, 2024/3117, 27.12.2024., ELI: </w:t>
      </w:r>
      <w:hyperlink r:id="rId1" w:tgtFrame="_blank" w:tooltip="Gives access to this document through its ELI URI." w:history="1">
        <w:r>
          <w:rPr>
            <w:rStyle w:val="Hyperlink"/>
            <w:i/>
          </w:rPr>
          <w:t>https://eur-lex.europa.eu/eli/reg_impl/2024/3117/oj?locale=hr</w:t>
        </w:r>
      </w:hyperlink>
      <w:r>
        <w:t>).</w:t>
      </w:r>
    </w:p>
  </w:footnote>
  <w:footnote w:id="3">
    <w:p w14:paraId="7FE1D258" w14:textId="77777777" w:rsidR="00393915" w:rsidRDefault="00F24D68">
      <w:pPr>
        <w:pStyle w:val="FootnoteText"/>
      </w:pPr>
      <w:r>
        <w:rPr>
          <w:rStyle w:val="FootnoteReference"/>
          <w:rFonts w:ascii="Times New Roman" w:hAnsi="Times New Roman"/>
        </w:rPr>
        <w:footnoteRef/>
      </w:r>
      <w:r>
        <w:t xml:space="preserve"> Uredba (EZ) br. 1606/2002 Europskog parlamenta i Vijeća od 19. srpnja 2002. o primjeni međunarodnih računovodstvenih standarda (SL L 243, 11.9.2002., str. 1.).</w:t>
      </w:r>
    </w:p>
  </w:footnote>
  <w:footnote w:id="4">
    <w:p w14:paraId="7FE1D259" w14:textId="77777777" w:rsidR="00393915" w:rsidRDefault="00F24D68">
      <w:pPr>
        <w:pStyle w:val="FootnoteText"/>
      </w:pPr>
      <w:r>
        <w:rPr>
          <w:rStyle w:val="FootnoteReference"/>
          <w:rFonts w:ascii="Times New Roman" w:hAnsi="Times New Roman"/>
        </w:rPr>
        <w:footnoteRef/>
      </w:r>
      <w:r>
        <w:t xml:space="preserve"> Uredba (EZ) br. 1606/2002 Europskog parlamenta i Vijeća od 19. srpnja 2002. o primjeni međunarodnih računovodstvenih standarda (SL L 243, 11.9.2002., str. 1.).</w:t>
      </w:r>
    </w:p>
  </w:footnote>
  <w:footnote w:id="5">
    <w:p w14:paraId="7FE1D25A" w14:textId="77777777" w:rsidR="00393915" w:rsidRDefault="00F24D68">
      <w:pPr>
        <w:pStyle w:val="FootnoteText"/>
      </w:pPr>
      <w:r>
        <w:rPr>
          <w:rStyle w:val="FootnoteReference"/>
          <w:rFonts w:ascii="Times New Roman" w:hAnsi="Times New Roman"/>
        </w:rPr>
        <w:footnoteRef/>
      </w:r>
      <w:r>
        <w:t xml:space="preserve"> Direktiva Vijeća 86/635/EEZ od 8. prosinca 1986. o godišnjim financijskim izvještajima i konsolidiranim financijskim izvještajima banaka i drugih financijskih institucija (SL L 372, 31.12.1986., str. 1.).</w:t>
      </w:r>
    </w:p>
  </w:footnote>
  <w:footnote w:id="6">
    <w:p w14:paraId="06EB0A65" w14:textId="77777777" w:rsidR="00393915" w:rsidRDefault="00F24D68">
      <w:pPr>
        <w:pStyle w:val="FootnoteText"/>
      </w:pPr>
      <w:r>
        <w:rPr>
          <w:rStyle w:val="FootnoteReference"/>
          <w:rFonts w:ascii="Times New Roman" w:hAnsi="Times New Roman"/>
        </w:rPr>
        <w:footnoteRef/>
      </w:r>
      <w:r>
        <w:t xml:space="preserve"> Uredba (EU) br. 575/2013 Europskog parlamenta i Vijeća od 26. lipnja 2013. o bonitetnim zahtjevima za kreditne institucije i investicijska društva i o izmjeni Uredbe (EU) br. 648/2012 (SL, L 176, 27.6.2013.</w:t>
      </w:r>
    </w:p>
  </w:footnote>
  <w:footnote w:id="7">
    <w:p w14:paraId="7FE1D25C" w14:textId="77777777" w:rsidR="00393915" w:rsidRDefault="00F24D68">
      <w:pPr>
        <w:pStyle w:val="FootnoteText"/>
      </w:pPr>
      <w:r>
        <w:rPr>
          <w:rStyle w:val="FootnoteReference"/>
        </w:rPr>
        <w:footnoteRef/>
      </w:r>
      <w:r>
        <w:t xml:space="preserve"> Direktiva (EU) br. 36/2013 Europskog parlamenta i Vijeća od 26. lipnja 2013. o pristupu aktivnostima kreditnih institucija i bonitetnom nadzoru kreditnih institucija i investicijskih društava i o izmjeni Direktive (EZ) br. 87/2002 i stavljanju izvan snage Direktive (EZ) br. 48/2006 i Direktive (EZ) br. 49/2006 (SL L 176, 27.6.2013., str. 338.).</w:t>
      </w:r>
    </w:p>
  </w:footnote>
  <w:footnote w:id="8">
    <w:p w14:paraId="7FE1D25D" w14:textId="77777777" w:rsidR="00393915" w:rsidRDefault="00F24D68">
      <w:pPr>
        <w:pStyle w:val="FootnoteText"/>
      </w:pPr>
      <w:r>
        <w:rPr>
          <w:rStyle w:val="FootnoteReference"/>
        </w:rPr>
        <w:footnoteRef/>
      </w:r>
      <w:r>
        <w:t xml:space="preserve"> Uredba (EU) 2019/2033 Europskog parlamenta i Vijeća od 27. studenoga 2019. o bonitetnim zahtjevima za investicijska društva i o izmjeni uredaba (EU) br. 1093/2010, (EU) br. 575/2013, (EU) br. 600/2014 i (EU) br. 806/2014 (SL L 314, 5.12.2019., str. 1.).</w:t>
      </w:r>
    </w:p>
  </w:footnote>
  <w:footnote w:id="9">
    <w:p w14:paraId="7FE1D25E" w14:textId="77777777" w:rsidR="00393915" w:rsidRDefault="00F24D68">
      <w:pPr>
        <w:pStyle w:val="FootnoteText"/>
      </w:pPr>
      <w:r>
        <w:rPr>
          <w:rStyle w:val="FootnoteReference"/>
        </w:rPr>
        <w:footnoteRef/>
      </w:r>
      <w:r>
        <w:t xml:space="preserve"> Direktivom (EU) 2019/2034 Europskog parlamenta i Vijeća od 27. studenoga 2019. o bonitetnom nadzoru nad investicijskim društvima i izmjeni direktiva 2002/87/EZ, 2009/65/EZ, 2011/61/EU, 2013/36/EU, 2014/59/EU i 2014/65/EU (SL L 314, 5.12.2019., str. 64.)</w:t>
      </w:r>
    </w:p>
  </w:footnote>
  <w:footnote w:id="10">
    <w:p w14:paraId="7FE1D25F" w14:textId="77777777" w:rsidR="00393915" w:rsidRDefault="00F24D68">
      <w:pPr>
        <w:pStyle w:val="FootnoteText"/>
      </w:pPr>
      <w:r>
        <w:rPr>
          <w:rStyle w:val="FootnoteReference"/>
          <w:rFonts w:ascii="Times New Roman" w:hAnsi="Times New Roman"/>
        </w:rPr>
        <w:footnoteRef/>
      </w:r>
      <w:r>
        <w:t xml:space="preserve"> Direktiva 2009/138/EZ Europskog parlamenta i Vijeća od 25. studenoga 2009. o osnivanju i obavljanju djelatnosti osiguranja i reosiguranja (Solventnost II) (Tekst značajan za EGP) (SL L 335, 17.12.2009., str. 1).</w:t>
      </w:r>
    </w:p>
  </w:footnote>
  <w:footnote w:id="11">
    <w:p w14:paraId="7FE1D260" w14:textId="2ADC4F18" w:rsidR="00393915" w:rsidRDefault="00F24D68">
      <w:pPr>
        <w:pStyle w:val="FootnoteText"/>
      </w:pPr>
      <w:r>
        <w:rPr>
          <w:rStyle w:val="FootnoteReference"/>
          <w:rFonts w:ascii="Times New Roman" w:hAnsi="Times New Roman"/>
        </w:rPr>
        <w:footnoteRef/>
      </w:r>
      <w:r>
        <w:t xml:space="preserve"> Uredba (EU) 2021/379 Europske središnje banke o bilanci sektora monetarnih financijskih institucija (SL L 297, 7.11.2013., str. 1.).</w:t>
      </w:r>
    </w:p>
  </w:footnote>
  <w:footnote w:id="12">
    <w:p w14:paraId="7FE1D261" w14:textId="77777777" w:rsidR="00393915" w:rsidRDefault="00F24D68">
      <w:pPr>
        <w:pStyle w:val="FootnoteText"/>
      </w:pPr>
      <w:r>
        <w:rPr>
          <w:rStyle w:val="FootnoteReference"/>
          <w:rFonts w:ascii="Times New Roman" w:hAnsi="Times New Roman"/>
        </w:rPr>
        <w:footnoteRef/>
      </w:r>
      <w:r>
        <w:t xml:space="preserve"> Preporuka Komisije od 6. svibnja 2003. o definiciji mikropoduzeća te malih i srednjih poduzeća (priopćeno pod brojem dokumenta C(2003) 1422) (SL L 124, 20.5.2003., str. 36.).</w:t>
      </w:r>
    </w:p>
  </w:footnote>
  <w:footnote w:id="13">
    <w:p w14:paraId="74BC1C09" w14:textId="2C5E1052" w:rsidR="00393915" w:rsidRDefault="00F24D68">
      <w:pPr>
        <w:pStyle w:val="FootnoteText"/>
      </w:pPr>
      <w:r>
        <w:rPr>
          <w:rStyle w:val="FootnoteReference"/>
        </w:rPr>
        <w:footnoteRef/>
      </w:r>
      <w:r>
        <w:t xml:space="preserve"> Direktiva 2014/65/EU Europskog parlamenta i Vijeća od 15. svibnja 2014. o tržištu financijskih instrumenata </w:t>
      </w:r>
      <w:r>
        <w:rPr>
          <w:rFonts w:hint="eastAsia"/>
        </w:rPr>
        <w:t>(SL L 173, 12.6.2014., str. 349.)</w:t>
      </w:r>
      <w:r>
        <w:t>.</w:t>
      </w:r>
    </w:p>
  </w:footnote>
  <w:footnote w:id="14">
    <w:p w14:paraId="7FE1D263" w14:textId="77777777" w:rsidR="00393915" w:rsidRDefault="00F24D68">
      <w:pPr>
        <w:pStyle w:val="FootnoteText"/>
      </w:pPr>
      <w:r>
        <w:rPr>
          <w:rStyle w:val="FootnoteReference"/>
        </w:rPr>
        <w:footnoteRef/>
      </w:r>
      <w:r>
        <w:t xml:space="preserve"> Direktiva 2014/59/EU Europskog parlamenta i Vijeća od 15. svibnja 2014. o uspostavi okvira za oporavak i sanaciju kreditnih institucija i investicijskih društava te o izmjeni direktive Vijeća 82/891/EEZ i Direktiva 2001/24/EZ, 2002/47/EZ, 2004/25/EZ, 2005/56/EZ, 2007/36/EZ, 2011/35/EU, 2012/30/EU i 2013/36/EU i uredbi (EU) br. 1093/2010 i (EU) br. 648/2012 Europskog parlamenta i Vijeća (SL L 173, 12.6.2014., str. 190.).</w:t>
      </w:r>
    </w:p>
  </w:footnote>
  <w:footnote w:id="15">
    <w:p w14:paraId="7FE1D264" w14:textId="77777777" w:rsidR="00393915" w:rsidRDefault="00F24D68">
      <w:pPr>
        <w:pStyle w:val="FootnoteText"/>
      </w:pPr>
      <w:r>
        <w:rPr>
          <w:rStyle w:val="FootnoteReference"/>
        </w:rPr>
        <w:footnoteRef/>
      </w:r>
      <w:r>
        <w:t xml:space="preserve"> Direktiva 2014/49/EU Europskog parlamenta i Vijeća od 16. travnja 2014. o sustavima osiguranja depozita (SL L 173, 12.6.2014., str. 149.).</w:t>
      </w:r>
    </w:p>
  </w:footnote>
  <w:footnote w:id="16">
    <w:p w14:paraId="7FE1D267" w14:textId="77777777" w:rsidR="00393915" w:rsidRDefault="00F24D68">
      <w:pPr>
        <w:pStyle w:val="FootnoteText"/>
      </w:pPr>
      <w:r>
        <w:rPr>
          <w:rStyle w:val="FootnoteReference"/>
        </w:rPr>
        <w:footnoteRef/>
      </w:r>
      <w:r>
        <w:t xml:space="preserve"> Delegirana uredba Komisije (EU) 2016/1401 оd 23. svibnja 2016. o dopuni Direktive 2014/59/EU Europskog parlamenta i Vijeća o uspostavi okvira za oporavak i sanaciju kreditnih institucija i investicijskih društava u vezi s regulatornim tehničkim standardima za metodologije i načela o vrednovanju obveza koje proizlaze iz izvedenica (SL L 228, 23.8.2016., str. 7.).</w:t>
      </w:r>
    </w:p>
  </w:footnote>
  <w:footnote w:id="17">
    <w:p w14:paraId="7FE1D268" w14:textId="77777777" w:rsidR="00393915" w:rsidRDefault="00F24D68">
      <w:pPr>
        <w:pStyle w:val="FootnoteText"/>
      </w:pPr>
      <w:r>
        <w:rPr>
          <w:rStyle w:val="FootnoteReference"/>
        </w:rPr>
        <w:footnoteRef/>
      </w:r>
      <w:r>
        <w:t xml:space="preserve"> Razinu zaštitnog sloja za očuvanje kapitala iz članka 129. Direktive 2013/36/EU;</w:t>
      </w:r>
    </w:p>
  </w:footnote>
  <w:footnote w:id="18">
    <w:p w14:paraId="7FE1D269" w14:textId="77777777" w:rsidR="00393915" w:rsidRDefault="00F24D68">
      <w:pPr>
        <w:pStyle w:val="FootnoteText"/>
      </w:pPr>
      <w:r>
        <w:rPr>
          <w:rStyle w:val="FootnoteReference"/>
        </w:rPr>
        <w:footnoteRef/>
      </w:r>
      <w:r>
        <w:t xml:space="preserve"> Delegirana uredba Komisije (EU) 2016/778 оd 2. veljače 2016. o dopuni Direktive 2014/59/EU Europskog parlamenta i Vijeća u pogledu okolnosti i uvjeta u kojima se plaćanje izvanrednih ex post doprinosa može djelomično ili u cijelosti odgoditi te o kriterijima za utvrđivanje aktivnosti, usluga i djelatnosti povezanih s ključnim funkcijama i za utvrđivanje linija poslovanja i pripadajućih usluga u pogledu temeljnih linija poslovanja (SL L 131, 20.5.2016., str. 41.).</w:t>
      </w:r>
    </w:p>
  </w:footnote>
  <w:footnote w:id="19">
    <w:p w14:paraId="7FE1D26D" w14:textId="77777777" w:rsidR="00393915" w:rsidRDefault="00F24D68">
      <w:pPr>
        <w:pStyle w:val="FootnoteText"/>
      </w:pPr>
      <w:r>
        <w:rPr>
          <w:rStyle w:val="FootnoteReference"/>
        </w:rPr>
        <w:footnoteRef/>
      </w:r>
      <w:r>
        <w:t xml:space="preserve"> Direktiva (EU) 2015/2366 Europskog parlamenta i Vijeća od 25. studenoga 2015. o platnim uslugama na unutarnjem tržištu, o izmjeni direktiva 2002/65/EZ, 2009/110/EZ i 2013/36/EU te Uredbe (EU) br. 1093/2010 i o stavljanju izvan snage Direktive 2007/64/EZ (SL L 337, 23.12.2015., str. 35.).</w:t>
      </w:r>
    </w:p>
  </w:footnote>
  <w:footnote w:id="20">
    <w:p w14:paraId="7FE1D26E" w14:textId="77777777" w:rsidR="00393915" w:rsidRDefault="00F24D68">
      <w:pPr>
        <w:pStyle w:val="FootnoteText"/>
      </w:pPr>
      <w:r>
        <w:rPr>
          <w:rStyle w:val="FootnoteReference"/>
        </w:rPr>
        <w:footnoteRef/>
      </w:r>
      <w:r>
        <w:t xml:space="preserve"> Uredba (EU) br. 648/2012 Europskog parlamenta i Vijeća od 4. srpnja 2012. o OTC izvedenicama, središnjoj drugoj ugovornoj strani i trgovinskom repozitoriju (SL L 201, 27.7.2012., str. 1.).</w:t>
      </w:r>
    </w:p>
  </w:footnote>
  <w:footnote w:id="21">
    <w:p w14:paraId="725FF5D2" w14:textId="77777777" w:rsidR="00393915" w:rsidRDefault="00F24D68">
      <w:pPr>
        <w:pStyle w:val="FootnoteText"/>
      </w:pPr>
      <w:r>
        <w:rPr>
          <w:rStyle w:val="FootnoteReference"/>
        </w:rPr>
        <w:footnoteRef/>
      </w:r>
      <w:r>
        <w:t xml:space="preserve"> Prema članku 1(2) Smjernice (EU) 2021/835 Europske središnje banke od 26. ožujka 2021. kojom se poništava Smjernica ESB/2014/15 o novčanoj i financijskoj statistici (ESB/2021/16), upućivanja na Smjernicu stavljenu izvan snage smatraju se upućivanjima na Smjernicu (EU) 2021/830 (ESB/2021/11), Smjernicu (EU) 2021/831 (ESB/2021/12), Smjernicu (EU) 2021/833 (ESB/2021/14), Smjernicu (EU) 2021/832 (ESB/2021/13) i Smjernicu (EU) 2021/834 (ESB/2021/15) </w:t>
      </w:r>
      <w:r w:rsidDel="00A41AF0">
        <w:t>ovis</w:t>
      </w:r>
      <w:r w:rsidR="00A41AF0">
        <w:t>prema potrebi i u skladu s korelacijskim tablicama u Prilozima II: do VI.</w:t>
      </w:r>
    </w:p>
    <w:p w14:paraId="66666B07" w14:textId="77777777" w:rsidR="00393915" w:rsidRDefault="00393915">
      <w:pPr>
        <w:pStyle w:val="FootnoteText"/>
      </w:pPr>
    </w:p>
  </w:footnote>
  <w:footnote w:id="22">
    <w:p w14:paraId="7FE1D272" w14:textId="68942E89" w:rsidR="00393915" w:rsidRDefault="00F24D68">
      <w:pPr>
        <w:pStyle w:val="FootnoteText"/>
      </w:pPr>
      <w:r w:rsidRPr="00F15538">
        <w:rPr>
          <w:vertAlign w:val="superscript"/>
          <w:lang w:val="en-US"/>
        </w:rPr>
        <w:footnoteRef/>
      </w:r>
      <w:r>
        <w:t xml:space="preserve"> Kako je utvrđeno u para 13. Smjernica za rješivost</w:t>
      </w:r>
    </w:p>
  </w:footnote>
  <w:footnote w:id="23">
    <w:p w14:paraId="7FE1D273" w14:textId="60D312AD" w:rsidR="00393915" w:rsidRDefault="00F24D68">
      <w:pPr>
        <w:pStyle w:val="FootnoteText"/>
      </w:pPr>
      <w:r w:rsidRPr="00F83F66">
        <w:rPr>
          <w:rStyle w:val="FootnoteReference"/>
          <w:rFonts w:ascii="Times New Roman" w:hAnsi="Times New Roman"/>
          <w:sz w:val="18"/>
        </w:rPr>
        <w:footnoteRef/>
      </w:r>
      <w:r>
        <w:t xml:space="preserve"> Delegirana uredba Komisije (EU) 2016/778, članak 6. i uvodna izjava 8.</w:t>
      </w:r>
    </w:p>
  </w:footnote>
  <w:footnote w:id="24">
    <w:p w14:paraId="7FE1D274" w14:textId="1C805137" w:rsidR="00393915" w:rsidRDefault="00F24D68">
      <w:pPr>
        <w:pStyle w:val="FootnoteText"/>
      </w:pPr>
      <w:r w:rsidRPr="00F83F66">
        <w:rPr>
          <w:rStyle w:val="FootnoteReference"/>
          <w:rFonts w:ascii="Times New Roman" w:hAnsi="Times New Roman"/>
          <w:sz w:val="18"/>
        </w:rPr>
        <w:footnoteRef/>
      </w:r>
      <w:r>
        <w:t xml:space="preserve"> Delegirana uredba Komisije (EU) 2016/778, članak 7. </w:t>
      </w:r>
    </w:p>
  </w:footnote>
  <w:footnote w:id="25">
    <w:p w14:paraId="7FE1D275" w14:textId="17CA332F" w:rsidR="00393915" w:rsidRDefault="00F24D68">
      <w:pPr>
        <w:pStyle w:val="FootnoteText"/>
      </w:pPr>
      <w:r w:rsidRPr="00F15538">
        <w:rPr>
          <w:vertAlign w:val="superscript"/>
          <w:lang w:val="en-US"/>
        </w:rPr>
        <w:footnoteRef/>
      </w:r>
      <w:r>
        <w:t xml:space="preserve"> Kontinuitet ključnih usluga može biti potreban za postizanje ciljeva sanacije osim održavanja ključnih funkcija (npr. financijska stabilnost osiguravanjem održivosti subjekta nakon sanacije). </w:t>
      </w:r>
    </w:p>
    <w:p w14:paraId="7FE1D276" w14:textId="77777777" w:rsidR="00393915" w:rsidRDefault="00393915">
      <w:pPr>
        <w:pStyle w:val="FootnoteText"/>
      </w:pPr>
    </w:p>
  </w:footnote>
  <w:footnote w:id="26">
    <w:p w14:paraId="7FE1D27C" w14:textId="77777777" w:rsidR="00393915" w:rsidRDefault="00F24D68">
      <w:pPr>
        <w:pStyle w:val="FootnoteText"/>
        <w:rPr>
          <w:rFonts w:ascii="Segoe UI" w:hAnsi="Segoe UI" w:cs="Segoe UI"/>
        </w:rPr>
      </w:pPr>
      <w:r w:rsidRPr="00F83F66">
        <w:rPr>
          <w:vertAlign w:val="superscript"/>
        </w:rPr>
        <w:footnoteRef/>
      </w:r>
      <w:r>
        <w:t xml:space="preserve"> Odredbama glave IV. poglavlja VI. BRRD-a predviđena je otpornost na sanaciju, posebno u kontekstu izvršavanja ovlasti sanacijskog tijela, osim za provedbu planova reorganizacije poslovanja.</w:t>
      </w:r>
    </w:p>
  </w:footnote>
  <w:footnote w:id="27">
    <w:p w14:paraId="3F998E2E" w14:textId="7BDE8075" w:rsidR="00393915" w:rsidRDefault="00F24D68">
      <w:pPr>
        <w:pStyle w:val="FootnoteText"/>
      </w:pPr>
      <w:r>
        <w:rPr>
          <w:rStyle w:val="FootnoteReference"/>
        </w:rPr>
        <w:footnoteRef/>
      </w:r>
      <w:r>
        <w:t xml:space="preserve"> Uredba (EU) 2022/2554 Europskog parlamenta i Vijeća od 14. prosinca 2022. o digitalnoj operativnoj otpornosti za financijski sektor i izmjeni uredbi (EZ) br. 1060/2009, (EU) br. 648/2012, (EU) br. 600/2014, (EU) br. 909/2014 i (EU) 2016/1011.</w:t>
      </w:r>
    </w:p>
    <w:p w14:paraId="3A2C28B9" w14:textId="00F04738" w:rsidR="00393915" w:rsidRDefault="00393915">
      <w:pPr>
        <w:pStyle w:val="FootnoteText"/>
      </w:pPr>
    </w:p>
  </w:footnote>
  <w:footnote w:id="28">
    <w:p w14:paraId="7FE1D27F" w14:textId="44B7AFB7" w:rsidR="00393915" w:rsidRDefault="00F24D68">
      <w:pPr>
        <w:pStyle w:val="FootnoteText"/>
        <w:rPr>
          <w:rFonts w:ascii="Segoe UI" w:hAnsi="Segoe UI" w:cs="Segoe UI"/>
        </w:rPr>
      </w:pPr>
      <w:r w:rsidRPr="00F83F66">
        <w:rPr>
          <w:vertAlign w:val="superscript"/>
        </w:rPr>
        <w:footnoteRef/>
      </w:r>
      <w:r w:rsidRPr="00F83F66">
        <w:rPr>
          <w:vertAlign w:val="superscript"/>
        </w:rPr>
        <w:t xml:space="preserve"> </w:t>
      </w:r>
      <w:r>
        <w:t>Odredbama glave IV. poglavlja VI. BRRD-a predviđena je otpornost na sanaciju, posebno u kontekstu izvršavanja ovlasti sanacijskog tijela, osim za provedbu planova reorganizacije poslovanja</w:t>
      </w:r>
      <w:r w:rsidR="00503652">
        <w:t xml:space="preserve"> (PRP)</w:t>
      </w:r>
      <w:r>
        <w:t>.</w:t>
      </w:r>
    </w:p>
  </w:footnote>
  <w:footnote w:id="29">
    <w:p w14:paraId="7FE1D280" w14:textId="77777777" w:rsidR="00393915" w:rsidRDefault="00F24D68">
      <w:pPr>
        <w:pStyle w:val="TableParagraph"/>
        <w:spacing w:before="108"/>
        <w:ind w:left="85"/>
        <w:jc w:val="both"/>
      </w:pPr>
      <w:r>
        <w:rPr>
          <w:rStyle w:val="FootnoteReference"/>
        </w:rPr>
        <w:footnoteRef/>
      </w:r>
      <w:r>
        <w:t xml:space="preserve"> </w:t>
      </w:r>
      <w:r>
        <w:rPr>
          <w:rFonts w:ascii="Times New Roman" w:eastAsiaTheme="minorEastAsia" w:hAnsi="Times New Roman" w:cs="Times New Roman"/>
          <w:sz w:val="18"/>
          <w:szCs w:val="18"/>
        </w:rPr>
        <w:t>Dužnički vrijednosni papiri, vlasnički vrijednosni papiri i drugi vrijednosni papiri, repo ugovori.</w:t>
      </w:r>
    </w:p>
  </w:footnote>
  <w:footnote w:id="30">
    <w:p w14:paraId="7FE1D281" w14:textId="431A5DC0" w:rsidR="00393915" w:rsidRDefault="00F24D68">
      <w:pPr>
        <w:pStyle w:val="TableParagraph"/>
        <w:spacing w:before="108"/>
        <w:ind w:left="85"/>
        <w:jc w:val="both"/>
      </w:pPr>
      <w:r>
        <w:rPr>
          <w:rStyle w:val="FootnoteReference"/>
        </w:rPr>
        <w:footnoteRef/>
      </w:r>
      <w:r>
        <w:rPr>
          <w:rStyle w:val="FootnoteReference"/>
        </w:rPr>
        <w:t xml:space="preserve"> </w:t>
      </w:r>
      <w:r>
        <w:rPr>
          <w:rFonts w:ascii="Times New Roman" w:eastAsiaTheme="minorEastAsia" w:hAnsi="Times New Roman" w:cs="Times New Roman"/>
          <w:sz w:val="18"/>
          <w:szCs w:val="18"/>
        </w:rPr>
        <w:t xml:space="preserve">Multilateralni sustavi ili sustavi u kojima višestruki trgovinski interesi trećih strana za kupnju i prodaju financijskih instrumenata mogu biti u interakciji u sustavu. Za sustave koji se nalaze u EGP-u ovom su definicijom obuhvaćena regulirana tržišta, </w:t>
      </w:r>
      <w:r w:rsidR="00F50327">
        <w:rPr>
          <w:rFonts w:ascii="Times New Roman" w:eastAsiaTheme="minorEastAsia" w:hAnsi="Times New Roman" w:cs="Times New Roman"/>
          <w:sz w:val="18"/>
          <w:szCs w:val="18"/>
        </w:rPr>
        <w:t xml:space="preserve">višestrana trgovinska platforma (engl. MTF) i organizirana trgovinska platforma (engl. OTF) </w:t>
      </w:r>
      <w:r>
        <w:rPr>
          <w:rFonts w:ascii="Times New Roman" w:eastAsiaTheme="minorEastAsia" w:hAnsi="Times New Roman" w:cs="Times New Roman"/>
          <w:sz w:val="18"/>
          <w:szCs w:val="18"/>
        </w:rPr>
        <w:t>.</w:t>
      </w:r>
    </w:p>
  </w:footnote>
  <w:footnote w:id="31">
    <w:p w14:paraId="7FE1D282" w14:textId="658B7A1F" w:rsidR="00393915" w:rsidRDefault="00F24D68">
      <w:pPr>
        <w:pStyle w:val="TableParagraph"/>
        <w:spacing w:before="108"/>
        <w:ind w:left="85"/>
        <w:jc w:val="both"/>
      </w:pPr>
      <w:r>
        <w:rPr>
          <w:rStyle w:val="FootnoteReference"/>
        </w:rPr>
        <w:footnoteRef/>
      </w:r>
      <w:r>
        <w:t xml:space="preserve"> </w:t>
      </w:r>
      <w:r w:rsidR="00D57CD0">
        <w:rPr>
          <w:rFonts w:ascii="Times New Roman" w:eastAsiaTheme="minorEastAsia" w:hAnsi="Times New Roman" w:cs="Times New Roman"/>
          <w:sz w:val="18"/>
          <w:szCs w:val="18"/>
        </w:rPr>
        <w:t>Vidi</w:t>
      </w:r>
      <w:r>
        <w:rPr>
          <w:rFonts w:ascii="Times New Roman" w:eastAsiaTheme="minorEastAsia" w:hAnsi="Times New Roman" w:cs="Times New Roman"/>
          <w:sz w:val="18"/>
          <w:szCs w:val="18"/>
        </w:rPr>
        <w:t xml:space="preserve"> Pojmovnik ESB-a za plaćanja i tržišta: Izravni sudionik: „sudionik u [...] sustavu koji može obavljati sve aktivnosti dopuštene u sustavu bez upotrebe posrednika (uključujući posebno izravno unošenje naloga u sustav i obavljanje operacija namire).”; Neizravni sudionik: „sudionik u [...] sustavu s višerazinskim aranžmanom koji se koristi izravnim sudionikom kao posrednikom za obavljanje nekih aktivnosti dopuštenih u sustavu (posebno namire)”.</w:t>
      </w:r>
    </w:p>
    <w:p w14:paraId="7FE1D283" w14:textId="77777777" w:rsidR="00393915" w:rsidRDefault="00393915">
      <w:pPr>
        <w:pStyle w:val="FootnoteText"/>
      </w:pPr>
    </w:p>
  </w:footnote>
  <w:footnote w:id="32">
    <w:p w14:paraId="7FE1D284" w14:textId="4486F0D9" w:rsidR="00393915" w:rsidRDefault="00F24D68">
      <w:pPr>
        <w:pStyle w:val="FootnoteText"/>
      </w:pPr>
      <w:r>
        <w:rPr>
          <w:rStyle w:val="FootnoteReference"/>
        </w:rPr>
        <w:footnoteRef/>
      </w:r>
      <w:r>
        <w:t xml:space="preserve"> Za definiciju otpornosti na </w:t>
      </w:r>
      <w:r w:rsidR="000E30DE">
        <w:t xml:space="preserve">sanaciju </w:t>
      </w:r>
      <w:r>
        <w:t xml:space="preserve">za potrebe ovog izvješća vidjeti </w:t>
      </w:r>
      <w:r w:rsidR="00E328FA">
        <w:t xml:space="preserve">predložak </w:t>
      </w:r>
      <w:r>
        <w:t>Z.08.01, stupac 150.</w:t>
      </w:r>
    </w:p>
  </w:footnote>
  <w:footnote w:id="33">
    <w:p w14:paraId="7FE1D285" w14:textId="339E4F52" w:rsidR="00393915" w:rsidRDefault="00F24D68">
      <w:pPr>
        <w:pStyle w:val="FootnoteText"/>
      </w:pPr>
      <w:r>
        <w:rPr>
          <w:rStyle w:val="FootnoteReference"/>
        </w:rPr>
        <w:footnoteRef/>
      </w:r>
      <w:r>
        <w:t xml:space="preserve"> Za potrebe relevantnih parametara za izvješćivanje, „sustavi kartica” izjednačavaju se s „platnim uslugama”; „</w:t>
      </w:r>
      <w:r w:rsidR="002B6228">
        <w:t>P</w:t>
      </w:r>
      <w:r>
        <w:t>N</w:t>
      </w:r>
      <w:r w:rsidR="002B6228">
        <w:t>P</w:t>
      </w:r>
      <w:r>
        <w:t>” se izjednačava sa „središnjim depozitorijima vrijednosnih papira” ako posluju s vrijednosnim papirima i „sustavima plaćanja” ako posluju s gotovinskim uslugama.</w:t>
      </w:r>
    </w:p>
  </w:footnote>
  <w:footnote w:id="34">
    <w:p w14:paraId="7FE1D286" w14:textId="77777777" w:rsidR="00393915" w:rsidRDefault="00F24D68">
      <w:pPr>
        <w:pStyle w:val="TableParagraph"/>
        <w:spacing w:before="108"/>
        <w:jc w:val="both"/>
        <w:rPr>
          <w:rFonts w:ascii="Times New Roman" w:eastAsia="Times New Roman" w:hAnsi="Times New Roman" w:cs="Times New Roman"/>
          <w:sz w:val="20"/>
          <w:szCs w:val="20"/>
        </w:rPr>
      </w:pPr>
      <w:r>
        <w:rPr>
          <w:rStyle w:val="FootnoteReference"/>
        </w:rPr>
        <w:footnoteRef/>
      </w:r>
      <w:r>
        <w:t xml:space="preserve"> </w:t>
      </w:r>
      <w:r>
        <w:rPr>
          <w:rFonts w:ascii="Times New Roman" w:eastAsiaTheme="minorEastAsia" w:hAnsi="Times New Roman" w:cs="Times New Roman"/>
          <w:sz w:val="18"/>
          <w:szCs w:val="18"/>
        </w:rPr>
        <w:t>Za potrebe ovog izvješća značenje vrsta računa trebalo bi tumačiti u skladu s člankom 39. stavcima 4. i 5. EMIR-a. Značenje pozicije trebalo bi tumačiti u skladu s člankom 2. stavkom 3., člankom 39. stavkom 4. i člankom 39. stavkom 5. EMIR-a. Računi klijenata: navesti samo ako pravni subjekt pruža neizravan pristup infrastrukturi financijskog tržišta.</w:t>
      </w:r>
    </w:p>
  </w:footnote>
  <w:footnote w:id="35">
    <w:p w14:paraId="7FE1D287" w14:textId="06D59323" w:rsidR="00393915" w:rsidRDefault="00F24D68">
      <w:pPr>
        <w:pStyle w:val="FootnoteText"/>
      </w:pPr>
      <w:r>
        <w:rPr>
          <w:rStyle w:val="FootnoteReference"/>
        </w:rPr>
        <w:footnoteRef/>
      </w:r>
      <w:r w:rsidR="0082308F">
        <w:t>Vidi</w:t>
      </w:r>
      <w:r w:rsidR="0082308F">
        <w:t>Vidi</w:t>
      </w:r>
      <w:r>
        <w:t xml:space="preserve"> Metodološke bilješke ESB-a o statistici trgovanja vrijednosnim papirima, kliringu i namiri.</w:t>
      </w:r>
    </w:p>
  </w:footnote>
  <w:footnote w:id="36">
    <w:p w14:paraId="0224E18F" w14:textId="4A7A6ACC" w:rsidR="00393915" w:rsidRDefault="00F24D68">
      <w:pPr>
        <w:pStyle w:val="FootnoteText"/>
      </w:pPr>
      <w:r>
        <w:rPr>
          <w:rStyle w:val="FootnoteReference"/>
        </w:rPr>
        <w:footnoteRef/>
      </w:r>
      <w:r>
        <w:t xml:space="preserve"> Određeni vlasnički instrumenti, kao što su </w:t>
      </w:r>
      <w:r w:rsidR="00625DB7">
        <w:t>udjeli u zadrugama</w:t>
      </w:r>
      <w:r>
        <w:t>, nisu obuhvaćeni definicijom vrijednosnih papira, ali ih i dalje treba iskazati ovdje.</w:t>
      </w:r>
    </w:p>
  </w:footnote>
  <w:footnote w:id="37">
    <w:p w14:paraId="4A19D249" w14:textId="5EEFF5A7" w:rsidR="00393915" w:rsidRDefault="00F24D68">
      <w:pPr>
        <w:pStyle w:val="FootnoteText"/>
        <w:rPr>
          <w:rFonts w:ascii="Verdana" w:hAnsi="Verdana"/>
        </w:rPr>
      </w:pPr>
      <w:r>
        <w:rPr>
          <w:rStyle w:val="FootnoteReference"/>
          <w:rFonts w:ascii="Verdana" w:hAnsi="Verdana"/>
          <w:sz w:val="16"/>
        </w:rPr>
        <w:footnoteRef/>
      </w:r>
      <w:r>
        <w:rPr>
          <w:rFonts w:ascii="Verdana" w:hAnsi="Verdana"/>
          <w:sz w:val="16"/>
        </w:rPr>
        <w:t xml:space="preserve"> Euronext Clearing </w:t>
      </w:r>
      <w:r w:rsidR="007169D9">
        <w:rPr>
          <w:rFonts w:ascii="Verdana" w:hAnsi="Verdana"/>
          <w:sz w:val="16"/>
        </w:rPr>
        <w:t>je novi trgovački naziv za</w:t>
      </w:r>
      <w:r w:rsidR="00817E01" w:rsidRPr="00817E01">
        <w:rPr>
          <w:rFonts w:ascii="Verdana" w:hAnsi="Verdana"/>
          <w:sz w:val="16"/>
        </w:rPr>
        <w:t xml:space="preserve"> Cassa Compensazione e Garanzia (CC&amp;G).</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E1D24B" w14:textId="77777777" w:rsidR="00393915" w:rsidRDefault="00F24D68">
    <w:pPr>
      <w:pStyle w:val="Header"/>
    </w:pPr>
    <w:r>
      <w:rPr>
        <w:noProof/>
      </w:rPr>
      <mc:AlternateContent>
        <mc:Choice Requires="wps">
          <w:drawing>
            <wp:anchor distT="0" distB="0" distL="0" distR="0" simplePos="0" relativeHeight="251658241" behindDoc="0" locked="0" layoutInCell="1" allowOverlap="1" wp14:anchorId="7FE1D251" wp14:editId="7FE1D252">
              <wp:simplePos x="635" y="635"/>
              <wp:positionH relativeFrom="leftMargin">
                <wp:align>left</wp:align>
              </wp:positionH>
              <wp:positionV relativeFrom="paragraph">
                <wp:posOffset>635</wp:posOffset>
              </wp:positionV>
              <wp:extent cx="443865" cy="443865"/>
              <wp:effectExtent l="0" t="0" r="3175" b="4445"/>
              <wp:wrapSquare wrapText="bothSides"/>
              <wp:docPr id="2" name="Text Box 2" descr="EBA Regular Use"/>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7FE1D28A" w14:textId="77777777" w:rsidR="00393915" w:rsidRDefault="00F24D68">
                          <w:pPr>
                            <w:pStyle w:val="P68B1DB1-Normal93"/>
                          </w:pPr>
                          <w:r>
                            <w:t>EBA Redovita primjena</w:t>
                          </w:r>
                        </w:p>
                      </w:txbxContent>
                    </wps:txbx>
                    <wps:bodyPr rot="0" spcFirstLastPara="0" vertOverflow="overflow" horzOverflow="overflow" vert="horz" wrap="none" lIns="63500" tIns="0" rIns="0" bIns="0" numCol="1" spcCol="0" rtlCol="0" fromWordArt="0" anchor="t" anchorCtr="0" forceAA="0" compatLnSpc="1">
                      <a:prstTxWarp prst="textNoShape">
                        <a:avLst/>
                      </a:prstTxWarp>
                      <a:spAutoFit/>
                    </wps:bodyPr>
                  </wps:wsp>
                </a:graphicData>
              </a:graphic>
            </wp:anchor>
          </w:drawing>
        </mc:Choice>
        <mc:Fallback>
          <w:pict>
            <v:shapetype w14:anchorId="7FE1D251" id="_x0000_t202" coordsize="21600,21600" o:spt="202" path="m,l,21600r21600,l21600,xe">
              <v:stroke joinstyle="miter"/>
              <v:path gradientshapeok="t" o:connecttype="rect"/>
            </v:shapetype>
            <v:shape id="Text Box 2" o:spid="_x0000_s1026" type="#_x0000_t202" alt="EBA Regular Use" style="position:absolute;margin-left:0;margin-top:.05pt;width:34.95pt;height:34.95pt;z-index:251658241;visibility:visible;mso-wrap-style:none;mso-wrap-distance-left:0;mso-wrap-distance-top:0;mso-wrap-distance-right:0;mso-wrap-distance-bottom:0;mso-position-horizontal:left;mso-position-horizontal-relative:left-margin-area;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" filled="f" stroked="f">
              <v:textbox style="mso-fit-shape-to-text:t" inset="5pt,0,0,0">
                <w:txbxContent>
                  <w:p w14:paraId="7FE1D28A" w14:textId="77777777" w:rsidR="00393915" w:rsidRDefault="00F24D68">
                    <w:pPr>
                      <w:pStyle w:val="P68B1DB1-Normal93"/>
                    </w:pPr>
                    <w:r>
                      <w:t>EBA Redovita primjena</w:t>
                    </w:r>
                  </w:p>
                </w:txbxContent>
              </v:textbox>
              <w10:wrap type="square" anchorx="margin"/>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E1D24C" w14:textId="77777777" w:rsidR="00393915" w:rsidRDefault="00F24D68">
    <w:pPr>
      <w:pStyle w:val="P68B1DB1-Header94"/>
      <w:jc w:val="center"/>
    </w:pPr>
    <w:r>
      <w:rPr>
        <w:noProof/>
      </w:rPr>
      <mc:AlternateContent>
        <mc:Choice Requires="wps">
          <w:drawing>
            <wp:anchor distT="0" distB="0" distL="0" distR="0" simplePos="0" relativeHeight="251658242" behindDoc="0" locked="0" layoutInCell="1" allowOverlap="1" wp14:anchorId="7FE1D253" wp14:editId="7FE1D254">
              <wp:simplePos x="914400" y="447675"/>
              <wp:positionH relativeFrom="leftMargin">
                <wp:align>left</wp:align>
              </wp:positionH>
              <wp:positionV relativeFrom="paragraph">
                <wp:posOffset>635</wp:posOffset>
              </wp:positionV>
              <wp:extent cx="443865" cy="443865"/>
              <wp:effectExtent l="0" t="0" r="3175" b="4445"/>
              <wp:wrapSquare wrapText="bothSides"/>
              <wp:docPr id="3" name="Text Box 3" descr="EBA Regular Use"/>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7FE1D28B" w14:textId="43485C18" w:rsidR="00393915" w:rsidRDefault="00393915">
                          <w:pPr>
                            <w:rPr>
                              <w:rFonts w:ascii="Calibri" w:eastAsia="Calibri" w:hAnsi="Calibri" w:cs="Calibri"/>
                              <w:color w:val="000000"/>
                              <w:sz w:val="24"/>
                            </w:rPr>
                          </w:pPr>
                        </w:p>
                      </w:txbxContent>
                    </wps:txbx>
                    <wps:bodyPr rot="0" spcFirstLastPara="0" vertOverflow="overflow" horzOverflow="overflow" vert="horz" wrap="none" lIns="63500" tIns="0" rIns="0" bIns="0" numCol="1" spcCol="0" rtlCol="0" fromWordArt="0" anchor="t" anchorCtr="0" forceAA="0" compatLnSpc="1">
                      <a:prstTxWarp prst="textNoShape">
                        <a:avLst/>
                      </a:prstTxWarp>
                      <a:spAutoFit/>
                    </wps:bodyPr>
                  </wps:wsp>
                </a:graphicData>
              </a:graphic>
            </wp:anchor>
          </w:drawing>
        </mc:Choice>
        <mc:Fallback>
          <w:pict>
            <v:shapetype w14:anchorId="7FE1D253" id="_x0000_t202" coordsize="21600,21600" o:spt="202" path="m,l,21600r21600,l21600,xe">
              <v:stroke joinstyle="miter"/>
              <v:path gradientshapeok="t" o:connecttype="rect"/>
            </v:shapetype>
            <v:shape id="Text Box 3" o:spid="_x0000_s1027" type="#_x0000_t202" alt="EBA Regular Use" style="position:absolute;left:0;text-align:left;margin-left:0;margin-top:.05pt;width:34.95pt;height:34.95pt;z-index:251658242;visibility:visible;mso-wrap-style:none;mso-wrap-distance-left:0;mso-wrap-distance-top:0;mso-wrap-distance-right:0;mso-wrap-distance-bottom:0;mso-position-horizontal:left;mso-position-horizontal-relative:left-margin-area;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" filled="f" stroked="f">
              <v:textbox style="mso-fit-shape-to-text:t" inset="5pt,0,0,0">
                <w:txbxContent>
                  <w:p w14:paraId="7FE1D28B" w14:textId="43485C18" w:rsidR="00393915" w:rsidRDefault="00393915">
                    <w:pPr>
                      <w:rPr>
                        <w:rFonts w:ascii="Calibri" w:eastAsia="Calibri" w:hAnsi="Calibri" w:cs="Calibri"/>
                        <w:color w:val="000000"/>
                        <w:sz w:val="24"/>
                      </w:rPr>
                    </w:pPr>
                  </w:p>
                </w:txbxContent>
              </v:textbox>
              <w10:wrap type="square" anchorx="margin"/>
            </v:shape>
          </w:pict>
        </mc:Fallback>
      </mc:AlternateContent>
    </w:r>
    <w:r>
      <w:t>HR</w:t>
    </w:r>
  </w:p>
  <w:p w14:paraId="7FE1D24D" w14:textId="77777777" w:rsidR="00393915" w:rsidRDefault="00F24D68">
    <w:pPr>
      <w:pStyle w:val="P68B1DB1-Header94"/>
      <w:jc w:val="center"/>
    </w:pPr>
    <w:r>
      <w:t>PRILOG II.</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E1D250" w14:textId="77777777" w:rsidR="00393915" w:rsidRDefault="00F24D68">
    <w:pPr>
      <w:pStyle w:val="Header"/>
    </w:pPr>
    <w:r>
      <w:rPr>
        <w:noProof/>
      </w:rPr>
      <mc:AlternateContent>
        <mc:Choice Requires="wps">
          <w:drawing>
            <wp:anchor distT="0" distB="0" distL="0" distR="0" simplePos="0" relativeHeight="251658240" behindDoc="0" locked="0" layoutInCell="1" allowOverlap="1" wp14:anchorId="7FE1D255" wp14:editId="7FE1D256">
              <wp:simplePos x="635" y="635"/>
              <wp:positionH relativeFrom="leftMargin">
                <wp:align>left</wp:align>
              </wp:positionH>
              <wp:positionV relativeFrom="paragraph">
                <wp:posOffset>635</wp:posOffset>
              </wp:positionV>
              <wp:extent cx="443865" cy="443865"/>
              <wp:effectExtent l="0" t="0" r="3175" b="4445"/>
              <wp:wrapSquare wrapText="bothSides"/>
              <wp:docPr id="1" name="Okvir za tekst 1." descr="EBA Regular Use"/>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7FE1D28C" w14:textId="15FD35FB" w:rsidR="00393915" w:rsidRDefault="00393915">
                          <w:pPr>
                            <w:rPr>
                              <w:rFonts w:ascii="Calibri" w:eastAsia="Calibri" w:hAnsi="Calibri" w:cs="Calibri"/>
                              <w:color w:val="000000"/>
                              <w:sz w:val="24"/>
                            </w:rPr>
                          </w:pPr>
                        </w:p>
                      </w:txbxContent>
                    </wps:txbx>
                    <wps:bodyPr rot="0" spcFirstLastPara="0" vertOverflow="overflow" horzOverflow="overflow" vert="horz" wrap="none" lIns="63500" tIns="0" rIns="0" bIns="0" numCol="1" spcCol="0" rtlCol="0" fromWordArt="0" anchor="t" anchorCtr="0" forceAA="0" compatLnSpc="1">
                      <a:prstTxWarp prst="textNoShape">
                        <a:avLst/>
                      </a:prstTxWarp>
                      <a:spAutoFit/>
                    </wps:bodyPr>
                  </wps:wsp>
                </a:graphicData>
              </a:graphic>
            </wp:anchor>
          </w:drawing>
        </mc:Choice>
        <mc:Fallback>
          <w:pict>
            <v:shapetype w14:anchorId="7FE1D255" id="_x0000_t202" coordsize="21600,21600" o:spt="202" path="m,l,21600r21600,l21600,xe">
              <v:stroke joinstyle="miter"/>
              <v:path gradientshapeok="t" o:connecttype="rect"/>
            </v:shapetype>
            <v:shape id="Okvir za tekst 1." o:spid="_x0000_s1028" type="#_x0000_t202" alt="EBA Regular Use" style="position:absolute;margin-left:0;margin-top:.05pt;width:34.95pt;height:34.95pt;z-index:251658240;visibility:visible;mso-wrap-style:none;mso-wrap-distance-left:0;mso-wrap-distance-top:0;mso-wrap-distance-right:0;mso-wrap-distance-bottom:0;mso-position-horizontal:left;mso-position-horizontal-relative:left-margin-area;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" filled="f" stroked="f">
              <v:textbox style="mso-fit-shape-to-text:t" inset="5pt,0,0,0">
                <w:txbxContent>
                  <w:p w14:paraId="7FE1D28C" w14:textId="15FD35FB" w:rsidR="00393915" w:rsidRDefault="00393915">
                    <w:pPr>
                      <w:rPr>
                        <w:rFonts w:ascii="Calibri" w:eastAsia="Calibri" w:hAnsi="Calibri" w:cs="Calibri"/>
                        <w:color w:val="000000"/>
                        <w:sz w:val="24"/>
                      </w:rPr>
                    </w:pPr>
                  </w:p>
                </w:txbxContent>
              </v:textbox>
              <w10:wrap type="square" anchorx="margin"/>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27067A5A"/>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01C50DE"/>
    <w:multiLevelType w:val="hybridMultilevel"/>
    <w:tmpl w:val="FFFFFFFF"/>
    <w:lvl w:ilvl="0" w:tplc="34341322">
      <w:start w:val="1"/>
      <w:numFmt w:val="bullet"/>
      <w:lvlText w:val="·"/>
      <w:lvlJc w:val="left"/>
      <w:pPr>
        <w:ind w:left="720" w:hanging="360"/>
      </w:pPr>
      <w:rPr>
        <w:rFonts w:ascii="Symbol" w:hAnsi="Symbol" w:hint="default"/>
      </w:rPr>
    </w:lvl>
    <w:lvl w:ilvl="1" w:tplc="74E4A804">
      <w:start w:val="1"/>
      <w:numFmt w:val="decimal"/>
      <w:lvlText w:val="%2."/>
      <w:lvlJc w:val="left"/>
      <w:pPr>
        <w:ind w:left="1440" w:hanging="360"/>
      </w:pPr>
      <w:rPr>
        <w:rFonts w:hint="default"/>
      </w:rPr>
    </w:lvl>
    <w:lvl w:ilvl="2" w:tplc="40649D5A">
      <w:start w:val="1"/>
      <w:numFmt w:val="bullet"/>
      <w:lvlText w:val=""/>
      <w:lvlJc w:val="left"/>
      <w:pPr>
        <w:ind w:left="2160" w:hanging="360"/>
      </w:pPr>
      <w:rPr>
        <w:rFonts w:ascii="Wingdings" w:hAnsi="Wingdings" w:hint="default"/>
      </w:rPr>
    </w:lvl>
    <w:lvl w:ilvl="3" w:tplc="00287E08">
      <w:start w:val="1"/>
      <w:numFmt w:val="bullet"/>
      <w:lvlText w:val=""/>
      <w:lvlJc w:val="left"/>
      <w:pPr>
        <w:ind w:left="2880" w:hanging="360"/>
      </w:pPr>
      <w:rPr>
        <w:rFonts w:ascii="Symbol" w:hAnsi="Symbol" w:hint="default"/>
      </w:rPr>
    </w:lvl>
    <w:lvl w:ilvl="4" w:tplc="5F280878">
      <w:start w:val="1"/>
      <w:numFmt w:val="bullet"/>
      <w:lvlText w:val="o"/>
      <w:lvlJc w:val="left"/>
      <w:pPr>
        <w:ind w:left="3600" w:hanging="360"/>
      </w:pPr>
      <w:rPr>
        <w:rFonts w:ascii="Courier New" w:hAnsi="Courier New" w:hint="default"/>
      </w:rPr>
    </w:lvl>
    <w:lvl w:ilvl="5" w:tplc="396C2F7A">
      <w:start w:val="1"/>
      <w:numFmt w:val="bullet"/>
      <w:lvlText w:val=""/>
      <w:lvlJc w:val="left"/>
      <w:pPr>
        <w:ind w:left="4320" w:hanging="360"/>
      </w:pPr>
      <w:rPr>
        <w:rFonts w:ascii="Wingdings" w:hAnsi="Wingdings" w:hint="default"/>
      </w:rPr>
    </w:lvl>
    <w:lvl w:ilvl="6" w:tplc="CA969B6A">
      <w:start w:val="1"/>
      <w:numFmt w:val="bullet"/>
      <w:lvlText w:val=""/>
      <w:lvlJc w:val="left"/>
      <w:pPr>
        <w:ind w:left="5040" w:hanging="360"/>
      </w:pPr>
      <w:rPr>
        <w:rFonts w:ascii="Symbol" w:hAnsi="Symbol" w:hint="default"/>
      </w:rPr>
    </w:lvl>
    <w:lvl w:ilvl="7" w:tplc="B854FFFA">
      <w:start w:val="1"/>
      <w:numFmt w:val="bullet"/>
      <w:lvlText w:val="o"/>
      <w:lvlJc w:val="left"/>
      <w:pPr>
        <w:ind w:left="5760" w:hanging="360"/>
      </w:pPr>
      <w:rPr>
        <w:rFonts w:ascii="Courier New" w:hAnsi="Courier New" w:hint="default"/>
      </w:rPr>
    </w:lvl>
    <w:lvl w:ilvl="8" w:tplc="E5707972">
      <w:start w:val="1"/>
      <w:numFmt w:val="bullet"/>
      <w:lvlText w:val=""/>
      <w:lvlJc w:val="left"/>
      <w:pPr>
        <w:ind w:left="6480" w:hanging="360"/>
      </w:pPr>
      <w:rPr>
        <w:rFonts w:ascii="Wingdings" w:hAnsi="Wingdings" w:hint="default"/>
      </w:rPr>
    </w:lvl>
  </w:abstractNum>
  <w:abstractNum w:abstractNumId="2" w15:restartNumberingAfterBreak="0">
    <w:nsid w:val="005C0289"/>
    <w:multiLevelType w:val="hybridMultilevel"/>
    <w:tmpl w:val="FFFFFFFF"/>
    <w:lvl w:ilvl="0" w:tplc="F1FCE380">
      <w:start w:val="52"/>
      <w:numFmt w:val="decimal"/>
      <w:lvlText w:val="%1."/>
      <w:lvlJc w:val="left"/>
      <w:pPr>
        <w:ind w:left="720" w:hanging="360"/>
      </w:pPr>
    </w:lvl>
    <w:lvl w:ilvl="1" w:tplc="24A2D92E">
      <w:start w:val="1"/>
      <w:numFmt w:val="lowerLetter"/>
      <w:lvlText w:val="%2."/>
      <w:lvlJc w:val="left"/>
      <w:pPr>
        <w:ind w:left="1440" w:hanging="360"/>
      </w:pPr>
    </w:lvl>
    <w:lvl w:ilvl="2" w:tplc="46D02270">
      <w:start w:val="1"/>
      <w:numFmt w:val="lowerRoman"/>
      <w:lvlText w:val="%3."/>
      <w:lvlJc w:val="right"/>
      <w:pPr>
        <w:ind w:left="2160" w:hanging="180"/>
      </w:pPr>
    </w:lvl>
    <w:lvl w:ilvl="3" w:tplc="A10CD14E">
      <w:start w:val="1"/>
      <w:numFmt w:val="decimal"/>
      <w:lvlText w:val="%4."/>
      <w:lvlJc w:val="left"/>
      <w:pPr>
        <w:ind w:left="2880" w:hanging="360"/>
      </w:pPr>
    </w:lvl>
    <w:lvl w:ilvl="4" w:tplc="533EF154">
      <w:start w:val="1"/>
      <w:numFmt w:val="lowerLetter"/>
      <w:lvlText w:val="%5."/>
      <w:lvlJc w:val="left"/>
      <w:pPr>
        <w:ind w:left="3600" w:hanging="360"/>
      </w:pPr>
    </w:lvl>
    <w:lvl w:ilvl="5" w:tplc="E196BB68">
      <w:start w:val="1"/>
      <w:numFmt w:val="lowerRoman"/>
      <w:lvlText w:val="%6."/>
      <w:lvlJc w:val="right"/>
      <w:pPr>
        <w:ind w:left="4320" w:hanging="180"/>
      </w:pPr>
    </w:lvl>
    <w:lvl w:ilvl="6" w:tplc="F59AB4D2">
      <w:start w:val="1"/>
      <w:numFmt w:val="decimal"/>
      <w:lvlText w:val="%7."/>
      <w:lvlJc w:val="left"/>
      <w:pPr>
        <w:ind w:left="5040" w:hanging="360"/>
      </w:pPr>
    </w:lvl>
    <w:lvl w:ilvl="7" w:tplc="6AD009EC">
      <w:start w:val="1"/>
      <w:numFmt w:val="lowerLetter"/>
      <w:lvlText w:val="%8."/>
      <w:lvlJc w:val="left"/>
      <w:pPr>
        <w:ind w:left="5760" w:hanging="360"/>
      </w:pPr>
    </w:lvl>
    <w:lvl w:ilvl="8" w:tplc="20BC22BA">
      <w:start w:val="1"/>
      <w:numFmt w:val="lowerRoman"/>
      <w:lvlText w:val="%9."/>
      <w:lvlJc w:val="right"/>
      <w:pPr>
        <w:ind w:left="6480" w:hanging="180"/>
      </w:pPr>
    </w:lvl>
  </w:abstractNum>
  <w:abstractNum w:abstractNumId="3" w15:restartNumberingAfterBreak="0">
    <w:nsid w:val="00E5078C"/>
    <w:multiLevelType w:val="hybridMultilevel"/>
    <w:tmpl w:val="D53853DA"/>
    <w:lvl w:ilvl="0" w:tplc="AFE0D250">
      <w:start w:val="1"/>
      <w:numFmt w:val="bullet"/>
      <w:pStyle w:val="List"/>
      <w:lvlText w:val=""/>
      <w:lvlJc w:val="left"/>
      <w:pPr>
        <w:tabs>
          <w:tab w:val="num" w:pos="680"/>
        </w:tabs>
        <w:ind w:left="680" w:hanging="68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1734EE9"/>
    <w:multiLevelType w:val="hybridMultilevel"/>
    <w:tmpl w:val="0C0A2588"/>
    <w:lvl w:ilvl="0" w:tplc="594AD1D0">
      <w:start w:val="1"/>
      <w:numFmt w:val="decimal"/>
      <w:lvlText w:val="%1."/>
      <w:lvlJc w:val="left"/>
      <w:pPr>
        <w:ind w:left="720" w:hanging="360"/>
      </w:pPr>
    </w:lvl>
    <w:lvl w:ilvl="1" w:tplc="916E9DC8">
      <w:start w:val="1"/>
      <w:numFmt w:val="lowerLetter"/>
      <w:lvlText w:val="%2."/>
      <w:lvlJc w:val="left"/>
      <w:pPr>
        <w:ind w:left="1440" w:hanging="360"/>
      </w:pPr>
    </w:lvl>
    <w:lvl w:ilvl="2" w:tplc="6F1041A2">
      <w:start w:val="1"/>
      <w:numFmt w:val="lowerRoman"/>
      <w:lvlText w:val="%3."/>
      <w:lvlJc w:val="right"/>
      <w:pPr>
        <w:ind w:left="2160" w:hanging="180"/>
      </w:pPr>
    </w:lvl>
    <w:lvl w:ilvl="3" w:tplc="6AFA64C2">
      <w:start w:val="1"/>
      <w:numFmt w:val="decimal"/>
      <w:lvlText w:val="%4."/>
      <w:lvlJc w:val="left"/>
      <w:pPr>
        <w:ind w:left="2880" w:hanging="360"/>
      </w:pPr>
    </w:lvl>
    <w:lvl w:ilvl="4" w:tplc="C158F274">
      <w:start w:val="1"/>
      <w:numFmt w:val="lowerLetter"/>
      <w:lvlText w:val="%5."/>
      <w:lvlJc w:val="left"/>
      <w:pPr>
        <w:ind w:left="3600" w:hanging="360"/>
      </w:pPr>
    </w:lvl>
    <w:lvl w:ilvl="5" w:tplc="0486DEC2">
      <w:start w:val="1"/>
      <w:numFmt w:val="lowerRoman"/>
      <w:lvlText w:val="%6."/>
      <w:lvlJc w:val="right"/>
      <w:pPr>
        <w:ind w:left="4320" w:hanging="180"/>
      </w:pPr>
    </w:lvl>
    <w:lvl w:ilvl="6" w:tplc="40B6D0A6">
      <w:start w:val="1"/>
      <w:numFmt w:val="decimal"/>
      <w:lvlText w:val="%7."/>
      <w:lvlJc w:val="left"/>
      <w:pPr>
        <w:ind w:left="5040" w:hanging="360"/>
      </w:pPr>
    </w:lvl>
    <w:lvl w:ilvl="7" w:tplc="17EAE1E8">
      <w:start w:val="1"/>
      <w:numFmt w:val="lowerLetter"/>
      <w:lvlText w:val="%8."/>
      <w:lvlJc w:val="left"/>
      <w:pPr>
        <w:ind w:left="5760" w:hanging="360"/>
      </w:pPr>
    </w:lvl>
    <w:lvl w:ilvl="8" w:tplc="0938F600">
      <w:start w:val="1"/>
      <w:numFmt w:val="lowerRoman"/>
      <w:lvlText w:val="%9."/>
      <w:lvlJc w:val="right"/>
      <w:pPr>
        <w:ind w:left="6480" w:hanging="180"/>
      </w:pPr>
    </w:lvl>
  </w:abstractNum>
  <w:abstractNum w:abstractNumId="5" w15:restartNumberingAfterBreak="0">
    <w:nsid w:val="01BB04D2"/>
    <w:multiLevelType w:val="hybridMultilevel"/>
    <w:tmpl w:val="396406E6"/>
    <w:lvl w:ilvl="0" w:tplc="7C94C3FA">
      <w:start w:val="1"/>
      <w:numFmt w:val="lowerRoman"/>
      <w:lvlText w:val="%1."/>
      <w:lvlJc w:val="righ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6" w15:restartNumberingAfterBreak="0">
    <w:nsid w:val="03395E66"/>
    <w:multiLevelType w:val="hybridMultilevel"/>
    <w:tmpl w:val="FFFFFFFF"/>
    <w:lvl w:ilvl="0" w:tplc="5198840A">
      <w:start w:val="1"/>
      <w:numFmt w:val="bullet"/>
      <w:lvlText w:val="·"/>
      <w:lvlJc w:val="left"/>
      <w:pPr>
        <w:ind w:left="720" w:hanging="360"/>
      </w:pPr>
    </w:lvl>
    <w:lvl w:ilvl="1" w:tplc="1B307686">
      <w:start w:val="1"/>
      <w:numFmt w:val="decimal"/>
      <w:lvlText w:val="%2."/>
      <w:lvlJc w:val="left"/>
      <w:pPr>
        <w:ind w:left="1440" w:hanging="360"/>
      </w:pPr>
    </w:lvl>
    <w:lvl w:ilvl="2" w:tplc="5A38A0C2">
      <w:start w:val="1"/>
      <w:numFmt w:val="lowerRoman"/>
      <w:lvlText w:val="%3."/>
      <w:lvlJc w:val="right"/>
      <w:pPr>
        <w:ind w:left="2160" w:hanging="180"/>
      </w:pPr>
    </w:lvl>
    <w:lvl w:ilvl="3" w:tplc="A1907878">
      <w:start w:val="1"/>
      <w:numFmt w:val="decimal"/>
      <w:lvlText w:val="%4."/>
      <w:lvlJc w:val="left"/>
      <w:pPr>
        <w:ind w:left="2880" w:hanging="360"/>
      </w:pPr>
    </w:lvl>
    <w:lvl w:ilvl="4" w:tplc="1474FB6C">
      <w:start w:val="1"/>
      <w:numFmt w:val="lowerLetter"/>
      <w:lvlText w:val="%5."/>
      <w:lvlJc w:val="left"/>
      <w:pPr>
        <w:ind w:left="3600" w:hanging="360"/>
      </w:pPr>
    </w:lvl>
    <w:lvl w:ilvl="5" w:tplc="066EFAD2">
      <w:start w:val="1"/>
      <w:numFmt w:val="lowerRoman"/>
      <w:lvlText w:val="%6."/>
      <w:lvlJc w:val="right"/>
      <w:pPr>
        <w:ind w:left="4320" w:hanging="180"/>
      </w:pPr>
    </w:lvl>
    <w:lvl w:ilvl="6" w:tplc="1602912E">
      <w:start w:val="1"/>
      <w:numFmt w:val="decimal"/>
      <w:lvlText w:val="%7."/>
      <w:lvlJc w:val="left"/>
      <w:pPr>
        <w:ind w:left="5040" w:hanging="360"/>
      </w:pPr>
    </w:lvl>
    <w:lvl w:ilvl="7" w:tplc="0EB0C000">
      <w:start w:val="1"/>
      <w:numFmt w:val="lowerLetter"/>
      <w:lvlText w:val="%8."/>
      <w:lvlJc w:val="left"/>
      <w:pPr>
        <w:ind w:left="5760" w:hanging="360"/>
      </w:pPr>
    </w:lvl>
    <w:lvl w:ilvl="8" w:tplc="5A8ADDFC">
      <w:start w:val="1"/>
      <w:numFmt w:val="lowerRoman"/>
      <w:lvlText w:val="%9."/>
      <w:lvlJc w:val="right"/>
      <w:pPr>
        <w:ind w:left="6480" w:hanging="180"/>
      </w:pPr>
    </w:lvl>
  </w:abstractNum>
  <w:abstractNum w:abstractNumId="7" w15:restartNumberingAfterBreak="0">
    <w:nsid w:val="03A345ED"/>
    <w:multiLevelType w:val="hybridMultilevel"/>
    <w:tmpl w:val="C888B012"/>
    <w:lvl w:ilvl="0" w:tplc="08090001">
      <w:start w:val="1"/>
      <w:numFmt w:val="bullet"/>
      <w:lvlText w:val=""/>
      <w:lvlJc w:val="left"/>
      <w:pPr>
        <w:ind w:left="805" w:hanging="360"/>
      </w:pPr>
      <w:rPr>
        <w:rFonts w:ascii="Symbol" w:hAnsi="Symbol" w:hint="default"/>
      </w:rPr>
    </w:lvl>
    <w:lvl w:ilvl="1" w:tplc="08090003" w:tentative="1">
      <w:start w:val="1"/>
      <w:numFmt w:val="bullet"/>
      <w:lvlText w:val="o"/>
      <w:lvlJc w:val="left"/>
      <w:pPr>
        <w:ind w:left="1525" w:hanging="360"/>
      </w:pPr>
      <w:rPr>
        <w:rFonts w:ascii="Courier New" w:hAnsi="Courier New" w:cs="Courier New" w:hint="default"/>
      </w:rPr>
    </w:lvl>
    <w:lvl w:ilvl="2" w:tplc="08090005" w:tentative="1">
      <w:start w:val="1"/>
      <w:numFmt w:val="bullet"/>
      <w:lvlText w:val=""/>
      <w:lvlJc w:val="left"/>
      <w:pPr>
        <w:ind w:left="2245" w:hanging="360"/>
      </w:pPr>
      <w:rPr>
        <w:rFonts w:ascii="Wingdings" w:hAnsi="Wingdings" w:hint="default"/>
      </w:rPr>
    </w:lvl>
    <w:lvl w:ilvl="3" w:tplc="08090001" w:tentative="1">
      <w:start w:val="1"/>
      <w:numFmt w:val="bullet"/>
      <w:lvlText w:val=""/>
      <w:lvlJc w:val="left"/>
      <w:pPr>
        <w:ind w:left="2965" w:hanging="360"/>
      </w:pPr>
      <w:rPr>
        <w:rFonts w:ascii="Symbol" w:hAnsi="Symbol" w:hint="default"/>
      </w:rPr>
    </w:lvl>
    <w:lvl w:ilvl="4" w:tplc="08090003" w:tentative="1">
      <w:start w:val="1"/>
      <w:numFmt w:val="bullet"/>
      <w:lvlText w:val="o"/>
      <w:lvlJc w:val="left"/>
      <w:pPr>
        <w:ind w:left="3685" w:hanging="360"/>
      </w:pPr>
      <w:rPr>
        <w:rFonts w:ascii="Courier New" w:hAnsi="Courier New" w:cs="Courier New" w:hint="default"/>
      </w:rPr>
    </w:lvl>
    <w:lvl w:ilvl="5" w:tplc="08090005" w:tentative="1">
      <w:start w:val="1"/>
      <w:numFmt w:val="bullet"/>
      <w:lvlText w:val=""/>
      <w:lvlJc w:val="left"/>
      <w:pPr>
        <w:ind w:left="4405" w:hanging="360"/>
      </w:pPr>
      <w:rPr>
        <w:rFonts w:ascii="Wingdings" w:hAnsi="Wingdings" w:hint="default"/>
      </w:rPr>
    </w:lvl>
    <w:lvl w:ilvl="6" w:tplc="08090001" w:tentative="1">
      <w:start w:val="1"/>
      <w:numFmt w:val="bullet"/>
      <w:lvlText w:val=""/>
      <w:lvlJc w:val="left"/>
      <w:pPr>
        <w:ind w:left="5125" w:hanging="360"/>
      </w:pPr>
      <w:rPr>
        <w:rFonts w:ascii="Symbol" w:hAnsi="Symbol" w:hint="default"/>
      </w:rPr>
    </w:lvl>
    <w:lvl w:ilvl="7" w:tplc="08090003" w:tentative="1">
      <w:start w:val="1"/>
      <w:numFmt w:val="bullet"/>
      <w:lvlText w:val="o"/>
      <w:lvlJc w:val="left"/>
      <w:pPr>
        <w:ind w:left="5845" w:hanging="360"/>
      </w:pPr>
      <w:rPr>
        <w:rFonts w:ascii="Courier New" w:hAnsi="Courier New" w:cs="Courier New" w:hint="default"/>
      </w:rPr>
    </w:lvl>
    <w:lvl w:ilvl="8" w:tplc="08090005" w:tentative="1">
      <w:start w:val="1"/>
      <w:numFmt w:val="bullet"/>
      <w:lvlText w:val=""/>
      <w:lvlJc w:val="left"/>
      <w:pPr>
        <w:ind w:left="6565" w:hanging="360"/>
      </w:pPr>
      <w:rPr>
        <w:rFonts w:ascii="Wingdings" w:hAnsi="Wingdings" w:hint="default"/>
      </w:rPr>
    </w:lvl>
  </w:abstractNum>
  <w:abstractNum w:abstractNumId="8" w15:restartNumberingAfterBreak="0">
    <w:nsid w:val="05217617"/>
    <w:multiLevelType w:val="hybridMultilevel"/>
    <w:tmpl w:val="4CBC42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05316AAE"/>
    <w:multiLevelType w:val="hybridMultilevel"/>
    <w:tmpl w:val="FFFFFFFF"/>
    <w:lvl w:ilvl="0" w:tplc="C8CE4312">
      <w:start w:val="1"/>
      <w:numFmt w:val="bullet"/>
      <w:lvlText w:val="·"/>
      <w:lvlJc w:val="left"/>
      <w:pPr>
        <w:ind w:left="720" w:hanging="360"/>
      </w:pPr>
      <w:rPr>
        <w:rFonts w:ascii="Symbol" w:hAnsi="Symbol" w:hint="default"/>
      </w:rPr>
    </w:lvl>
    <w:lvl w:ilvl="1" w:tplc="8D1E319C">
      <w:start w:val="1"/>
      <w:numFmt w:val="decimal"/>
      <w:lvlText w:val="%2."/>
      <w:lvlJc w:val="left"/>
      <w:pPr>
        <w:ind w:left="1440" w:hanging="360"/>
      </w:pPr>
      <w:rPr>
        <w:rFonts w:hint="default"/>
      </w:rPr>
    </w:lvl>
    <w:lvl w:ilvl="2" w:tplc="BBB6CAD0">
      <w:start w:val="1"/>
      <w:numFmt w:val="bullet"/>
      <w:lvlText w:val=""/>
      <w:lvlJc w:val="left"/>
      <w:pPr>
        <w:ind w:left="2160" w:hanging="360"/>
      </w:pPr>
      <w:rPr>
        <w:rFonts w:ascii="Wingdings" w:hAnsi="Wingdings" w:hint="default"/>
      </w:rPr>
    </w:lvl>
    <w:lvl w:ilvl="3" w:tplc="1C96FFC8">
      <w:start w:val="1"/>
      <w:numFmt w:val="bullet"/>
      <w:lvlText w:val=""/>
      <w:lvlJc w:val="left"/>
      <w:pPr>
        <w:ind w:left="2880" w:hanging="360"/>
      </w:pPr>
      <w:rPr>
        <w:rFonts w:ascii="Symbol" w:hAnsi="Symbol" w:hint="default"/>
      </w:rPr>
    </w:lvl>
    <w:lvl w:ilvl="4" w:tplc="5B46E9C2">
      <w:start w:val="1"/>
      <w:numFmt w:val="bullet"/>
      <w:lvlText w:val="o"/>
      <w:lvlJc w:val="left"/>
      <w:pPr>
        <w:ind w:left="3600" w:hanging="360"/>
      </w:pPr>
      <w:rPr>
        <w:rFonts w:ascii="Courier New" w:hAnsi="Courier New" w:hint="default"/>
      </w:rPr>
    </w:lvl>
    <w:lvl w:ilvl="5" w:tplc="74AEAE9A">
      <w:start w:val="1"/>
      <w:numFmt w:val="bullet"/>
      <w:lvlText w:val=""/>
      <w:lvlJc w:val="left"/>
      <w:pPr>
        <w:ind w:left="4320" w:hanging="360"/>
      </w:pPr>
      <w:rPr>
        <w:rFonts w:ascii="Wingdings" w:hAnsi="Wingdings" w:hint="default"/>
      </w:rPr>
    </w:lvl>
    <w:lvl w:ilvl="6" w:tplc="FD4AB4C2">
      <w:start w:val="1"/>
      <w:numFmt w:val="bullet"/>
      <w:lvlText w:val=""/>
      <w:lvlJc w:val="left"/>
      <w:pPr>
        <w:ind w:left="5040" w:hanging="360"/>
      </w:pPr>
      <w:rPr>
        <w:rFonts w:ascii="Symbol" w:hAnsi="Symbol" w:hint="default"/>
      </w:rPr>
    </w:lvl>
    <w:lvl w:ilvl="7" w:tplc="F5D8E16E">
      <w:start w:val="1"/>
      <w:numFmt w:val="bullet"/>
      <w:lvlText w:val="o"/>
      <w:lvlJc w:val="left"/>
      <w:pPr>
        <w:ind w:left="5760" w:hanging="360"/>
      </w:pPr>
      <w:rPr>
        <w:rFonts w:ascii="Courier New" w:hAnsi="Courier New" w:hint="default"/>
      </w:rPr>
    </w:lvl>
    <w:lvl w:ilvl="8" w:tplc="F704D86A">
      <w:start w:val="1"/>
      <w:numFmt w:val="bullet"/>
      <w:lvlText w:val=""/>
      <w:lvlJc w:val="left"/>
      <w:pPr>
        <w:ind w:left="6480" w:hanging="360"/>
      </w:pPr>
      <w:rPr>
        <w:rFonts w:ascii="Wingdings" w:hAnsi="Wingdings" w:hint="default"/>
      </w:rPr>
    </w:lvl>
  </w:abstractNum>
  <w:abstractNum w:abstractNumId="10" w15:restartNumberingAfterBreak="0">
    <w:nsid w:val="05732DEE"/>
    <w:multiLevelType w:val="hybridMultilevel"/>
    <w:tmpl w:val="877047DC"/>
    <w:lvl w:ilvl="0" w:tplc="B60A0A72">
      <w:start w:val="51"/>
      <w:numFmt w:val="decimal"/>
      <w:lvlText w:val="%1)"/>
      <w:lvlJc w:val="left"/>
      <w:pPr>
        <w:ind w:left="2694"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058313DF"/>
    <w:multiLevelType w:val="hybridMultilevel"/>
    <w:tmpl w:val="A8C659F6"/>
    <w:lvl w:ilvl="0" w:tplc="9174AD42">
      <w:start w:val="1"/>
      <w:numFmt w:val="bullet"/>
      <w:pStyle w:val="bullet1"/>
      <w:lvlText w:val=""/>
      <w:lvlJc w:val="left"/>
      <w:pPr>
        <w:tabs>
          <w:tab w:val="num" w:pos="340"/>
        </w:tabs>
        <w:ind w:left="340" w:hanging="34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059C715B"/>
    <w:multiLevelType w:val="hybridMultilevel"/>
    <w:tmpl w:val="EF2C1C0A"/>
    <w:lvl w:ilvl="0" w:tplc="CCD23C1A">
      <w:start w:val="1"/>
      <w:numFmt w:val="bullet"/>
      <w:lvlText w:val="-"/>
      <w:lvlJc w:val="left"/>
      <w:pPr>
        <w:ind w:left="805" w:hanging="360"/>
      </w:pPr>
      <w:rPr>
        <w:rFonts w:ascii="Cambria" w:eastAsia="Cambria" w:hAnsi="Cambria" w:cs="Cambria" w:hint="default"/>
      </w:rPr>
    </w:lvl>
    <w:lvl w:ilvl="1" w:tplc="08160003" w:tentative="1">
      <w:start w:val="1"/>
      <w:numFmt w:val="bullet"/>
      <w:lvlText w:val="o"/>
      <w:lvlJc w:val="left"/>
      <w:pPr>
        <w:ind w:left="1525" w:hanging="360"/>
      </w:pPr>
      <w:rPr>
        <w:rFonts w:ascii="Courier New" w:hAnsi="Courier New" w:cs="Courier New" w:hint="default"/>
      </w:rPr>
    </w:lvl>
    <w:lvl w:ilvl="2" w:tplc="08160005" w:tentative="1">
      <w:start w:val="1"/>
      <w:numFmt w:val="bullet"/>
      <w:lvlText w:val=""/>
      <w:lvlJc w:val="left"/>
      <w:pPr>
        <w:ind w:left="2245" w:hanging="360"/>
      </w:pPr>
      <w:rPr>
        <w:rFonts w:ascii="Wingdings" w:hAnsi="Wingdings" w:hint="default"/>
      </w:rPr>
    </w:lvl>
    <w:lvl w:ilvl="3" w:tplc="08160001" w:tentative="1">
      <w:start w:val="1"/>
      <w:numFmt w:val="bullet"/>
      <w:lvlText w:val=""/>
      <w:lvlJc w:val="left"/>
      <w:pPr>
        <w:ind w:left="2965" w:hanging="360"/>
      </w:pPr>
      <w:rPr>
        <w:rFonts w:ascii="Symbol" w:hAnsi="Symbol" w:hint="default"/>
      </w:rPr>
    </w:lvl>
    <w:lvl w:ilvl="4" w:tplc="08160003" w:tentative="1">
      <w:start w:val="1"/>
      <w:numFmt w:val="bullet"/>
      <w:lvlText w:val="o"/>
      <w:lvlJc w:val="left"/>
      <w:pPr>
        <w:ind w:left="3685" w:hanging="360"/>
      </w:pPr>
      <w:rPr>
        <w:rFonts w:ascii="Courier New" w:hAnsi="Courier New" w:cs="Courier New" w:hint="default"/>
      </w:rPr>
    </w:lvl>
    <w:lvl w:ilvl="5" w:tplc="08160005" w:tentative="1">
      <w:start w:val="1"/>
      <w:numFmt w:val="bullet"/>
      <w:lvlText w:val=""/>
      <w:lvlJc w:val="left"/>
      <w:pPr>
        <w:ind w:left="4405" w:hanging="360"/>
      </w:pPr>
      <w:rPr>
        <w:rFonts w:ascii="Wingdings" w:hAnsi="Wingdings" w:hint="default"/>
      </w:rPr>
    </w:lvl>
    <w:lvl w:ilvl="6" w:tplc="08160001" w:tentative="1">
      <w:start w:val="1"/>
      <w:numFmt w:val="bullet"/>
      <w:lvlText w:val=""/>
      <w:lvlJc w:val="left"/>
      <w:pPr>
        <w:ind w:left="5125" w:hanging="360"/>
      </w:pPr>
      <w:rPr>
        <w:rFonts w:ascii="Symbol" w:hAnsi="Symbol" w:hint="default"/>
      </w:rPr>
    </w:lvl>
    <w:lvl w:ilvl="7" w:tplc="08160003" w:tentative="1">
      <w:start w:val="1"/>
      <w:numFmt w:val="bullet"/>
      <w:lvlText w:val="o"/>
      <w:lvlJc w:val="left"/>
      <w:pPr>
        <w:ind w:left="5845" w:hanging="360"/>
      </w:pPr>
      <w:rPr>
        <w:rFonts w:ascii="Courier New" w:hAnsi="Courier New" w:cs="Courier New" w:hint="default"/>
      </w:rPr>
    </w:lvl>
    <w:lvl w:ilvl="8" w:tplc="08160005" w:tentative="1">
      <w:start w:val="1"/>
      <w:numFmt w:val="bullet"/>
      <w:lvlText w:val=""/>
      <w:lvlJc w:val="left"/>
      <w:pPr>
        <w:ind w:left="6565" w:hanging="360"/>
      </w:pPr>
      <w:rPr>
        <w:rFonts w:ascii="Wingdings" w:hAnsi="Wingdings" w:hint="default"/>
      </w:rPr>
    </w:lvl>
  </w:abstractNum>
  <w:abstractNum w:abstractNumId="13" w15:restartNumberingAfterBreak="0">
    <w:nsid w:val="0613374F"/>
    <w:multiLevelType w:val="hybridMultilevel"/>
    <w:tmpl w:val="0130041C"/>
    <w:lvl w:ilvl="0" w:tplc="F9281620">
      <w:start w:val="1"/>
      <w:numFmt w:val="bullet"/>
      <w:lvlText w:val="·"/>
      <w:lvlJc w:val="left"/>
      <w:pPr>
        <w:ind w:left="720" w:hanging="360"/>
      </w:pPr>
      <w:rPr>
        <w:rFonts w:ascii="Symbol" w:hAnsi="Symbol" w:hint="default"/>
      </w:rPr>
    </w:lvl>
    <w:lvl w:ilvl="1" w:tplc="10084822">
      <w:start w:val="1"/>
      <w:numFmt w:val="decimal"/>
      <w:lvlText w:val="%2."/>
      <w:lvlJc w:val="left"/>
      <w:pPr>
        <w:ind w:left="1440" w:hanging="360"/>
      </w:pPr>
      <w:rPr>
        <w:rFonts w:hint="default"/>
      </w:rPr>
    </w:lvl>
    <w:lvl w:ilvl="2" w:tplc="A60A5B38">
      <w:start w:val="1"/>
      <w:numFmt w:val="bullet"/>
      <w:lvlText w:val=""/>
      <w:lvlJc w:val="left"/>
      <w:pPr>
        <w:ind w:left="2160" w:hanging="360"/>
      </w:pPr>
      <w:rPr>
        <w:rFonts w:ascii="Wingdings" w:hAnsi="Wingdings" w:hint="default"/>
      </w:rPr>
    </w:lvl>
    <w:lvl w:ilvl="3" w:tplc="EB36116E">
      <w:start w:val="1"/>
      <w:numFmt w:val="bullet"/>
      <w:lvlText w:val=""/>
      <w:lvlJc w:val="left"/>
      <w:pPr>
        <w:ind w:left="2880" w:hanging="360"/>
      </w:pPr>
      <w:rPr>
        <w:rFonts w:ascii="Symbol" w:hAnsi="Symbol" w:hint="default"/>
      </w:rPr>
    </w:lvl>
    <w:lvl w:ilvl="4" w:tplc="258A963C">
      <w:start w:val="1"/>
      <w:numFmt w:val="bullet"/>
      <w:lvlText w:val="o"/>
      <w:lvlJc w:val="left"/>
      <w:pPr>
        <w:ind w:left="3600" w:hanging="360"/>
      </w:pPr>
      <w:rPr>
        <w:rFonts w:ascii="Courier New" w:hAnsi="Courier New" w:hint="default"/>
      </w:rPr>
    </w:lvl>
    <w:lvl w:ilvl="5" w:tplc="20E44A92">
      <w:start w:val="1"/>
      <w:numFmt w:val="bullet"/>
      <w:lvlText w:val=""/>
      <w:lvlJc w:val="left"/>
      <w:pPr>
        <w:ind w:left="4320" w:hanging="360"/>
      </w:pPr>
      <w:rPr>
        <w:rFonts w:ascii="Wingdings" w:hAnsi="Wingdings" w:hint="default"/>
      </w:rPr>
    </w:lvl>
    <w:lvl w:ilvl="6" w:tplc="452622CE">
      <w:start w:val="1"/>
      <w:numFmt w:val="bullet"/>
      <w:lvlText w:val=""/>
      <w:lvlJc w:val="left"/>
      <w:pPr>
        <w:ind w:left="5040" w:hanging="360"/>
      </w:pPr>
      <w:rPr>
        <w:rFonts w:ascii="Symbol" w:hAnsi="Symbol" w:hint="default"/>
      </w:rPr>
    </w:lvl>
    <w:lvl w:ilvl="7" w:tplc="925E9D6E">
      <w:start w:val="1"/>
      <w:numFmt w:val="bullet"/>
      <w:lvlText w:val="o"/>
      <w:lvlJc w:val="left"/>
      <w:pPr>
        <w:ind w:left="5760" w:hanging="360"/>
      </w:pPr>
      <w:rPr>
        <w:rFonts w:ascii="Courier New" w:hAnsi="Courier New" w:hint="default"/>
      </w:rPr>
    </w:lvl>
    <w:lvl w:ilvl="8" w:tplc="2460FF78">
      <w:start w:val="1"/>
      <w:numFmt w:val="bullet"/>
      <w:lvlText w:val=""/>
      <w:lvlJc w:val="left"/>
      <w:pPr>
        <w:ind w:left="6480" w:hanging="360"/>
      </w:pPr>
      <w:rPr>
        <w:rFonts w:ascii="Wingdings" w:hAnsi="Wingdings" w:hint="default"/>
      </w:rPr>
    </w:lvl>
  </w:abstractNum>
  <w:abstractNum w:abstractNumId="14" w15:restartNumberingAfterBreak="0">
    <w:nsid w:val="06D66125"/>
    <w:multiLevelType w:val="hybridMultilevel"/>
    <w:tmpl w:val="9C841C50"/>
    <w:lvl w:ilvl="0" w:tplc="6304ED5E">
      <w:start w:val="1"/>
      <w:numFmt w:val="decimal"/>
      <w:lvlText w:val="(%1)"/>
      <w:lvlJc w:val="right"/>
      <w:pPr>
        <w:ind w:left="1074" w:hanging="360"/>
      </w:pPr>
      <w:rPr>
        <w:rFonts w:hint="default"/>
      </w:rPr>
    </w:lvl>
    <w:lvl w:ilvl="1" w:tplc="0809001B">
      <w:start w:val="1"/>
      <w:numFmt w:val="lowerRoman"/>
      <w:lvlText w:val="%2."/>
      <w:lvlJc w:val="right"/>
      <w:pPr>
        <w:ind w:left="1794" w:hanging="360"/>
      </w:pPr>
    </w:lvl>
    <w:lvl w:ilvl="2" w:tplc="792C2A5C">
      <w:start w:val="814"/>
      <w:numFmt w:val="decimal"/>
      <w:lvlText w:val="%3)"/>
      <w:lvlJc w:val="left"/>
      <w:pPr>
        <w:ind w:left="2778" w:hanging="444"/>
      </w:pPr>
      <w:rPr>
        <w:rFonts w:hint="default"/>
        <w:sz w:val="22"/>
      </w:rPr>
    </w:lvl>
    <w:lvl w:ilvl="3" w:tplc="0809000F" w:tentative="1">
      <w:start w:val="1"/>
      <w:numFmt w:val="decimal"/>
      <w:lvlText w:val="%4."/>
      <w:lvlJc w:val="left"/>
      <w:pPr>
        <w:ind w:left="3234" w:hanging="360"/>
      </w:pPr>
    </w:lvl>
    <w:lvl w:ilvl="4" w:tplc="08090019" w:tentative="1">
      <w:start w:val="1"/>
      <w:numFmt w:val="lowerLetter"/>
      <w:lvlText w:val="%5."/>
      <w:lvlJc w:val="left"/>
      <w:pPr>
        <w:ind w:left="3954" w:hanging="360"/>
      </w:pPr>
    </w:lvl>
    <w:lvl w:ilvl="5" w:tplc="0809001B" w:tentative="1">
      <w:start w:val="1"/>
      <w:numFmt w:val="lowerRoman"/>
      <w:lvlText w:val="%6."/>
      <w:lvlJc w:val="right"/>
      <w:pPr>
        <w:ind w:left="4674" w:hanging="180"/>
      </w:pPr>
    </w:lvl>
    <w:lvl w:ilvl="6" w:tplc="0809000F" w:tentative="1">
      <w:start w:val="1"/>
      <w:numFmt w:val="decimal"/>
      <w:lvlText w:val="%7."/>
      <w:lvlJc w:val="left"/>
      <w:pPr>
        <w:ind w:left="5394" w:hanging="360"/>
      </w:pPr>
    </w:lvl>
    <w:lvl w:ilvl="7" w:tplc="08090019" w:tentative="1">
      <w:start w:val="1"/>
      <w:numFmt w:val="lowerLetter"/>
      <w:lvlText w:val="%8."/>
      <w:lvlJc w:val="left"/>
      <w:pPr>
        <w:ind w:left="6114" w:hanging="360"/>
      </w:pPr>
    </w:lvl>
    <w:lvl w:ilvl="8" w:tplc="0809001B" w:tentative="1">
      <w:start w:val="1"/>
      <w:numFmt w:val="lowerRoman"/>
      <w:lvlText w:val="%9."/>
      <w:lvlJc w:val="right"/>
      <w:pPr>
        <w:ind w:left="6834" w:hanging="180"/>
      </w:pPr>
    </w:lvl>
  </w:abstractNum>
  <w:abstractNum w:abstractNumId="15" w15:restartNumberingAfterBreak="0">
    <w:nsid w:val="071C7C61"/>
    <w:multiLevelType w:val="hybridMultilevel"/>
    <w:tmpl w:val="C4C43FF0"/>
    <w:lvl w:ilvl="0" w:tplc="2F6A85A6">
      <w:start w:val="1"/>
      <w:numFmt w:val="decimal"/>
      <w:lvlText w:val="%1."/>
      <w:lvlJc w:val="left"/>
      <w:pPr>
        <w:ind w:left="720" w:hanging="360"/>
      </w:pPr>
    </w:lvl>
    <w:lvl w:ilvl="1" w:tplc="CEBCA70C">
      <w:start w:val="1"/>
      <w:numFmt w:val="decimal"/>
      <w:lvlText w:val="%2."/>
      <w:lvlJc w:val="left"/>
      <w:pPr>
        <w:ind w:left="1440" w:hanging="360"/>
      </w:pPr>
    </w:lvl>
    <w:lvl w:ilvl="2" w:tplc="F8FEDC56">
      <w:start w:val="1"/>
      <w:numFmt w:val="lowerRoman"/>
      <w:lvlText w:val="%3."/>
      <w:lvlJc w:val="right"/>
      <w:pPr>
        <w:ind w:left="2160" w:hanging="180"/>
      </w:pPr>
    </w:lvl>
    <w:lvl w:ilvl="3" w:tplc="77009DE4">
      <w:start w:val="1"/>
      <w:numFmt w:val="decimal"/>
      <w:lvlText w:val="%4."/>
      <w:lvlJc w:val="left"/>
      <w:pPr>
        <w:ind w:left="2880" w:hanging="360"/>
      </w:pPr>
    </w:lvl>
    <w:lvl w:ilvl="4" w:tplc="BC720108">
      <w:start w:val="1"/>
      <w:numFmt w:val="lowerLetter"/>
      <w:lvlText w:val="%5."/>
      <w:lvlJc w:val="left"/>
      <w:pPr>
        <w:ind w:left="3600" w:hanging="360"/>
      </w:pPr>
    </w:lvl>
    <w:lvl w:ilvl="5" w:tplc="F7FE8374">
      <w:start w:val="1"/>
      <w:numFmt w:val="lowerRoman"/>
      <w:lvlText w:val="%6."/>
      <w:lvlJc w:val="right"/>
      <w:pPr>
        <w:ind w:left="4320" w:hanging="180"/>
      </w:pPr>
    </w:lvl>
    <w:lvl w:ilvl="6" w:tplc="73CCB8F0">
      <w:start w:val="1"/>
      <w:numFmt w:val="decimal"/>
      <w:lvlText w:val="%7."/>
      <w:lvlJc w:val="left"/>
      <w:pPr>
        <w:ind w:left="5040" w:hanging="360"/>
      </w:pPr>
    </w:lvl>
    <w:lvl w:ilvl="7" w:tplc="7D5EDB44">
      <w:start w:val="1"/>
      <w:numFmt w:val="lowerLetter"/>
      <w:lvlText w:val="%8."/>
      <w:lvlJc w:val="left"/>
      <w:pPr>
        <w:ind w:left="5760" w:hanging="360"/>
      </w:pPr>
    </w:lvl>
    <w:lvl w:ilvl="8" w:tplc="65C6F4E6">
      <w:start w:val="1"/>
      <w:numFmt w:val="lowerRoman"/>
      <w:lvlText w:val="%9."/>
      <w:lvlJc w:val="right"/>
      <w:pPr>
        <w:ind w:left="6480" w:hanging="180"/>
      </w:pPr>
    </w:lvl>
  </w:abstractNum>
  <w:abstractNum w:abstractNumId="16" w15:restartNumberingAfterBreak="0">
    <w:nsid w:val="072B3779"/>
    <w:multiLevelType w:val="hybridMultilevel"/>
    <w:tmpl w:val="CFA2108A"/>
    <w:lvl w:ilvl="0" w:tplc="08160001">
      <w:start w:val="1"/>
      <w:numFmt w:val="bullet"/>
      <w:lvlText w:val=""/>
      <w:lvlJc w:val="left"/>
      <w:pPr>
        <w:ind w:left="1077" w:hanging="360"/>
      </w:pPr>
      <w:rPr>
        <w:rFonts w:ascii="Symbol" w:hAnsi="Symbol" w:hint="default"/>
      </w:rPr>
    </w:lvl>
    <w:lvl w:ilvl="1" w:tplc="08160003" w:tentative="1">
      <w:start w:val="1"/>
      <w:numFmt w:val="bullet"/>
      <w:lvlText w:val="o"/>
      <w:lvlJc w:val="left"/>
      <w:pPr>
        <w:ind w:left="1797" w:hanging="360"/>
      </w:pPr>
      <w:rPr>
        <w:rFonts w:ascii="Courier New" w:hAnsi="Courier New" w:cs="Courier New" w:hint="default"/>
      </w:rPr>
    </w:lvl>
    <w:lvl w:ilvl="2" w:tplc="08160005" w:tentative="1">
      <w:start w:val="1"/>
      <w:numFmt w:val="bullet"/>
      <w:lvlText w:val=""/>
      <w:lvlJc w:val="left"/>
      <w:pPr>
        <w:ind w:left="2517" w:hanging="360"/>
      </w:pPr>
      <w:rPr>
        <w:rFonts w:ascii="Wingdings" w:hAnsi="Wingdings" w:hint="default"/>
      </w:rPr>
    </w:lvl>
    <w:lvl w:ilvl="3" w:tplc="08160001" w:tentative="1">
      <w:start w:val="1"/>
      <w:numFmt w:val="bullet"/>
      <w:lvlText w:val=""/>
      <w:lvlJc w:val="left"/>
      <w:pPr>
        <w:ind w:left="3237" w:hanging="360"/>
      </w:pPr>
      <w:rPr>
        <w:rFonts w:ascii="Symbol" w:hAnsi="Symbol" w:hint="default"/>
      </w:rPr>
    </w:lvl>
    <w:lvl w:ilvl="4" w:tplc="08160003" w:tentative="1">
      <w:start w:val="1"/>
      <w:numFmt w:val="bullet"/>
      <w:lvlText w:val="o"/>
      <w:lvlJc w:val="left"/>
      <w:pPr>
        <w:ind w:left="3957" w:hanging="360"/>
      </w:pPr>
      <w:rPr>
        <w:rFonts w:ascii="Courier New" w:hAnsi="Courier New" w:cs="Courier New" w:hint="default"/>
      </w:rPr>
    </w:lvl>
    <w:lvl w:ilvl="5" w:tplc="08160005" w:tentative="1">
      <w:start w:val="1"/>
      <w:numFmt w:val="bullet"/>
      <w:lvlText w:val=""/>
      <w:lvlJc w:val="left"/>
      <w:pPr>
        <w:ind w:left="4677" w:hanging="360"/>
      </w:pPr>
      <w:rPr>
        <w:rFonts w:ascii="Wingdings" w:hAnsi="Wingdings" w:hint="default"/>
      </w:rPr>
    </w:lvl>
    <w:lvl w:ilvl="6" w:tplc="08160001" w:tentative="1">
      <w:start w:val="1"/>
      <w:numFmt w:val="bullet"/>
      <w:lvlText w:val=""/>
      <w:lvlJc w:val="left"/>
      <w:pPr>
        <w:ind w:left="5397" w:hanging="360"/>
      </w:pPr>
      <w:rPr>
        <w:rFonts w:ascii="Symbol" w:hAnsi="Symbol" w:hint="default"/>
      </w:rPr>
    </w:lvl>
    <w:lvl w:ilvl="7" w:tplc="08160003" w:tentative="1">
      <w:start w:val="1"/>
      <w:numFmt w:val="bullet"/>
      <w:lvlText w:val="o"/>
      <w:lvlJc w:val="left"/>
      <w:pPr>
        <w:ind w:left="6117" w:hanging="360"/>
      </w:pPr>
      <w:rPr>
        <w:rFonts w:ascii="Courier New" w:hAnsi="Courier New" w:cs="Courier New" w:hint="default"/>
      </w:rPr>
    </w:lvl>
    <w:lvl w:ilvl="8" w:tplc="08160005" w:tentative="1">
      <w:start w:val="1"/>
      <w:numFmt w:val="bullet"/>
      <w:lvlText w:val=""/>
      <w:lvlJc w:val="left"/>
      <w:pPr>
        <w:ind w:left="6837" w:hanging="360"/>
      </w:pPr>
      <w:rPr>
        <w:rFonts w:ascii="Wingdings" w:hAnsi="Wingdings" w:hint="default"/>
      </w:rPr>
    </w:lvl>
  </w:abstractNum>
  <w:abstractNum w:abstractNumId="17" w15:restartNumberingAfterBreak="0">
    <w:nsid w:val="07446092"/>
    <w:multiLevelType w:val="hybridMultilevel"/>
    <w:tmpl w:val="FFFFFFFF"/>
    <w:lvl w:ilvl="0" w:tplc="21900F9A">
      <w:start w:val="1"/>
      <w:numFmt w:val="decimal"/>
      <w:lvlText w:val="%1."/>
      <w:lvlJc w:val="left"/>
      <w:pPr>
        <w:ind w:left="720" w:hanging="360"/>
      </w:pPr>
    </w:lvl>
    <w:lvl w:ilvl="1" w:tplc="D324CBCE">
      <w:start w:val="1"/>
      <w:numFmt w:val="lowerLetter"/>
      <w:lvlText w:val="%2."/>
      <w:lvlJc w:val="left"/>
      <w:pPr>
        <w:ind w:left="1440" w:hanging="360"/>
      </w:pPr>
    </w:lvl>
    <w:lvl w:ilvl="2" w:tplc="3F807C20">
      <w:start w:val="1"/>
      <w:numFmt w:val="lowerRoman"/>
      <w:lvlText w:val="%3."/>
      <w:lvlJc w:val="right"/>
      <w:pPr>
        <w:ind w:left="2160" w:hanging="180"/>
      </w:pPr>
    </w:lvl>
    <w:lvl w:ilvl="3" w:tplc="41B8AEF4">
      <w:start w:val="1"/>
      <w:numFmt w:val="decimal"/>
      <w:lvlText w:val="%4."/>
      <w:lvlJc w:val="left"/>
      <w:pPr>
        <w:ind w:left="2880" w:hanging="360"/>
      </w:pPr>
    </w:lvl>
    <w:lvl w:ilvl="4" w:tplc="4748FBF4">
      <w:start w:val="1"/>
      <w:numFmt w:val="lowerLetter"/>
      <w:lvlText w:val="%5."/>
      <w:lvlJc w:val="left"/>
      <w:pPr>
        <w:ind w:left="3600" w:hanging="360"/>
      </w:pPr>
    </w:lvl>
    <w:lvl w:ilvl="5" w:tplc="45FE81DA">
      <w:start w:val="1"/>
      <w:numFmt w:val="lowerRoman"/>
      <w:lvlText w:val="%6."/>
      <w:lvlJc w:val="right"/>
      <w:pPr>
        <w:ind w:left="4320" w:hanging="180"/>
      </w:pPr>
    </w:lvl>
    <w:lvl w:ilvl="6" w:tplc="1CF0929E">
      <w:start w:val="1"/>
      <w:numFmt w:val="decimal"/>
      <w:lvlText w:val="%7."/>
      <w:lvlJc w:val="left"/>
      <w:pPr>
        <w:ind w:left="5040" w:hanging="360"/>
      </w:pPr>
    </w:lvl>
    <w:lvl w:ilvl="7" w:tplc="265845C0">
      <w:start w:val="1"/>
      <w:numFmt w:val="lowerLetter"/>
      <w:lvlText w:val="%8."/>
      <w:lvlJc w:val="left"/>
      <w:pPr>
        <w:ind w:left="5760" w:hanging="360"/>
      </w:pPr>
    </w:lvl>
    <w:lvl w:ilvl="8" w:tplc="46405998">
      <w:start w:val="1"/>
      <w:numFmt w:val="lowerRoman"/>
      <w:lvlText w:val="%9."/>
      <w:lvlJc w:val="right"/>
      <w:pPr>
        <w:ind w:left="6480" w:hanging="180"/>
      </w:pPr>
    </w:lvl>
  </w:abstractNum>
  <w:abstractNum w:abstractNumId="18" w15:restartNumberingAfterBreak="0">
    <w:nsid w:val="07904F11"/>
    <w:multiLevelType w:val="hybridMultilevel"/>
    <w:tmpl w:val="9C1A1CC0"/>
    <w:lvl w:ilvl="0" w:tplc="CCD23C1A">
      <w:start w:val="1"/>
      <w:numFmt w:val="bullet"/>
      <w:lvlText w:val="-"/>
      <w:lvlJc w:val="left"/>
      <w:pPr>
        <w:ind w:left="805" w:hanging="360"/>
      </w:pPr>
      <w:rPr>
        <w:rFonts w:ascii="Cambria" w:eastAsia="Cambria" w:hAnsi="Cambria" w:cs="Cambria" w:hint="default"/>
      </w:rPr>
    </w:lvl>
    <w:lvl w:ilvl="1" w:tplc="08160003" w:tentative="1">
      <w:start w:val="1"/>
      <w:numFmt w:val="bullet"/>
      <w:lvlText w:val="o"/>
      <w:lvlJc w:val="left"/>
      <w:pPr>
        <w:ind w:left="1525" w:hanging="360"/>
      </w:pPr>
      <w:rPr>
        <w:rFonts w:ascii="Courier New" w:hAnsi="Courier New" w:cs="Courier New" w:hint="default"/>
      </w:rPr>
    </w:lvl>
    <w:lvl w:ilvl="2" w:tplc="08160005" w:tentative="1">
      <w:start w:val="1"/>
      <w:numFmt w:val="bullet"/>
      <w:lvlText w:val=""/>
      <w:lvlJc w:val="left"/>
      <w:pPr>
        <w:ind w:left="2245" w:hanging="360"/>
      </w:pPr>
      <w:rPr>
        <w:rFonts w:ascii="Wingdings" w:hAnsi="Wingdings" w:hint="default"/>
      </w:rPr>
    </w:lvl>
    <w:lvl w:ilvl="3" w:tplc="08160001" w:tentative="1">
      <w:start w:val="1"/>
      <w:numFmt w:val="bullet"/>
      <w:lvlText w:val=""/>
      <w:lvlJc w:val="left"/>
      <w:pPr>
        <w:ind w:left="2965" w:hanging="360"/>
      </w:pPr>
      <w:rPr>
        <w:rFonts w:ascii="Symbol" w:hAnsi="Symbol" w:hint="default"/>
      </w:rPr>
    </w:lvl>
    <w:lvl w:ilvl="4" w:tplc="08160003" w:tentative="1">
      <w:start w:val="1"/>
      <w:numFmt w:val="bullet"/>
      <w:lvlText w:val="o"/>
      <w:lvlJc w:val="left"/>
      <w:pPr>
        <w:ind w:left="3685" w:hanging="360"/>
      </w:pPr>
      <w:rPr>
        <w:rFonts w:ascii="Courier New" w:hAnsi="Courier New" w:cs="Courier New" w:hint="default"/>
      </w:rPr>
    </w:lvl>
    <w:lvl w:ilvl="5" w:tplc="08160005" w:tentative="1">
      <w:start w:val="1"/>
      <w:numFmt w:val="bullet"/>
      <w:lvlText w:val=""/>
      <w:lvlJc w:val="left"/>
      <w:pPr>
        <w:ind w:left="4405" w:hanging="360"/>
      </w:pPr>
      <w:rPr>
        <w:rFonts w:ascii="Wingdings" w:hAnsi="Wingdings" w:hint="default"/>
      </w:rPr>
    </w:lvl>
    <w:lvl w:ilvl="6" w:tplc="08160001" w:tentative="1">
      <w:start w:val="1"/>
      <w:numFmt w:val="bullet"/>
      <w:lvlText w:val=""/>
      <w:lvlJc w:val="left"/>
      <w:pPr>
        <w:ind w:left="5125" w:hanging="360"/>
      </w:pPr>
      <w:rPr>
        <w:rFonts w:ascii="Symbol" w:hAnsi="Symbol" w:hint="default"/>
      </w:rPr>
    </w:lvl>
    <w:lvl w:ilvl="7" w:tplc="08160003" w:tentative="1">
      <w:start w:val="1"/>
      <w:numFmt w:val="bullet"/>
      <w:lvlText w:val="o"/>
      <w:lvlJc w:val="left"/>
      <w:pPr>
        <w:ind w:left="5845" w:hanging="360"/>
      </w:pPr>
      <w:rPr>
        <w:rFonts w:ascii="Courier New" w:hAnsi="Courier New" w:cs="Courier New" w:hint="default"/>
      </w:rPr>
    </w:lvl>
    <w:lvl w:ilvl="8" w:tplc="08160005" w:tentative="1">
      <w:start w:val="1"/>
      <w:numFmt w:val="bullet"/>
      <w:lvlText w:val=""/>
      <w:lvlJc w:val="left"/>
      <w:pPr>
        <w:ind w:left="6565" w:hanging="360"/>
      </w:pPr>
      <w:rPr>
        <w:rFonts w:ascii="Wingdings" w:hAnsi="Wingdings" w:hint="default"/>
      </w:rPr>
    </w:lvl>
  </w:abstractNum>
  <w:abstractNum w:abstractNumId="19" w15:restartNumberingAfterBreak="0">
    <w:nsid w:val="08E02B53"/>
    <w:multiLevelType w:val="hybridMultilevel"/>
    <w:tmpl w:val="7F30E024"/>
    <w:lvl w:ilvl="0" w:tplc="08090011">
      <w:start w:val="1"/>
      <w:numFmt w:val="decimal"/>
      <w:lvlText w:val="%1)"/>
      <w:lvlJc w:val="left"/>
      <w:pPr>
        <w:ind w:left="1077" w:hanging="360"/>
      </w:pPr>
      <w:rPr>
        <w:rFonts w:hint="default"/>
      </w:rPr>
    </w:lvl>
    <w:lvl w:ilvl="1" w:tplc="08090003" w:tentative="1">
      <w:start w:val="1"/>
      <w:numFmt w:val="bullet"/>
      <w:lvlText w:val="o"/>
      <w:lvlJc w:val="left"/>
      <w:pPr>
        <w:ind w:left="1797" w:hanging="360"/>
      </w:pPr>
      <w:rPr>
        <w:rFonts w:ascii="Courier New" w:hAnsi="Courier New" w:cs="Courier New" w:hint="default"/>
      </w:rPr>
    </w:lvl>
    <w:lvl w:ilvl="2" w:tplc="08090005" w:tentative="1">
      <w:start w:val="1"/>
      <w:numFmt w:val="bullet"/>
      <w:lvlText w:val=""/>
      <w:lvlJc w:val="left"/>
      <w:pPr>
        <w:ind w:left="2517" w:hanging="360"/>
      </w:pPr>
      <w:rPr>
        <w:rFonts w:ascii="Wingdings" w:hAnsi="Wingdings" w:hint="default"/>
      </w:rPr>
    </w:lvl>
    <w:lvl w:ilvl="3" w:tplc="08090001" w:tentative="1">
      <w:start w:val="1"/>
      <w:numFmt w:val="bullet"/>
      <w:lvlText w:val=""/>
      <w:lvlJc w:val="left"/>
      <w:pPr>
        <w:ind w:left="3237" w:hanging="360"/>
      </w:pPr>
      <w:rPr>
        <w:rFonts w:ascii="Symbol" w:hAnsi="Symbol" w:hint="default"/>
      </w:rPr>
    </w:lvl>
    <w:lvl w:ilvl="4" w:tplc="08090003" w:tentative="1">
      <w:start w:val="1"/>
      <w:numFmt w:val="bullet"/>
      <w:lvlText w:val="o"/>
      <w:lvlJc w:val="left"/>
      <w:pPr>
        <w:ind w:left="3957" w:hanging="360"/>
      </w:pPr>
      <w:rPr>
        <w:rFonts w:ascii="Courier New" w:hAnsi="Courier New" w:cs="Courier New" w:hint="default"/>
      </w:rPr>
    </w:lvl>
    <w:lvl w:ilvl="5" w:tplc="08090005" w:tentative="1">
      <w:start w:val="1"/>
      <w:numFmt w:val="bullet"/>
      <w:lvlText w:val=""/>
      <w:lvlJc w:val="left"/>
      <w:pPr>
        <w:ind w:left="4677" w:hanging="360"/>
      </w:pPr>
      <w:rPr>
        <w:rFonts w:ascii="Wingdings" w:hAnsi="Wingdings" w:hint="default"/>
      </w:rPr>
    </w:lvl>
    <w:lvl w:ilvl="6" w:tplc="08090001" w:tentative="1">
      <w:start w:val="1"/>
      <w:numFmt w:val="bullet"/>
      <w:lvlText w:val=""/>
      <w:lvlJc w:val="left"/>
      <w:pPr>
        <w:ind w:left="5397" w:hanging="360"/>
      </w:pPr>
      <w:rPr>
        <w:rFonts w:ascii="Symbol" w:hAnsi="Symbol" w:hint="default"/>
      </w:rPr>
    </w:lvl>
    <w:lvl w:ilvl="7" w:tplc="08090003" w:tentative="1">
      <w:start w:val="1"/>
      <w:numFmt w:val="bullet"/>
      <w:lvlText w:val="o"/>
      <w:lvlJc w:val="left"/>
      <w:pPr>
        <w:ind w:left="6117" w:hanging="360"/>
      </w:pPr>
      <w:rPr>
        <w:rFonts w:ascii="Courier New" w:hAnsi="Courier New" w:cs="Courier New" w:hint="default"/>
      </w:rPr>
    </w:lvl>
    <w:lvl w:ilvl="8" w:tplc="08090005" w:tentative="1">
      <w:start w:val="1"/>
      <w:numFmt w:val="bullet"/>
      <w:lvlText w:val=""/>
      <w:lvlJc w:val="left"/>
      <w:pPr>
        <w:ind w:left="6837" w:hanging="360"/>
      </w:pPr>
      <w:rPr>
        <w:rFonts w:ascii="Wingdings" w:hAnsi="Wingdings" w:hint="default"/>
      </w:rPr>
    </w:lvl>
  </w:abstractNum>
  <w:abstractNum w:abstractNumId="20" w15:restartNumberingAfterBreak="0">
    <w:nsid w:val="09343885"/>
    <w:multiLevelType w:val="hybridMultilevel"/>
    <w:tmpl w:val="FFFFFFFF"/>
    <w:lvl w:ilvl="0" w:tplc="272299A4">
      <w:start w:val="1"/>
      <w:numFmt w:val="bullet"/>
      <w:lvlText w:val="·"/>
      <w:lvlJc w:val="left"/>
      <w:pPr>
        <w:ind w:left="720" w:hanging="360"/>
      </w:pPr>
      <w:rPr>
        <w:rFonts w:ascii="Symbol" w:hAnsi="Symbol" w:hint="default"/>
      </w:rPr>
    </w:lvl>
    <w:lvl w:ilvl="1" w:tplc="A1A4B09A">
      <w:start w:val="1"/>
      <w:numFmt w:val="decimal"/>
      <w:lvlText w:val="%2."/>
      <w:lvlJc w:val="left"/>
      <w:pPr>
        <w:ind w:left="1440" w:hanging="360"/>
      </w:pPr>
      <w:rPr>
        <w:rFonts w:hint="default"/>
      </w:rPr>
    </w:lvl>
    <w:lvl w:ilvl="2" w:tplc="97F41B04">
      <w:start w:val="1"/>
      <w:numFmt w:val="bullet"/>
      <w:lvlText w:val=""/>
      <w:lvlJc w:val="left"/>
      <w:pPr>
        <w:ind w:left="2160" w:hanging="360"/>
      </w:pPr>
      <w:rPr>
        <w:rFonts w:ascii="Wingdings" w:hAnsi="Wingdings" w:hint="default"/>
      </w:rPr>
    </w:lvl>
    <w:lvl w:ilvl="3" w:tplc="D206E90C">
      <w:start w:val="1"/>
      <w:numFmt w:val="bullet"/>
      <w:lvlText w:val=""/>
      <w:lvlJc w:val="left"/>
      <w:pPr>
        <w:ind w:left="2880" w:hanging="360"/>
      </w:pPr>
      <w:rPr>
        <w:rFonts w:ascii="Symbol" w:hAnsi="Symbol" w:hint="default"/>
      </w:rPr>
    </w:lvl>
    <w:lvl w:ilvl="4" w:tplc="32A078BC">
      <w:start w:val="1"/>
      <w:numFmt w:val="bullet"/>
      <w:lvlText w:val="o"/>
      <w:lvlJc w:val="left"/>
      <w:pPr>
        <w:ind w:left="3600" w:hanging="360"/>
      </w:pPr>
      <w:rPr>
        <w:rFonts w:ascii="Courier New" w:hAnsi="Courier New" w:hint="default"/>
      </w:rPr>
    </w:lvl>
    <w:lvl w:ilvl="5" w:tplc="227687D6">
      <w:start w:val="1"/>
      <w:numFmt w:val="bullet"/>
      <w:lvlText w:val=""/>
      <w:lvlJc w:val="left"/>
      <w:pPr>
        <w:ind w:left="4320" w:hanging="360"/>
      </w:pPr>
      <w:rPr>
        <w:rFonts w:ascii="Wingdings" w:hAnsi="Wingdings" w:hint="default"/>
      </w:rPr>
    </w:lvl>
    <w:lvl w:ilvl="6" w:tplc="9B50B20E">
      <w:start w:val="1"/>
      <w:numFmt w:val="bullet"/>
      <w:lvlText w:val=""/>
      <w:lvlJc w:val="left"/>
      <w:pPr>
        <w:ind w:left="5040" w:hanging="360"/>
      </w:pPr>
      <w:rPr>
        <w:rFonts w:ascii="Symbol" w:hAnsi="Symbol" w:hint="default"/>
      </w:rPr>
    </w:lvl>
    <w:lvl w:ilvl="7" w:tplc="38B4B430">
      <w:start w:val="1"/>
      <w:numFmt w:val="bullet"/>
      <w:lvlText w:val="o"/>
      <w:lvlJc w:val="left"/>
      <w:pPr>
        <w:ind w:left="5760" w:hanging="360"/>
      </w:pPr>
      <w:rPr>
        <w:rFonts w:ascii="Courier New" w:hAnsi="Courier New" w:hint="default"/>
      </w:rPr>
    </w:lvl>
    <w:lvl w:ilvl="8" w:tplc="4962ACE2">
      <w:start w:val="1"/>
      <w:numFmt w:val="bullet"/>
      <w:lvlText w:val=""/>
      <w:lvlJc w:val="left"/>
      <w:pPr>
        <w:ind w:left="6480" w:hanging="360"/>
      </w:pPr>
      <w:rPr>
        <w:rFonts w:ascii="Wingdings" w:hAnsi="Wingdings" w:hint="default"/>
      </w:rPr>
    </w:lvl>
  </w:abstractNum>
  <w:abstractNum w:abstractNumId="21" w15:restartNumberingAfterBreak="0">
    <w:nsid w:val="096470A1"/>
    <w:multiLevelType w:val="hybridMultilevel"/>
    <w:tmpl w:val="7C7AE198"/>
    <w:lvl w:ilvl="0" w:tplc="BA2CC71E">
      <w:start w:val="44"/>
      <w:numFmt w:val="bullet"/>
      <w:lvlText w:val="-"/>
      <w:lvlJc w:val="left"/>
      <w:pPr>
        <w:ind w:left="805" w:hanging="360"/>
      </w:pPr>
      <w:rPr>
        <w:rFonts w:ascii="Cambria" w:eastAsiaTheme="minorHAnsi" w:hAnsi="Cambria" w:cs="EUAlbertina" w:hint="default"/>
      </w:rPr>
    </w:lvl>
    <w:lvl w:ilvl="1" w:tplc="08090003" w:tentative="1">
      <w:start w:val="1"/>
      <w:numFmt w:val="bullet"/>
      <w:lvlText w:val="o"/>
      <w:lvlJc w:val="left"/>
      <w:pPr>
        <w:ind w:left="1525" w:hanging="360"/>
      </w:pPr>
      <w:rPr>
        <w:rFonts w:ascii="Courier New" w:hAnsi="Courier New" w:cs="Courier New" w:hint="default"/>
      </w:rPr>
    </w:lvl>
    <w:lvl w:ilvl="2" w:tplc="08090005" w:tentative="1">
      <w:start w:val="1"/>
      <w:numFmt w:val="bullet"/>
      <w:lvlText w:val=""/>
      <w:lvlJc w:val="left"/>
      <w:pPr>
        <w:ind w:left="2245" w:hanging="360"/>
      </w:pPr>
      <w:rPr>
        <w:rFonts w:ascii="Wingdings" w:hAnsi="Wingdings" w:hint="default"/>
      </w:rPr>
    </w:lvl>
    <w:lvl w:ilvl="3" w:tplc="08090001" w:tentative="1">
      <w:start w:val="1"/>
      <w:numFmt w:val="bullet"/>
      <w:lvlText w:val=""/>
      <w:lvlJc w:val="left"/>
      <w:pPr>
        <w:ind w:left="2965" w:hanging="360"/>
      </w:pPr>
      <w:rPr>
        <w:rFonts w:ascii="Symbol" w:hAnsi="Symbol" w:hint="default"/>
      </w:rPr>
    </w:lvl>
    <w:lvl w:ilvl="4" w:tplc="08090003" w:tentative="1">
      <w:start w:val="1"/>
      <w:numFmt w:val="bullet"/>
      <w:lvlText w:val="o"/>
      <w:lvlJc w:val="left"/>
      <w:pPr>
        <w:ind w:left="3685" w:hanging="360"/>
      </w:pPr>
      <w:rPr>
        <w:rFonts w:ascii="Courier New" w:hAnsi="Courier New" w:cs="Courier New" w:hint="default"/>
      </w:rPr>
    </w:lvl>
    <w:lvl w:ilvl="5" w:tplc="08090005" w:tentative="1">
      <w:start w:val="1"/>
      <w:numFmt w:val="bullet"/>
      <w:lvlText w:val=""/>
      <w:lvlJc w:val="left"/>
      <w:pPr>
        <w:ind w:left="4405" w:hanging="360"/>
      </w:pPr>
      <w:rPr>
        <w:rFonts w:ascii="Wingdings" w:hAnsi="Wingdings" w:hint="default"/>
      </w:rPr>
    </w:lvl>
    <w:lvl w:ilvl="6" w:tplc="08090001" w:tentative="1">
      <w:start w:val="1"/>
      <w:numFmt w:val="bullet"/>
      <w:lvlText w:val=""/>
      <w:lvlJc w:val="left"/>
      <w:pPr>
        <w:ind w:left="5125" w:hanging="360"/>
      </w:pPr>
      <w:rPr>
        <w:rFonts w:ascii="Symbol" w:hAnsi="Symbol" w:hint="default"/>
      </w:rPr>
    </w:lvl>
    <w:lvl w:ilvl="7" w:tplc="08090003" w:tentative="1">
      <w:start w:val="1"/>
      <w:numFmt w:val="bullet"/>
      <w:lvlText w:val="o"/>
      <w:lvlJc w:val="left"/>
      <w:pPr>
        <w:ind w:left="5845" w:hanging="360"/>
      </w:pPr>
      <w:rPr>
        <w:rFonts w:ascii="Courier New" w:hAnsi="Courier New" w:cs="Courier New" w:hint="default"/>
      </w:rPr>
    </w:lvl>
    <w:lvl w:ilvl="8" w:tplc="08090005" w:tentative="1">
      <w:start w:val="1"/>
      <w:numFmt w:val="bullet"/>
      <w:lvlText w:val=""/>
      <w:lvlJc w:val="left"/>
      <w:pPr>
        <w:ind w:left="6565" w:hanging="360"/>
      </w:pPr>
      <w:rPr>
        <w:rFonts w:ascii="Wingdings" w:hAnsi="Wingdings" w:hint="default"/>
      </w:rPr>
    </w:lvl>
  </w:abstractNum>
  <w:abstractNum w:abstractNumId="22" w15:restartNumberingAfterBreak="0">
    <w:nsid w:val="09B87F1E"/>
    <w:multiLevelType w:val="hybridMultilevel"/>
    <w:tmpl w:val="3BD2620A"/>
    <w:lvl w:ilvl="0" w:tplc="7E0ADF18">
      <w:start w:val="1"/>
      <w:numFmt w:val="lowerLetter"/>
      <w:lvlText w:val="%1."/>
      <w:lvlJc w:val="left"/>
      <w:pPr>
        <w:ind w:left="720" w:hanging="360"/>
      </w:pPr>
      <w:rPr>
        <w:rFonts w:asciiTheme="minorHAnsi" w:eastAsiaTheme="minorHAnsi" w:hAnsiTheme="minorHAnsi" w:cstheme="minorBidi" w:hint="default"/>
        <w:sz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0A150AB2"/>
    <w:multiLevelType w:val="hybridMultilevel"/>
    <w:tmpl w:val="FFFFFFFF"/>
    <w:lvl w:ilvl="0" w:tplc="DFCEA6E2">
      <w:start w:val="1"/>
      <w:numFmt w:val="decimal"/>
      <w:lvlText w:val="%1."/>
      <w:lvlJc w:val="left"/>
      <w:pPr>
        <w:ind w:left="720" w:hanging="360"/>
      </w:pPr>
    </w:lvl>
    <w:lvl w:ilvl="1" w:tplc="BC00EFEA">
      <w:start w:val="1"/>
      <w:numFmt w:val="lowerLetter"/>
      <w:lvlText w:val="%2."/>
      <w:lvlJc w:val="left"/>
      <w:pPr>
        <w:ind w:left="1440" w:hanging="360"/>
      </w:pPr>
    </w:lvl>
    <w:lvl w:ilvl="2" w:tplc="6AD63000">
      <w:start w:val="1"/>
      <w:numFmt w:val="lowerRoman"/>
      <w:lvlText w:val="%3."/>
      <w:lvlJc w:val="right"/>
      <w:pPr>
        <w:ind w:left="2160" w:hanging="180"/>
      </w:pPr>
    </w:lvl>
    <w:lvl w:ilvl="3" w:tplc="E7B83BE2">
      <w:start w:val="1"/>
      <w:numFmt w:val="decimal"/>
      <w:lvlText w:val="%4."/>
      <w:lvlJc w:val="left"/>
      <w:pPr>
        <w:ind w:left="2880" w:hanging="360"/>
      </w:pPr>
    </w:lvl>
    <w:lvl w:ilvl="4" w:tplc="99D88C2A">
      <w:start w:val="1"/>
      <w:numFmt w:val="lowerLetter"/>
      <w:lvlText w:val="%5."/>
      <w:lvlJc w:val="left"/>
      <w:pPr>
        <w:ind w:left="3600" w:hanging="360"/>
      </w:pPr>
    </w:lvl>
    <w:lvl w:ilvl="5" w:tplc="CD642A86">
      <w:start w:val="1"/>
      <w:numFmt w:val="lowerRoman"/>
      <w:lvlText w:val="%6."/>
      <w:lvlJc w:val="right"/>
      <w:pPr>
        <w:ind w:left="4320" w:hanging="180"/>
      </w:pPr>
    </w:lvl>
    <w:lvl w:ilvl="6" w:tplc="C4DA7404">
      <w:start w:val="1"/>
      <w:numFmt w:val="decimal"/>
      <w:lvlText w:val="%7."/>
      <w:lvlJc w:val="left"/>
      <w:pPr>
        <w:ind w:left="5040" w:hanging="360"/>
      </w:pPr>
    </w:lvl>
    <w:lvl w:ilvl="7" w:tplc="1AF6C94A">
      <w:start w:val="1"/>
      <w:numFmt w:val="lowerLetter"/>
      <w:lvlText w:val="%8."/>
      <w:lvlJc w:val="left"/>
      <w:pPr>
        <w:ind w:left="5760" w:hanging="360"/>
      </w:pPr>
    </w:lvl>
    <w:lvl w:ilvl="8" w:tplc="BEAA3690">
      <w:start w:val="1"/>
      <w:numFmt w:val="lowerRoman"/>
      <w:lvlText w:val="%9."/>
      <w:lvlJc w:val="right"/>
      <w:pPr>
        <w:ind w:left="6480" w:hanging="180"/>
      </w:pPr>
    </w:lvl>
  </w:abstractNum>
  <w:abstractNum w:abstractNumId="24" w15:restartNumberingAfterBreak="0">
    <w:nsid w:val="0ACB3BB5"/>
    <w:multiLevelType w:val="hybridMultilevel"/>
    <w:tmpl w:val="7E0E5784"/>
    <w:lvl w:ilvl="0" w:tplc="F2485612">
      <w:start w:val="1"/>
      <w:numFmt w:val="bullet"/>
      <w:lvlText w:val="·"/>
      <w:lvlJc w:val="left"/>
      <w:pPr>
        <w:ind w:left="720" w:hanging="360"/>
      </w:pPr>
      <w:rPr>
        <w:rFonts w:ascii="Symbol" w:hAnsi="Symbol" w:hint="default"/>
      </w:rPr>
    </w:lvl>
    <w:lvl w:ilvl="1" w:tplc="5DE0D462">
      <w:start w:val="1"/>
      <w:numFmt w:val="bullet"/>
      <w:lvlText w:val="o"/>
      <w:lvlJc w:val="left"/>
      <w:pPr>
        <w:ind w:left="1440" w:hanging="360"/>
      </w:pPr>
      <w:rPr>
        <w:rFonts w:ascii="Courier New" w:hAnsi="Courier New" w:hint="default"/>
      </w:rPr>
    </w:lvl>
    <w:lvl w:ilvl="2" w:tplc="3A205332">
      <w:start w:val="1"/>
      <w:numFmt w:val="bullet"/>
      <w:lvlText w:val=""/>
      <w:lvlJc w:val="left"/>
      <w:pPr>
        <w:ind w:left="2160" w:hanging="360"/>
      </w:pPr>
      <w:rPr>
        <w:rFonts w:ascii="Wingdings" w:hAnsi="Wingdings" w:hint="default"/>
      </w:rPr>
    </w:lvl>
    <w:lvl w:ilvl="3" w:tplc="3E2C7C82">
      <w:start w:val="1"/>
      <w:numFmt w:val="bullet"/>
      <w:lvlText w:val=""/>
      <w:lvlJc w:val="left"/>
      <w:pPr>
        <w:ind w:left="2880" w:hanging="360"/>
      </w:pPr>
      <w:rPr>
        <w:rFonts w:ascii="Symbol" w:hAnsi="Symbol" w:hint="default"/>
      </w:rPr>
    </w:lvl>
    <w:lvl w:ilvl="4" w:tplc="FEBE78CE">
      <w:start w:val="1"/>
      <w:numFmt w:val="bullet"/>
      <w:lvlText w:val="o"/>
      <w:lvlJc w:val="left"/>
      <w:pPr>
        <w:ind w:left="3600" w:hanging="360"/>
      </w:pPr>
      <w:rPr>
        <w:rFonts w:ascii="Courier New" w:hAnsi="Courier New" w:hint="default"/>
      </w:rPr>
    </w:lvl>
    <w:lvl w:ilvl="5" w:tplc="F15A9038">
      <w:start w:val="1"/>
      <w:numFmt w:val="bullet"/>
      <w:lvlText w:val=""/>
      <w:lvlJc w:val="left"/>
      <w:pPr>
        <w:ind w:left="4320" w:hanging="360"/>
      </w:pPr>
      <w:rPr>
        <w:rFonts w:ascii="Wingdings" w:hAnsi="Wingdings" w:hint="default"/>
      </w:rPr>
    </w:lvl>
    <w:lvl w:ilvl="6" w:tplc="24F4297C">
      <w:start w:val="1"/>
      <w:numFmt w:val="bullet"/>
      <w:lvlText w:val=""/>
      <w:lvlJc w:val="left"/>
      <w:pPr>
        <w:ind w:left="5040" w:hanging="360"/>
      </w:pPr>
      <w:rPr>
        <w:rFonts w:ascii="Symbol" w:hAnsi="Symbol" w:hint="default"/>
      </w:rPr>
    </w:lvl>
    <w:lvl w:ilvl="7" w:tplc="F2508BD4">
      <w:start w:val="1"/>
      <w:numFmt w:val="bullet"/>
      <w:lvlText w:val="o"/>
      <w:lvlJc w:val="left"/>
      <w:pPr>
        <w:ind w:left="5760" w:hanging="360"/>
      </w:pPr>
      <w:rPr>
        <w:rFonts w:ascii="Courier New" w:hAnsi="Courier New" w:hint="default"/>
      </w:rPr>
    </w:lvl>
    <w:lvl w:ilvl="8" w:tplc="E6F87978">
      <w:start w:val="1"/>
      <w:numFmt w:val="bullet"/>
      <w:lvlText w:val=""/>
      <w:lvlJc w:val="left"/>
      <w:pPr>
        <w:ind w:left="6480" w:hanging="360"/>
      </w:pPr>
      <w:rPr>
        <w:rFonts w:ascii="Wingdings" w:hAnsi="Wingdings" w:hint="default"/>
      </w:rPr>
    </w:lvl>
  </w:abstractNum>
  <w:abstractNum w:abstractNumId="25" w15:restartNumberingAfterBreak="0">
    <w:nsid w:val="0B404176"/>
    <w:multiLevelType w:val="hybridMultilevel"/>
    <w:tmpl w:val="FFFFFFFF"/>
    <w:lvl w:ilvl="0" w:tplc="FEF0EB64">
      <w:start w:val="1"/>
      <w:numFmt w:val="bullet"/>
      <w:lvlText w:val="·"/>
      <w:lvlJc w:val="left"/>
      <w:pPr>
        <w:ind w:left="720" w:hanging="360"/>
      </w:pPr>
      <w:rPr>
        <w:rFonts w:ascii="Symbol" w:hAnsi="Symbol" w:hint="default"/>
      </w:rPr>
    </w:lvl>
    <w:lvl w:ilvl="1" w:tplc="EA124254">
      <w:start w:val="1"/>
      <w:numFmt w:val="bullet"/>
      <w:lvlText w:val="o"/>
      <w:lvlJc w:val="left"/>
      <w:pPr>
        <w:ind w:left="1440" w:hanging="360"/>
      </w:pPr>
      <w:rPr>
        <w:rFonts w:ascii="Courier New" w:hAnsi="Courier New" w:hint="default"/>
      </w:rPr>
    </w:lvl>
    <w:lvl w:ilvl="2" w:tplc="2654F1F6">
      <w:start w:val="1"/>
      <w:numFmt w:val="bullet"/>
      <w:lvlText w:val=""/>
      <w:lvlJc w:val="left"/>
      <w:pPr>
        <w:ind w:left="2160" w:hanging="360"/>
      </w:pPr>
      <w:rPr>
        <w:rFonts w:ascii="Wingdings" w:hAnsi="Wingdings" w:hint="default"/>
      </w:rPr>
    </w:lvl>
    <w:lvl w:ilvl="3" w:tplc="FEC6870E">
      <w:start w:val="1"/>
      <w:numFmt w:val="bullet"/>
      <w:lvlText w:val=""/>
      <w:lvlJc w:val="left"/>
      <w:pPr>
        <w:ind w:left="2880" w:hanging="360"/>
      </w:pPr>
      <w:rPr>
        <w:rFonts w:ascii="Symbol" w:hAnsi="Symbol" w:hint="default"/>
      </w:rPr>
    </w:lvl>
    <w:lvl w:ilvl="4" w:tplc="CC2EBE6C">
      <w:start w:val="1"/>
      <w:numFmt w:val="bullet"/>
      <w:lvlText w:val="o"/>
      <w:lvlJc w:val="left"/>
      <w:pPr>
        <w:ind w:left="3600" w:hanging="360"/>
      </w:pPr>
      <w:rPr>
        <w:rFonts w:ascii="Courier New" w:hAnsi="Courier New" w:hint="default"/>
      </w:rPr>
    </w:lvl>
    <w:lvl w:ilvl="5" w:tplc="BD00317E">
      <w:start w:val="1"/>
      <w:numFmt w:val="bullet"/>
      <w:lvlText w:val=""/>
      <w:lvlJc w:val="left"/>
      <w:pPr>
        <w:ind w:left="4320" w:hanging="360"/>
      </w:pPr>
      <w:rPr>
        <w:rFonts w:ascii="Wingdings" w:hAnsi="Wingdings" w:hint="default"/>
      </w:rPr>
    </w:lvl>
    <w:lvl w:ilvl="6" w:tplc="3F6C9D0C">
      <w:start w:val="1"/>
      <w:numFmt w:val="bullet"/>
      <w:lvlText w:val=""/>
      <w:lvlJc w:val="left"/>
      <w:pPr>
        <w:ind w:left="5040" w:hanging="360"/>
      </w:pPr>
      <w:rPr>
        <w:rFonts w:ascii="Symbol" w:hAnsi="Symbol" w:hint="default"/>
      </w:rPr>
    </w:lvl>
    <w:lvl w:ilvl="7" w:tplc="7882880A">
      <w:start w:val="1"/>
      <w:numFmt w:val="bullet"/>
      <w:lvlText w:val="o"/>
      <w:lvlJc w:val="left"/>
      <w:pPr>
        <w:ind w:left="5760" w:hanging="360"/>
      </w:pPr>
      <w:rPr>
        <w:rFonts w:ascii="Courier New" w:hAnsi="Courier New" w:hint="default"/>
      </w:rPr>
    </w:lvl>
    <w:lvl w:ilvl="8" w:tplc="9188834C">
      <w:start w:val="1"/>
      <w:numFmt w:val="bullet"/>
      <w:lvlText w:val=""/>
      <w:lvlJc w:val="left"/>
      <w:pPr>
        <w:ind w:left="6480" w:hanging="360"/>
      </w:pPr>
      <w:rPr>
        <w:rFonts w:ascii="Wingdings" w:hAnsi="Wingdings" w:hint="default"/>
      </w:rPr>
    </w:lvl>
  </w:abstractNum>
  <w:abstractNum w:abstractNumId="26" w15:restartNumberingAfterBreak="0">
    <w:nsid w:val="0BAC0539"/>
    <w:multiLevelType w:val="hybridMultilevel"/>
    <w:tmpl w:val="06A64DF4"/>
    <w:lvl w:ilvl="0" w:tplc="08090011">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0BAE42A1"/>
    <w:multiLevelType w:val="hybridMultilevel"/>
    <w:tmpl w:val="D2DCD4C0"/>
    <w:lvl w:ilvl="0" w:tplc="08160001">
      <w:start w:val="1"/>
      <w:numFmt w:val="bullet"/>
      <w:lvlText w:val=""/>
      <w:lvlJc w:val="left"/>
      <w:pPr>
        <w:ind w:left="720" w:hanging="360"/>
      </w:pPr>
      <w:rPr>
        <w:rFonts w:ascii="Symbol" w:hAnsi="Symbol" w:hint="default"/>
      </w:rPr>
    </w:lvl>
    <w:lvl w:ilvl="1" w:tplc="08160003" w:tentative="1">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28" w15:restartNumberingAfterBreak="0">
    <w:nsid w:val="0BD519EB"/>
    <w:multiLevelType w:val="hybridMultilevel"/>
    <w:tmpl w:val="285E2AD2"/>
    <w:lvl w:ilvl="0" w:tplc="08090001">
      <w:start w:val="1"/>
      <w:numFmt w:val="bullet"/>
      <w:lvlText w:val=""/>
      <w:lvlJc w:val="left"/>
      <w:pPr>
        <w:ind w:left="720" w:hanging="360"/>
      </w:pPr>
      <w:rPr>
        <w:rFonts w:ascii="Symbol" w:hAnsi="Symbol" w:hint="default"/>
        <w:sz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0C640644"/>
    <w:multiLevelType w:val="hybridMultilevel"/>
    <w:tmpl w:val="0F882124"/>
    <w:lvl w:ilvl="0" w:tplc="EB4A34E8">
      <w:start w:val="1"/>
      <w:numFmt w:val="decimal"/>
      <w:lvlText w:val="%1."/>
      <w:lvlJc w:val="left"/>
      <w:pPr>
        <w:ind w:left="720" w:hanging="360"/>
      </w:pPr>
    </w:lvl>
    <w:lvl w:ilvl="1" w:tplc="F30EFE10">
      <w:start w:val="1"/>
      <w:numFmt w:val="lowerLetter"/>
      <w:lvlText w:val="%2."/>
      <w:lvlJc w:val="left"/>
      <w:pPr>
        <w:ind w:left="1440" w:hanging="360"/>
      </w:pPr>
    </w:lvl>
    <w:lvl w:ilvl="2" w:tplc="6B6C8294">
      <w:start w:val="1"/>
      <w:numFmt w:val="lowerRoman"/>
      <w:lvlText w:val="%3."/>
      <w:lvlJc w:val="right"/>
      <w:pPr>
        <w:ind w:left="2160" w:hanging="180"/>
      </w:pPr>
    </w:lvl>
    <w:lvl w:ilvl="3" w:tplc="E83A9D48">
      <w:start w:val="1"/>
      <w:numFmt w:val="decimal"/>
      <w:lvlText w:val="%4."/>
      <w:lvlJc w:val="left"/>
      <w:pPr>
        <w:ind w:left="2880" w:hanging="360"/>
      </w:pPr>
    </w:lvl>
    <w:lvl w:ilvl="4" w:tplc="683059B4">
      <w:start w:val="1"/>
      <w:numFmt w:val="lowerLetter"/>
      <w:lvlText w:val="%5."/>
      <w:lvlJc w:val="left"/>
      <w:pPr>
        <w:ind w:left="3600" w:hanging="360"/>
      </w:pPr>
    </w:lvl>
    <w:lvl w:ilvl="5" w:tplc="C554C3D8">
      <w:start w:val="1"/>
      <w:numFmt w:val="lowerRoman"/>
      <w:lvlText w:val="%6."/>
      <w:lvlJc w:val="right"/>
      <w:pPr>
        <w:ind w:left="4320" w:hanging="180"/>
      </w:pPr>
    </w:lvl>
    <w:lvl w:ilvl="6" w:tplc="A742FE54">
      <w:start w:val="1"/>
      <w:numFmt w:val="decimal"/>
      <w:lvlText w:val="%7."/>
      <w:lvlJc w:val="left"/>
      <w:pPr>
        <w:ind w:left="5040" w:hanging="360"/>
      </w:pPr>
    </w:lvl>
    <w:lvl w:ilvl="7" w:tplc="A9CC7968">
      <w:start w:val="1"/>
      <w:numFmt w:val="lowerLetter"/>
      <w:lvlText w:val="%8."/>
      <w:lvlJc w:val="left"/>
      <w:pPr>
        <w:ind w:left="5760" w:hanging="360"/>
      </w:pPr>
    </w:lvl>
    <w:lvl w:ilvl="8" w:tplc="1A28CADC">
      <w:start w:val="1"/>
      <w:numFmt w:val="lowerRoman"/>
      <w:lvlText w:val="%9."/>
      <w:lvlJc w:val="right"/>
      <w:pPr>
        <w:ind w:left="6480" w:hanging="180"/>
      </w:pPr>
    </w:lvl>
  </w:abstractNum>
  <w:abstractNum w:abstractNumId="30" w15:restartNumberingAfterBreak="0">
    <w:nsid w:val="0C746B28"/>
    <w:multiLevelType w:val="hybridMultilevel"/>
    <w:tmpl w:val="4D68E646"/>
    <w:lvl w:ilvl="0" w:tplc="08090001">
      <w:start w:val="1"/>
      <w:numFmt w:val="bullet"/>
      <w:lvlText w:val=""/>
      <w:lvlJc w:val="left"/>
      <w:pPr>
        <w:ind w:left="1419" w:hanging="360"/>
      </w:pPr>
      <w:rPr>
        <w:rFonts w:ascii="Symbol" w:hAnsi="Symbol" w:hint="default"/>
      </w:rPr>
    </w:lvl>
    <w:lvl w:ilvl="1" w:tplc="08090003" w:tentative="1">
      <w:start w:val="1"/>
      <w:numFmt w:val="bullet"/>
      <w:lvlText w:val="o"/>
      <w:lvlJc w:val="left"/>
      <w:pPr>
        <w:ind w:left="2139" w:hanging="360"/>
      </w:pPr>
      <w:rPr>
        <w:rFonts w:ascii="Courier New" w:hAnsi="Courier New" w:cs="Courier New" w:hint="default"/>
      </w:rPr>
    </w:lvl>
    <w:lvl w:ilvl="2" w:tplc="08090005" w:tentative="1">
      <w:start w:val="1"/>
      <w:numFmt w:val="bullet"/>
      <w:lvlText w:val=""/>
      <w:lvlJc w:val="left"/>
      <w:pPr>
        <w:ind w:left="2859" w:hanging="360"/>
      </w:pPr>
      <w:rPr>
        <w:rFonts w:ascii="Wingdings" w:hAnsi="Wingdings" w:hint="default"/>
      </w:rPr>
    </w:lvl>
    <w:lvl w:ilvl="3" w:tplc="08090001" w:tentative="1">
      <w:start w:val="1"/>
      <w:numFmt w:val="bullet"/>
      <w:lvlText w:val=""/>
      <w:lvlJc w:val="left"/>
      <w:pPr>
        <w:ind w:left="3579" w:hanging="360"/>
      </w:pPr>
      <w:rPr>
        <w:rFonts w:ascii="Symbol" w:hAnsi="Symbol" w:hint="default"/>
      </w:rPr>
    </w:lvl>
    <w:lvl w:ilvl="4" w:tplc="08090003" w:tentative="1">
      <w:start w:val="1"/>
      <w:numFmt w:val="bullet"/>
      <w:lvlText w:val="o"/>
      <w:lvlJc w:val="left"/>
      <w:pPr>
        <w:ind w:left="4299" w:hanging="360"/>
      </w:pPr>
      <w:rPr>
        <w:rFonts w:ascii="Courier New" w:hAnsi="Courier New" w:cs="Courier New" w:hint="default"/>
      </w:rPr>
    </w:lvl>
    <w:lvl w:ilvl="5" w:tplc="08090005" w:tentative="1">
      <w:start w:val="1"/>
      <w:numFmt w:val="bullet"/>
      <w:lvlText w:val=""/>
      <w:lvlJc w:val="left"/>
      <w:pPr>
        <w:ind w:left="5019" w:hanging="360"/>
      </w:pPr>
      <w:rPr>
        <w:rFonts w:ascii="Wingdings" w:hAnsi="Wingdings" w:hint="default"/>
      </w:rPr>
    </w:lvl>
    <w:lvl w:ilvl="6" w:tplc="08090001" w:tentative="1">
      <w:start w:val="1"/>
      <w:numFmt w:val="bullet"/>
      <w:lvlText w:val=""/>
      <w:lvlJc w:val="left"/>
      <w:pPr>
        <w:ind w:left="5739" w:hanging="360"/>
      </w:pPr>
      <w:rPr>
        <w:rFonts w:ascii="Symbol" w:hAnsi="Symbol" w:hint="default"/>
      </w:rPr>
    </w:lvl>
    <w:lvl w:ilvl="7" w:tplc="08090003" w:tentative="1">
      <w:start w:val="1"/>
      <w:numFmt w:val="bullet"/>
      <w:lvlText w:val="o"/>
      <w:lvlJc w:val="left"/>
      <w:pPr>
        <w:ind w:left="6459" w:hanging="360"/>
      </w:pPr>
      <w:rPr>
        <w:rFonts w:ascii="Courier New" w:hAnsi="Courier New" w:cs="Courier New" w:hint="default"/>
      </w:rPr>
    </w:lvl>
    <w:lvl w:ilvl="8" w:tplc="08090005" w:tentative="1">
      <w:start w:val="1"/>
      <w:numFmt w:val="bullet"/>
      <w:lvlText w:val=""/>
      <w:lvlJc w:val="left"/>
      <w:pPr>
        <w:ind w:left="7179" w:hanging="360"/>
      </w:pPr>
      <w:rPr>
        <w:rFonts w:ascii="Wingdings" w:hAnsi="Wingdings" w:hint="default"/>
      </w:rPr>
    </w:lvl>
  </w:abstractNum>
  <w:abstractNum w:abstractNumId="31" w15:restartNumberingAfterBreak="0">
    <w:nsid w:val="0C815199"/>
    <w:multiLevelType w:val="hybridMultilevel"/>
    <w:tmpl w:val="2AE8749C"/>
    <w:lvl w:ilvl="0" w:tplc="EA4AD4DC">
      <w:start w:val="1"/>
      <w:numFmt w:val="bullet"/>
      <w:lvlText w:val=""/>
      <w:lvlJc w:val="left"/>
      <w:pPr>
        <w:ind w:left="720" w:hanging="360"/>
      </w:pPr>
      <w:rPr>
        <w:rFonts w:ascii="Symbol" w:hAnsi="Symbol" w:hint="default"/>
        <w:color w:val="C0504D" w:themeColor="accent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0D064915"/>
    <w:multiLevelType w:val="hybridMultilevel"/>
    <w:tmpl w:val="6444E81E"/>
    <w:lvl w:ilvl="0" w:tplc="AAE463B2">
      <w:start w:val="1"/>
      <w:numFmt w:val="decimal"/>
      <w:lvlText w:val="%1)"/>
      <w:lvlJc w:val="left"/>
      <w:pPr>
        <w:ind w:left="180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0D6E79C9"/>
    <w:multiLevelType w:val="hybridMultilevel"/>
    <w:tmpl w:val="EEE0BEF8"/>
    <w:lvl w:ilvl="0" w:tplc="08090001">
      <w:start w:val="1"/>
      <w:numFmt w:val="bullet"/>
      <w:lvlText w:val=""/>
      <w:lvlJc w:val="left"/>
      <w:pPr>
        <w:ind w:left="975" w:hanging="360"/>
      </w:pPr>
      <w:rPr>
        <w:rFonts w:ascii="Symbol" w:hAnsi="Symbol" w:hint="default"/>
      </w:rPr>
    </w:lvl>
    <w:lvl w:ilvl="1" w:tplc="08090003" w:tentative="1">
      <w:start w:val="1"/>
      <w:numFmt w:val="bullet"/>
      <w:lvlText w:val="o"/>
      <w:lvlJc w:val="left"/>
      <w:pPr>
        <w:ind w:left="1525" w:hanging="360"/>
      </w:pPr>
      <w:rPr>
        <w:rFonts w:ascii="Courier New" w:hAnsi="Courier New" w:cs="Courier New" w:hint="default"/>
      </w:rPr>
    </w:lvl>
    <w:lvl w:ilvl="2" w:tplc="08090005" w:tentative="1">
      <w:start w:val="1"/>
      <w:numFmt w:val="bullet"/>
      <w:lvlText w:val=""/>
      <w:lvlJc w:val="left"/>
      <w:pPr>
        <w:ind w:left="2245" w:hanging="360"/>
      </w:pPr>
      <w:rPr>
        <w:rFonts w:ascii="Wingdings" w:hAnsi="Wingdings" w:hint="default"/>
      </w:rPr>
    </w:lvl>
    <w:lvl w:ilvl="3" w:tplc="08090001" w:tentative="1">
      <w:start w:val="1"/>
      <w:numFmt w:val="bullet"/>
      <w:lvlText w:val=""/>
      <w:lvlJc w:val="left"/>
      <w:pPr>
        <w:ind w:left="2965" w:hanging="360"/>
      </w:pPr>
      <w:rPr>
        <w:rFonts w:ascii="Symbol" w:hAnsi="Symbol" w:hint="default"/>
      </w:rPr>
    </w:lvl>
    <w:lvl w:ilvl="4" w:tplc="08090003" w:tentative="1">
      <w:start w:val="1"/>
      <w:numFmt w:val="bullet"/>
      <w:lvlText w:val="o"/>
      <w:lvlJc w:val="left"/>
      <w:pPr>
        <w:ind w:left="3685" w:hanging="360"/>
      </w:pPr>
      <w:rPr>
        <w:rFonts w:ascii="Courier New" w:hAnsi="Courier New" w:cs="Courier New" w:hint="default"/>
      </w:rPr>
    </w:lvl>
    <w:lvl w:ilvl="5" w:tplc="08090005" w:tentative="1">
      <w:start w:val="1"/>
      <w:numFmt w:val="bullet"/>
      <w:lvlText w:val=""/>
      <w:lvlJc w:val="left"/>
      <w:pPr>
        <w:ind w:left="4405" w:hanging="360"/>
      </w:pPr>
      <w:rPr>
        <w:rFonts w:ascii="Wingdings" w:hAnsi="Wingdings" w:hint="default"/>
      </w:rPr>
    </w:lvl>
    <w:lvl w:ilvl="6" w:tplc="08090001" w:tentative="1">
      <w:start w:val="1"/>
      <w:numFmt w:val="bullet"/>
      <w:lvlText w:val=""/>
      <w:lvlJc w:val="left"/>
      <w:pPr>
        <w:ind w:left="5125" w:hanging="360"/>
      </w:pPr>
      <w:rPr>
        <w:rFonts w:ascii="Symbol" w:hAnsi="Symbol" w:hint="default"/>
      </w:rPr>
    </w:lvl>
    <w:lvl w:ilvl="7" w:tplc="08090003" w:tentative="1">
      <w:start w:val="1"/>
      <w:numFmt w:val="bullet"/>
      <w:lvlText w:val="o"/>
      <w:lvlJc w:val="left"/>
      <w:pPr>
        <w:ind w:left="5845" w:hanging="360"/>
      </w:pPr>
      <w:rPr>
        <w:rFonts w:ascii="Courier New" w:hAnsi="Courier New" w:cs="Courier New" w:hint="default"/>
      </w:rPr>
    </w:lvl>
    <w:lvl w:ilvl="8" w:tplc="08090005" w:tentative="1">
      <w:start w:val="1"/>
      <w:numFmt w:val="bullet"/>
      <w:lvlText w:val=""/>
      <w:lvlJc w:val="left"/>
      <w:pPr>
        <w:ind w:left="6565" w:hanging="360"/>
      </w:pPr>
      <w:rPr>
        <w:rFonts w:ascii="Wingdings" w:hAnsi="Wingdings" w:hint="default"/>
      </w:rPr>
    </w:lvl>
  </w:abstractNum>
  <w:abstractNum w:abstractNumId="34" w15:restartNumberingAfterBreak="0">
    <w:nsid w:val="0DDD153F"/>
    <w:multiLevelType w:val="hybridMultilevel"/>
    <w:tmpl w:val="FFFFFFFF"/>
    <w:lvl w:ilvl="0" w:tplc="A378A13E">
      <w:start w:val="1"/>
      <w:numFmt w:val="bullet"/>
      <w:lvlText w:val="·"/>
      <w:lvlJc w:val="left"/>
      <w:pPr>
        <w:ind w:left="720" w:hanging="360"/>
      </w:pPr>
      <w:rPr>
        <w:rFonts w:ascii="Symbol" w:hAnsi="Symbol" w:hint="default"/>
      </w:rPr>
    </w:lvl>
    <w:lvl w:ilvl="1" w:tplc="513CD8BC">
      <w:start w:val="1"/>
      <w:numFmt w:val="bullet"/>
      <w:lvlText w:val="o"/>
      <w:lvlJc w:val="left"/>
      <w:pPr>
        <w:ind w:left="1440" w:hanging="360"/>
      </w:pPr>
      <w:rPr>
        <w:rFonts w:ascii="Courier New" w:hAnsi="Courier New" w:hint="default"/>
      </w:rPr>
    </w:lvl>
    <w:lvl w:ilvl="2" w:tplc="311426C2">
      <w:start w:val="1"/>
      <w:numFmt w:val="bullet"/>
      <w:lvlText w:val=""/>
      <w:lvlJc w:val="left"/>
      <w:pPr>
        <w:ind w:left="2160" w:hanging="360"/>
      </w:pPr>
      <w:rPr>
        <w:rFonts w:ascii="Wingdings" w:hAnsi="Wingdings" w:hint="default"/>
      </w:rPr>
    </w:lvl>
    <w:lvl w:ilvl="3" w:tplc="636CB83C">
      <w:start w:val="1"/>
      <w:numFmt w:val="bullet"/>
      <w:lvlText w:val=""/>
      <w:lvlJc w:val="left"/>
      <w:pPr>
        <w:ind w:left="2880" w:hanging="360"/>
      </w:pPr>
      <w:rPr>
        <w:rFonts w:ascii="Symbol" w:hAnsi="Symbol" w:hint="default"/>
      </w:rPr>
    </w:lvl>
    <w:lvl w:ilvl="4" w:tplc="6E22A5E2">
      <w:start w:val="1"/>
      <w:numFmt w:val="bullet"/>
      <w:lvlText w:val="o"/>
      <w:lvlJc w:val="left"/>
      <w:pPr>
        <w:ind w:left="3600" w:hanging="360"/>
      </w:pPr>
      <w:rPr>
        <w:rFonts w:ascii="Courier New" w:hAnsi="Courier New" w:hint="default"/>
      </w:rPr>
    </w:lvl>
    <w:lvl w:ilvl="5" w:tplc="5BF6842A">
      <w:start w:val="1"/>
      <w:numFmt w:val="bullet"/>
      <w:lvlText w:val=""/>
      <w:lvlJc w:val="left"/>
      <w:pPr>
        <w:ind w:left="4320" w:hanging="360"/>
      </w:pPr>
      <w:rPr>
        <w:rFonts w:ascii="Wingdings" w:hAnsi="Wingdings" w:hint="default"/>
      </w:rPr>
    </w:lvl>
    <w:lvl w:ilvl="6" w:tplc="DDDA7278">
      <w:start w:val="1"/>
      <w:numFmt w:val="bullet"/>
      <w:lvlText w:val=""/>
      <w:lvlJc w:val="left"/>
      <w:pPr>
        <w:ind w:left="5040" w:hanging="360"/>
      </w:pPr>
      <w:rPr>
        <w:rFonts w:ascii="Symbol" w:hAnsi="Symbol" w:hint="default"/>
      </w:rPr>
    </w:lvl>
    <w:lvl w:ilvl="7" w:tplc="CF9E98F0">
      <w:start w:val="1"/>
      <w:numFmt w:val="bullet"/>
      <w:lvlText w:val="o"/>
      <w:lvlJc w:val="left"/>
      <w:pPr>
        <w:ind w:left="5760" w:hanging="360"/>
      </w:pPr>
      <w:rPr>
        <w:rFonts w:ascii="Courier New" w:hAnsi="Courier New" w:hint="default"/>
      </w:rPr>
    </w:lvl>
    <w:lvl w:ilvl="8" w:tplc="C26419CC">
      <w:start w:val="1"/>
      <w:numFmt w:val="bullet"/>
      <w:lvlText w:val=""/>
      <w:lvlJc w:val="left"/>
      <w:pPr>
        <w:ind w:left="6480" w:hanging="360"/>
      </w:pPr>
      <w:rPr>
        <w:rFonts w:ascii="Wingdings" w:hAnsi="Wingdings" w:hint="default"/>
      </w:rPr>
    </w:lvl>
  </w:abstractNum>
  <w:abstractNum w:abstractNumId="35" w15:restartNumberingAfterBreak="0">
    <w:nsid w:val="0E144329"/>
    <w:multiLevelType w:val="hybridMultilevel"/>
    <w:tmpl w:val="9668C192"/>
    <w:lvl w:ilvl="0" w:tplc="D19ABC80">
      <w:start w:val="1"/>
      <w:numFmt w:val="decimal"/>
      <w:pStyle w:val="Numberedtilelevel1"/>
      <w:lvlText w:val="%1."/>
      <w:lvlJc w:val="left"/>
      <w:pPr>
        <w:ind w:left="360" w:hanging="360"/>
      </w:pPr>
      <w:rPr>
        <w:rFonts w:hint="default"/>
        <w:spacing w:val="0"/>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6" w15:restartNumberingAfterBreak="0">
    <w:nsid w:val="0EB44764"/>
    <w:multiLevelType w:val="hybridMultilevel"/>
    <w:tmpl w:val="2640C6F4"/>
    <w:lvl w:ilvl="0" w:tplc="062C0F5A">
      <w:start w:val="1"/>
      <w:numFmt w:val="bullet"/>
      <w:lvlText w:val=""/>
      <w:lvlJc w:val="left"/>
      <w:pPr>
        <w:ind w:left="720" w:hanging="360"/>
      </w:pPr>
      <w:rPr>
        <w:rFonts w:ascii="Symbol" w:hAnsi="Symbol" w:hint="default"/>
      </w:rPr>
    </w:lvl>
    <w:lvl w:ilvl="1" w:tplc="72EADD1C">
      <w:start w:val="1"/>
      <w:numFmt w:val="bullet"/>
      <w:lvlText w:val="o"/>
      <w:lvlJc w:val="left"/>
      <w:pPr>
        <w:ind w:left="1440" w:hanging="360"/>
      </w:pPr>
      <w:rPr>
        <w:rFonts w:ascii="Courier New" w:hAnsi="Courier New" w:hint="default"/>
      </w:rPr>
    </w:lvl>
    <w:lvl w:ilvl="2" w:tplc="00EA4980">
      <w:start w:val="1"/>
      <w:numFmt w:val="bullet"/>
      <w:lvlText w:val=""/>
      <w:lvlJc w:val="left"/>
      <w:pPr>
        <w:ind w:left="2160" w:hanging="360"/>
      </w:pPr>
      <w:rPr>
        <w:rFonts w:ascii="Wingdings" w:hAnsi="Wingdings" w:hint="default"/>
      </w:rPr>
    </w:lvl>
    <w:lvl w:ilvl="3" w:tplc="2424E060">
      <w:start w:val="1"/>
      <w:numFmt w:val="bullet"/>
      <w:lvlText w:val=""/>
      <w:lvlJc w:val="left"/>
      <w:pPr>
        <w:ind w:left="2880" w:hanging="360"/>
      </w:pPr>
      <w:rPr>
        <w:rFonts w:ascii="Symbol" w:hAnsi="Symbol" w:hint="default"/>
      </w:rPr>
    </w:lvl>
    <w:lvl w:ilvl="4" w:tplc="828843B2">
      <w:start w:val="1"/>
      <w:numFmt w:val="bullet"/>
      <w:lvlText w:val="o"/>
      <w:lvlJc w:val="left"/>
      <w:pPr>
        <w:ind w:left="3600" w:hanging="360"/>
      </w:pPr>
      <w:rPr>
        <w:rFonts w:ascii="Courier New" w:hAnsi="Courier New" w:hint="default"/>
      </w:rPr>
    </w:lvl>
    <w:lvl w:ilvl="5" w:tplc="57166E14">
      <w:start w:val="1"/>
      <w:numFmt w:val="bullet"/>
      <w:lvlText w:val=""/>
      <w:lvlJc w:val="left"/>
      <w:pPr>
        <w:ind w:left="4320" w:hanging="360"/>
      </w:pPr>
      <w:rPr>
        <w:rFonts w:ascii="Wingdings" w:hAnsi="Wingdings" w:hint="default"/>
      </w:rPr>
    </w:lvl>
    <w:lvl w:ilvl="6" w:tplc="7882A628">
      <w:start w:val="1"/>
      <w:numFmt w:val="bullet"/>
      <w:lvlText w:val=""/>
      <w:lvlJc w:val="left"/>
      <w:pPr>
        <w:ind w:left="5040" w:hanging="360"/>
      </w:pPr>
      <w:rPr>
        <w:rFonts w:ascii="Symbol" w:hAnsi="Symbol" w:hint="default"/>
      </w:rPr>
    </w:lvl>
    <w:lvl w:ilvl="7" w:tplc="B62C3334">
      <w:start w:val="1"/>
      <w:numFmt w:val="bullet"/>
      <w:lvlText w:val="o"/>
      <w:lvlJc w:val="left"/>
      <w:pPr>
        <w:ind w:left="5760" w:hanging="360"/>
      </w:pPr>
      <w:rPr>
        <w:rFonts w:ascii="Courier New" w:hAnsi="Courier New" w:hint="default"/>
      </w:rPr>
    </w:lvl>
    <w:lvl w:ilvl="8" w:tplc="D476681A">
      <w:start w:val="1"/>
      <w:numFmt w:val="bullet"/>
      <w:lvlText w:val=""/>
      <w:lvlJc w:val="left"/>
      <w:pPr>
        <w:ind w:left="6480" w:hanging="360"/>
      </w:pPr>
      <w:rPr>
        <w:rFonts w:ascii="Wingdings" w:hAnsi="Wingdings" w:hint="default"/>
      </w:rPr>
    </w:lvl>
  </w:abstractNum>
  <w:abstractNum w:abstractNumId="37" w15:restartNumberingAfterBreak="0">
    <w:nsid w:val="0F5612AA"/>
    <w:multiLevelType w:val="hybridMultilevel"/>
    <w:tmpl w:val="652EF59A"/>
    <w:lvl w:ilvl="0" w:tplc="D988F740">
      <w:start w:val="1"/>
      <w:numFmt w:val="decimal"/>
      <w:lvlText w:val="%1."/>
      <w:lvlJc w:val="left"/>
      <w:pPr>
        <w:ind w:left="720" w:hanging="360"/>
      </w:pPr>
    </w:lvl>
    <w:lvl w:ilvl="1" w:tplc="E1A8789C">
      <w:start w:val="1"/>
      <w:numFmt w:val="lowerLetter"/>
      <w:lvlText w:val="%2."/>
      <w:lvlJc w:val="left"/>
      <w:pPr>
        <w:ind w:left="1440" w:hanging="360"/>
      </w:pPr>
    </w:lvl>
    <w:lvl w:ilvl="2" w:tplc="69DEE3C6">
      <w:start w:val="1"/>
      <w:numFmt w:val="lowerRoman"/>
      <w:lvlText w:val="%3."/>
      <w:lvlJc w:val="right"/>
      <w:pPr>
        <w:ind w:left="2160" w:hanging="180"/>
      </w:pPr>
    </w:lvl>
    <w:lvl w:ilvl="3" w:tplc="D7EAB9BC">
      <w:start w:val="1"/>
      <w:numFmt w:val="decimal"/>
      <w:lvlText w:val="%4."/>
      <w:lvlJc w:val="left"/>
      <w:pPr>
        <w:ind w:left="2880" w:hanging="360"/>
      </w:pPr>
    </w:lvl>
    <w:lvl w:ilvl="4" w:tplc="0AA0F928">
      <w:start w:val="1"/>
      <w:numFmt w:val="lowerLetter"/>
      <w:lvlText w:val="%5."/>
      <w:lvlJc w:val="left"/>
      <w:pPr>
        <w:ind w:left="3600" w:hanging="360"/>
      </w:pPr>
    </w:lvl>
    <w:lvl w:ilvl="5" w:tplc="325AF216">
      <w:start w:val="1"/>
      <w:numFmt w:val="lowerRoman"/>
      <w:lvlText w:val="%6."/>
      <w:lvlJc w:val="right"/>
      <w:pPr>
        <w:ind w:left="4320" w:hanging="180"/>
      </w:pPr>
    </w:lvl>
    <w:lvl w:ilvl="6" w:tplc="EFBEE6EE">
      <w:start w:val="1"/>
      <w:numFmt w:val="decimal"/>
      <w:lvlText w:val="%7."/>
      <w:lvlJc w:val="left"/>
      <w:pPr>
        <w:ind w:left="5040" w:hanging="360"/>
      </w:pPr>
    </w:lvl>
    <w:lvl w:ilvl="7" w:tplc="CC6E3FE6">
      <w:start w:val="1"/>
      <w:numFmt w:val="lowerLetter"/>
      <w:lvlText w:val="%8."/>
      <w:lvlJc w:val="left"/>
      <w:pPr>
        <w:ind w:left="5760" w:hanging="360"/>
      </w:pPr>
    </w:lvl>
    <w:lvl w:ilvl="8" w:tplc="EE223A00">
      <w:start w:val="1"/>
      <w:numFmt w:val="lowerRoman"/>
      <w:lvlText w:val="%9."/>
      <w:lvlJc w:val="right"/>
      <w:pPr>
        <w:ind w:left="6480" w:hanging="180"/>
      </w:pPr>
    </w:lvl>
  </w:abstractNum>
  <w:abstractNum w:abstractNumId="38" w15:restartNumberingAfterBreak="0">
    <w:nsid w:val="0F84792E"/>
    <w:multiLevelType w:val="hybridMultilevel"/>
    <w:tmpl w:val="430A6D7E"/>
    <w:lvl w:ilvl="0" w:tplc="F29AB518">
      <w:start w:val="1"/>
      <w:numFmt w:val="bullet"/>
      <w:lvlText w:val="·"/>
      <w:lvlJc w:val="left"/>
      <w:pPr>
        <w:ind w:left="720" w:hanging="360"/>
      </w:pPr>
      <w:rPr>
        <w:rFonts w:ascii="Symbol" w:hAnsi="Symbol" w:hint="default"/>
      </w:rPr>
    </w:lvl>
    <w:lvl w:ilvl="1" w:tplc="05AC04EC">
      <w:start w:val="1"/>
      <w:numFmt w:val="bullet"/>
      <w:lvlText w:val="o"/>
      <w:lvlJc w:val="left"/>
      <w:pPr>
        <w:ind w:left="1440" w:hanging="360"/>
      </w:pPr>
      <w:rPr>
        <w:rFonts w:ascii="Courier New" w:hAnsi="Courier New" w:hint="default"/>
      </w:rPr>
    </w:lvl>
    <w:lvl w:ilvl="2" w:tplc="52EA3D26">
      <w:start w:val="1"/>
      <w:numFmt w:val="bullet"/>
      <w:lvlText w:val=""/>
      <w:lvlJc w:val="left"/>
      <w:pPr>
        <w:ind w:left="2160" w:hanging="360"/>
      </w:pPr>
      <w:rPr>
        <w:rFonts w:ascii="Wingdings" w:hAnsi="Wingdings" w:hint="default"/>
      </w:rPr>
    </w:lvl>
    <w:lvl w:ilvl="3" w:tplc="55B8DF9A">
      <w:start w:val="1"/>
      <w:numFmt w:val="bullet"/>
      <w:lvlText w:val=""/>
      <w:lvlJc w:val="left"/>
      <w:pPr>
        <w:ind w:left="2880" w:hanging="360"/>
      </w:pPr>
      <w:rPr>
        <w:rFonts w:ascii="Symbol" w:hAnsi="Symbol" w:hint="default"/>
      </w:rPr>
    </w:lvl>
    <w:lvl w:ilvl="4" w:tplc="BD5ADE42">
      <w:start w:val="1"/>
      <w:numFmt w:val="bullet"/>
      <w:lvlText w:val="o"/>
      <w:lvlJc w:val="left"/>
      <w:pPr>
        <w:ind w:left="3600" w:hanging="360"/>
      </w:pPr>
      <w:rPr>
        <w:rFonts w:ascii="Courier New" w:hAnsi="Courier New" w:hint="default"/>
      </w:rPr>
    </w:lvl>
    <w:lvl w:ilvl="5" w:tplc="02DAABC8">
      <w:start w:val="1"/>
      <w:numFmt w:val="bullet"/>
      <w:lvlText w:val=""/>
      <w:lvlJc w:val="left"/>
      <w:pPr>
        <w:ind w:left="4320" w:hanging="360"/>
      </w:pPr>
      <w:rPr>
        <w:rFonts w:ascii="Wingdings" w:hAnsi="Wingdings" w:hint="default"/>
      </w:rPr>
    </w:lvl>
    <w:lvl w:ilvl="6" w:tplc="B060FF70">
      <w:start w:val="1"/>
      <w:numFmt w:val="bullet"/>
      <w:lvlText w:val=""/>
      <w:lvlJc w:val="left"/>
      <w:pPr>
        <w:ind w:left="5040" w:hanging="360"/>
      </w:pPr>
      <w:rPr>
        <w:rFonts w:ascii="Symbol" w:hAnsi="Symbol" w:hint="default"/>
      </w:rPr>
    </w:lvl>
    <w:lvl w:ilvl="7" w:tplc="0B924380">
      <w:start w:val="1"/>
      <w:numFmt w:val="bullet"/>
      <w:lvlText w:val="o"/>
      <w:lvlJc w:val="left"/>
      <w:pPr>
        <w:ind w:left="5760" w:hanging="360"/>
      </w:pPr>
      <w:rPr>
        <w:rFonts w:ascii="Courier New" w:hAnsi="Courier New" w:hint="default"/>
      </w:rPr>
    </w:lvl>
    <w:lvl w:ilvl="8" w:tplc="D7B00598">
      <w:start w:val="1"/>
      <w:numFmt w:val="bullet"/>
      <w:lvlText w:val=""/>
      <w:lvlJc w:val="left"/>
      <w:pPr>
        <w:ind w:left="6480" w:hanging="360"/>
      </w:pPr>
      <w:rPr>
        <w:rFonts w:ascii="Wingdings" w:hAnsi="Wingdings" w:hint="default"/>
      </w:rPr>
    </w:lvl>
  </w:abstractNum>
  <w:abstractNum w:abstractNumId="39" w15:restartNumberingAfterBreak="0">
    <w:nsid w:val="0FC815BA"/>
    <w:multiLevelType w:val="hybridMultilevel"/>
    <w:tmpl w:val="6E2C0A1C"/>
    <w:lvl w:ilvl="0" w:tplc="71A2B31C">
      <w:start w:val="2"/>
      <w:numFmt w:val="decimal"/>
      <w:lvlText w:val="%1)"/>
      <w:lvlJc w:val="left"/>
      <w:pPr>
        <w:ind w:left="1080" w:hanging="360"/>
      </w:pPr>
      <w:rPr>
        <w:rFonts w:hint="default"/>
      </w:rPr>
    </w:lvl>
    <w:lvl w:ilvl="1" w:tplc="08090019">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0" w15:restartNumberingAfterBreak="0">
    <w:nsid w:val="10BC3319"/>
    <w:multiLevelType w:val="hybridMultilevel"/>
    <w:tmpl w:val="FFFFFFFF"/>
    <w:lvl w:ilvl="0" w:tplc="0CA8ECAA">
      <w:start w:val="1"/>
      <w:numFmt w:val="bullet"/>
      <w:lvlText w:val="-"/>
      <w:lvlJc w:val="left"/>
      <w:pPr>
        <w:ind w:left="720" w:hanging="360"/>
      </w:pPr>
      <w:rPr>
        <w:rFonts w:ascii="Calibri" w:hAnsi="Calibri" w:hint="default"/>
      </w:rPr>
    </w:lvl>
    <w:lvl w:ilvl="1" w:tplc="FE78CB3C">
      <w:start w:val="1"/>
      <w:numFmt w:val="bullet"/>
      <w:lvlText w:val="o"/>
      <w:lvlJc w:val="left"/>
      <w:pPr>
        <w:ind w:left="1440" w:hanging="360"/>
      </w:pPr>
      <w:rPr>
        <w:rFonts w:ascii="Courier New" w:hAnsi="Courier New" w:hint="default"/>
      </w:rPr>
    </w:lvl>
    <w:lvl w:ilvl="2" w:tplc="75C0D15C">
      <w:start w:val="1"/>
      <w:numFmt w:val="bullet"/>
      <w:lvlText w:val=""/>
      <w:lvlJc w:val="left"/>
      <w:pPr>
        <w:ind w:left="2160" w:hanging="360"/>
      </w:pPr>
      <w:rPr>
        <w:rFonts w:ascii="Wingdings" w:hAnsi="Wingdings" w:hint="default"/>
      </w:rPr>
    </w:lvl>
    <w:lvl w:ilvl="3" w:tplc="3A7CFB44">
      <w:start w:val="1"/>
      <w:numFmt w:val="bullet"/>
      <w:lvlText w:val=""/>
      <w:lvlJc w:val="left"/>
      <w:pPr>
        <w:ind w:left="2880" w:hanging="360"/>
      </w:pPr>
      <w:rPr>
        <w:rFonts w:ascii="Symbol" w:hAnsi="Symbol" w:hint="default"/>
      </w:rPr>
    </w:lvl>
    <w:lvl w:ilvl="4" w:tplc="2D8CCC1C">
      <w:start w:val="1"/>
      <w:numFmt w:val="bullet"/>
      <w:lvlText w:val="o"/>
      <w:lvlJc w:val="left"/>
      <w:pPr>
        <w:ind w:left="3600" w:hanging="360"/>
      </w:pPr>
      <w:rPr>
        <w:rFonts w:ascii="Courier New" w:hAnsi="Courier New" w:hint="default"/>
      </w:rPr>
    </w:lvl>
    <w:lvl w:ilvl="5" w:tplc="0066BDEC">
      <w:start w:val="1"/>
      <w:numFmt w:val="bullet"/>
      <w:lvlText w:val=""/>
      <w:lvlJc w:val="left"/>
      <w:pPr>
        <w:ind w:left="4320" w:hanging="360"/>
      </w:pPr>
      <w:rPr>
        <w:rFonts w:ascii="Wingdings" w:hAnsi="Wingdings" w:hint="default"/>
      </w:rPr>
    </w:lvl>
    <w:lvl w:ilvl="6" w:tplc="99D60CBE">
      <w:start w:val="1"/>
      <w:numFmt w:val="bullet"/>
      <w:lvlText w:val=""/>
      <w:lvlJc w:val="left"/>
      <w:pPr>
        <w:ind w:left="5040" w:hanging="360"/>
      </w:pPr>
      <w:rPr>
        <w:rFonts w:ascii="Symbol" w:hAnsi="Symbol" w:hint="default"/>
      </w:rPr>
    </w:lvl>
    <w:lvl w:ilvl="7" w:tplc="423A1E3C">
      <w:start w:val="1"/>
      <w:numFmt w:val="bullet"/>
      <w:lvlText w:val="o"/>
      <w:lvlJc w:val="left"/>
      <w:pPr>
        <w:ind w:left="5760" w:hanging="360"/>
      </w:pPr>
      <w:rPr>
        <w:rFonts w:ascii="Courier New" w:hAnsi="Courier New" w:hint="default"/>
      </w:rPr>
    </w:lvl>
    <w:lvl w:ilvl="8" w:tplc="606A3D6E">
      <w:start w:val="1"/>
      <w:numFmt w:val="bullet"/>
      <w:lvlText w:val=""/>
      <w:lvlJc w:val="left"/>
      <w:pPr>
        <w:ind w:left="6480" w:hanging="360"/>
      </w:pPr>
      <w:rPr>
        <w:rFonts w:ascii="Wingdings" w:hAnsi="Wingdings" w:hint="default"/>
      </w:rPr>
    </w:lvl>
  </w:abstractNum>
  <w:abstractNum w:abstractNumId="41" w15:restartNumberingAfterBreak="0">
    <w:nsid w:val="10E25CAD"/>
    <w:multiLevelType w:val="hybridMultilevel"/>
    <w:tmpl w:val="5950CD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11D53EE3"/>
    <w:multiLevelType w:val="hybridMultilevel"/>
    <w:tmpl w:val="82F0B4D6"/>
    <w:lvl w:ilvl="0" w:tplc="0D561A78">
      <w:start w:val="1"/>
      <w:numFmt w:val="decimal"/>
      <w:lvlText w:val="%1."/>
      <w:lvlJc w:val="left"/>
      <w:pPr>
        <w:ind w:left="720" w:hanging="360"/>
      </w:pPr>
    </w:lvl>
    <w:lvl w:ilvl="1" w:tplc="D7127BF4">
      <w:start w:val="1"/>
      <w:numFmt w:val="lowerLetter"/>
      <w:lvlText w:val="%2."/>
      <w:lvlJc w:val="left"/>
      <w:pPr>
        <w:ind w:left="1440" w:hanging="360"/>
      </w:pPr>
    </w:lvl>
    <w:lvl w:ilvl="2" w:tplc="B9B84B20">
      <w:start w:val="1"/>
      <w:numFmt w:val="lowerRoman"/>
      <w:lvlText w:val="%3."/>
      <w:lvlJc w:val="right"/>
      <w:pPr>
        <w:ind w:left="2160" w:hanging="180"/>
      </w:pPr>
    </w:lvl>
    <w:lvl w:ilvl="3" w:tplc="799A6D20">
      <w:start w:val="1"/>
      <w:numFmt w:val="decimal"/>
      <w:lvlText w:val="%4."/>
      <w:lvlJc w:val="left"/>
      <w:pPr>
        <w:ind w:left="2880" w:hanging="360"/>
      </w:pPr>
    </w:lvl>
    <w:lvl w:ilvl="4" w:tplc="DA6C018E">
      <w:start w:val="1"/>
      <w:numFmt w:val="lowerLetter"/>
      <w:lvlText w:val="%5."/>
      <w:lvlJc w:val="left"/>
      <w:pPr>
        <w:ind w:left="3600" w:hanging="360"/>
      </w:pPr>
    </w:lvl>
    <w:lvl w:ilvl="5" w:tplc="FBF2FDF6">
      <w:start w:val="1"/>
      <w:numFmt w:val="lowerRoman"/>
      <w:lvlText w:val="%6."/>
      <w:lvlJc w:val="right"/>
      <w:pPr>
        <w:ind w:left="4320" w:hanging="180"/>
      </w:pPr>
    </w:lvl>
    <w:lvl w:ilvl="6" w:tplc="53EA99BC">
      <w:start w:val="1"/>
      <w:numFmt w:val="decimal"/>
      <w:lvlText w:val="%7."/>
      <w:lvlJc w:val="left"/>
      <w:pPr>
        <w:ind w:left="5040" w:hanging="360"/>
      </w:pPr>
    </w:lvl>
    <w:lvl w:ilvl="7" w:tplc="49302B12">
      <w:start w:val="1"/>
      <w:numFmt w:val="lowerLetter"/>
      <w:lvlText w:val="%8."/>
      <w:lvlJc w:val="left"/>
      <w:pPr>
        <w:ind w:left="5760" w:hanging="360"/>
      </w:pPr>
    </w:lvl>
    <w:lvl w:ilvl="8" w:tplc="A5449776">
      <w:start w:val="1"/>
      <w:numFmt w:val="lowerRoman"/>
      <w:lvlText w:val="%9."/>
      <w:lvlJc w:val="right"/>
      <w:pPr>
        <w:ind w:left="6480" w:hanging="180"/>
      </w:pPr>
    </w:lvl>
  </w:abstractNum>
  <w:abstractNum w:abstractNumId="43" w15:restartNumberingAfterBreak="0">
    <w:nsid w:val="121A10FA"/>
    <w:multiLevelType w:val="hybridMultilevel"/>
    <w:tmpl w:val="FFFFFFFF"/>
    <w:lvl w:ilvl="0" w:tplc="F0BABC8C">
      <w:start w:val="1"/>
      <w:numFmt w:val="decimal"/>
      <w:lvlText w:val="%1."/>
      <w:lvlJc w:val="left"/>
      <w:pPr>
        <w:ind w:left="720" w:hanging="360"/>
      </w:pPr>
    </w:lvl>
    <w:lvl w:ilvl="1" w:tplc="D5C442B6">
      <w:start w:val="1"/>
      <w:numFmt w:val="lowerLetter"/>
      <w:lvlText w:val="%2."/>
      <w:lvlJc w:val="left"/>
      <w:pPr>
        <w:ind w:left="1440" w:hanging="360"/>
      </w:pPr>
    </w:lvl>
    <w:lvl w:ilvl="2" w:tplc="9CFAAFC8">
      <w:start w:val="1"/>
      <w:numFmt w:val="lowerRoman"/>
      <w:lvlText w:val="%3."/>
      <w:lvlJc w:val="right"/>
      <w:pPr>
        <w:ind w:left="2160" w:hanging="180"/>
      </w:pPr>
    </w:lvl>
    <w:lvl w:ilvl="3" w:tplc="3488A4EE">
      <w:start w:val="1"/>
      <w:numFmt w:val="decimal"/>
      <w:lvlText w:val="%4."/>
      <w:lvlJc w:val="left"/>
      <w:pPr>
        <w:ind w:left="2880" w:hanging="360"/>
      </w:pPr>
    </w:lvl>
    <w:lvl w:ilvl="4" w:tplc="DAE28FC4">
      <w:start w:val="1"/>
      <w:numFmt w:val="lowerLetter"/>
      <w:lvlText w:val="%5."/>
      <w:lvlJc w:val="left"/>
      <w:pPr>
        <w:ind w:left="3600" w:hanging="360"/>
      </w:pPr>
    </w:lvl>
    <w:lvl w:ilvl="5" w:tplc="B6207E86">
      <w:start w:val="1"/>
      <w:numFmt w:val="lowerRoman"/>
      <w:lvlText w:val="%6."/>
      <w:lvlJc w:val="right"/>
      <w:pPr>
        <w:ind w:left="4320" w:hanging="180"/>
      </w:pPr>
    </w:lvl>
    <w:lvl w:ilvl="6" w:tplc="5EDC8DE2">
      <w:start w:val="1"/>
      <w:numFmt w:val="decimal"/>
      <w:lvlText w:val="%7."/>
      <w:lvlJc w:val="left"/>
      <w:pPr>
        <w:ind w:left="5040" w:hanging="360"/>
      </w:pPr>
    </w:lvl>
    <w:lvl w:ilvl="7" w:tplc="9728643E">
      <w:start w:val="1"/>
      <w:numFmt w:val="lowerLetter"/>
      <w:lvlText w:val="%8."/>
      <w:lvlJc w:val="left"/>
      <w:pPr>
        <w:ind w:left="5760" w:hanging="360"/>
      </w:pPr>
    </w:lvl>
    <w:lvl w:ilvl="8" w:tplc="F634F4D2">
      <w:start w:val="1"/>
      <w:numFmt w:val="lowerRoman"/>
      <w:lvlText w:val="%9."/>
      <w:lvlJc w:val="right"/>
      <w:pPr>
        <w:ind w:left="6480" w:hanging="180"/>
      </w:pPr>
    </w:lvl>
  </w:abstractNum>
  <w:abstractNum w:abstractNumId="44" w15:restartNumberingAfterBreak="0">
    <w:nsid w:val="13710F59"/>
    <w:multiLevelType w:val="hybridMultilevel"/>
    <w:tmpl w:val="736A107C"/>
    <w:lvl w:ilvl="0" w:tplc="829AB43C">
      <w:start w:val="1"/>
      <w:numFmt w:val="decimal"/>
      <w:pStyle w:val="Baseparagraphnumbered"/>
      <w:lvlText w:val="%1."/>
      <w:lvlJc w:val="left"/>
      <w:pPr>
        <w:ind w:left="786" w:hanging="360"/>
      </w:pPr>
      <w:rPr>
        <w:lang w:val="en-US"/>
      </w:rPr>
    </w:lvl>
    <w:lvl w:ilvl="1" w:tplc="E8245F5A">
      <w:start w:val="1"/>
      <w:numFmt w:val="lowerLetter"/>
      <w:lvlText w:val="(%2)"/>
      <w:lvlJc w:val="left"/>
      <w:pPr>
        <w:ind w:left="1494" w:hanging="360"/>
      </w:pPr>
      <w:rPr>
        <w:rFonts w:ascii="Times New Roman" w:eastAsia="Times New Roman" w:hAnsi="Times New Roman" w:cs="Times New Roman"/>
      </w:rPr>
    </w:lvl>
    <w:lvl w:ilvl="2" w:tplc="5BE4D2A0" w:tentative="1">
      <w:start w:val="1"/>
      <w:numFmt w:val="lowerRoman"/>
      <w:lvlText w:val="%3."/>
      <w:lvlJc w:val="right"/>
      <w:pPr>
        <w:ind w:left="2225" w:hanging="180"/>
      </w:pPr>
    </w:lvl>
    <w:lvl w:ilvl="3" w:tplc="E8A6BEAE" w:tentative="1">
      <w:start w:val="1"/>
      <w:numFmt w:val="decimal"/>
      <w:lvlText w:val="%4."/>
      <w:lvlJc w:val="left"/>
      <w:pPr>
        <w:ind w:left="2945" w:hanging="360"/>
      </w:pPr>
    </w:lvl>
    <w:lvl w:ilvl="4" w:tplc="9A703294" w:tentative="1">
      <w:start w:val="1"/>
      <w:numFmt w:val="lowerLetter"/>
      <w:lvlText w:val="%5."/>
      <w:lvlJc w:val="left"/>
      <w:pPr>
        <w:ind w:left="3665" w:hanging="360"/>
      </w:pPr>
    </w:lvl>
    <w:lvl w:ilvl="5" w:tplc="B14C4D10" w:tentative="1">
      <w:start w:val="1"/>
      <w:numFmt w:val="lowerRoman"/>
      <w:lvlText w:val="%6."/>
      <w:lvlJc w:val="right"/>
      <w:pPr>
        <w:ind w:left="4385" w:hanging="180"/>
      </w:pPr>
    </w:lvl>
    <w:lvl w:ilvl="6" w:tplc="EECA4DA6" w:tentative="1">
      <w:start w:val="1"/>
      <w:numFmt w:val="decimal"/>
      <w:lvlText w:val="%7."/>
      <w:lvlJc w:val="left"/>
      <w:pPr>
        <w:ind w:left="5105" w:hanging="360"/>
      </w:pPr>
    </w:lvl>
    <w:lvl w:ilvl="7" w:tplc="444C72AC" w:tentative="1">
      <w:start w:val="1"/>
      <w:numFmt w:val="lowerLetter"/>
      <w:lvlText w:val="%8."/>
      <w:lvlJc w:val="left"/>
      <w:pPr>
        <w:ind w:left="5825" w:hanging="360"/>
      </w:pPr>
    </w:lvl>
    <w:lvl w:ilvl="8" w:tplc="C9C872DC" w:tentative="1">
      <w:start w:val="1"/>
      <w:numFmt w:val="lowerRoman"/>
      <w:lvlText w:val="%9."/>
      <w:lvlJc w:val="right"/>
      <w:pPr>
        <w:ind w:left="6545" w:hanging="180"/>
      </w:pPr>
    </w:lvl>
  </w:abstractNum>
  <w:abstractNum w:abstractNumId="45" w15:restartNumberingAfterBreak="0">
    <w:nsid w:val="13777390"/>
    <w:multiLevelType w:val="hybridMultilevel"/>
    <w:tmpl w:val="79926B24"/>
    <w:lvl w:ilvl="0" w:tplc="50CE3E94">
      <w:start w:val="1"/>
      <w:numFmt w:val="lowerRoman"/>
      <w:lvlText w:val="(%1)"/>
      <w:lvlJc w:val="left"/>
      <w:pPr>
        <w:ind w:left="753"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6" w15:restartNumberingAfterBreak="0">
    <w:nsid w:val="138205D5"/>
    <w:multiLevelType w:val="hybridMultilevel"/>
    <w:tmpl w:val="DAAEFD84"/>
    <w:lvl w:ilvl="0" w:tplc="08090011">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7" w15:restartNumberingAfterBreak="0">
    <w:nsid w:val="141524A7"/>
    <w:multiLevelType w:val="hybridMultilevel"/>
    <w:tmpl w:val="CA4EA508"/>
    <w:lvl w:ilvl="0" w:tplc="C4EC37F0">
      <w:start w:val="1"/>
      <w:numFmt w:val="decimal"/>
      <w:lvlText w:val="%1."/>
      <w:lvlJc w:val="left"/>
      <w:pPr>
        <w:ind w:left="720" w:hanging="360"/>
      </w:pPr>
    </w:lvl>
    <w:lvl w:ilvl="1" w:tplc="392EF07E">
      <w:start w:val="1"/>
      <w:numFmt w:val="lowerLetter"/>
      <w:lvlText w:val="%2."/>
      <w:lvlJc w:val="left"/>
      <w:pPr>
        <w:ind w:left="1440" w:hanging="360"/>
      </w:pPr>
    </w:lvl>
    <w:lvl w:ilvl="2" w:tplc="B3544EEA">
      <w:start w:val="1"/>
      <w:numFmt w:val="lowerRoman"/>
      <w:lvlText w:val="%3."/>
      <w:lvlJc w:val="right"/>
      <w:pPr>
        <w:ind w:left="2160" w:hanging="180"/>
      </w:pPr>
    </w:lvl>
    <w:lvl w:ilvl="3" w:tplc="B9D82DF0">
      <w:start w:val="1"/>
      <w:numFmt w:val="decimal"/>
      <w:lvlText w:val="%4."/>
      <w:lvlJc w:val="left"/>
      <w:pPr>
        <w:ind w:left="2880" w:hanging="360"/>
      </w:pPr>
    </w:lvl>
    <w:lvl w:ilvl="4" w:tplc="C14C10BE">
      <w:start w:val="1"/>
      <w:numFmt w:val="lowerLetter"/>
      <w:lvlText w:val="%5."/>
      <w:lvlJc w:val="left"/>
      <w:pPr>
        <w:ind w:left="3600" w:hanging="360"/>
      </w:pPr>
    </w:lvl>
    <w:lvl w:ilvl="5" w:tplc="A7026EB2">
      <w:start w:val="1"/>
      <w:numFmt w:val="lowerRoman"/>
      <w:lvlText w:val="%6."/>
      <w:lvlJc w:val="right"/>
      <w:pPr>
        <w:ind w:left="4320" w:hanging="180"/>
      </w:pPr>
    </w:lvl>
    <w:lvl w:ilvl="6" w:tplc="2B0AA70A">
      <w:start w:val="1"/>
      <w:numFmt w:val="decimal"/>
      <w:lvlText w:val="%7."/>
      <w:lvlJc w:val="left"/>
      <w:pPr>
        <w:ind w:left="5040" w:hanging="360"/>
      </w:pPr>
    </w:lvl>
    <w:lvl w:ilvl="7" w:tplc="BB3A337E">
      <w:start w:val="1"/>
      <w:numFmt w:val="lowerLetter"/>
      <w:lvlText w:val="%8."/>
      <w:lvlJc w:val="left"/>
      <w:pPr>
        <w:ind w:left="5760" w:hanging="360"/>
      </w:pPr>
    </w:lvl>
    <w:lvl w:ilvl="8" w:tplc="E6947706">
      <w:start w:val="1"/>
      <w:numFmt w:val="lowerRoman"/>
      <w:lvlText w:val="%9."/>
      <w:lvlJc w:val="right"/>
      <w:pPr>
        <w:ind w:left="6480" w:hanging="180"/>
      </w:pPr>
    </w:lvl>
  </w:abstractNum>
  <w:abstractNum w:abstractNumId="48" w15:restartNumberingAfterBreak="0">
    <w:nsid w:val="151D3A7E"/>
    <w:multiLevelType w:val="hybridMultilevel"/>
    <w:tmpl w:val="FFFFFFFF"/>
    <w:lvl w:ilvl="0" w:tplc="73E6A3C2">
      <w:start w:val="1"/>
      <w:numFmt w:val="bullet"/>
      <w:lvlText w:val="·"/>
      <w:lvlJc w:val="left"/>
      <w:pPr>
        <w:ind w:left="720" w:hanging="360"/>
      </w:pPr>
      <w:rPr>
        <w:rFonts w:ascii="Symbol" w:hAnsi="Symbol" w:hint="default"/>
      </w:rPr>
    </w:lvl>
    <w:lvl w:ilvl="1" w:tplc="DADCC27E">
      <w:start w:val="1"/>
      <w:numFmt w:val="bullet"/>
      <w:lvlText w:val="o"/>
      <w:lvlJc w:val="left"/>
      <w:pPr>
        <w:ind w:left="1440" w:hanging="360"/>
      </w:pPr>
      <w:rPr>
        <w:rFonts w:ascii="Courier New" w:hAnsi="Courier New" w:hint="default"/>
      </w:rPr>
    </w:lvl>
    <w:lvl w:ilvl="2" w:tplc="F1421BE0">
      <w:start w:val="1"/>
      <w:numFmt w:val="bullet"/>
      <w:lvlText w:val=""/>
      <w:lvlJc w:val="left"/>
      <w:pPr>
        <w:ind w:left="2160" w:hanging="360"/>
      </w:pPr>
      <w:rPr>
        <w:rFonts w:ascii="Wingdings" w:hAnsi="Wingdings" w:hint="default"/>
      </w:rPr>
    </w:lvl>
    <w:lvl w:ilvl="3" w:tplc="AE267072">
      <w:start w:val="1"/>
      <w:numFmt w:val="bullet"/>
      <w:lvlText w:val=""/>
      <w:lvlJc w:val="left"/>
      <w:pPr>
        <w:ind w:left="2880" w:hanging="360"/>
      </w:pPr>
      <w:rPr>
        <w:rFonts w:ascii="Symbol" w:hAnsi="Symbol" w:hint="default"/>
      </w:rPr>
    </w:lvl>
    <w:lvl w:ilvl="4" w:tplc="2120385C">
      <w:start w:val="1"/>
      <w:numFmt w:val="bullet"/>
      <w:lvlText w:val="o"/>
      <w:lvlJc w:val="left"/>
      <w:pPr>
        <w:ind w:left="3600" w:hanging="360"/>
      </w:pPr>
      <w:rPr>
        <w:rFonts w:ascii="Courier New" w:hAnsi="Courier New" w:hint="default"/>
      </w:rPr>
    </w:lvl>
    <w:lvl w:ilvl="5" w:tplc="877628E4">
      <w:start w:val="1"/>
      <w:numFmt w:val="bullet"/>
      <w:lvlText w:val=""/>
      <w:lvlJc w:val="left"/>
      <w:pPr>
        <w:ind w:left="4320" w:hanging="360"/>
      </w:pPr>
      <w:rPr>
        <w:rFonts w:ascii="Wingdings" w:hAnsi="Wingdings" w:hint="default"/>
      </w:rPr>
    </w:lvl>
    <w:lvl w:ilvl="6" w:tplc="18E2F6F2">
      <w:start w:val="1"/>
      <w:numFmt w:val="bullet"/>
      <w:lvlText w:val=""/>
      <w:lvlJc w:val="left"/>
      <w:pPr>
        <w:ind w:left="5040" w:hanging="360"/>
      </w:pPr>
      <w:rPr>
        <w:rFonts w:ascii="Symbol" w:hAnsi="Symbol" w:hint="default"/>
      </w:rPr>
    </w:lvl>
    <w:lvl w:ilvl="7" w:tplc="374CDB98">
      <w:start w:val="1"/>
      <w:numFmt w:val="bullet"/>
      <w:lvlText w:val="o"/>
      <w:lvlJc w:val="left"/>
      <w:pPr>
        <w:ind w:left="5760" w:hanging="360"/>
      </w:pPr>
      <w:rPr>
        <w:rFonts w:ascii="Courier New" w:hAnsi="Courier New" w:hint="default"/>
      </w:rPr>
    </w:lvl>
    <w:lvl w:ilvl="8" w:tplc="EE7CB04E">
      <w:start w:val="1"/>
      <w:numFmt w:val="bullet"/>
      <w:lvlText w:val=""/>
      <w:lvlJc w:val="left"/>
      <w:pPr>
        <w:ind w:left="6480" w:hanging="360"/>
      </w:pPr>
      <w:rPr>
        <w:rFonts w:ascii="Wingdings" w:hAnsi="Wingdings" w:hint="default"/>
      </w:rPr>
    </w:lvl>
  </w:abstractNum>
  <w:abstractNum w:abstractNumId="49" w15:restartNumberingAfterBreak="0">
    <w:nsid w:val="1544779B"/>
    <w:multiLevelType w:val="hybridMultilevel"/>
    <w:tmpl w:val="79BA64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0" w15:restartNumberingAfterBreak="0">
    <w:nsid w:val="15AA5ABD"/>
    <w:multiLevelType w:val="multilevel"/>
    <w:tmpl w:val="8CF61A5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 w15:restartNumberingAfterBreak="0">
    <w:nsid w:val="16CE0019"/>
    <w:multiLevelType w:val="hybridMultilevel"/>
    <w:tmpl w:val="CFE039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2" w15:restartNumberingAfterBreak="0">
    <w:nsid w:val="16F209D6"/>
    <w:multiLevelType w:val="hybridMultilevel"/>
    <w:tmpl w:val="D6EA50C4"/>
    <w:lvl w:ilvl="0" w:tplc="09148082">
      <w:start w:val="1"/>
      <w:numFmt w:val="decimal"/>
      <w:pStyle w:val="Questionforconsultation"/>
      <w:lvlText w:val="Question %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3" w15:restartNumberingAfterBreak="0">
    <w:nsid w:val="17304C2A"/>
    <w:multiLevelType w:val="hybridMultilevel"/>
    <w:tmpl w:val="4A5282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4" w15:restartNumberingAfterBreak="0">
    <w:nsid w:val="17A07C4C"/>
    <w:multiLevelType w:val="hybridMultilevel"/>
    <w:tmpl w:val="8BF839BE"/>
    <w:lvl w:ilvl="0" w:tplc="8B4C6146">
      <w:start w:val="1"/>
      <w:numFmt w:val="decimal"/>
      <w:lvlText w:val="%1."/>
      <w:lvlJc w:val="left"/>
      <w:pPr>
        <w:ind w:left="720" w:hanging="360"/>
      </w:pPr>
    </w:lvl>
    <w:lvl w:ilvl="1" w:tplc="3A8EE824">
      <w:start w:val="1"/>
      <w:numFmt w:val="decimal"/>
      <w:lvlText w:val="%2."/>
      <w:lvlJc w:val="left"/>
      <w:pPr>
        <w:ind w:left="1440" w:hanging="360"/>
      </w:pPr>
    </w:lvl>
    <w:lvl w:ilvl="2" w:tplc="65027E7E">
      <w:start w:val="1"/>
      <w:numFmt w:val="lowerRoman"/>
      <w:lvlText w:val="%3."/>
      <w:lvlJc w:val="right"/>
      <w:pPr>
        <w:ind w:left="2160" w:hanging="180"/>
      </w:pPr>
    </w:lvl>
    <w:lvl w:ilvl="3" w:tplc="282EF780">
      <w:start w:val="1"/>
      <w:numFmt w:val="decimal"/>
      <w:lvlText w:val="%4."/>
      <w:lvlJc w:val="left"/>
      <w:pPr>
        <w:ind w:left="2880" w:hanging="360"/>
      </w:pPr>
    </w:lvl>
    <w:lvl w:ilvl="4" w:tplc="B0B0C428">
      <w:start w:val="1"/>
      <w:numFmt w:val="lowerLetter"/>
      <w:lvlText w:val="%5."/>
      <w:lvlJc w:val="left"/>
      <w:pPr>
        <w:ind w:left="3600" w:hanging="360"/>
      </w:pPr>
    </w:lvl>
    <w:lvl w:ilvl="5" w:tplc="E5C8CBD4">
      <w:start w:val="1"/>
      <w:numFmt w:val="lowerRoman"/>
      <w:lvlText w:val="%6."/>
      <w:lvlJc w:val="right"/>
      <w:pPr>
        <w:ind w:left="4320" w:hanging="180"/>
      </w:pPr>
    </w:lvl>
    <w:lvl w:ilvl="6" w:tplc="0D90C03A">
      <w:start w:val="1"/>
      <w:numFmt w:val="decimal"/>
      <w:lvlText w:val="%7."/>
      <w:lvlJc w:val="left"/>
      <w:pPr>
        <w:ind w:left="5040" w:hanging="360"/>
      </w:pPr>
    </w:lvl>
    <w:lvl w:ilvl="7" w:tplc="FE8846FE">
      <w:start w:val="1"/>
      <w:numFmt w:val="lowerLetter"/>
      <w:lvlText w:val="%8."/>
      <w:lvlJc w:val="left"/>
      <w:pPr>
        <w:ind w:left="5760" w:hanging="360"/>
      </w:pPr>
    </w:lvl>
    <w:lvl w:ilvl="8" w:tplc="0D62DFB4">
      <w:start w:val="1"/>
      <w:numFmt w:val="lowerRoman"/>
      <w:lvlText w:val="%9."/>
      <w:lvlJc w:val="right"/>
      <w:pPr>
        <w:ind w:left="6480" w:hanging="180"/>
      </w:pPr>
    </w:lvl>
  </w:abstractNum>
  <w:abstractNum w:abstractNumId="55" w15:restartNumberingAfterBreak="0">
    <w:nsid w:val="17F4167A"/>
    <w:multiLevelType w:val="hybridMultilevel"/>
    <w:tmpl w:val="FFFFFFFF"/>
    <w:lvl w:ilvl="0" w:tplc="D3806AA2">
      <w:start w:val="1"/>
      <w:numFmt w:val="bullet"/>
      <w:lvlText w:val="-"/>
      <w:lvlJc w:val="left"/>
      <w:pPr>
        <w:ind w:left="720" w:hanging="360"/>
      </w:pPr>
      <w:rPr>
        <w:rFonts w:ascii="Calibri" w:hAnsi="Calibri" w:hint="default"/>
      </w:rPr>
    </w:lvl>
    <w:lvl w:ilvl="1" w:tplc="2C38E9DE">
      <w:start w:val="1"/>
      <w:numFmt w:val="bullet"/>
      <w:lvlText w:val="o"/>
      <w:lvlJc w:val="left"/>
      <w:pPr>
        <w:ind w:left="1440" w:hanging="360"/>
      </w:pPr>
      <w:rPr>
        <w:rFonts w:ascii="Courier New" w:hAnsi="Courier New" w:hint="default"/>
      </w:rPr>
    </w:lvl>
    <w:lvl w:ilvl="2" w:tplc="8E8C2270">
      <w:start w:val="1"/>
      <w:numFmt w:val="bullet"/>
      <w:lvlText w:val=""/>
      <w:lvlJc w:val="left"/>
      <w:pPr>
        <w:ind w:left="2160" w:hanging="360"/>
      </w:pPr>
      <w:rPr>
        <w:rFonts w:ascii="Wingdings" w:hAnsi="Wingdings" w:hint="default"/>
      </w:rPr>
    </w:lvl>
    <w:lvl w:ilvl="3" w:tplc="74BE373A">
      <w:start w:val="1"/>
      <w:numFmt w:val="bullet"/>
      <w:lvlText w:val=""/>
      <w:lvlJc w:val="left"/>
      <w:pPr>
        <w:ind w:left="2880" w:hanging="360"/>
      </w:pPr>
      <w:rPr>
        <w:rFonts w:ascii="Symbol" w:hAnsi="Symbol" w:hint="default"/>
      </w:rPr>
    </w:lvl>
    <w:lvl w:ilvl="4" w:tplc="FEEA031E">
      <w:start w:val="1"/>
      <w:numFmt w:val="bullet"/>
      <w:lvlText w:val="o"/>
      <w:lvlJc w:val="left"/>
      <w:pPr>
        <w:ind w:left="3600" w:hanging="360"/>
      </w:pPr>
      <w:rPr>
        <w:rFonts w:ascii="Courier New" w:hAnsi="Courier New" w:hint="default"/>
      </w:rPr>
    </w:lvl>
    <w:lvl w:ilvl="5" w:tplc="EA682F4C">
      <w:start w:val="1"/>
      <w:numFmt w:val="bullet"/>
      <w:lvlText w:val=""/>
      <w:lvlJc w:val="left"/>
      <w:pPr>
        <w:ind w:left="4320" w:hanging="360"/>
      </w:pPr>
      <w:rPr>
        <w:rFonts w:ascii="Wingdings" w:hAnsi="Wingdings" w:hint="default"/>
      </w:rPr>
    </w:lvl>
    <w:lvl w:ilvl="6" w:tplc="EDBCE59C">
      <w:start w:val="1"/>
      <w:numFmt w:val="bullet"/>
      <w:lvlText w:val=""/>
      <w:lvlJc w:val="left"/>
      <w:pPr>
        <w:ind w:left="5040" w:hanging="360"/>
      </w:pPr>
      <w:rPr>
        <w:rFonts w:ascii="Symbol" w:hAnsi="Symbol" w:hint="default"/>
      </w:rPr>
    </w:lvl>
    <w:lvl w:ilvl="7" w:tplc="28C8E89A">
      <w:start w:val="1"/>
      <w:numFmt w:val="bullet"/>
      <w:lvlText w:val="o"/>
      <w:lvlJc w:val="left"/>
      <w:pPr>
        <w:ind w:left="5760" w:hanging="360"/>
      </w:pPr>
      <w:rPr>
        <w:rFonts w:ascii="Courier New" w:hAnsi="Courier New" w:hint="default"/>
      </w:rPr>
    </w:lvl>
    <w:lvl w:ilvl="8" w:tplc="1CC032C8">
      <w:start w:val="1"/>
      <w:numFmt w:val="bullet"/>
      <w:lvlText w:val=""/>
      <w:lvlJc w:val="left"/>
      <w:pPr>
        <w:ind w:left="6480" w:hanging="360"/>
      </w:pPr>
      <w:rPr>
        <w:rFonts w:ascii="Wingdings" w:hAnsi="Wingdings" w:hint="default"/>
      </w:rPr>
    </w:lvl>
  </w:abstractNum>
  <w:abstractNum w:abstractNumId="56" w15:restartNumberingAfterBreak="0">
    <w:nsid w:val="17FF360B"/>
    <w:multiLevelType w:val="hybridMultilevel"/>
    <w:tmpl w:val="DEEA391C"/>
    <w:lvl w:ilvl="0" w:tplc="69BE2396">
      <w:start w:val="1"/>
      <w:numFmt w:val="decimal"/>
      <w:lvlText w:val="%1."/>
      <w:lvlJc w:val="left"/>
      <w:pPr>
        <w:ind w:left="720" w:hanging="360"/>
      </w:pPr>
    </w:lvl>
    <w:lvl w:ilvl="1" w:tplc="7D50F472">
      <w:start w:val="1"/>
      <w:numFmt w:val="lowerLetter"/>
      <w:lvlText w:val="%2."/>
      <w:lvlJc w:val="left"/>
      <w:pPr>
        <w:ind w:left="1440" w:hanging="360"/>
      </w:pPr>
    </w:lvl>
    <w:lvl w:ilvl="2" w:tplc="6B04F864">
      <w:start w:val="1"/>
      <w:numFmt w:val="lowerRoman"/>
      <w:lvlText w:val="%3."/>
      <w:lvlJc w:val="right"/>
      <w:pPr>
        <w:ind w:left="2160" w:hanging="180"/>
      </w:pPr>
    </w:lvl>
    <w:lvl w:ilvl="3" w:tplc="B73877EE">
      <w:start w:val="1"/>
      <w:numFmt w:val="decimal"/>
      <w:lvlText w:val="%4."/>
      <w:lvlJc w:val="left"/>
      <w:pPr>
        <w:ind w:left="2880" w:hanging="360"/>
      </w:pPr>
    </w:lvl>
    <w:lvl w:ilvl="4" w:tplc="6B3426E6">
      <w:start w:val="1"/>
      <w:numFmt w:val="lowerLetter"/>
      <w:lvlText w:val="%5."/>
      <w:lvlJc w:val="left"/>
      <w:pPr>
        <w:ind w:left="3600" w:hanging="360"/>
      </w:pPr>
    </w:lvl>
    <w:lvl w:ilvl="5" w:tplc="BC988446">
      <w:start w:val="1"/>
      <w:numFmt w:val="lowerRoman"/>
      <w:lvlText w:val="%6."/>
      <w:lvlJc w:val="right"/>
      <w:pPr>
        <w:ind w:left="4320" w:hanging="180"/>
      </w:pPr>
    </w:lvl>
    <w:lvl w:ilvl="6" w:tplc="02B66C00">
      <w:start w:val="1"/>
      <w:numFmt w:val="decimal"/>
      <w:lvlText w:val="%7."/>
      <w:lvlJc w:val="left"/>
      <w:pPr>
        <w:ind w:left="5040" w:hanging="360"/>
      </w:pPr>
    </w:lvl>
    <w:lvl w:ilvl="7" w:tplc="9398CC78">
      <w:start w:val="1"/>
      <w:numFmt w:val="lowerLetter"/>
      <w:lvlText w:val="%8."/>
      <w:lvlJc w:val="left"/>
      <w:pPr>
        <w:ind w:left="5760" w:hanging="360"/>
      </w:pPr>
    </w:lvl>
    <w:lvl w:ilvl="8" w:tplc="8EBC3454">
      <w:start w:val="1"/>
      <w:numFmt w:val="lowerRoman"/>
      <w:lvlText w:val="%9."/>
      <w:lvlJc w:val="right"/>
      <w:pPr>
        <w:ind w:left="6480" w:hanging="180"/>
      </w:pPr>
    </w:lvl>
  </w:abstractNum>
  <w:abstractNum w:abstractNumId="57" w15:restartNumberingAfterBreak="0">
    <w:nsid w:val="183612E9"/>
    <w:multiLevelType w:val="hybridMultilevel"/>
    <w:tmpl w:val="315A93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8" w15:restartNumberingAfterBreak="0">
    <w:nsid w:val="1AF56781"/>
    <w:multiLevelType w:val="hybridMultilevel"/>
    <w:tmpl w:val="D88025B6"/>
    <w:lvl w:ilvl="0" w:tplc="FFFFFFFF">
      <w:start w:val="1"/>
      <w:numFmt w:val="lowerRoman"/>
      <w:pStyle w:val="InstructionsText2"/>
      <w:lvlText w:val="(%1)"/>
      <w:lvlJc w:val="left"/>
      <w:pPr>
        <w:ind w:left="753" w:hanging="720"/>
      </w:pPr>
    </w:lvl>
    <w:lvl w:ilvl="1" w:tplc="08090019" w:tentative="1">
      <w:start w:val="1"/>
      <w:numFmt w:val="lowerLetter"/>
      <w:lvlText w:val="%2."/>
      <w:lvlJc w:val="left"/>
      <w:pPr>
        <w:ind w:left="1113" w:hanging="360"/>
      </w:pPr>
    </w:lvl>
    <w:lvl w:ilvl="2" w:tplc="0809001B" w:tentative="1">
      <w:start w:val="1"/>
      <w:numFmt w:val="lowerRoman"/>
      <w:lvlText w:val="%3."/>
      <w:lvlJc w:val="right"/>
      <w:pPr>
        <w:ind w:left="1833" w:hanging="180"/>
      </w:pPr>
    </w:lvl>
    <w:lvl w:ilvl="3" w:tplc="0809000F" w:tentative="1">
      <w:start w:val="1"/>
      <w:numFmt w:val="decimal"/>
      <w:lvlText w:val="%4."/>
      <w:lvlJc w:val="left"/>
      <w:pPr>
        <w:ind w:left="2553" w:hanging="360"/>
      </w:pPr>
    </w:lvl>
    <w:lvl w:ilvl="4" w:tplc="08090019" w:tentative="1">
      <w:start w:val="1"/>
      <w:numFmt w:val="lowerLetter"/>
      <w:lvlText w:val="%5."/>
      <w:lvlJc w:val="left"/>
      <w:pPr>
        <w:ind w:left="3273" w:hanging="360"/>
      </w:pPr>
    </w:lvl>
    <w:lvl w:ilvl="5" w:tplc="0809001B" w:tentative="1">
      <w:start w:val="1"/>
      <w:numFmt w:val="lowerRoman"/>
      <w:lvlText w:val="%6."/>
      <w:lvlJc w:val="right"/>
      <w:pPr>
        <w:ind w:left="3993" w:hanging="180"/>
      </w:pPr>
    </w:lvl>
    <w:lvl w:ilvl="6" w:tplc="0809000F" w:tentative="1">
      <w:start w:val="1"/>
      <w:numFmt w:val="decimal"/>
      <w:lvlText w:val="%7."/>
      <w:lvlJc w:val="left"/>
      <w:pPr>
        <w:ind w:left="4713" w:hanging="360"/>
      </w:pPr>
    </w:lvl>
    <w:lvl w:ilvl="7" w:tplc="08090019" w:tentative="1">
      <w:start w:val="1"/>
      <w:numFmt w:val="lowerLetter"/>
      <w:lvlText w:val="%8."/>
      <w:lvlJc w:val="left"/>
      <w:pPr>
        <w:ind w:left="5433" w:hanging="360"/>
      </w:pPr>
    </w:lvl>
    <w:lvl w:ilvl="8" w:tplc="0809001B" w:tentative="1">
      <w:start w:val="1"/>
      <w:numFmt w:val="lowerRoman"/>
      <w:lvlText w:val="%9."/>
      <w:lvlJc w:val="right"/>
      <w:pPr>
        <w:ind w:left="6153" w:hanging="180"/>
      </w:pPr>
    </w:lvl>
  </w:abstractNum>
  <w:abstractNum w:abstractNumId="59" w15:restartNumberingAfterBreak="0">
    <w:nsid w:val="1B3C78B8"/>
    <w:multiLevelType w:val="multilevel"/>
    <w:tmpl w:val="2ED4F4D0"/>
    <w:name w:val="Point"/>
    <w:lvl w:ilvl="0">
      <w:start w:val="1"/>
      <w:numFmt w:val="decimal"/>
      <w:lvlRestart w:val="0"/>
      <w:pStyle w:val="Point0number"/>
      <w:lvlText w:val="(%1)"/>
      <w:lvlJc w:val="left"/>
      <w:pPr>
        <w:tabs>
          <w:tab w:val="num" w:pos="850"/>
        </w:tabs>
        <w:ind w:left="850" w:hanging="850"/>
      </w:pPr>
    </w:lvl>
    <w:lvl w:ilvl="1">
      <w:start w:val="1"/>
      <w:numFmt w:val="lowerLetter"/>
      <w:pStyle w:val="Point0letter"/>
      <w:lvlText w:val="(%2)"/>
      <w:lvlJc w:val="left"/>
      <w:pPr>
        <w:tabs>
          <w:tab w:val="num" w:pos="850"/>
        </w:tabs>
        <w:ind w:left="850" w:hanging="850"/>
      </w:pPr>
    </w:lvl>
    <w:lvl w:ilvl="2">
      <w:start w:val="1"/>
      <w:numFmt w:val="decimal"/>
      <w:pStyle w:val="Point1number"/>
      <w:lvlText w:val="(%3)"/>
      <w:lvlJc w:val="left"/>
      <w:pPr>
        <w:tabs>
          <w:tab w:val="num" w:pos="1417"/>
        </w:tabs>
        <w:ind w:left="1417" w:hanging="567"/>
      </w:pPr>
    </w:lvl>
    <w:lvl w:ilvl="3">
      <w:start w:val="1"/>
      <w:numFmt w:val="lowerLetter"/>
      <w:pStyle w:val="Point1letter"/>
      <w:lvlText w:val="(%4)"/>
      <w:lvlJc w:val="left"/>
      <w:pPr>
        <w:tabs>
          <w:tab w:val="num" w:pos="1417"/>
        </w:tabs>
        <w:ind w:left="1417" w:hanging="567"/>
      </w:pPr>
    </w:lvl>
    <w:lvl w:ilvl="4">
      <w:start w:val="1"/>
      <w:numFmt w:val="decimal"/>
      <w:pStyle w:val="Point2number"/>
      <w:lvlText w:val="(%5)"/>
      <w:lvlJc w:val="left"/>
      <w:pPr>
        <w:tabs>
          <w:tab w:val="num" w:pos="1984"/>
        </w:tabs>
        <w:ind w:left="1984" w:hanging="567"/>
      </w:pPr>
    </w:lvl>
    <w:lvl w:ilvl="5">
      <w:start w:val="1"/>
      <w:numFmt w:val="lowerLetter"/>
      <w:pStyle w:val="Point2letter"/>
      <w:lvlText w:val="(%6)"/>
      <w:lvlJc w:val="left"/>
      <w:pPr>
        <w:tabs>
          <w:tab w:val="num" w:pos="1984"/>
        </w:tabs>
        <w:ind w:left="1984" w:hanging="567"/>
      </w:pPr>
    </w:lvl>
    <w:lvl w:ilvl="6">
      <w:start w:val="1"/>
      <w:numFmt w:val="decimal"/>
      <w:pStyle w:val="Point3number"/>
      <w:lvlText w:val="(%7)"/>
      <w:lvlJc w:val="left"/>
      <w:pPr>
        <w:tabs>
          <w:tab w:val="num" w:pos="2551"/>
        </w:tabs>
        <w:ind w:left="2551" w:hanging="567"/>
      </w:pPr>
    </w:lvl>
    <w:lvl w:ilvl="7">
      <w:start w:val="1"/>
      <w:numFmt w:val="lowerLetter"/>
      <w:pStyle w:val="Point3letter"/>
      <w:lvlText w:val="(%8)"/>
      <w:lvlJc w:val="left"/>
      <w:pPr>
        <w:tabs>
          <w:tab w:val="num" w:pos="2551"/>
        </w:tabs>
        <w:ind w:left="2551" w:hanging="567"/>
      </w:pPr>
    </w:lvl>
    <w:lvl w:ilvl="8">
      <w:start w:val="1"/>
      <w:numFmt w:val="lowerLetter"/>
      <w:pStyle w:val="Point4letter"/>
      <w:lvlText w:val="(%9)"/>
      <w:lvlJc w:val="left"/>
      <w:pPr>
        <w:tabs>
          <w:tab w:val="num" w:pos="3118"/>
        </w:tabs>
        <w:ind w:left="3118" w:hanging="567"/>
      </w:pPr>
    </w:lvl>
  </w:abstractNum>
  <w:abstractNum w:abstractNumId="60" w15:restartNumberingAfterBreak="0">
    <w:nsid w:val="1B3E3FF6"/>
    <w:multiLevelType w:val="hybridMultilevel"/>
    <w:tmpl w:val="1FDA6F06"/>
    <w:lvl w:ilvl="0" w:tplc="08090001">
      <w:start w:val="1"/>
      <w:numFmt w:val="bullet"/>
      <w:lvlText w:val=""/>
      <w:lvlJc w:val="left"/>
      <w:pPr>
        <w:ind w:left="1428" w:hanging="360"/>
      </w:pPr>
      <w:rPr>
        <w:rFonts w:ascii="Symbol" w:hAnsi="Symbol" w:hint="default"/>
      </w:rPr>
    </w:lvl>
    <w:lvl w:ilvl="1" w:tplc="08090001">
      <w:start w:val="1"/>
      <w:numFmt w:val="bullet"/>
      <w:lvlText w:val=""/>
      <w:lvlJc w:val="left"/>
      <w:pPr>
        <w:ind w:left="2148" w:hanging="360"/>
      </w:pPr>
      <w:rPr>
        <w:rFonts w:ascii="Symbol" w:hAnsi="Symbol" w:hint="default"/>
      </w:rPr>
    </w:lvl>
    <w:lvl w:ilvl="2" w:tplc="08090005" w:tentative="1">
      <w:start w:val="1"/>
      <w:numFmt w:val="bullet"/>
      <w:lvlText w:val=""/>
      <w:lvlJc w:val="left"/>
      <w:pPr>
        <w:ind w:left="2868" w:hanging="360"/>
      </w:pPr>
      <w:rPr>
        <w:rFonts w:ascii="Wingdings" w:hAnsi="Wingdings" w:hint="default"/>
      </w:rPr>
    </w:lvl>
    <w:lvl w:ilvl="3" w:tplc="08090001" w:tentative="1">
      <w:start w:val="1"/>
      <w:numFmt w:val="bullet"/>
      <w:lvlText w:val=""/>
      <w:lvlJc w:val="left"/>
      <w:pPr>
        <w:ind w:left="3588" w:hanging="360"/>
      </w:pPr>
      <w:rPr>
        <w:rFonts w:ascii="Symbol" w:hAnsi="Symbol" w:hint="default"/>
      </w:rPr>
    </w:lvl>
    <w:lvl w:ilvl="4" w:tplc="08090003" w:tentative="1">
      <w:start w:val="1"/>
      <w:numFmt w:val="bullet"/>
      <w:lvlText w:val="o"/>
      <w:lvlJc w:val="left"/>
      <w:pPr>
        <w:ind w:left="4308" w:hanging="360"/>
      </w:pPr>
      <w:rPr>
        <w:rFonts w:ascii="Courier New" w:hAnsi="Courier New" w:cs="Courier New" w:hint="default"/>
      </w:rPr>
    </w:lvl>
    <w:lvl w:ilvl="5" w:tplc="08090005" w:tentative="1">
      <w:start w:val="1"/>
      <w:numFmt w:val="bullet"/>
      <w:lvlText w:val=""/>
      <w:lvlJc w:val="left"/>
      <w:pPr>
        <w:ind w:left="5028" w:hanging="360"/>
      </w:pPr>
      <w:rPr>
        <w:rFonts w:ascii="Wingdings" w:hAnsi="Wingdings" w:hint="default"/>
      </w:rPr>
    </w:lvl>
    <w:lvl w:ilvl="6" w:tplc="08090001" w:tentative="1">
      <w:start w:val="1"/>
      <w:numFmt w:val="bullet"/>
      <w:lvlText w:val=""/>
      <w:lvlJc w:val="left"/>
      <w:pPr>
        <w:ind w:left="5748" w:hanging="360"/>
      </w:pPr>
      <w:rPr>
        <w:rFonts w:ascii="Symbol" w:hAnsi="Symbol" w:hint="default"/>
      </w:rPr>
    </w:lvl>
    <w:lvl w:ilvl="7" w:tplc="08090003" w:tentative="1">
      <w:start w:val="1"/>
      <w:numFmt w:val="bullet"/>
      <w:lvlText w:val="o"/>
      <w:lvlJc w:val="left"/>
      <w:pPr>
        <w:ind w:left="6468" w:hanging="360"/>
      </w:pPr>
      <w:rPr>
        <w:rFonts w:ascii="Courier New" w:hAnsi="Courier New" w:cs="Courier New" w:hint="default"/>
      </w:rPr>
    </w:lvl>
    <w:lvl w:ilvl="8" w:tplc="08090005" w:tentative="1">
      <w:start w:val="1"/>
      <w:numFmt w:val="bullet"/>
      <w:lvlText w:val=""/>
      <w:lvlJc w:val="left"/>
      <w:pPr>
        <w:ind w:left="7188" w:hanging="360"/>
      </w:pPr>
      <w:rPr>
        <w:rFonts w:ascii="Wingdings" w:hAnsi="Wingdings" w:hint="default"/>
      </w:rPr>
    </w:lvl>
  </w:abstractNum>
  <w:abstractNum w:abstractNumId="61" w15:restartNumberingAfterBreak="0">
    <w:nsid w:val="1BAB3364"/>
    <w:multiLevelType w:val="hybridMultilevel"/>
    <w:tmpl w:val="8AF6975A"/>
    <w:lvl w:ilvl="0" w:tplc="CCD23C1A">
      <w:start w:val="1"/>
      <w:numFmt w:val="bullet"/>
      <w:lvlText w:val="-"/>
      <w:lvlJc w:val="left"/>
      <w:pPr>
        <w:ind w:left="805" w:hanging="360"/>
      </w:pPr>
      <w:rPr>
        <w:rFonts w:ascii="Cambria" w:eastAsia="Cambria" w:hAnsi="Cambria" w:cs="Cambria" w:hint="default"/>
      </w:rPr>
    </w:lvl>
    <w:lvl w:ilvl="1" w:tplc="08160003" w:tentative="1">
      <w:start w:val="1"/>
      <w:numFmt w:val="bullet"/>
      <w:lvlText w:val="o"/>
      <w:lvlJc w:val="left"/>
      <w:pPr>
        <w:ind w:left="1525" w:hanging="360"/>
      </w:pPr>
      <w:rPr>
        <w:rFonts w:ascii="Courier New" w:hAnsi="Courier New" w:cs="Courier New" w:hint="default"/>
      </w:rPr>
    </w:lvl>
    <w:lvl w:ilvl="2" w:tplc="08160005" w:tentative="1">
      <w:start w:val="1"/>
      <w:numFmt w:val="bullet"/>
      <w:lvlText w:val=""/>
      <w:lvlJc w:val="left"/>
      <w:pPr>
        <w:ind w:left="2245" w:hanging="360"/>
      </w:pPr>
      <w:rPr>
        <w:rFonts w:ascii="Wingdings" w:hAnsi="Wingdings" w:hint="default"/>
      </w:rPr>
    </w:lvl>
    <w:lvl w:ilvl="3" w:tplc="08160001" w:tentative="1">
      <w:start w:val="1"/>
      <w:numFmt w:val="bullet"/>
      <w:lvlText w:val=""/>
      <w:lvlJc w:val="left"/>
      <w:pPr>
        <w:ind w:left="2965" w:hanging="360"/>
      </w:pPr>
      <w:rPr>
        <w:rFonts w:ascii="Symbol" w:hAnsi="Symbol" w:hint="default"/>
      </w:rPr>
    </w:lvl>
    <w:lvl w:ilvl="4" w:tplc="08160003" w:tentative="1">
      <w:start w:val="1"/>
      <w:numFmt w:val="bullet"/>
      <w:lvlText w:val="o"/>
      <w:lvlJc w:val="left"/>
      <w:pPr>
        <w:ind w:left="3685" w:hanging="360"/>
      </w:pPr>
      <w:rPr>
        <w:rFonts w:ascii="Courier New" w:hAnsi="Courier New" w:cs="Courier New" w:hint="default"/>
      </w:rPr>
    </w:lvl>
    <w:lvl w:ilvl="5" w:tplc="08160005" w:tentative="1">
      <w:start w:val="1"/>
      <w:numFmt w:val="bullet"/>
      <w:lvlText w:val=""/>
      <w:lvlJc w:val="left"/>
      <w:pPr>
        <w:ind w:left="4405" w:hanging="360"/>
      </w:pPr>
      <w:rPr>
        <w:rFonts w:ascii="Wingdings" w:hAnsi="Wingdings" w:hint="default"/>
      </w:rPr>
    </w:lvl>
    <w:lvl w:ilvl="6" w:tplc="08160001" w:tentative="1">
      <w:start w:val="1"/>
      <w:numFmt w:val="bullet"/>
      <w:lvlText w:val=""/>
      <w:lvlJc w:val="left"/>
      <w:pPr>
        <w:ind w:left="5125" w:hanging="360"/>
      </w:pPr>
      <w:rPr>
        <w:rFonts w:ascii="Symbol" w:hAnsi="Symbol" w:hint="default"/>
      </w:rPr>
    </w:lvl>
    <w:lvl w:ilvl="7" w:tplc="08160003" w:tentative="1">
      <w:start w:val="1"/>
      <w:numFmt w:val="bullet"/>
      <w:lvlText w:val="o"/>
      <w:lvlJc w:val="left"/>
      <w:pPr>
        <w:ind w:left="5845" w:hanging="360"/>
      </w:pPr>
      <w:rPr>
        <w:rFonts w:ascii="Courier New" w:hAnsi="Courier New" w:cs="Courier New" w:hint="default"/>
      </w:rPr>
    </w:lvl>
    <w:lvl w:ilvl="8" w:tplc="08160005" w:tentative="1">
      <w:start w:val="1"/>
      <w:numFmt w:val="bullet"/>
      <w:lvlText w:val=""/>
      <w:lvlJc w:val="left"/>
      <w:pPr>
        <w:ind w:left="6565" w:hanging="360"/>
      </w:pPr>
      <w:rPr>
        <w:rFonts w:ascii="Wingdings" w:hAnsi="Wingdings" w:hint="default"/>
      </w:rPr>
    </w:lvl>
  </w:abstractNum>
  <w:abstractNum w:abstractNumId="62" w15:restartNumberingAfterBreak="0">
    <w:nsid w:val="1BE549C5"/>
    <w:multiLevelType w:val="hybridMultilevel"/>
    <w:tmpl w:val="A8C62022"/>
    <w:lvl w:ilvl="0" w:tplc="F842C1E4">
      <w:start w:val="1"/>
      <w:numFmt w:val="lowerRoman"/>
      <w:lvlText w:val="(%1)"/>
      <w:lvlJc w:val="left"/>
      <w:pPr>
        <w:ind w:left="753" w:hanging="720"/>
      </w:pPr>
      <w:rPr>
        <w:rFonts w:ascii="Times New Roman" w:eastAsia="Times New Roman" w:hAnsi="Times New Roman" w:cs="Times New Roman"/>
      </w:rPr>
    </w:lvl>
    <w:lvl w:ilvl="1" w:tplc="08090019" w:tentative="1">
      <w:start w:val="1"/>
      <w:numFmt w:val="lowerLetter"/>
      <w:lvlText w:val="%2."/>
      <w:lvlJc w:val="left"/>
      <w:pPr>
        <w:ind w:left="1113" w:hanging="360"/>
      </w:pPr>
    </w:lvl>
    <w:lvl w:ilvl="2" w:tplc="0809001B" w:tentative="1">
      <w:start w:val="1"/>
      <w:numFmt w:val="lowerRoman"/>
      <w:lvlText w:val="%3."/>
      <w:lvlJc w:val="right"/>
      <w:pPr>
        <w:ind w:left="1833" w:hanging="180"/>
      </w:pPr>
    </w:lvl>
    <w:lvl w:ilvl="3" w:tplc="0809000F" w:tentative="1">
      <w:start w:val="1"/>
      <w:numFmt w:val="decimal"/>
      <w:lvlText w:val="%4."/>
      <w:lvlJc w:val="left"/>
      <w:pPr>
        <w:ind w:left="2553" w:hanging="360"/>
      </w:pPr>
    </w:lvl>
    <w:lvl w:ilvl="4" w:tplc="08090019" w:tentative="1">
      <w:start w:val="1"/>
      <w:numFmt w:val="lowerLetter"/>
      <w:lvlText w:val="%5."/>
      <w:lvlJc w:val="left"/>
      <w:pPr>
        <w:ind w:left="3273" w:hanging="360"/>
      </w:pPr>
    </w:lvl>
    <w:lvl w:ilvl="5" w:tplc="0809001B" w:tentative="1">
      <w:start w:val="1"/>
      <w:numFmt w:val="lowerRoman"/>
      <w:lvlText w:val="%6."/>
      <w:lvlJc w:val="right"/>
      <w:pPr>
        <w:ind w:left="3993" w:hanging="180"/>
      </w:pPr>
    </w:lvl>
    <w:lvl w:ilvl="6" w:tplc="0809000F" w:tentative="1">
      <w:start w:val="1"/>
      <w:numFmt w:val="decimal"/>
      <w:lvlText w:val="%7."/>
      <w:lvlJc w:val="left"/>
      <w:pPr>
        <w:ind w:left="4713" w:hanging="360"/>
      </w:pPr>
    </w:lvl>
    <w:lvl w:ilvl="7" w:tplc="08090019" w:tentative="1">
      <w:start w:val="1"/>
      <w:numFmt w:val="lowerLetter"/>
      <w:lvlText w:val="%8."/>
      <w:lvlJc w:val="left"/>
      <w:pPr>
        <w:ind w:left="5433" w:hanging="360"/>
      </w:pPr>
    </w:lvl>
    <w:lvl w:ilvl="8" w:tplc="0809001B" w:tentative="1">
      <w:start w:val="1"/>
      <w:numFmt w:val="lowerRoman"/>
      <w:lvlText w:val="%9."/>
      <w:lvlJc w:val="right"/>
      <w:pPr>
        <w:ind w:left="6153" w:hanging="180"/>
      </w:pPr>
    </w:lvl>
  </w:abstractNum>
  <w:abstractNum w:abstractNumId="63" w15:restartNumberingAfterBreak="0">
    <w:nsid w:val="1BFF31B6"/>
    <w:multiLevelType w:val="hybridMultilevel"/>
    <w:tmpl w:val="8E98E74A"/>
    <w:lvl w:ilvl="0" w:tplc="ACAA8B04">
      <w:start w:val="1"/>
      <w:numFmt w:val="decimal"/>
      <w:lvlText w:val="%1."/>
      <w:lvlJc w:val="left"/>
      <w:pPr>
        <w:ind w:left="720" w:hanging="360"/>
      </w:pPr>
    </w:lvl>
    <w:lvl w:ilvl="1" w:tplc="7D22FFB8">
      <w:start w:val="1"/>
      <w:numFmt w:val="lowerLetter"/>
      <w:lvlText w:val="%2."/>
      <w:lvlJc w:val="left"/>
      <w:pPr>
        <w:ind w:left="1440" w:hanging="360"/>
      </w:pPr>
    </w:lvl>
    <w:lvl w:ilvl="2" w:tplc="CA26D2FE">
      <w:start w:val="1"/>
      <w:numFmt w:val="lowerRoman"/>
      <w:lvlText w:val="%3."/>
      <w:lvlJc w:val="right"/>
      <w:pPr>
        <w:ind w:left="2160" w:hanging="180"/>
      </w:pPr>
    </w:lvl>
    <w:lvl w:ilvl="3" w:tplc="D1C4FD32">
      <w:start w:val="1"/>
      <w:numFmt w:val="decimal"/>
      <w:lvlText w:val="%4."/>
      <w:lvlJc w:val="left"/>
      <w:pPr>
        <w:ind w:left="2880" w:hanging="360"/>
      </w:pPr>
    </w:lvl>
    <w:lvl w:ilvl="4" w:tplc="0818E144">
      <w:start w:val="1"/>
      <w:numFmt w:val="lowerLetter"/>
      <w:lvlText w:val="%5."/>
      <w:lvlJc w:val="left"/>
      <w:pPr>
        <w:ind w:left="3600" w:hanging="360"/>
      </w:pPr>
    </w:lvl>
    <w:lvl w:ilvl="5" w:tplc="85768914">
      <w:start w:val="1"/>
      <w:numFmt w:val="lowerRoman"/>
      <w:lvlText w:val="%6."/>
      <w:lvlJc w:val="right"/>
      <w:pPr>
        <w:ind w:left="4320" w:hanging="180"/>
      </w:pPr>
    </w:lvl>
    <w:lvl w:ilvl="6" w:tplc="67DE0CFC">
      <w:start w:val="1"/>
      <w:numFmt w:val="decimal"/>
      <w:lvlText w:val="%7."/>
      <w:lvlJc w:val="left"/>
      <w:pPr>
        <w:ind w:left="5040" w:hanging="360"/>
      </w:pPr>
    </w:lvl>
    <w:lvl w:ilvl="7" w:tplc="6D086C82">
      <w:start w:val="1"/>
      <w:numFmt w:val="lowerLetter"/>
      <w:lvlText w:val="%8."/>
      <w:lvlJc w:val="left"/>
      <w:pPr>
        <w:ind w:left="5760" w:hanging="360"/>
      </w:pPr>
    </w:lvl>
    <w:lvl w:ilvl="8" w:tplc="487896A2">
      <w:start w:val="1"/>
      <w:numFmt w:val="lowerRoman"/>
      <w:lvlText w:val="%9."/>
      <w:lvlJc w:val="right"/>
      <w:pPr>
        <w:ind w:left="6480" w:hanging="180"/>
      </w:pPr>
    </w:lvl>
  </w:abstractNum>
  <w:abstractNum w:abstractNumId="64" w15:restartNumberingAfterBreak="0">
    <w:nsid w:val="1CA64CB3"/>
    <w:multiLevelType w:val="hybridMultilevel"/>
    <w:tmpl w:val="7BC0F8E2"/>
    <w:lvl w:ilvl="0" w:tplc="7B92F31A">
      <w:start w:val="1"/>
      <w:numFmt w:val="decimal"/>
      <w:lvlText w:val="%1."/>
      <w:lvlJc w:val="left"/>
      <w:pPr>
        <w:ind w:left="720" w:hanging="360"/>
      </w:pPr>
    </w:lvl>
    <w:lvl w:ilvl="1" w:tplc="EFBCC210">
      <w:start w:val="1"/>
      <w:numFmt w:val="lowerLetter"/>
      <w:lvlText w:val="%2."/>
      <w:lvlJc w:val="left"/>
      <w:pPr>
        <w:ind w:left="1440" w:hanging="360"/>
      </w:pPr>
    </w:lvl>
    <w:lvl w:ilvl="2" w:tplc="804C4D70">
      <w:start w:val="1"/>
      <w:numFmt w:val="lowerRoman"/>
      <w:lvlText w:val="%3."/>
      <w:lvlJc w:val="right"/>
      <w:pPr>
        <w:ind w:left="2160" w:hanging="180"/>
      </w:pPr>
    </w:lvl>
    <w:lvl w:ilvl="3" w:tplc="49F25176">
      <w:start w:val="1"/>
      <w:numFmt w:val="decimal"/>
      <w:lvlText w:val="%4."/>
      <w:lvlJc w:val="left"/>
      <w:pPr>
        <w:ind w:left="2880" w:hanging="360"/>
      </w:pPr>
    </w:lvl>
    <w:lvl w:ilvl="4" w:tplc="73D425A8">
      <w:start w:val="1"/>
      <w:numFmt w:val="lowerLetter"/>
      <w:lvlText w:val="%5."/>
      <w:lvlJc w:val="left"/>
      <w:pPr>
        <w:ind w:left="3600" w:hanging="360"/>
      </w:pPr>
    </w:lvl>
    <w:lvl w:ilvl="5" w:tplc="19F07CAE">
      <w:start w:val="1"/>
      <w:numFmt w:val="lowerRoman"/>
      <w:lvlText w:val="%6."/>
      <w:lvlJc w:val="right"/>
      <w:pPr>
        <w:ind w:left="4320" w:hanging="180"/>
      </w:pPr>
    </w:lvl>
    <w:lvl w:ilvl="6" w:tplc="B796AD18">
      <w:start w:val="1"/>
      <w:numFmt w:val="decimal"/>
      <w:lvlText w:val="%7."/>
      <w:lvlJc w:val="left"/>
      <w:pPr>
        <w:ind w:left="5040" w:hanging="360"/>
      </w:pPr>
    </w:lvl>
    <w:lvl w:ilvl="7" w:tplc="ED36B972">
      <w:start w:val="1"/>
      <w:numFmt w:val="lowerLetter"/>
      <w:lvlText w:val="%8."/>
      <w:lvlJc w:val="left"/>
      <w:pPr>
        <w:ind w:left="5760" w:hanging="360"/>
      </w:pPr>
    </w:lvl>
    <w:lvl w:ilvl="8" w:tplc="03CE765A">
      <w:start w:val="1"/>
      <w:numFmt w:val="lowerRoman"/>
      <w:lvlText w:val="%9."/>
      <w:lvlJc w:val="right"/>
      <w:pPr>
        <w:ind w:left="6480" w:hanging="180"/>
      </w:pPr>
    </w:lvl>
  </w:abstractNum>
  <w:abstractNum w:abstractNumId="65" w15:restartNumberingAfterBreak="0">
    <w:nsid w:val="1CFE6D45"/>
    <w:multiLevelType w:val="hybridMultilevel"/>
    <w:tmpl w:val="6444E81E"/>
    <w:lvl w:ilvl="0" w:tplc="AAE463B2">
      <w:start w:val="1"/>
      <w:numFmt w:val="decimal"/>
      <w:lvlText w:val="%1)"/>
      <w:lvlJc w:val="left"/>
      <w:pPr>
        <w:ind w:left="180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6" w15:restartNumberingAfterBreak="0">
    <w:nsid w:val="1D8F2BF3"/>
    <w:multiLevelType w:val="hybridMultilevel"/>
    <w:tmpl w:val="94E49D02"/>
    <w:lvl w:ilvl="0" w:tplc="CE9CC8B6">
      <w:start w:val="2"/>
      <w:numFmt w:val="bullet"/>
      <w:lvlText w:val="-"/>
      <w:lvlJc w:val="left"/>
      <w:pPr>
        <w:ind w:left="720" w:hanging="360"/>
      </w:pPr>
      <w:rPr>
        <w:rFonts w:ascii="Verdana" w:eastAsia="Calibri" w:hAnsi="Verdana"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7" w15:restartNumberingAfterBreak="0">
    <w:nsid w:val="1DDB15C1"/>
    <w:multiLevelType w:val="hybridMultilevel"/>
    <w:tmpl w:val="A38E0354"/>
    <w:lvl w:ilvl="0" w:tplc="9CE80BD4">
      <w:start w:val="1"/>
      <w:numFmt w:val="decimal"/>
      <w:lvlText w:val="%1."/>
      <w:lvlJc w:val="left"/>
      <w:pPr>
        <w:ind w:left="530" w:hanging="445"/>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8" w15:restartNumberingAfterBreak="0">
    <w:nsid w:val="1ECC3D9B"/>
    <w:multiLevelType w:val="hybridMultilevel"/>
    <w:tmpl w:val="2ABCD738"/>
    <w:lvl w:ilvl="0" w:tplc="08090001">
      <w:start w:val="1"/>
      <w:numFmt w:val="bullet"/>
      <w:lvlText w:val=""/>
      <w:lvlJc w:val="left"/>
      <w:pPr>
        <w:ind w:left="360" w:hanging="360"/>
      </w:pPr>
      <w:rPr>
        <w:rFonts w:ascii="Symbol" w:hAnsi="Symbol" w:hint="default"/>
        <w:spacing w:val="0"/>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69" w15:restartNumberingAfterBreak="0">
    <w:nsid w:val="1FA53043"/>
    <w:multiLevelType w:val="hybridMultilevel"/>
    <w:tmpl w:val="FFFFFFFF"/>
    <w:lvl w:ilvl="0" w:tplc="56A0BC4A">
      <w:start w:val="1"/>
      <w:numFmt w:val="bullet"/>
      <w:lvlText w:val=""/>
      <w:lvlJc w:val="left"/>
      <w:pPr>
        <w:ind w:left="720" w:hanging="360"/>
      </w:pPr>
      <w:rPr>
        <w:rFonts w:ascii="Symbol" w:hAnsi="Symbol" w:hint="default"/>
      </w:rPr>
    </w:lvl>
    <w:lvl w:ilvl="1" w:tplc="F4BC5EE6">
      <w:start w:val="1"/>
      <w:numFmt w:val="bullet"/>
      <w:lvlText w:val="o"/>
      <w:lvlJc w:val="left"/>
      <w:pPr>
        <w:ind w:left="1440" w:hanging="360"/>
      </w:pPr>
      <w:rPr>
        <w:rFonts w:ascii="Courier New" w:hAnsi="Courier New" w:hint="default"/>
      </w:rPr>
    </w:lvl>
    <w:lvl w:ilvl="2" w:tplc="19506C50">
      <w:start w:val="1"/>
      <w:numFmt w:val="bullet"/>
      <w:lvlText w:val=""/>
      <w:lvlJc w:val="left"/>
      <w:pPr>
        <w:ind w:left="2160" w:hanging="360"/>
      </w:pPr>
      <w:rPr>
        <w:rFonts w:ascii="Wingdings" w:hAnsi="Wingdings" w:hint="default"/>
      </w:rPr>
    </w:lvl>
    <w:lvl w:ilvl="3" w:tplc="AE7A31B6">
      <w:start w:val="1"/>
      <w:numFmt w:val="bullet"/>
      <w:lvlText w:val=""/>
      <w:lvlJc w:val="left"/>
      <w:pPr>
        <w:ind w:left="2880" w:hanging="360"/>
      </w:pPr>
      <w:rPr>
        <w:rFonts w:ascii="Symbol" w:hAnsi="Symbol" w:hint="default"/>
      </w:rPr>
    </w:lvl>
    <w:lvl w:ilvl="4" w:tplc="9BF0E318">
      <w:start w:val="1"/>
      <w:numFmt w:val="bullet"/>
      <w:lvlText w:val="o"/>
      <w:lvlJc w:val="left"/>
      <w:pPr>
        <w:ind w:left="3600" w:hanging="360"/>
      </w:pPr>
      <w:rPr>
        <w:rFonts w:ascii="Courier New" w:hAnsi="Courier New" w:hint="default"/>
      </w:rPr>
    </w:lvl>
    <w:lvl w:ilvl="5" w:tplc="8F9A732E">
      <w:start w:val="1"/>
      <w:numFmt w:val="bullet"/>
      <w:lvlText w:val=""/>
      <w:lvlJc w:val="left"/>
      <w:pPr>
        <w:ind w:left="4320" w:hanging="360"/>
      </w:pPr>
      <w:rPr>
        <w:rFonts w:ascii="Wingdings" w:hAnsi="Wingdings" w:hint="default"/>
      </w:rPr>
    </w:lvl>
    <w:lvl w:ilvl="6" w:tplc="490A6A3A">
      <w:start w:val="1"/>
      <w:numFmt w:val="bullet"/>
      <w:lvlText w:val=""/>
      <w:lvlJc w:val="left"/>
      <w:pPr>
        <w:ind w:left="5040" w:hanging="360"/>
      </w:pPr>
      <w:rPr>
        <w:rFonts w:ascii="Symbol" w:hAnsi="Symbol" w:hint="default"/>
      </w:rPr>
    </w:lvl>
    <w:lvl w:ilvl="7" w:tplc="D0389B26">
      <w:start w:val="1"/>
      <w:numFmt w:val="bullet"/>
      <w:lvlText w:val="o"/>
      <w:lvlJc w:val="left"/>
      <w:pPr>
        <w:ind w:left="5760" w:hanging="360"/>
      </w:pPr>
      <w:rPr>
        <w:rFonts w:ascii="Courier New" w:hAnsi="Courier New" w:hint="default"/>
      </w:rPr>
    </w:lvl>
    <w:lvl w:ilvl="8" w:tplc="9C7E2CE8">
      <w:start w:val="1"/>
      <w:numFmt w:val="bullet"/>
      <w:lvlText w:val=""/>
      <w:lvlJc w:val="left"/>
      <w:pPr>
        <w:ind w:left="6480" w:hanging="360"/>
      </w:pPr>
      <w:rPr>
        <w:rFonts w:ascii="Wingdings" w:hAnsi="Wingdings" w:hint="default"/>
      </w:rPr>
    </w:lvl>
  </w:abstractNum>
  <w:abstractNum w:abstractNumId="70" w15:restartNumberingAfterBreak="0">
    <w:nsid w:val="205F03D1"/>
    <w:multiLevelType w:val="hybridMultilevel"/>
    <w:tmpl w:val="2870CD60"/>
    <w:lvl w:ilvl="0" w:tplc="D4EE6B84">
      <w:start w:val="1"/>
      <w:numFmt w:val="lowerLetter"/>
      <w:lvlText w:val="(%1)"/>
      <w:lvlJc w:val="left"/>
      <w:pPr>
        <w:ind w:left="720" w:hanging="360"/>
      </w:pPr>
      <w:rPr>
        <w:rFonts w:hint="default"/>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71" w15:restartNumberingAfterBreak="0">
    <w:nsid w:val="208707BC"/>
    <w:multiLevelType w:val="hybridMultilevel"/>
    <w:tmpl w:val="EB3CED82"/>
    <w:lvl w:ilvl="0" w:tplc="08090001">
      <w:start w:val="1"/>
      <w:numFmt w:val="bullet"/>
      <w:lvlText w:val=""/>
      <w:lvlJc w:val="left"/>
      <w:pPr>
        <w:ind w:left="1428" w:hanging="360"/>
      </w:pPr>
      <w:rPr>
        <w:rFonts w:ascii="Symbol" w:hAnsi="Symbol" w:hint="default"/>
      </w:rPr>
    </w:lvl>
    <w:lvl w:ilvl="1" w:tplc="08090003" w:tentative="1">
      <w:start w:val="1"/>
      <w:numFmt w:val="bullet"/>
      <w:lvlText w:val="o"/>
      <w:lvlJc w:val="left"/>
      <w:pPr>
        <w:ind w:left="2148" w:hanging="360"/>
      </w:pPr>
      <w:rPr>
        <w:rFonts w:ascii="Courier New" w:hAnsi="Courier New" w:cs="Courier New" w:hint="default"/>
      </w:rPr>
    </w:lvl>
    <w:lvl w:ilvl="2" w:tplc="08090005" w:tentative="1">
      <w:start w:val="1"/>
      <w:numFmt w:val="bullet"/>
      <w:lvlText w:val=""/>
      <w:lvlJc w:val="left"/>
      <w:pPr>
        <w:ind w:left="2868" w:hanging="360"/>
      </w:pPr>
      <w:rPr>
        <w:rFonts w:ascii="Wingdings" w:hAnsi="Wingdings" w:hint="default"/>
      </w:rPr>
    </w:lvl>
    <w:lvl w:ilvl="3" w:tplc="08090001" w:tentative="1">
      <w:start w:val="1"/>
      <w:numFmt w:val="bullet"/>
      <w:lvlText w:val=""/>
      <w:lvlJc w:val="left"/>
      <w:pPr>
        <w:ind w:left="3588" w:hanging="360"/>
      </w:pPr>
      <w:rPr>
        <w:rFonts w:ascii="Symbol" w:hAnsi="Symbol" w:hint="default"/>
      </w:rPr>
    </w:lvl>
    <w:lvl w:ilvl="4" w:tplc="08090003" w:tentative="1">
      <w:start w:val="1"/>
      <w:numFmt w:val="bullet"/>
      <w:lvlText w:val="o"/>
      <w:lvlJc w:val="left"/>
      <w:pPr>
        <w:ind w:left="4308" w:hanging="360"/>
      </w:pPr>
      <w:rPr>
        <w:rFonts w:ascii="Courier New" w:hAnsi="Courier New" w:cs="Courier New" w:hint="default"/>
      </w:rPr>
    </w:lvl>
    <w:lvl w:ilvl="5" w:tplc="08090005" w:tentative="1">
      <w:start w:val="1"/>
      <w:numFmt w:val="bullet"/>
      <w:lvlText w:val=""/>
      <w:lvlJc w:val="left"/>
      <w:pPr>
        <w:ind w:left="5028" w:hanging="360"/>
      </w:pPr>
      <w:rPr>
        <w:rFonts w:ascii="Wingdings" w:hAnsi="Wingdings" w:hint="default"/>
      </w:rPr>
    </w:lvl>
    <w:lvl w:ilvl="6" w:tplc="08090001" w:tentative="1">
      <w:start w:val="1"/>
      <w:numFmt w:val="bullet"/>
      <w:lvlText w:val=""/>
      <w:lvlJc w:val="left"/>
      <w:pPr>
        <w:ind w:left="5748" w:hanging="360"/>
      </w:pPr>
      <w:rPr>
        <w:rFonts w:ascii="Symbol" w:hAnsi="Symbol" w:hint="default"/>
      </w:rPr>
    </w:lvl>
    <w:lvl w:ilvl="7" w:tplc="08090003" w:tentative="1">
      <w:start w:val="1"/>
      <w:numFmt w:val="bullet"/>
      <w:lvlText w:val="o"/>
      <w:lvlJc w:val="left"/>
      <w:pPr>
        <w:ind w:left="6468" w:hanging="360"/>
      </w:pPr>
      <w:rPr>
        <w:rFonts w:ascii="Courier New" w:hAnsi="Courier New" w:cs="Courier New" w:hint="default"/>
      </w:rPr>
    </w:lvl>
    <w:lvl w:ilvl="8" w:tplc="08090005" w:tentative="1">
      <w:start w:val="1"/>
      <w:numFmt w:val="bullet"/>
      <w:lvlText w:val=""/>
      <w:lvlJc w:val="left"/>
      <w:pPr>
        <w:ind w:left="7188" w:hanging="360"/>
      </w:pPr>
      <w:rPr>
        <w:rFonts w:ascii="Wingdings" w:hAnsi="Wingdings" w:hint="default"/>
      </w:rPr>
    </w:lvl>
  </w:abstractNum>
  <w:abstractNum w:abstractNumId="72" w15:restartNumberingAfterBreak="0">
    <w:nsid w:val="21015618"/>
    <w:multiLevelType w:val="hybridMultilevel"/>
    <w:tmpl w:val="31C834D8"/>
    <w:lvl w:ilvl="0" w:tplc="0816000F">
      <w:start w:val="1"/>
      <w:numFmt w:val="decimal"/>
      <w:lvlText w:val="%1."/>
      <w:lvlJc w:val="left"/>
      <w:pPr>
        <w:ind w:left="753" w:hanging="360"/>
      </w:pPr>
    </w:lvl>
    <w:lvl w:ilvl="1" w:tplc="08160019" w:tentative="1">
      <w:start w:val="1"/>
      <w:numFmt w:val="lowerLetter"/>
      <w:lvlText w:val="%2."/>
      <w:lvlJc w:val="left"/>
      <w:pPr>
        <w:ind w:left="1473" w:hanging="360"/>
      </w:pPr>
    </w:lvl>
    <w:lvl w:ilvl="2" w:tplc="0816001B" w:tentative="1">
      <w:start w:val="1"/>
      <w:numFmt w:val="lowerRoman"/>
      <w:lvlText w:val="%3."/>
      <w:lvlJc w:val="right"/>
      <w:pPr>
        <w:ind w:left="2193" w:hanging="180"/>
      </w:pPr>
    </w:lvl>
    <w:lvl w:ilvl="3" w:tplc="0816000F" w:tentative="1">
      <w:start w:val="1"/>
      <w:numFmt w:val="decimal"/>
      <w:lvlText w:val="%4."/>
      <w:lvlJc w:val="left"/>
      <w:pPr>
        <w:ind w:left="2913" w:hanging="360"/>
      </w:pPr>
    </w:lvl>
    <w:lvl w:ilvl="4" w:tplc="08160019" w:tentative="1">
      <w:start w:val="1"/>
      <w:numFmt w:val="lowerLetter"/>
      <w:lvlText w:val="%5."/>
      <w:lvlJc w:val="left"/>
      <w:pPr>
        <w:ind w:left="3633" w:hanging="360"/>
      </w:pPr>
    </w:lvl>
    <w:lvl w:ilvl="5" w:tplc="0816001B" w:tentative="1">
      <w:start w:val="1"/>
      <w:numFmt w:val="lowerRoman"/>
      <w:lvlText w:val="%6."/>
      <w:lvlJc w:val="right"/>
      <w:pPr>
        <w:ind w:left="4353" w:hanging="180"/>
      </w:pPr>
    </w:lvl>
    <w:lvl w:ilvl="6" w:tplc="0816000F" w:tentative="1">
      <w:start w:val="1"/>
      <w:numFmt w:val="decimal"/>
      <w:lvlText w:val="%7."/>
      <w:lvlJc w:val="left"/>
      <w:pPr>
        <w:ind w:left="5073" w:hanging="360"/>
      </w:pPr>
    </w:lvl>
    <w:lvl w:ilvl="7" w:tplc="08160019" w:tentative="1">
      <w:start w:val="1"/>
      <w:numFmt w:val="lowerLetter"/>
      <w:lvlText w:val="%8."/>
      <w:lvlJc w:val="left"/>
      <w:pPr>
        <w:ind w:left="5793" w:hanging="360"/>
      </w:pPr>
    </w:lvl>
    <w:lvl w:ilvl="8" w:tplc="0816001B" w:tentative="1">
      <w:start w:val="1"/>
      <w:numFmt w:val="lowerRoman"/>
      <w:lvlText w:val="%9."/>
      <w:lvlJc w:val="right"/>
      <w:pPr>
        <w:ind w:left="6513" w:hanging="180"/>
      </w:pPr>
    </w:lvl>
  </w:abstractNum>
  <w:abstractNum w:abstractNumId="73" w15:restartNumberingAfterBreak="0">
    <w:nsid w:val="215867C5"/>
    <w:multiLevelType w:val="hybridMultilevel"/>
    <w:tmpl w:val="FFFFFFFF"/>
    <w:lvl w:ilvl="0" w:tplc="66D0D3FC">
      <w:start w:val="1"/>
      <w:numFmt w:val="bullet"/>
      <w:lvlText w:val="·"/>
      <w:lvlJc w:val="left"/>
      <w:pPr>
        <w:ind w:left="720" w:hanging="360"/>
      </w:pPr>
      <w:rPr>
        <w:rFonts w:ascii="Symbol" w:hAnsi="Symbol" w:hint="default"/>
      </w:rPr>
    </w:lvl>
    <w:lvl w:ilvl="1" w:tplc="E33649CA">
      <w:start w:val="1"/>
      <w:numFmt w:val="bullet"/>
      <w:lvlText w:val="o"/>
      <w:lvlJc w:val="left"/>
      <w:pPr>
        <w:ind w:left="1440" w:hanging="360"/>
      </w:pPr>
      <w:rPr>
        <w:rFonts w:ascii="Courier New" w:hAnsi="Courier New" w:hint="default"/>
      </w:rPr>
    </w:lvl>
    <w:lvl w:ilvl="2" w:tplc="1E589404">
      <w:start w:val="1"/>
      <w:numFmt w:val="bullet"/>
      <w:lvlText w:val=""/>
      <w:lvlJc w:val="left"/>
      <w:pPr>
        <w:ind w:left="2160" w:hanging="360"/>
      </w:pPr>
      <w:rPr>
        <w:rFonts w:ascii="Wingdings" w:hAnsi="Wingdings" w:hint="default"/>
      </w:rPr>
    </w:lvl>
    <w:lvl w:ilvl="3" w:tplc="F2B238AE">
      <w:start w:val="1"/>
      <w:numFmt w:val="bullet"/>
      <w:lvlText w:val=""/>
      <w:lvlJc w:val="left"/>
      <w:pPr>
        <w:ind w:left="2880" w:hanging="360"/>
      </w:pPr>
      <w:rPr>
        <w:rFonts w:ascii="Symbol" w:hAnsi="Symbol" w:hint="default"/>
      </w:rPr>
    </w:lvl>
    <w:lvl w:ilvl="4" w:tplc="DBF02F08">
      <w:start w:val="1"/>
      <w:numFmt w:val="bullet"/>
      <w:lvlText w:val="o"/>
      <w:lvlJc w:val="left"/>
      <w:pPr>
        <w:ind w:left="3600" w:hanging="360"/>
      </w:pPr>
      <w:rPr>
        <w:rFonts w:ascii="Courier New" w:hAnsi="Courier New" w:hint="default"/>
      </w:rPr>
    </w:lvl>
    <w:lvl w:ilvl="5" w:tplc="AEDA5C72">
      <w:start w:val="1"/>
      <w:numFmt w:val="bullet"/>
      <w:lvlText w:val=""/>
      <w:lvlJc w:val="left"/>
      <w:pPr>
        <w:ind w:left="4320" w:hanging="360"/>
      </w:pPr>
      <w:rPr>
        <w:rFonts w:ascii="Wingdings" w:hAnsi="Wingdings" w:hint="default"/>
      </w:rPr>
    </w:lvl>
    <w:lvl w:ilvl="6" w:tplc="19B20A8A">
      <w:start w:val="1"/>
      <w:numFmt w:val="bullet"/>
      <w:lvlText w:val=""/>
      <w:lvlJc w:val="left"/>
      <w:pPr>
        <w:ind w:left="5040" w:hanging="360"/>
      </w:pPr>
      <w:rPr>
        <w:rFonts w:ascii="Symbol" w:hAnsi="Symbol" w:hint="default"/>
      </w:rPr>
    </w:lvl>
    <w:lvl w:ilvl="7" w:tplc="A1A6D11C">
      <w:start w:val="1"/>
      <w:numFmt w:val="bullet"/>
      <w:lvlText w:val="o"/>
      <w:lvlJc w:val="left"/>
      <w:pPr>
        <w:ind w:left="5760" w:hanging="360"/>
      </w:pPr>
      <w:rPr>
        <w:rFonts w:ascii="Courier New" w:hAnsi="Courier New" w:hint="default"/>
      </w:rPr>
    </w:lvl>
    <w:lvl w:ilvl="8" w:tplc="B1E29A3E">
      <w:start w:val="1"/>
      <w:numFmt w:val="bullet"/>
      <w:lvlText w:val=""/>
      <w:lvlJc w:val="left"/>
      <w:pPr>
        <w:ind w:left="6480" w:hanging="360"/>
      </w:pPr>
      <w:rPr>
        <w:rFonts w:ascii="Wingdings" w:hAnsi="Wingdings" w:hint="default"/>
      </w:rPr>
    </w:lvl>
  </w:abstractNum>
  <w:abstractNum w:abstractNumId="74" w15:restartNumberingAfterBreak="0">
    <w:nsid w:val="21DB0054"/>
    <w:multiLevelType w:val="hybridMultilevel"/>
    <w:tmpl w:val="FFFFFFFF"/>
    <w:lvl w:ilvl="0" w:tplc="7B38B750">
      <w:start w:val="1"/>
      <w:numFmt w:val="bullet"/>
      <w:lvlText w:val=""/>
      <w:lvlJc w:val="left"/>
      <w:pPr>
        <w:ind w:left="720" w:hanging="360"/>
      </w:pPr>
      <w:rPr>
        <w:rFonts w:ascii="Symbol" w:hAnsi="Symbol" w:hint="default"/>
      </w:rPr>
    </w:lvl>
    <w:lvl w:ilvl="1" w:tplc="0FCE9EFC">
      <w:start w:val="1"/>
      <w:numFmt w:val="bullet"/>
      <w:lvlText w:val="o"/>
      <w:lvlJc w:val="left"/>
      <w:pPr>
        <w:ind w:left="1440" w:hanging="360"/>
      </w:pPr>
      <w:rPr>
        <w:rFonts w:ascii="Courier New" w:hAnsi="Courier New" w:hint="default"/>
      </w:rPr>
    </w:lvl>
    <w:lvl w:ilvl="2" w:tplc="97A4EB06">
      <w:start w:val="1"/>
      <w:numFmt w:val="bullet"/>
      <w:lvlText w:val=""/>
      <w:lvlJc w:val="left"/>
      <w:pPr>
        <w:ind w:left="2160" w:hanging="360"/>
      </w:pPr>
      <w:rPr>
        <w:rFonts w:ascii="Wingdings" w:hAnsi="Wingdings" w:hint="default"/>
      </w:rPr>
    </w:lvl>
    <w:lvl w:ilvl="3" w:tplc="FD740D12">
      <w:start w:val="1"/>
      <w:numFmt w:val="bullet"/>
      <w:lvlText w:val=""/>
      <w:lvlJc w:val="left"/>
      <w:pPr>
        <w:ind w:left="2880" w:hanging="360"/>
      </w:pPr>
      <w:rPr>
        <w:rFonts w:ascii="Symbol" w:hAnsi="Symbol" w:hint="default"/>
      </w:rPr>
    </w:lvl>
    <w:lvl w:ilvl="4" w:tplc="CC847C96">
      <w:start w:val="1"/>
      <w:numFmt w:val="bullet"/>
      <w:lvlText w:val="o"/>
      <w:lvlJc w:val="left"/>
      <w:pPr>
        <w:ind w:left="3600" w:hanging="360"/>
      </w:pPr>
      <w:rPr>
        <w:rFonts w:ascii="Courier New" w:hAnsi="Courier New" w:hint="default"/>
      </w:rPr>
    </w:lvl>
    <w:lvl w:ilvl="5" w:tplc="1396E672">
      <w:start w:val="1"/>
      <w:numFmt w:val="bullet"/>
      <w:lvlText w:val=""/>
      <w:lvlJc w:val="left"/>
      <w:pPr>
        <w:ind w:left="4320" w:hanging="360"/>
      </w:pPr>
      <w:rPr>
        <w:rFonts w:ascii="Wingdings" w:hAnsi="Wingdings" w:hint="default"/>
      </w:rPr>
    </w:lvl>
    <w:lvl w:ilvl="6" w:tplc="56A68A46">
      <w:start w:val="1"/>
      <w:numFmt w:val="bullet"/>
      <w:lvlText w:val=""/>
      <w:lvlJc w:val="left"/>
      <w:pPr>
        <w:ind w:left="5040" w:hanging="360"/>
      </w:pPr>
      <w:rPr>
        <w:rFonts w:ascii="Symbol" w:hAnsi="Symbol" w:hint="default"/>
      </w:rPr>
    </w:lvl>
    <w:lvl w:ilvl="7" w:tplc="06321E22">
      <w:start w:val="1"/>
      <w:numFmt w:val="bullet"/>
      <w:lvlText w:val="o"/>
      <w:lvlJc w:val="left"/>
      <w:pPr>
        <w:ind w:left="5760" w:hanging="360"/>
      </w:pPr>
      <w:rPr>
        <w:rFonts w:ascii="Courier New" w:hAnsi="Courier New" w:hint="default"/>
      </w:rPr>
    </w:lvl>
    <w:lvl w:ilvl="8" w:tplc="67907B4C">
      <w:start w:val="1"/>
      <w:numFmt w:val="bullet"/>
      <w:lvlText w:val=""/>
      <w:lvlJc w:val="left"/>
      <w:pPr>
        <w:ind w:left="6480" w:hanging="360"/>
      </w:pPr>
      <w:rPr>
        <w:rFonts w:ascii="Wingdings" w:hAnsi="Wingdings" w:hint="default"/>
      </w:rPr>
    </w:lvl>
  </w:abstractNum>
  <w:abstractNum w:abstractNumId="75" w15:restartNumberingAfterBreak="0">
    <w:nsid w:val="21DB0685"/>
    <w:multiLevelType w:val="hybridMultilevel"/>
    <w:tmpl w:val="A6F22872"/>
    <w:lvl w:ilvl="0" w:tplc="FC5863EC">
      <w:start w:val="1"/>
      <w:numFmt w:val="bullet"/>
      <w:lvlText w:val="·"/>
      <w:lvlJc w:val="left"/>
      <w:pPr>
        <w:ind w:left="720" w:hanging="360"/>
      </w:pPr>
    </w:lvl>
    <w:lvl w:ilvl="1" w:tplc="F452AEC6">
      <w:start w:val="1"/>
      <w:numFmt w:val="decimal"/>
      <w:lvlText w:val="%2."/>
      <w:lvlJc w:val="left"/>
      <w:pPr>
        <w:ind w:left="1440" w:hanging="360"/>
      </w:pPr>
    </w:lvl>
    <w:lvl w:ilvl="2" w:tplc="6C66208E">
      <w:start w:val="1"/>
      <w:numFmt w:val="lowerRoman"/>
      <w:lvlText w:val="%3."/>
      <w:lvlJc w:val="right"/>
      <w:pPr>
        <w:ind w:left="2160" w:hanging="180"/>
      </w:pPr>
    </w:lvl>
    <w:lvl w:ilvl="3" w:tplc="5BB47052">
      <w:start w:val="1"/>
      <w:numFmt w:val="decimal"/>
      <w:lvlText w:val="%4."/>
      <w:lvlJc w:val="left"/>
      <w:pPr>
        <w:ind w:left="2880" w:hanging="360"/>
      </w:pPr>
    </w:lvl>
    <w:lvl w:ilvl="4" w:tplc="6C94D770">
      <w:start w:val="1"/>
      <w:numFmt w:val="lowerLetter"/>
      <w:lvlText w:val="%5."/>
      <w:lvlJc w:val="left"/>
      <w:pPr>
        <w:ind w:left="3600" w:hanging="360"/>
      </w:pPr>
    </w:lvl>
    <w:lvl w:ilvl="5" w:tplc="A642BA68">
      <w:start w:val="1"/>
      <w:numFmt w:val="lowerRoman"/>
      <w:lvlText w:val="%6."/>
      <w:lvlJc w:val="right"/>
      <w:pPr>
        <w:ind w:left="4320" w:hanging="180"/>
      </w:pPr>
    </w:lvl>
    <w:lvl w:ilvl="6" w:tplc="B3707128">
      <w:start w:val="1"/>
      <w:numFmt w:val="decimal"/>
      <w:lvlText w:val="%7."/>
      <w:lvlJc w:val="left"/>
      <w:pPr>
        <w:ind w:left="5040" w:hanging="360"/>
      </w:pPr>
    </w:lvl>
    <w:lvl w:ilvl="7" w:tplc="772A0D4A">
      <w:start w:val="1"/>
      <w:numFmt w:val="lowerLetter"/>
      <w:lvlText w:val="%8."/>
      <w:lvlJc w:val="left"/>
      <w:pPr>
        <w:ind w:left="5760" w:hanging="360"/>
      </w:pPr>
    </w:lvl>
    <w:lvl w:ilvl="8" w:tplc="4AD2EEA8">
      <w:start w:val="1"/>
      <w:numFmt w:val="lowerRoman"/>
      <w:lvlText w:val="%9."/>
      <w:lvlJc w:val="right"/>
      <w:pPr>
        <w:ind w:left="6480" w:hanging="180"/>
      </w:pPr>
    </w:lvl>
  </w:abstractNum>
  <w:abstractNum w:abstractNumId="76" w15:restartNumberingAfterBreak="0">
    <w:nsid w:val="23506EBB"/>
    <w:multiLevelType w:val="hybridMultilevel"/>
    <w:tmpl w:val="40127586"/>
    <w:lvl w:ilvl="0" w:tplc="08160011">
      <w:start w:val="1"/>
      <w:numFmt w:val="decimal"/>
      <w:lvlText w:val="%1)"/>
      <w:lvlJc w:val="left"/>
      <w:pPr>
        <w:ind w:left="720" w:hanging="360"/>
      </w:pPr>
      <w:rPr>
        <w:rFonts w:hint="default"/>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77" w15:restartNumberingAfterBreak="0">
    <w:nsid w:val="24CD765C"/>
    <w:multiLevelType w:val="hybridMultilevel"/>
    <w:tmpl w:val="6444E81E"/>
    <w:lvl w:ilvl="0" w:tplc="AAE463B2">
      <w:start w:val="1"/>
      <w:numFmt w:val="decimal"/>
      <w:lvlText w:val="%1)"/>
      <w:lvlJc w:val="left"/>
      <w:pPr>
        <w:ind w:left="180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8" w15:restartNumberingAfterBreak="0">
    <w:nsid w:val="24D41CE6"/>
    <w:multiLevelType w:val="hybridMultilevel"/>
    <w:tmpl w:val="A3E65116"/>
    <w:lvl w:ilvl="0" w:tplc="08090001">
      <w:start w:val="1"/>
      <w:numFmt w:val="bullet"/>
      <w:lvlText w:val=""/>
      <w:lvlJc w:val="left"/>
      <w:pPr>
        <w:ind w:left="805" w:hanging="360"/>
      </w:pPr>
      <w:rPr>
        <w:rFonts w:ascii="Symbol" w:hAnsi="Symbol" w:hint="default"/>
      </w:rPr>
    </w:lvl>
    <w:lvl w:ilvl="1" w:tplc="08090003" w:tentative="1">
      <w:start w:val="1"/>
      <w:numFmt w:val="bullet"/>
      <w:lvlText w:val="o"/>
      <w:lvlJc w:val="left"/>
      <w:pPr>
        <w:ind w:left="1525" w:hanging="360"/>
      </w:pPr>
      <w:rPr>
        <w:rFonts w:ascii="Courier New" w:hAnsi="Courier New" w:cs="Courier New" w:hint="default"/>
      </w:rPr>
    </w:lvl>
    <w:lvl w:ilvl="2" w:tplc="08090005" w:tentative="1">
      <w:start w:val="1"/>
      <w:numFmt w:val="bullet"/>
      <w:lvlText w:val=""/>
      <w:lvlJc w:val="left"/>
      <w:pPr>
        <w:ind w:left="2245" w:hanging="360"/>
      </w:pPr>
      <w:rPr>
        <w:rFonts w:ascii="Wingdings" w:hAnsi="Wingdings" w:hint="default"/>
      </w:rPr>
    </w:lvl>
    <w:lvl w:ilvl="3" w:tplc="08090001" w:tentative="1">
      <w:start w:val="1"/>
      <w:numFmt w:val="bullet"/>
      <w:lvlText w:val=""/>
      <w:lvlJc w:val="left"/>
      <w:pPr>
        <w:ind w:left="2965" w:hanging="360"/>
      </w:pPr>
      <w:rPr>
        <w:rFonts w:ascii="Symbol" w:hAnsi="Symbol" w:hint="default"/>
      </w:rPr>
    </w:lvl>
    <w:lvl w:ilvl="4" w:tplc="08090003" w:tentative="1">
      <w:start w:val="1"/>
      <w:numFmt w:val="bullet"/>
      <w:lvlText w:val="o"/>
      <w:lvlJc w:val="left"/>
      <w:pPr>
        <w:ind w:left="3685" w:hanging="360"/>
      </w:pPr>
      <w:rPr>
        <w:rFonts w:ascii="Courier New" w:hAnsi="Courier New" w:cs="Courier New" w:hint="default"/>
      </w:rPr>
    </w:lvl>
    <w:lvl w:ilvl="5" w:tplc="08090005" w:tentative="1">
      <w:start w:val="1"/>
      <w:numFmt w:val="bullet"/>
      <w:lvlText w:val=""/>
      <w:lvlJc w:val="left"/>
      <w:pPr>
        <w:ind w:left="4405" w:hanging="360"/>
      </w:pPr>
      <w:rPr>
        <w:rFonts w:ascii="Wingdings" w:hAnsi="Wingdings" w:hint="default"/>
      </w:rPr>
    </w:lvl>
    <w:lvl w:ilvl="6" w:tplc="08090001" w:tentative="1">
      <w:start w:val="1"/>
      <w:numFmt w:val="bullet"/>
      <w:lvlText w:val=""/>
      <w:lvlJc w:val="left"/>
      <w:pPr>
        <w:ind w:left="5125" w:hanging="360"/>
      </w:pPr>
      <w:rPr>
        <w:rFonts w:ascii="Symbol" w:hAnsi="Symbol" w:hint="default"/>
      </w:rPr>
    </w:lvl>
    <w:lvl w:ilvl="7" w:tplc="08090003" w:tentative="1">
      <w:start w:val="1"/>
      <w:numFmt w:val="bullet"/>
      <w:lvlText w:val="o"/>
      <w:lvlJc w:val="left"/>
      <w:pPr>
        <w:ind w:left="5845" w:hanging="360"/>
      </w:pPr>
      <w:rPr>
        <w:rFonts w:ascii="Courier New" w:hAnsi="Courier New" w:cs="Courier New" w:hint="default"/>
      </w:rPr>
    </w:lvl>
    <w:lvl w:ilvl="8" w:tplc="08090005" w:tentative="1">
      <w:start w:val="1"/>
      <w:numFmt w:val="bullet"/>
      <w:lvlText w:val=""/>
      <w:lvlJc w:val="left"/>
      <w:pPr>
        <w:ind w:left="6565" w:hanging="360"/>
      </w:pPr>
      <w:rPr>
        <w:rFonts w:ascii="Wingdings" w:hAnsi="Wingdings" w:hint="default"/>
      </w:rPr>
    </w:lvl>
  </w:abstractNum>
  <w:abstractNum w:abstractNumId="79" w15:restartNumberingAfterBreak="0">
    <w:nsid w:val="24F57D5B"/>
    <w:multiLevelType w:val="hybridMultilevel"/>
    <w:tmpl w:val="FFFFFFFF"/>
    <w:lvl w:ilvl="0" w:tplc="DEE460C8">
      <w:start w:val="1"/>
      <w:numFmt w:val="bullet"/>
      <w:lvlText w:val=""/>
      <w:lvlJc w:val="left"/>
      <w:pPr>
        <w:ind w:left="360" w:hanging="360"/>
      </w:pPr>
      <w:rPr>
        <w:rFonts w:ascii="Symbol" w:hAnsi="Symbol" w:hint="default"/>
      </w:rPr>
    </w:lvl>
    <w:lvl w:ilvl="1" w:tplc="63F40C56">
      <w:start w:val="1"/>
      <w:numFmt w:val="bullet"/>
      <w:lvlText w:val="o"/>
      <w:lvlJc w:val="left"/>
      <w:pPr>
        <w:ind w:left="1080" w:hanging="360"/>
      </w:pPr>
      <w:rPr>
        <w:rFonts w:ascii="Courier New" w:hAnsi="Courier New" w:hint="default"/>
      </w:rPr>
    </w:lvl>
    <w:lvl w:ilvl="2" w:tplc="916AF322">
      <w:start w:val="1"/>
      <w:numFmt w:val="bullet"/>
      <w:lvlText w:val=""/>
      <w:lvlJc w:val="left"/>
      <w:pPr>
        <w:ind w:left="1800" w:hanging="360"/>
      </w:pPr>
      <w:rPr>
        <w:rFonts w:ascii="Wingdings" w:hAnsi="Wingdings" w:hint="default"/>
      </w:rPr>
    </w:lvl>
    <w:lvl w:ilvl="3" w:tplc="FC0E65A8">
      <w:start w:val="1"/>
      <w:numFmt w:val="bullet"/>
      <w:lvlText w:val=""/>
      <w:lvlJc w:val="left"/>
      <w:pPr>
        <w:ind w:left="2520" w:hanging="360"/>
      </w:pPr>
      <w:rPr>
        <w:rFonts w:ascii="Symbol" w:hAnsi="Symbol" w:hint="default"/>
      </w:rPr>
    </w:lvl>
    <w:lvl w:ilvl="4" w:tplc="60FACDA0">
      <w:start w:val="1"/>
      <w:numFmt w:val="bullet"/>
      <w:lvlText w:val="o"/>
      <w:lvlJc w:val="left"/>
      <w:pPr>
        <w:ind w:left="3240" w:hanging="360"/>
      </w:pPr>
      <w:rPr>
        <w:rFonts w:ascii="Courier New" w:hAnsi="Courier New" w:hint="default"/>
      </w:rPr>
    </w:lvl>
    <w:lvl w:ilvl="5" w:tplc="0A7455AA">
      <w:start w:val="1"/>
      <w:numFmt w:val="bullet"/>
      <w:lvlText w:val=""/>
      <w:lvlJc w:val="left"/>
      <w:pPr>
        <w:ind w:left="3960" w:hanging="360"/>
      </w:pPr>
      <w:rPr>
        <w:rFonts w:ascii="Wingdings" w:hAnsi="Wingdings" w:hint="default"/>
      </w:rPr>
    </w:lvl>
    <w:lvl w:ilvl="6" w:tplc="C92E9124">
      <w:start w:val="1"/>
      <w:numFmt w:val="bullet"/>
      <w:lvlText w:val=""/>
      <w:lvlJc w:val="left"/>
      <w:pPr>
        <w:ind w:left="4680" w:hanging="360"/>
      </w:pPr>
      <w:rPr>
        <w:rFonts w:ascii="Symbol" w:hAnsi="Symbol" w:hint="default"/>
      </w:rPr>
    </w:lvl>
    <w:lvl w:ilvl="7" w:tplc="8A66EACE">
      <w:start w:val="1"/>
      <w:numFmt w:val="bullet"/>
      <w:lvlText w:val="o"/>
      <w:lvlJc w:val="left"/>
      <w:pPr>
        <w:ind w:left="5400" w:hanging="360"/>
      </w:pPr>
      <w:rPr>
        <w:rFonts w:ascii="Courier New" w:hAnsi="Courier New" w:hint="default"/>
      </w:rPr>
    </w:lvl>
    <w:lvl w:ilvl="8" w:tplc="970875C0">
      <w:start w:val="1"/>
      <w:numFmt w:val="bullet"/>
      <w:lvlText w:val=""/>
      <w:lvlJc w:val="left"/>
      <w:pPr>
        <w:ind w:left="6120" w:hanging="360"/>
      </w:pPr>
      <w:rPr>
        <w:rFonts w:ascii="Wingdings" w:hAnsi="Wingdings" w:hint="default"/>
      </w:rPr>
    </w:lvl>
  </w:abstractNum>
  <w:abstractNum w:abstractNumId="80" w15:restartNumberingAfterBreak="0">
    <w:nsid w:val="257D546D"/>
    <w:multiLevelType w:val="hybridMultilevel"/>
    <w:tmpl w:val="6444E81E"/>
    <w:lvl w:ilvl="0" w:tplc="AAE463B2">
      <w:start w:val="1"/>
      <w:numFmt w:val="decimal"/>
      <w:lvlText w:val="%1)"/>
      <w:lvlJc w:val="left"/>
      <w:pPr>
        <w:ind w:left="180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1" w15:restartNumberingAfterBreak="0">
    <w:nsid w:val="26084AF9"/>
    <w:multiLevelType w:val="hybridMultilevel"/>
    <w:tmpl w:val="B5B6B6DA"/>
    <w:lvl w:ilvl="0" w:tplc="6304ED5E">
      <w:start w:val="1"/>
      <w:numFmt w:val="decimal"/>
      <w:lvlText w:val="(%1)"/>
      <w:lvlJc w:val="right"/>
      <w:pPr>
        <w:ind w:left="928" w:hanging="360"/>
      </w:pPr>
      <w:rPr>
        <w:rFonts w:hint="default"/>
      </w:rPr>
    </w:lvl>
    <w:lvl w:ilvl="1" w:tplc="08090019">
      <w:start w:val="1"/>
      <w:numFmt w:val="lowerLetter"/>
      <w:lvlText w:val="%2."/>
      <w:lvlJc w:val="left"/>
      <w:pPr>
        <w:ind w:left="1648" w:hanging="360"/>
      </w:pPr>
    </w:lvl>
    <w:lvl w:ilvl="2" w:tplc="0809001B" w:tentative="1">
      <w:start w:val="1"/>
      <w:numFmt w:val="lowerRoman"/>
      <w:lvlText w:val="%3."/>
      <w:lvlJc w:val="right"/>
      <w:pPr>
        <w:ind w:left="2368" w:hanging="180"/>
      </w:pPr>
    </w:lvl>
    <w:lvl w:ilvl="3" w:tplc="0809000F" w:tentative="1">
      <w:start w:val="1"/>
      <w:numFmt w:val="decimal"/>
      <w:lvlText w:val="%4."/>
      <w:lvlJc w:val="left"/>
      <w:pPr>
        <w:ind w:left="3088" w:hanging="360"/>
      </w:pPr>
    </w:lvl>
    <w:lvl w:ilvl="4" w:tplc="08090019" w:tentative="1">
      <w:start w:val="1"/>
      <w:numFmt w:val="lowerLetter"/>
      <w:lvlText w:val="%5."/>
      <w:lvlJc w:val="left"/>
      <w:pPr>
        <w:ind w:left="3808" w:hanging="360"/>
      </w:pPr>
    </w:lvl>
    <w:lvl w:ilvl="5" w:tplc="0809001B" w:tentative="1">
      <w:start w:val="1"/>
      <w:numFmt w:val="lowerRoman"/>
      <w:lvlText w:val="%6."/>
      <w:lvlJc w:val="right"/>
      <w:pPr>
        <w:ind w:left="4528" w:hanging="180"/>
      </w:pPr>
    </w:lvl>
    <w:lvl w:ilvl="6" w:tplc="0809000F" w:tentative="1">
      <w:start w:val="1"/>
      <w:numFmt w:val="decimal"/>
      <w:lvlText w:val="%7."/>
      <w:lvlJc w:val="left"/>
      <w:pPr>
        <w:ind w:left="5248" w:hanging="360"/>
      </w:pPr>
    </w:lvl>
    <w:lvl w:ilvl="7" w:tplc="08090019" w:tentative="1">
      <w:start w:val="1"/>
      <w:numFmt w:val="lowerLetter"/>
      <w:lvlText w:val="%8."/>
      <w:lvlJc w:val="left"/>
      <w:pPr>
        <w:ind w:left="5968" w:hanging="360"/>
      </w:pPr>
    </w:lvl>
    <w:lvl w:ilvl="8" w:tplc="0809001B" w:tentative="1">
      <w:start w:val="1"/>
      <w:numFmt w:val="lowerRoman"/>
      <w:lvlText w:val="%9."/>
      <w:lvlJc w:val="right"/>
      <w:pPr>
        <w:ind w:left="6688" w:hanging="180"/>
      </w:pPr>
    </w:lvl>
  </w:abstractNum>
  <w:abstractNum w:abstractNumId="82" w15:restartNumberingAfterBreak="0">
    <w:nsid w:val="263E457A"/>
    <w:multiLevelType w:val="hybridMultilevel"/>
    <w:tmpl w:val="6444E81E"/>
    <w:lvl w:ilvl="0" w:tplc="AAE463B2">
      <w:start w:val="1"/>
      <w:numFmt w:val="decimal"/>
      <w:lvlText w:val="%1)"/>
      <w:lvlJc w:val="left"/>
      <w:pPr>
        <w:ind w:left="180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3" w15:restartNumberingAfterBreak="0">
    <w:nsid w:val="27302095"/>
    <w:multiLevelType w:val="hybridMultilevel"/>
    <w:tmpl w:val="6F22CD90"/>
    <w:lvl w:ilvl="0" w:tplc="B11C0F76">
      <w:start w:val="1"/>
      <w:numFmt w:val="bullet"/>
      <w:lvlText w:val=""/>
      <w:lvlJc w:val="left"/>
      <w:pPr>
        <w:ind w:left="360" w:hanging="360"/>
      </w:pPr>
      <w:rPr>
        <w:rFonts w:ascii="Symbol" w:hAnsi="Symbol" w:hint="default"/>
      </w:rPr>
    </w:lvl>
    <w:lvl w:ilvl="1" w:tplc="7F0086BC">
      <w:start w:val="1"/>
      <w:numFmt w:val="bullet"/>
      <w:lvlText w:val="o"/>
      <w:lvlJc w:val="left"/>
      <w:pPr>
        <w:ind w:left="1080" w:hanging="360"/>
      </w:pPr>
      <w:rPr>
        <w:rFonts w:ascii="Courier New" w:hAnsi="Courier New" w:hint="default"/>
      </w:rPr>
    </w:lvl>
    <w:lvl w:ilvl="2" w:tplc="5492EAF6">
      <w:start w:val="1"/>
      <w:numFmt w:val="bullet"/>
      <w:lvlText w:val=""/>
      <w:lvlJc w:val="left"/>
      <w:pPr>
        <w:ind w:left="1800" w:hanging="360"/>
      </w:pPr>
      <w:rPr>
        <w:rFonts w:ascii="Wingdings" w:hAnsi="Wingdings" w:hint="default"/>
      </w:rPr>
    </w:lvl>
    <w:lvl w:ilvl="3" w:tplc="A7C492FA">
      <w:start w:val="1"/>
      <w:numFmt w:val="bullet"/>
      <w:lvlText w:val=""/>
      <w:lvlJc w:val="left"/>
      <w:pPr>
        <w:ind w:left="2520" w:hanging="360"/>
      </w:pPr>
      <w:rPr>
        <w:rFonts w:ascii="Symbol" w:hAnsi="Symbol" w:hint="default"/>
      </w:rPr>
    </w:lvl>
    <w:lvl w:ilvl="4" w:tplc="E800CCD4">
      <w:start w:val="1"/>
      <w:numFmt w:val="bullet"/>
      <w:lvlText w:val="o"/>
      <w:lvlJc w:val="left"/>
      <w:pPr>
        <w:ind w:left="3240" w:hanging="360"/>
      </w:pPr>
      <w:rPr>
        <w:rFonts w:ascii="Courier New" w:hAnsi="Courier New" w:hint="default"/>
      </w:rPr>
    </w:lvl>
    <w:lvl w:ilvl="5" w:tplc="9E746E8A">
      <w:start w:val="1"/>
      <w:numFmt w:val="bullet"/>
      <w:lvlText w:val=""/>
      <w:lvlJc w:val="left"/>
      <w:pPr>
        <w:ind w:left="3960" w:hanging="360"/>
      </w:pPr>
      <w:rPr>
        <w:rFonts w:ascii="Wingdings" w:hAnsi="Wingdings" w:hint="default"/>
      </w:rPr>
    </w:lvl>
    <w:lvl w:ilvl="6" w:tplc="20CC8A42">
      <w:start w:val="1"/>
      <w:numFmt w:val="bullet"/>
      <w:lvlText w:val=""/>
      <w:lvlJc w:val="left"/>
      <w:pPr>
        <w:ind w:left="4680" w:hanging="360"/>
      </w:pPr>
      <w:rPr>
        <w:rFonts w:ascii="Symbol" w:hAnsi="Symbol" w:hint="default"/>
      </w:rPr>
    </w:lvl>
    <w:lvl w:ilvl="7" w:tplc="6E7E6B2A">
      <w:start w:val="1"/>
      <w:numFmt w:val="bullet"/>
      <w:lvlText w:val="o"/>
      <w:lvlJc w:val="left"/>
      <w:pPr>
        <w:ind w:left="5400" w:hanging="360"/>
      </w:pPr>
      <w:rPr>
        <w:rFonts w:ascii="Courier New" w:hAnsi="Courier New" w:hint="default"/>
      </w:rPr>
    </w:lvl>
    <w:lvl w:ilvl="8" w:tplc="CD04B684">
      <w:start w:val="1"/>
      <w:numFmt w:val="bullet"/>
      <w:lvlText w:val=""/>
      <w:lvlJc w:val="left"/>
      <w:pPr>
        <w:ind w:left="6120" w:hanging="360"/>
      </w:pPr>
      <w:rPr>
        <w:rFonts w:ascii="Wingdings" w:hAnsi="Wingdings" w:hint="default"/>
      </w:rPr>
    </w:lvl>
  </w:abstractNum>
  <w:abstractNum w:abstractNumId="84" w15:restartNumberingAfterBreak="0">
    <w:nsid w:val="28D94999"/>
    <w:multiLevelType w:val="hybridMultilevel"/>
    <w:tmpl w:val="FFFFFFFF"/>
    <w:lvl w:ilvl="0" w:tplc="6D2E19CE">
      <w:start w:val="1"/>
      <w:numFmt w:val="bullet"/>
      <w:lvlText w:val="·"/>
      <w:lvlJc w:val="left"/>
      <w:pPr>
        <w:ind w:left="720" w:hanging="360"/>
      </w:pPr>
      <w:rPr>
        <w:rFonts w:ascii="Symbol" w:hAnsi="Symbol" w:hint="default"/>
      </w:rPr>
    </w:lvl>
    <w:lvl w:ilvl="1" w:tplc="773A8C0E">
      <w:start w:val="1"/>
      <w:numFmt w:val="bullet"/>
      <w:lvlText w:val="o"/>
      <w:lvlJc w:val="left"/>
      <w:pPr>
        <w:ind w:left="1440" w:hanging="360"/>
      </w:pPr>
      <w:rPr>
        <w:rFonts w:ascii="Courier New" w:hAnsi="Courier New" w:hint="default"/>
      </w:rPr>
    </w:lvl>
    <w:lvl w:ilvl="2" w:tplc="9B22DB34">
      <w:start w:val="1"/>
      <w:numFmt w:val="bullet"/>
      <w:lvlText w:val=""/>
      <w:lvlJc w:val="left"/>
      <w:pPr>
        <w:ind w:left="2160" w:hanging="360"/>
      </w:pPr>
      <w:rPr>
        <w:rFonts w:ascii="Wingdings" w:hAnsi="Wingdings" w:hint="default"/>
      </w:rPr>
    </w:lvl>
    <w:lvl w:ilvl="3" w:tplc="1166C3EA">
      <w:start w:val="1"/>
      <w:numFmt w:val="bullet"/>
      <w:lvlText w:val=""/>
      <w:lvlJc w:val="left"/>
      <w:pPr>
        <w:ind w:left="2880" w:hanging="360"/>
      </w:pPr>
      <w:rPr>
        <w:rFonts w:ascii="Symbol" w:hAnsi="Symbol" w:hint="default"/>
      </w:rPr>
    </w:lvl>
    <w:lvl w:ilvl="4" w:tplc="9FECC55E">
      <w:start w:val="1"/>
      <w:numFmt w:val="bullet"/>
      <w:lvlText w:val="o"/>
      <w:lvlJc w:val="left"/>
      <w:pPr>
        <w:ind w:left="3600" w:hanging="360"/>
      </w:pPr>
      <w:rPr>
        <w:rFonts w:ascii="Courier New" w:hAnsi="Courier New" w:hint="default"/>
      </w:rPr>
    </w:lvl>
    <w:lvl w:ilvl="5" w:tplc="32A66B5E">
      <w:start w:val="1"/>
      <w:numFmt w:val="bullet"/>
      <w:lvlText w:val=""/>
      <w:lvlJc w:val="left"/>
      <w:pPr>
        <w:ind w:left="4320" w:hanging="360"/>
      </w:pPr>
      <w:rPr>
        <w:rFonts w:ascii="Wingdings" w:hAnsi="Wingdings" w:hint="default"/>
      </w:rPr>
    </w:lvl>
    <w:lvl w:ilvl="6" w:tplc="5E6268DC">
      <w:start w:val="1"/>
      <w:numFmt w:val="bullet"/>
      <w:lvlText w:val=""/>
      <w:lvlJc w:val="left"/>
      <w:pPr>
        <w:ind w:left="5040" w:hanging="360"/>
      </w:pPr>
      <w:rPr>
        <w:rFonts w:ascii="Symbol" w:hAnsi="Symbol" w:hint="default"/>
      </w:rPr>
    </w:lvl>
    <w:lvl w:ilvl="7" w:tplc="1C9AADCE">
      <w:start w:val="1"/>
      <w:numFmt w:val="bullet"/>
      <w:lvlText w:val="o"/>
      <w:lvlJc w:val="left"/>
      <w:pPr>
        <w:ind w:left="5760" w:hanging="360"/>
      </w:pPr>
      <w:rPr>
        <w:rFonts w:ascii="Courier New" w:hAnsi="Courier New" w:hint="default"/>
      </w:rPr>
    </w:lvl>
    <w:lvl w:ilvl="8" w:tplc="28E89DD2">
      <w:start w:val="1"/>
      <w:numFmt w:val="bullet"/>
      <w:lvlText w:val=""/>
      <w:lvlJc w:val="left"/>
      <w:pPr>
        <w:ind w:left="6480" w:hanging="360"/>
      </w:pPr>
      <w:rPr>
        <w:rFonts w:ascii="Wingdings" w:hAnsi="Wingdings" w:hint="default"/>
      </w:rPr>
    </w:lvl>
  </w:abstractNum>
  <w:abstractNum w:abstractNumId="85" w15:restartNumberingAfterBreak="0">
    <w:nsid w:val="29C077D9"/>
    <w:multiLevelType w:val="hybridMultilevel"/>
    <w:tmpl w:val="DB923068"/>
    <w:lvl w:ilvl="0" w:tplc="85CC68A2">
      <w:start w:val="52"/>
      <w:numFmt w:val="decimal"/>
      <w:lvlText w:val="%1."/>
      <w:lvlJc w:val="left"/>
      <w:pPr>
        <w:ind w:left="928" w:hanging="360"/>
      </w:pPr>
      <w:rPr>
        <w:rFonts w:hint="default"/>
        <w:strike w:val="0"/>
        <w:color w:val="0070C0"/>
      </w:rPr>
    </w:lvl>
    <w:lvl w:ilvl="1" w:tplc="08090019">
      <w:start w:val="1"/>
      <w:numFmt w:val="lowerLetter"/>
      <w:lvlText w:val="%2."/>
      <w:lvlJc w:val="left"/>
      <w:pPr>
        <w:ind w:left="1648" w:hanging="360"/>
      </w:pPr>
    </w:lvl>
    <w:lvl w:ilvl="2" w:tplc="0809001B" w:tentative="1">
      <w:start w:val="1"/>
      <w:numFmt w:val="lowerRoman"/>
      <w:lvlText w:val="%3."/>
      <w:lvlJc w:val="right"/>
      <w:pPr>
        <w:ind w:left="2368" w:hanging="180"/>
      </w:pPr>
    </w:lvl>
    <w:lvl w:ilvl="3" w:tplc="0809000F" w:tentative="1">
      <w:start w:val="1"/>
      <w:numFmt w:val="decimal"/>
      <w:lvlText w:val="%4."/>
      <w:lvlJc w:val="left"/>
      <w:pPr>
        <w:ind w:left="3088" w:hanging="360"/>
      </w:pPr>
    </w:lvl>
    <w:lvl w:ilvl="4" w:tplc="08090019" w:tentative="1">
      <w:start w:val="1"/>
      <w:numFmt w:val="lowerLetter"/>
      <w:lvlText w:val="%5."/>
      <w:lvlJc w:val="left"/>
      <w:pPr>
        <w:ind w:left="3808" w:hanging="360"/>
      </w:pPr>
    </w:lvl>
    <w:lvl w:ilvl="5" w:tplc="0809001B" w:tentative="1">
      <w:start w:val="1"/>
      <w:numFmt w:val="lowerRoman"/>
      <w:lvlText w:val="%6."/>
      <w:lvlJc w:val="right"/>
      <w:pPr>
        <w:ind w:left="4528" w:hanging="180"/>
      </w:pPr>
    </w:lvl>
    <w:lvl w:ilvl="6" w:tplc="0809000F" w:tentative="1">
      <w:start w:val="1"/>
      <w:numFmt w:val="decimal"/>
      <w:lvlText w:val="%7."/>
      <w:lvlJc w:val="left"/>
      <w:pPr>
        <w:ind w:left="5248" w:hanging="360"/>
      </w:pPr>
    </w:lvl>
    <w:lvl w:ilvl="7" w:tplc="08090019" w:tentative="1">
      <w:start w:val="1"/>
      <w:numFmt w:val="lowerLetter"/>
      <w:lvlText w:val="%8."/>
      <w:lvlJc w:val="left"/>
      <w:pPr>
        <w:ind w:left="5968" w:hanging="360"/>
      </w:pPr>
    </w:lvl>
    <w:lvl w:ilvl="8" w:tplc="0809001B" w:tentative="1">
      <w:start w:val="1"/>
      <w:numFmt w:val="lowerRoman"/>
      <w:lvlText w:val="%9."/>
      <w:lvlJc w:val="right"/>
      <w:pPr>
        <w:ind w:left="6688" w:hanging="180"/>
      </w:pPr>
    </w:lvl>
  </w:abstractNum>
  <w:abstractNum w:abstractNumId="86" w15:restartNumberingAfterBreak="0">
    <w:nsid w:val="2A1529A7"/>
    <w:multiLevelType w:val="hybridMultilevel"/>
    <w:tmpl w:val="FFFFFFFF"/>
    <w:lvl w:ilvl="0" w:tplc="50C28FAA">
      <w:start w:val="1"/>
      <w:numFmt w:val="decimal"/>
      <w:lvlText w:val="%1."/>
      <w:lvlJc w:val="left"/>
      <w:pPr>
        <w:ind w:left="720" w:hanging="360"/>
      </w:pPr>
    </w:lvl>
    <w:lvl w:ilvl="1" w:tplc="13C84BD0">
      <w:start w:val="1"/>
      <w:numFmt w:val="lowerLetter"/>
      <w:lvlText w:val="%2."/>
      <w:lvlJc w:val="left"/>
      <w:pPr>
        <w:ind w:left="1440" w:hanging="360"/>
      </w:pPr>
    </w:lvl>
    <w:lvl w:ilvl="2" w:tplc="CF7ED2DE">
      <w:start w:val="1"/>
      <w:numFmt w:val="lowerRoman"/>
      <w:lvlText w:val="%3."/>
      <w:lvlJc w:val="right"/>
      <w:pPr>
        <w:ind w:left="2160" w:hanging="180"/>
      </w:pPr>
    </w:lvl>
    <w:lvl w:ilvl="3" w:tplc="330A7E6E">
      <w:start w:val="1"/>
      <w:numFmt w:val="decimal"/>
      <w:lvlText w:val="%4."/>
      <w:lvlJc w:val="left"/>
      <w:pPr>
        <w:ind w:left="2880" w:hanging="360"/>
      </w:pPr>
    </w:lvl>
    <w:lvl w:ilvl="4" w:tplc="9F1EAED2">
      <w:start w:val="1"/>
      <w:numFmt w:val="lowerLetter"/>
      <w:lvlText w:val="%5."/>
      <w:lvlJc w:val="left"/>
      <w:pPr>
        <w:ind w:left="3600" w:hanging="360"/>
      </w:pPr>
    </w:lvl>
    <w:lvl w:ilvl="5" w:tplc="3B00F04E">
      <w:start w:val="1"/>
      <w:numFmt w:val="lowerRoman"/>
      <w:lvlText w:val="%6."/>
      <w:lvlJc w:val="right"/>
      <w:pPr>
        <w:ind w:left="4320" w:hanging="180"/>
      </w:pPr>
    </w:lvl>
    <w:lvl w:ilvl="6" w:tplc="792ADCD8">
      <w:start w:val="1"/>
      <w:numFmt w:val="decimal"/>
      <w:lvlText w:val="%7."/>
      <w:lvlJc w:val="left"/>
      <w:pPr>
        <w:ind w:left="5040" w:hanging="360"/>
      </w:pPr>
    </w:lvl>
    <w:lvl w:ilvl="7" w:tplc="EC564EB4">
      <w:start w:val="1"/>
      <w:numFmt w:val="lowerLetter"/>
      <w:lvlText w:val="%8."/>
      <w:lvlJc w:val="left"/>
      <w:pPr>
        <w:ind w:left="5760" w:hanging="360"/>
      </w:pPr>
    </w:lvl>
    <w:lvl w:ilvl="8" w:tplc="DC183204">
      <w:start w:val="1"/>
      <w:numFmt w:val="lowerRoman"/>
      <w:lvlText w:val="%9."/>
      <w:lvlJc w:val="right"/>
      <w:pPr>
        <w:ind w:left="6480" w:hanging="180"/>
      </w:pPr>
    </w:lvl>
  </w:abstractNum>
  <w:abstractNum w:abstractNumId="87" w15:restartNumberingAfterBreak="0">
    <w:nsid w:val="2B2B3A92"/>
    <w:multiLevelType w:val="singleLevel"/>
    <w:tmpl w:val="73D64A0E"/>
    <w:name w:val="Considérant__1"/>
    <w:lvl w:ilvl="0">
      <w:numFmt w:val="decimal"/>
      <w:lvlRestart w:val="0"/>
      <w:pStyle w:val="Considrant"/>
      <w:lvlText w:val="(%1)"/>
      <w:lvlJc w:val="left"/>
    </w:lvl>
  </w:abstractNum>
  <w:abstractNum w:abstractNumId="88" w15:restartNumberingAfterBreak="0">
    <w:nsid w:val="2BF476F4"/>
    <w:multiLevelType w:val="hybridMultilevel"/>
    <w:tmpl w:val="FFFFFFFF"/>
    <w:lvl w:ilvl="0" w:tplc="74428578">
      <w:start w:val="1"/>
      <w:numFmt w:val="decimal"/>
      <w:lvlText w:val="%1."/>
      <w:lvlJc w:val="left"/>
      <w:pPr>
        <w:ind w:left="720" w:hanging="360"/>
      </w:pPr>
    </w:lvl>
    <w:lvl w:ilvl="1" w:tplc="D278D5AE">
      <w:start w:val="1"/>
      <w:numFmt w:val="decimal"/>
      <w:lvlText w:val="%2."/>
      <w:lvlJc w:val="left"/>
      <w:pPr>
        <w:ind w:left="1440" w:hanging="360"/>
      </w:pPr>
    </w:lvl>
    <w:lvl w:ilvl="2" w:tplc="232A8F0E">
      <w:start w:val="1"/>
      <w:numFmt w:val="lowerRoman"/>
      <w:lvlText w:val="%3."/>
      <w:lvlJc w:val="right"/>
      <w:pPr>
        <w:ind w:left="2160" w:hanging="180"/>
      </w:pPr>
    </w:lvl>
    <w:lvl w:ilvl="3" w:tplc="97CC083E">
      <w:start w:val="1"/>
      <w:numFmt w:val="decimal"/>
      <w:lvlText w:val="%4."/>
      <w:lvlJc w:val="left"/>
      <w:pPr>
        <w:ind w:left="2880" w:hanging="360"/>
      </w:pPr>
    </w:lvl>
    <w:lvl w:ilvl="4" w:tplc="8FA06958">
      <w:start w:val="1"/>
      <w:numFmt w:val="lowerLetter"/>
      <w:lvlText w:val="%5."/>
      <w:lvlJc w:val="left"/>
      <w:pPr>
        <w:ind w:left="3600" w:hanging="360"/>
      </w:pPr>
    </w:lvl>
    <w:lvl w:ilvl="5" w:tplc="EA567478">
      <w:start w:val="1"/>
      <w:numFmt w:val="lowerRoman"/>
      <w:lvlText w:val="%6."/>
      <w:lvlJc w:val="right"/>
      <w:pPr>
        <w:ind w:left="4320" w:hanging="180"/>
      </w:pPr>
    </w:lvl>
    <w:lvl w:ilvl="6" w:tplc="9E441F5A">
      <w:start w:val="1"/>
      <w:numFmt w:val="decimal"/>
      <w:lvlText w:val="%7."/>
      <w:lvlJc w:val="left"/>
      <w:pPr>
        <w:ind w:left="5040" w:hanging="360"/>
      </w:pPr>
    </w:lvl>
    <w:lvl w:ilvl="7" w:tplc="2E364518">
      <w:start w:val="1"/>
      <w:numFmt w:val="lowerLetter"/>
      <w:lvlText w:val="%8."/>
      <w:lvlJc w:val="left"/>
      <w:pPr>
        <w:ind w:left="5760" w:hanging="360"/>
      </w:pPr>
    </w:lvl>
    <w:lvl w:ilvl="8" w:tplc="3E2EC61E">
      <w:start w:val="1"/>
      <w:numFmt w:val="lowerRoman"/>
      <w:lvlText w:val="%9."/>
      <w:lvlJc w:val="right"/>
      <w:pPr>
        <w:ind w:left="6480" w:hanging="180"/>
      </w:pPr>
    </w:lvl>
  </w:abstractNum>
  <w:abstractNum w:abstractNumId="89" w15:restartNumberingAfterBreak="0">
    <w:nsid w:val="2BF9317B"/>
    <w:multiLevelType w:val="hybridMultilevel"/>
    <w:tmpl w:val="E4181FC4"/>
    <w:lvl w:ilvl="0" w:tplc="08090001">
      <w:start w:val="1"/>
      <w:numFmt w:val="bullet"/>
      <w:lvlText w:val=""/>
      <w:lvlJc w:val="left"/>
      <w:pPr>
        <w:ind w:left="1077" w:hanging="360"/>
      </w:pPr>
      <w:rPr>
        <w:rFonts w:ascii="Symbol" w:hAnsi="Symbol" w:hint="default"/>
      </w:rPr>
    </w:lvl>
    <w:lvl w:ilvl="1" w:tplc="08090003" w:tentative="1">
      <w:start w:val="1"/>
      <w:numFmt w:val="bullet"/>
      <w:lvlText w:val="o"/>
      <w:lvlJc w:val="left"/>
      <w:pPr>
        <w:ind w:left="1797" w:hanging="360"/>
      </w:pPr>
      <w:rPr>
        <w:rFonts w:ascii="Courier New" w:hAnsi="Courier New" w:cs="Courier New" w:hint="default"/>
      </w:rPr>
    </w:lvl>
    <w:lvl w:ilvl="2" w:tplc="08090005" w:tentative="1">
      <w:start w:val="1"/>
      <w:numFmt w:val="bullet"/>
      <w:lvlText w:val=""/>
      <w:lvlJc w:val="left"/>
      <w:pPr>
        <w:ind w:left="2517" w:hanging="360"/>
      </w:pPr>
      <w:rPr>
        <w:rFonts w:ascii="Wingdings" w:hAnsi="Wingdings" w:hint="default"/>
      </w:rPr>
    </w:lvl>
    <w:lvl w:ilvl="3" w:tplc="08090001" w:tentative="1">
      <w:start w:val="1"/>
      <w:numFmt w:val="bullet"/>
      <w:lvlText w:val=""/>
      <w:lvlJc w:val="left"/>
      <w:pPr>
        <w:ind w:left="3237" w:hanging="360"/>
      </w:pPr>
      <w:rPr>
        <w:rFonts w:ascii="Symbol" w:hAnsi="Symbol" w:hint="default"/>
      </w:rPr>
    </w:lvl>
    <w:lvl w:ilvl="4" w:tplc="08090003" w:tentative="1">
      <w:start w:val="1"/>
      <w:numFmt w:val="bullet"/>
      <w:lvlText w:val="o"/>
      <w:lvlJc w:val="left"/>
      <w:pPr>
        <w:ind w:left="3957" w:hanging="360"/>
      </w:pPr>
      <w:rPr>
        <w:rFonts w:ascii="Courier New" w:hAnsi="Courier New" w:cs="Courier New" w:hint="default"/>
      </w:rPr>
    </w:lvl>
    <w:lvl w:ilvl="5" w:tplc="08090005" w:tentative="1">
      <w:start w:val="1"/>
      <w:numFmt w:val="bullet"/>
      <w:lvlText w:val=""/>
      <w:lvlJc w:val="left"/>
      <w:pPr>
        <w:ind w:left="4677" w:hanging="360"/>
      </w:pPr>
      <w:rPr>
        <w:rFonts w:ascii="Wingdings" w:hAnsi="Wingdings" w:hint="default"/>
      </w:rPr>
    </w:lvl>
    <w:lvl w:ilvl="6" w:tplc="08090001" w:tentative="1">
      <w:start w:val="1"/>
      <w:numFmt w:val="bullet"/>
      <w:lvlText w:val=""/>
      <w:lvlJc w:val="left"/>
      <w:pPr>
        <w:ind w:left="5397" w:hanging="360"/>
      </w:pPr>
      <w:rPr>
        <w:rFonts w:ascii="Symbol" w:hAnsi="Symbol" w:hint="default"/>
      </w:rPr>
    </w:lvl>
    <w:lvl w:ilvl="7" w:tplc="08090003" w:tentative="1">
      <w:start w:val="1"/>
      <w:numFmt w:val="bullet"/>
      <w:lvlText w:val="o"/>
      <w:lvlJc w:val="left"/>
      <w:pPr>
        <w:ind w:left="6117" w:hanging="360"/>
      </w:pPr>
      <w:rPr>
        <w:rFonts w:ascii="Courier New" w:hAnsi="Courier New" w:cs="Courier New" w:hint="default"/>
      </w:rPr>
    </w:lvl>
    <w:lvl w:ilvl="8" w:tplc="08090005" w:tentative="1">
      <w:start w:val="1"/>
      <w:numFmt w:val="bullet"/>
      <w:lvlText w:val=""/>
      <w:lvlJc w:val="left"/>
      <w:pPr>
        <w:ind w:left="6837" w:hanging="360"/>
      </w:pPr>
      <w:rPr>
        <w:rFonts w:ascii="Wingdings" w:hAnsi="Wingdings" w:hint="default"/>
      </w:rPr>
    </w:lvl>
  </w:abstractNum>
  <w:abstractNum w:abstractNumId="90" w15:restartNumberingAfterBreak="0">
    <w:nsid w:val="2C4805AA"/>
    <w:multiLevelType w:val="hybridMultilevel"/>
    <w:tmpl w:val="13BC8864"/>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1" w15:restartNumberingAfterBreak="0">
    <w:nsid w:val="2C5A278D"/>
    <w:multiLevelType w:val="hybridMultilevel"/>
    <w:tmpl w:val="DB923068"/>
    <w:lvl w:ilvl="0" w:tplc="85CC68A2">
      <w:start w:val="52"/>
      <w:numFmt w:val="decimal"/>
      <w:lvlText w:val="%1."/>
      <w:lvlJc w:val="left"/>
      <w:pPr>
        <w:ind w:left="928" w:hanging="360"/>
      </w:pPr>
      <w:rPr>
        <w:rFonts w:hint="default"/>
        <w:strike w:val="0"/>
        <w:color w:val="0070C0"/>
      </w:rPr>
    </w:lvl>
    <w:lvl w:ilvl="1" w:tplc="08090019">
      <w:start w:val="1"/>
      <w:numFmt w:val="lowerLetter"/>
      <w:lvlText w:val="%2."/>
      <w:lvlJc w:val="left"/>
      <w:pPr>
        <w:ind w:left="1648" w:hanging="360"/>
      </w:pPr>
    </w:lvl>
    <w:lvl w:ilvl="2" w:tplc="0809001B" w:tentative="1">
      <w:start w:val="1"/>
      <w:numFmt w:val="lowerRoman"/>
      <w:lvlText w:val="%3."/>
      <w:lvlJc w:val="right"/>
      <w:pPr>
        <w:ind w:left="2368" w:hanging="180"/>
      </w:pPr>
    </w:lvl>
    <w:lvl w:ilvl="3" w:tplc="0809000F" w:tentative="1">
      <w:start w:val="1"/>
      <w:numFmt w:val="decimal"/>
      <w:lvlText w:val="%4."/>
      <w:lvlJc w:val="left"/>
      <w:pPr>
        <w:ind w:left="3088" w:hanging="360"/>
      </w:pPr>
    </w:lvl>
    <w:lvl w:ilvl="4" w:tplc="08090019" w:tentative="1">
      <w:start w:val="1"/>
      <w:numFmt w:val="lowerLetter"/>
      <w:lvlText w:val="%5."/>
      <w:lvlJc w:val="left"/>
      <w:pPr>
        <w:ind w:left="3808" w:hanging="360"/>
      </w:pPr>
    </w:lvl>
    <w:lvl w:ilvl="5" w:tplc="0809001B" w:tentative="1">
      <w:start w:val="1"/>
      <w:numFmt w:val="lowerRoman"/>
      <w:lvlText w:val="%6."/>
      <w:lvlJc w:val="right"/>
      <w:pPr>
        <w:ind w:left="4528" w:hanging="180"/>
      </w:pPr>
    </w:lvl>
    <w:lvl w:ilvl="6" w:tplc="0809000F" w:tentative="1">
      <w:start w:val="1"/>
      <w:numFmt w:val="decimal"/>
      <w:lvlText w:val="%7."/>
      <w:lvlJc w:val="left"/>
      <w:pPr>
        <w:ind w:left="5248" w:hanging="360"/>
      </w:pPr>
    </w:lvl>
    <w:lvl w:ilvl="7" w:tplc="08090019" w:tentative="1">
      <w:start w:val="1"/>
      <w:numFmt w:val="lowerLetter"/>
      <w:lvlText w:val="%8."/>
      <w:lvlJc w:val="left"/>
      <w:pPr>
        <w:ind w:left="5968" w:hanging="360"/>
      </w:pPr>
    </w:lvl>
    <w:lvl w:ilvl="8" w:tplc="0809001B" w:tentative="1">
      <w:start w:val="1"/>
      <w:numFmt w:val="lowerRoman"/>
      <w:lvlText w:val="%9."/>
      <w:lvlJc w:val="right"/>
      <w:pPr>
        <w:ind w:left="6688" w:hanging="180"/>
      </w:pPr>
    </w:lvl>
  </w:abstractNum>
  <w:abstractNum w:abstractNumId="92" w15:restartNumberingAfterBreak="0">
    <w:nsid w:val="2D0B464E"/>
    <w:multiLevelType w:val="multilevel"/>
    <w:tmpl w:val="D26C2EE4"/>
    <w:lvl w:ilvl="0">
      <w:start w:val="1"/>
      <w:numFmt w:val="decimal"/>
      <w:lvlText w:val="%1."/>
      <w:lvlJc w:val="left"/>
      <w:pPr>
        <w:ind w:left="0" w:firstLine="0"/>
      </w:pPr>
      <w:rPr>
        <w:rFonts w:hint="default"/>
      </w:rPr>
    </w:lvl>
    <w:lvl w:ilvl="1">
      <w:start w:val="1"/>
      <w:numFmt w:val="decimal"/>
      <w:lvlText w:val="%1.%2"/>
      <w:lvlJc w:val="left"/>
      <w:pPr>
        <w:ind w:left="0" w:firstLine="0"/>
      </w:pPr>
      <w:rPr>
        <w:rFonts w:hint="default"/>
      </w:rPr>
    </w:lvl>
    <w:lvl w:ilvl="2">
      <w:start w:val="1"/>
      <w:numFmt w:val="decimal"/>
      <w:lvlText w:val="1.%1.%3"/>
      <w:lvlJc w:val="left"/>
      <w:pPr>
        <w:ind w:left="720" w:hanging="432"/>
      </w:pPr>
      <w:rPr>
        <w:rFonts w:hint="default"/>
      </w:rPr>
    </w:lvl>
    <w:lvl w:ilvl="3">
      <w:start w:val="1"/>
      <w:numFmt w:val="lowerRoman"/>
      <w:pStyle w:val="Heading4"/>
      <w:lvlText w:val="(%4)"/>
      <w:lvlJc w:val="right"/>
      <w:pPr>
        <w:ind w:left="864" w:hanging="144"/>
      </w:pPr>
      <w:rPr>
        <w:rFonts w:hint="default"/>
      </w:rPr>
    </w:lvl>
    <w:lvl w:ilvl="4">
      <w:start w:val="1"/>
      <w:numFmt w:val="decimal"/>
      <w:lvlText w:val="%5)"/>
      <w:lvlJc w:val="left"/>
      <w:pPr>
        <w:ind w:left="1008" w:hanging="432"/>
      </w:pPr>
      <w:rPr>
        <w:rFonts w:hint="default"/>
      </w:rPr>
    </w:lvl>
    <w:lvl w:ilvl="5">
      <w:start w:val="1"/>
      <w:numFmt w:val="lowerLetter"/>
      <w:pStyle w:val="Heading6"/>
      <w:lvlText w:val="%6)"/>
      <w:lvlJc w:val="left"/>
      <w:pPr>
        <w:ind w:left="1152" w:hanging="432"/>
      </w:pPr>
      <w:rPr>
        <w:rFonts w:hint="default"/>
      </w:rPr>
    </w:lvl>
    <w:lvl w:ilvl="6">
      <w:start w:val="1"/>
      <w:numFmt w:val="lowerRoman"/>
      <w:pStyle w:val="Heading7"/>
      <w:lvlText w:val="%7)"/>
      <w:lvlJc w:val="right"/>
      <w:pPr>
        <w:ind w:left="1296" w:hanging="288"/>
      </w:pPr>
      <w:rPr>
        <w:rFonts w:hint="default"/>
      </w:rPr>
    </w:lvl>
    <w:lvl w:ilvl="7">
      <w:start w:val="1"/>
      <w:numFmt w:val="lowerLetter"/>
      <w:pStyle w:val="Heading8"/>
      <w:lvlText w:val="%8."/>
      <w:lvlJc w:val="left"/>
      <w:pPr>
        <w:ind w:left="1440" w:hanging="432"/>
      </w:pPr>
      <w:rPr>
        <w:rFonts w:hint="default"/>
      </w:rPr>
    </w:lvl>
    <w:lvl w:ilvl="8">
      <w:start w:val="1"/>
      <w:numFmt w:val="lowerRoman"/>
      <w:pStyle w:val="Heading9"/>
      <w:lvlText w:val="%9."/>
      <w:lvlJc w:val="right"/>
      <w:pPr>
        <w:ind w:left="1584" w:hanging="144"/>
      </w:pPr>
      <w:rPr>
        <w:rFonts w:hint="default"/>
      </w:rPr>
    </w:lvl>
  </w:abstractNum>
  <w:abstractNum w:abstractNumId="93" w15:restartNumberingAfterBreak="0">
    <w:nsid w:val="2DB3766B"/>
    <w:multiLevelType w:val="hybridMultilevel"/>
    <w:tmpl w:val="97042486"/>
    <w:lvl w:ilvl="0" w:tplc="774C26FC">
      <w:start w:val="1"/>
      <w:numFmt w:val="bullet"/>
      <w:lvlText w:val=""/>
      <w:lvlJc w:val="left"/>
      <w:pPr>
        <w:ind w:left="720" w:hanging="360"/>
      </w:pPr>
      <w:rPr>
        <w:rFonts w:ascii="Symbol" w:hAnsi="Symbol" w:hint="default"/>
      </w:rPr>
    </w:lvl>
    <w:lvl w:ilvl="1" w:tplc="EB386178">
      <w:start w:val="1"/>
      <w:numFmt w:val="bullet"/>
      <w:lvlText w:val="o"/>
      <w:lvlJc w:val="left"/>
      <w:pPr>
        <w:ind w:left="1440" w:hanging="360"/>
      </w:pPr>
      <w:rPr>
        <w:rFonts w:ascii="Courier New" w:hAnsi="Courier New" w:hint="default"/>
      </w:rPr>
    </w:lvl>
    <w:lvl w:ilvl="2" w:tplc="90883240">
      <w:start w:val="1"/>
      <w:numFmt w:val="bullet"/>
      <w:lvlText w:val=""/>
      <w:lvlJc w:val="left"/>
      <w:pPr>
        <w:ind w:left="2160" w:hanging="360"/>
      </w:pPr>
      <w:rPr>
        <w:rFonts w:ascii="Wingdings" w:hAnsi="Wingdings" w:hint="default"/>
      </w:rPr>
    </w:lvl>
    <w:lvl w:ilvl="3" w:tplc="3C12CF16">
      <w:start w:val="1"/>
      <w:numFmt w:val="bullet"/>
      <w:lvlText w:val=""/>
      <w:lvlJc w:val="left"/>
      <w:pPr>
        <w:ind w:left="2880" w:hanging="360"/>
      </w:pPr>
      <w:rPr>
        <w:rFonts w:ascii="Symbol" w:hAnsi="Symbol" w:hint="default"/>
      </w:rPr>
    </w:lvl>
    <w:lvl w:ilvl="4" w:tplc="0E52CE62">
      <w:start w:val="1"/>
      <w:numFmt w:val="bullet"/>
      <w:lvlText w:val="o"/>
      <w:lvlJc w:val="left"/>
      <w:pPr>
        <w:ind w:left="3600" w:hanging="360"/>
      </w:pPr>
      <w:rPr>
        <w:rFonts w:ascii="Courier New" w:hAnsi="Courier New" w:hint="default"/>
      </w:rPr>
    </w:lvl>
    <w:lvl w:ilvl="5" w:tplc="2EBC503E">
      <w:start w:val="1"/>
      <w:numFmt w:val="bullet"/>
      <w:lvlText w:val=""/>
      <w:lvlJc w:val="left"/>
      <w:pPr>
        <w:ind w:left="4320" w:hanging="360"/>
      </w:pPr>
      <w:rPr>
        <w:rFonts w:ascii="Wingdings" w:hAnsi="Wingdings" w:hint="default"/>
      </w:rPr>
    </w:lvl>
    <w:lvl w:ilvl="6" w:tplc="F4782856">
      <w:start w:val="1"/>
      <w:numFmt w:val="bullet"/>
      <w:lvlText w:val=""/>
      <w:lvlJc w:val="left"/>
      <w:pPr>
        <w:ind w:left="5040" w:hanging="360"/>
      </w:pPr>
      <w:rPr>
        <w:rFonts w:ascii="Symbol" w:hAnsi="Symbol" w:hint="default"/>
      </w:rPr>
    </w:lvl>
    <w:lvl w:ilvl="7" w:tplc="DD7458B2">
      <w:start w:val="1"/>
      <w:numFmt w:val="bullet"/>
      <w:lvlText w:val="o"/>
      <w:lvlJc w:val="left"/>
      <w:pPr>
        <w:ind w:left="5760" w:hanging="360"/>
      </w:pPr>
      <w:rPr>
        <w:rFonts w:ascii="Courier New" w:hAnsi="Courier New" w:hint="default"/>
      </w:rPr>
    </w:lvl>
    <w:lvl w:ilvl="8" w:tplc="308261DC">
      <w:start w:val="1"/>
      <w:numFmt w:val="bullet"/>
      <w:lvlText w:val=""/>
      <w:lvlJc w:val="left"/>
      <w:pPr>
        <w:ind w:left="6480" w:hanging="360"/>
      </w:pPr>
      <w:rPr>
        <w:rFonts w:ascii="Wingdings" w:hAnsi="Wingdings" w:hint="default"/>
      </w:rPr>
    </w:lvl>
  </w:abstractNum>
  <w:abstractNum w:abstractNumId="94" w15:restartNumberingAfterBreak="0">
    <w:nsid w:val="2DFE1B6D"/>
    <w:multiLevelType w:val="hybridMultilevel"/>
    <w:tmpl w:val="FFFFFFFF"/>
    <w:lvl w:ilvl="0" w:tplc="DAFC8306">
      <w:start w:val="1"/>
      <w:numFmt w:val="decimal"/>
      <w:lvlText w:val="%1."/>
      <w:lvlJc w:val="left"/>
      <w:pPr>
        <w:ind w:left="720" w:hanging="360"/>
      </w:pPr>
    </w:lvl>
    <w:lvl w:ilvl="1" w:tplc="E28EDC2C">
      <w:start w:val="1"/>
      <w:numFmt w:val="decimal"/>
      <w:lvlText w:val="%2."/>
      <w:lvlJc w:val="left"/>
      <w:pPr>
        <w:ind w:left="1440" w:hanging="360"/>
      </w:pPr>
    </w:lvl>
    <w:lvl w:ilvl="2" w:tplc="0C86BE7C">
      <w:start w:val="1"/>
      <w:numFmt w:val="lowerRoman"/>
      <w:lvlText w:val="%3."/>
      <w:lvlJc w:val="right"/>
      <w:pPr>
        <w:ind w:left="2160" w:hanging="180"/>
      </w:pPr>
    </w:lvl>
    <w:lvl w:ilvl="3" w:tplc="1474FD26">
      <w:start w:val="1"/>
      <w:numFmt w:val="decimal"/>
      <w:lvlText w:val="%4."/>
      <w:lvlJc w:val="left"/>
      <w:pPr>
        <w:ind w:left="2880" w:hanging="360"/>
      </w:pPr>
    </w:lvl>
    <w:lvl w:ilvl="4" w:tplc="214CC980">
      <w:start w:val="1"/>
      <w:numFmt w:val="lowerLetter"/>
      <w:lvlText w:val="%5."/>
      <w:lvlJc w:val="left"/>
      <w:pPr>
        <w:ind w:left="3600" w:hanging="360"/>
      </w:pPr>
    </w:lvl>
    <w:lvl w:ilvl="5" w:tplc="D16EF208">
      <w:start w:val="1"/>
      <w:numFmt w:val="lowerRoman"/>
      <w:lvlText w:val="%6."/>
      <w:lvlJc w:val="right"/>
      <w:pPr>
        <w:ind w:left="4320" w:hanging="180"/>
      </w:pPr>
    </w:lvl>
    <w:lvl w:ilvl="6" w:tplc="BDEA5A90">
      <w:start w:val="1"/>
      <w:numFmt w:val="decimal"/>
      <w:lvlText w:val="%7."/>
      <w:lvlJc w:val="left"/>
      <w:pPr>
        <w:ind w:left="5040" w:hanging="360"/>
      </w:pPr>
    </w:lvl>
    <w:lvl w:ilvl="7" w:tplc="A8624AA4">
      <w:start w:val="1"/>
      <w:numFmt w:val="lowerLetter"/>
      <w:lvlText w:val="%8."/>
      <w:lvlJc w:val="left"/>
      <w:pPr>
        <w:ind w:left="5760" w:hanging="360"/>
      </w:pPr>
    </w:lvl>
    <w:lvl w:ilvl="8" w:tplc="0B3A217C">
      <w:start w:val="1"/>
      <w:numFmt w:val="lowerRoman"/>
      <w:lvlText w:val="%9."/>
      <w:lvlJc w:val="right"/>
      <w:pPr>
        <w:ind w:left="6480" w:hanging="180"/>
      </w:pPr>
    </w:lvl>
  </w:abstractNum>
  <w:abstractNum w:abstractNumId="95" w15:restartNumberingAfterBreak="0">
    <w:nsid w:val="2EB33BFA"/>
    <w:multiLevelType w:val="hybridMultilevel"/>
    <w:tmpl w:val="52D8A38A"/>
    <w:lvl w:ilvl="0" w:tplc="5EAAFCEC">
      <w:start w:val="1"/>
      <w:numFmt w:val="bullet"/>
      <w:lvlText w:val="·"/>
      <w:lvlJc w:val="left"/>
      <w:pPr>
        <w:ind w:left="720" w:hanging="360"/>
      </w:pPr>
      <w:rPr>
        <w:rFonts w:ascii="Symbol" w:hAnsi="Symbol" w:hint="default"/>
      </w:rPr>
    </w:lvl>
    <w:lvl w:ilvl="1" w:tplc="A96C0708">
      <w:start w:val="1"/>
      <w:numFmt w:val="bullet"/>
      <w:lvlText w:val="o"/>
      <w:lvlJc w:val="left"/>
      <w:pPr>
        <w:ind w:left="1440" w:hanging="360"/>
      </w:pPr>
      <w:rPr>
        <w:rFonts w:ascii="Courier New" w:hAnsi="Courier New" w:hint="default"/>
      </w:rPr>
    </w:lvl>
    <w:lvl w:ilvl="2" w:tplc="237EE4E4">
      <w:start w:val="1"/>
      <w:numFmt w:val="bullet"/>
      <w:lvlText w:val=""/>
      <w:lvlJc w:val="left"/>
      <w:pPr>
        <w:ind w:left="2160" w:hanging="360"/>
      </w:pPr>
      <w:rPr>
        <w:rFonts w:ascii="Wingdings" w:hAnsi="Wingdings" w:hint="default"/>
      </w:rPr>
    </w:lvl>
    <w:lvl w:ilvl="3" w:tplc="8C9CE892">
      <w:start w:val="1"/>
      <w:numFmt w:val="bullet"/>
      <w:lvlText w:val=""/>
      <w:lvlJc w:val="left"/>
      <w:pPr>
        <w:ind w:left="2880" w:hanging="360"/>
      </w:pPr>
      <w:rPr>
        <w:rFonts w:ascii="Symbol" w:hAnsi="Symbol" w:hint="default"/>
      </w:rPr>
    </w:lvl>
    <w:lvl w:ilvl="4" w:tplc="D1A2B51E">
      <w:start w:val="1"/>
      <w:numFmt w:val="bullet"/>
      <w:lvlText w:val="o"/>
      <w:lvlJc w:val="left"/>
      <w:pPr>
        <w:ind w:left="3600" w:hanging="360"/>
      </w:pPr>
      <w:rPr>
        <w:rFonts w:ascii="Courier New" w:hAnsi="Courier New" w:hint="default"/>
      </w:rPr>
    </w:lvl>
    <w:lvl w:ilvl="5" w:tplc="EFAE6EC0">
      <w:start w:val="1"/>
      <w:numFmt w:val="bullet"/>
      <w:lvlText w:val=""/>
      <w:lvlJc w:val="left"/>
      <w:pPr>
        <w:ind w:left="4320" w:hanging="360"/>
      </w:pPr>
      <w:rPr>
        <w:rFonts w:ascii="Wingdings" w:hAnsi="Wingdings" w:hint="default"/>
      </w:rPr>
    </w:lvl>
    <w:lvl w:ilvl="6" w:tplc="3F0C2C58">
      <w:start w:val="1"/>
      <w:numFmt w:val="bullet"/>
      <w:lvlText w:val=""/>
      <w:lvlJc w:val="left"/>
      <w:pPr>
        <w:ind w:left="5040" w:hanging="360"/>
      </w:pPr>
      <w:rPr>
        <w:rFonts w:ascii="Symbol" w:hAnsi="Symbol" w:hint="default"/>
      </w:rPr>
    </w:lvl>
    <w:lvl w:ilvl="7" w:tplc="986C01CE">
      <w:start w:val="1"/>
      <w:numFmt w:val="bullet"/>
      <w:lvlText w:val="o"/>
      <w:lvlJc w:val="left"/>
      <w:pPr>
        <w:ind w:left="5760" w:hanging="360"/>
      </w:pPr>
      <w:rPr>
        <w:rFonts w:ascii="Courier New" w:hAnsi="Courier New" w:hint="default"/>
      </w:rPr>
    </w:lvl>
    <w:lvl w:ilvl="8" w:tplc="A038FF40">
      <w:start w:val="1"/>
      <w:numFmt w:val="bullet"/>
      <w:lvlText w:val=""/>
      <w:lvlJc w:val="left"/>
      <w:pPr>
        <w:ind w:left="6480" w:hanging="360"/>
      </w:pPr>
      <w:rPr>
        <w:rFonts w:ascii="Wingdings" w:hAnsi="Wingdings" w:hint="default"/>
      </w:rPr>
    </w:lvl>
  </w:abstractNum>
  <w:abstractNum w:abstractNumId="96" w15:restartNumberingAfterBreak="0">
    <w:nsid w:val="2F6F610A"/>
    <w:multiLevelType w:val="hybridMultilevel"/>
    <w:tmpl w:val="10529002"/>
    <w:lvl w:ilvl="0" w:tplc="CCD23C1A">
      <w:start w:val="1"/>
      <w:numFmt w:val="bullet"/>
      <w:lvlText w:val="-"/>
      <w:lvlJc w:val="left"/>
      <w:pPr>
        <w:ind w:left="445" w:hanging="360"/>
      </w:pPr>
      <w:rPr>
        <w:rFonts w:ascii="Cambria" w:eastAsia="Cambria" w:hAnsi="Cambria" w:cs="Cambria" w:hint="default"/>
      </w:rPr>
    </w:lvl>
    <w:lvl w:ilvl="1" w:tplc="08090003" w:tentative="1">
      <w:start w:val="1"/>
      <w:numFmt w:val="bullet"/>
      <w:lvlText w:val="o"/>
      <w:lvlJc w:val="left"/>
      <w:pPr>
        <w:ind w:left="1165" w:hanging="360"/>
      </w:pPr>
      <w:rPr>
        <w:rFonts w:ascii="Courier New" w:hAnsi="Courier New" w:cs="Courier New" w:hint="default"/>
      </w:rPr>
    </w:lvl>
    <w:lvl w:ilvl="2" w:tplc="08090005" w:tentative="1">
      <w:start w:val="1"/>
      <w:numFmt w:val="bullet"/>
      <w:lvlText w:val=""/>
      <w:lvlJc w:val="left"/>
      <w:pPr>
        <w:ind w:left="1885" w:hanging="360"/>
      </w:pPr>
      <w:rPr>
        <w:rFonts w:ascii="Wingdings" w:hAnsi="Wingdings" w:hint="default"/>
      </w:rPr>
    </w:lvl>
    <w:lvl w:ilvl="3" w:tplc="08090001" w:tentative="1">
      <w:start w:val="1"/>
      <w:numFmt w:val="bullet"/>
      <w:lvlText w:val=""/>
      <w:lvlJc w:val="left"/>
      <w:pPr>
        <w:ind w:left="2605" w:hanging="360"/>
      </w:pPr>
      <w:rPr>
        <w:rFonts w:ascii="Symbol" w:hAnsi="Symbol" w:hint="default"/>
      </w:rPr>
    </w:lvl>
    <w:lvl w:ilvl="4" w:tplc="08090003" w:tentative="1">
      <w:start w:val="1"/>
      <w:numFmt w:val="bullet"/>
      <w:lvlText w:val="o"/>
      <w:lvlJc w:val="left"/>
      <w:pPr>
        <w:ind w:left="3325" w:hanging="360"/>
      </w:pPr>
      <w:rPr>
        <w:rFonts w:ascii="Courier New" w:hAnsi="Courier New" w:cs="Courier New" w:hint="default"/>
      </w:rPr>
    </w:lvl>
    <w:lvl w:ilvl="5" w:tplc="08090005" w:tentative="1">
      <w:start w:val="1"/>
      <w:numFmt w:val="bullet"/>
      <w:lvlText w:val=""/>
      <w:lvlJc w:val="left"/>
      <w:pPr>
        <w:ind w:left="4045" w:hanging="360"/>
      </w:pPr>
      <w:rPr>
        <w:rFonts w:ascii="Wingdings" w:hAnsi="Wingdings" w:hint="default"/>
      </w:rPr>
    </w:lvl>
    <w:lvl w:ilvl="6" w:tplc="08090001" w:tentative="1">
      <w:start w:val="1"/>
      <w:numFmt w:val="bullet"/>
      <w:lvlText w:val=""/>
      <w:lvlJc w:val="left"/>
      <w:pPr>
        <w:ind w:left="4765" w:hanging="360"/>
      </w:pPr>
      <w:rPr>
        <w:rFonts w:ascii="Symbol" w:hAnsi="Symbol" w:hint="default"/>
      </w:rPr>
    </w:lvl>
    <w:lvl w:ilvl="7" w:tplc="08090003" w:tentative="1">
      <w:start w:val="1"/>
      <w:numFmt w:val="bullet"/>
      <w:lvlText w:val="o"/>
      <w:lvlJc w:val="left"/>
      <w:pPr>
        <w:ind w:left="5485" w:hanging="360"/>
      </w:pPr>
      <w:rPr>
        <w:rFonts w:ascii="Courier New" w:hAnsi="Courier New" w:cs="Courier New" w:hint="default"/>
      </w:rPr>
    </w:lvl>
    <w:lvl w:ilvl="8" w:tplc="08090005" w:tentative="1">
      <w:start w:val="1"/>
      <w:numFmt w:val="bullet"/>
      <w:lvlText w:val=""/>
      <w:lvlJc w:val="left"/>
      <w:pPr>
        <w:ind w:left="6205" w:hanging="360"/>
      </w:pPr>
      <w:rPr>
        <w:rFonts w:ascii="Wingdings" w:hAnsi="Wingdings" w:hint="default"/>
      </w:rPr>
    </w:lvl>
  </w:abstractNum>
  <w:abstractNum w:abstractNumId="97" w15:restartNumberingAfterBreak="0">
    <w:nsid w:val="30EF79B2"/>
    <w:multiLevelType w:val="hybridMultilevel"/>
    <w:tmpl w:val="027454B6"/>
    <w:lvl w:ilvl="0" w:tplc="35F42D4C">
      <w:start w:val="1"/>
      <w:numFmt w:val="bullet"/>
      <w:lvlText w:val="·"/>
      <w:lvlJc w:val="left"/>
      <w:pPr>
        <w:ind w:left="720" w:hanging="360"/>
      </w:pPr>
    </w:lvl>
    <w:lvl w:ilvl="1" w:tplc="1C4E2F9A">
      <w:start w:val="1"/>
      <w:numFmt w:val="decimal"/>
      <w:lvlText w:val="%2."/>
      <w:lvlJc w:val="left"/>
      <w:pPr>
        <w:ind w:left="1440" w:hanging="360"/>
      </w:pPr>
    </w:lvl>
    <w:lvl w:ilvl="2" w:tplc="9260F638">
      <w:start w:val="1"/>
      <w:numFmt w:val="lowerRoman"/>
      <w:lvlText w:val="%3."/>
      <w:lvlJc w:val="right"/>
      <w:pPr>
        <w:ind w:left="2160" w:hanging="180"/>
      </w:pPr>
    </w:lvl>
    <w:lvl w:ilvl="3" w:tplc="5AEC9106">
      <w:start w:val="1"/>
      <w:numFmt w:val="decimal"/>
      <w:lvlText w:val="%4."/>
      <w:lvlJc w:val="left"/>
      <w:pPr>
        <w:ind w:left="2880" w:hanging="360"/>
      </w:pPr>
    </w:lvl>
    <w:lvl w:ilvl="4" w:tplc="F9420658">
      <w:start w:val="1"/>
      <w:numFmt w:val="lowerLetter"/>
      <w:lvlText w:val="%5."/>
      <w:lvlJc w:val="left"/>
      <w:pPr>
        <w:ind w:left="3600" w:hanging="360"/>
      </w:pPr>
    </w:lvl>
    <w:lvl w:ilvl="5" w:tplc="A4C471A6">
      <w:start w:val="1"/>
      <w:numFmt w:val="lowerRoman"/>
      <w:lvlText w:val="%6."/>
      <w:lvlJc w:val="right"/>
      <w:pPr>
        <w:ind w:left="4320" w:hanging="180"/>
      </w:pPr>
    </w:lvl>
    <w:lvl w:ilvl="6" w:tplc="5F825B60">
      <w:start w:val="1"/>
      <w:numFmt w:val="decimal"/>
      <w:lvlText w:val="%7."/>
      <w:lvlJc w:val="left"/>
      <w:pPr>
        <w:ind w:left="5040" w:hanging="360"/>
      </w:pPr>
    </w:lvl>
    <w:lvl w:ilvl="7" w:tplc="09FA2288">
      <w:start w:val="1"/>
      <w:numFmt w:val="lowerLetter"/>
      <w:lvlText w:val="%8."/>
      <w:lvlJc w:val="left"/>
      <w:pPr>
        <w:ind w:left="5760" w:hanging="360"/>
      </w:pPr>
    </w:lvl>
    <w:lvl w:ilvl="8" w:tplc="3EEA2B5E">
      <w:start w:val="1"/>
      <w:numFmt w:val="lowerRoman"/>
      <w:lvlText w:val="%9."/>
      <w:lvlJc w:val="right"/>
      <w:pPr>
        <w:ind w:left="6480" w:hanging="180"/>
      </w:pPr>
    </w:lvl>
  </w:abstractNum>
  <w:abstractNum w:abstractNumId="98" w15:restartNumberingAfterBreak="0">
    <w:nsid w:val="31BF260B"/>
    <w:multiLevelType w:val="hybridMultilevel"/>
    <w:tmpl w:val="35EABA40"/>
    <w:lvl w:ilvl="0" w:tplc="0809001B">
      <w:start w:val="1"/>
      <w:numFmt w:val="lowerRoman"/>
      <w:lvlText w:val="%1."/>
      <w:lvlJc w:val="righ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9" w15:restartNumberingAfterBreak="0">
    <w:nsid w:val="328C66F0"/>
    <w:multiLevelType w:val="hybridMultilevel"/>
    <w:tmpl w:val="DD024856"/>
    <w:lvl w:ilvl="0" w:tplc="08090001">
      <w:start w:val="1"/>
      <w:numFmt w:val="bullet"/>
      <w:lvlText w:val=""/>
      <w:lvlJc w:val="left"/>
      <w:pPr>
        <w:ind w:left="805" w:hanging="360"/>
      </w:pPr>
      <w:rPr>
        <w:rFonts w:ascii="Symbol" w:hAnsi="Symbol" w:hint="default"/>
      </w:rPr>
    </w:lvl>
    <w:lvl w:ilvl="1" w:tplc="08090003" w:tentative="1">
      <w:start w:val="1"/>
      <w:numFmt w:val="bullet"/>
      <w:lvlText w:val="o"/>
      <w:lvlJc w:val="left"/>
      <w:pPr>
        <w:ind w:left="1525" w:hanging="360"/>
      </w:pPr>
      <w:rPr>
        <w:rFonts w:ascii="Courier New" w:hAnsi="Courier New" w:cs="Courier New" w:hint="default"/>
      </w:rPr>
    </w:lvl>
    <w:lvl w:ilvl="2" w:tplc="08090005" w:tentative="1">
      <w:start w:val="1"/>
      <w:numFmt w:val="bullet"/>
      <w:lvlText w:val=""/>
      <w:lvlJc w:val="left"/>
      <w:pPr>
        <w:ind w:left="2245" w:hanging="360"/>
      </w:pPr>
      <w:rPr>
        <w:rFonts w:ascii="Wingdings" w:hAnsi="Wingdings" w:hint="default"/>
      </w:rPr>
    </w:lvl>
    <w:lvl w:ilvl="3" w:tplc="08090001" w:tentative="1">
      <w:start w:val="1"/>
      <w:numFmt w:val="bullet"/>
      <w:lvlText w:val=""/>
      <w:lvlJc w:val="left"/>
      <w:pPr>
        <w:ind w:left="2965" w:hanging="360"/>
      </w:pPr>
      <w:rPr>
        <w:rFonts w:ascii="Symbol" w:hAnsi="Symbol" w:hint="default"/>
      </w:rPr>
    </w:lvl>
    <w:lvl w:ilvl="4" w:tplc="08090003" w:tentative="1">
      <w:start w:val="1"/>
      <w:numFmt w:val="bullet"/>
      <w:lvlText w:val="o"/>
      <w:lvlJc w:val="left"/>
      <w:pPr>
        <w:ind w:left="3685" w:hanging="360"/>
      </w:pPr>
      <w:rPr>
        <w:rFonts w:ascii="Courier New" w:hAnsi="Courier New" w:cs="Courier New" w:hint="default"/>
      </w:rPr>
    </w:lvl>
    <w:lvl w:ilvl="5" w:tplc="08090005" w:tentative="1">
      <w:start w:val="1"/>
      <w:numFmt w:val="bullet"/>
      <w:lvlText w:val=""/>
      <w:lvlJc w:val="left"/>
      <w:pPr>
        <w:ind w:left="4405" w:hanging="360"/>
      </w:pPr>
      <w:rPr>
        <w:rFonts w:ascii="Wingdings" w:hAnsi="Wingdings" w:hint="default"/>
      </w:rPr>
    </w:lvl>
    <w:lvl w:ilvl="6" w:tplc="08090001" w:tentative="1">
      <w:start w:val="1"/>
      <w:numFmt w:val="bullet"/>
      <w:lvlText w:val=""/>
      <w:lvlJc w:val="left"/>
      <w:pPr>
        <w:ind w:left="5125" w:hanging="360"/>
      </w:pPr>
      <w:rPr>
        <w:rFonts w:ascii="Symbol" w:hAnsi="Symbol" w:hint="default"/>
      </w:rPr>
    </w:lvl>
    <w:lvl w:ilvl="7" w:tplc="08090003" w:tentative="1">
      <w:start w:val="1"/>
      <w:numFmt w:val="bullet"/>
      <w:lvlText w:val="o"/>
      <w:lvlJc w:val="left"/>
      <w:pPr>
        <w:ind w:left="5845" w:hanging="360"/>
      </w:pPr>
      <w:rPr>
        <w:rFonts w:ascii="Courier New" w:hAnsi="Courier New" w:cs="Courier New" w:hint="default"/>
      </w:rPr>
    </w:lvl>
    <w:lvl w:ilvl="8" w:tplc="08090005" w:tentative="1">
      <w:start w:val="1"/>
      <w:numFmt w:val="bullet"/>
      <w:lvlText w:val=""/>
      <w:lvlJc w:val="left"/>
      <w:pPr>
        <w:ind w:left="6565" w:hanging="360"/>
      </w:pPr>
      <w:rPr>
        <w:rFonts w:ascii="Wingdings" w:hAnsi="Wingdings" w:hint="default"/>
      </w:rPr>
    </w:lvl>
  </w:abstractNum>
  <w:abstractNum w:abstractNumId="100" w15:restartNumberingAfterBreak="0">
    <w:nsid w:val="33644B66"/>
    <w:multiLevelType w:val="hybridMultilevel"/>
    <w:tmpl w:val="81AAC0F8"/>
    <w:lvl w:ilvl="0" w:tplc="A5C4F704">
      <w:start w:val="1"/>
      <w:numFmt w:val="decimal"/>
      <w:lvlText w:val="%1."/>
      <w:lvlJc w:val="left"/>
      <w:pPr>
        <w:ind w:left="720" w:hanging="360"/>
      </w:pPr>
    </w:lvl>
    <w:lvl w:ilvl="1" w:tplc="061841D0">
      <w:start w:val="1"/>
      <w:numFmt w:val="lowerLetter"/>
      <w:lvlText w:val="%2."/>
      <w:lvlJc w:val="left"/>
      <w:pPr>
        <w:ind w:left="1440" w:hanging="360"/>
      </w:pPr>
    </w:lvl>
    <w:lvl w:ilvl="2" w:tplc="26BEC5BE">
      <w:start w:val="1"/>
      <w:numFmt w:val="lowerRoman"/>
      <w:lvlText w:val="%3."/>
      <w:lvlJc w:val="right"/>
      <w:pPr>
        <w:ind w:left="2160" w:hanging="180"/>
      </w:pPr>
    </w:lvl>
    <w:lvl w:ilvl="3" w:tplc="806C2B86">
      <w:start w:val="1"/>
      <w:numFmt w:val="decimal"/>
      <w:lvlText w:val="%4."/>
      <w:lvlJc w:val="left"/>
      <w:pPr>
        <w:ind w:left="2880" w:hanging="360"/>
      </w:pPr>
    </w:lvl>
    <w:lvl w:ilvl="4" w:tplc="3D962720">
      <w:start w:val="1"/>
      <w:numFmt w:val="lowerLetter"/>
      <w:lvlText w:val="%5."/>
      <w:lvlJc w:val="left"/>
      <w:pPr>
        <w:ind w:left="3600" w:hanging="360"/>
      </w:pPr>
    </w:lvl>
    <w:lvl w:ilvl="5" w:tplc="6F3CBDAE">
      <w:start w:val="1"/>
      <w:numFmt w:val="lowerRoman"/>
      <w:lvlText w:val="%6."/>
      <w:lvlJc w:val="right"/>
      <w:pPr>
        <w:ind w:left="4320" w:hanging="180"/>
      </w:pPr>
    </w:lvl>
    <w:lvl w:ilvl="6" w:tplc="6408E366">
      <w:start w:val="1"/>
      <w:numFmt w:val="decimal"/>
      <w:lvlText w:val="%7."/>
      <w:lvlJc w:val="left"/>
      <w:pPr>
        <w:ind w:left="5040" w:hanging="360"/>
      </w:pPr>
    </w:lvl>
    <w:lvl w:ilvl="7" w:tplc="626E7346">
      <w:start w:val="1"/>
      <w:numFmt w:val="lowerLetter"/>
      <w:lvlText w:val="%8."/>
      <w:lvlJc w:val="left"/>
      <w:pPr>
        <w:ind w:left="5760" w:hanging="360"/>
      </w:pPr>
    </w:lvl>
    <w:lvl w:ilvl="8" w:tplc="D3AABD70">
      <w:start w:val="1"/>
      <w:numFmt w:val="lowerRoman"/>
      <w:lvlText w:val="%9."/>
      <w:lvlJc w:val="right"/>
      <w:pPr>
        <w:ind w:left="6480" w:hanging="180"/>
      </w:pPr>
    </w:lvl>
  </w:abstractNum>
  <w:abstractNum w:abstractNumId="101" w15:restartNumberingAfterBreak="0">
    <w:nsid w:val="33EE6CD6"/>
    <w:multiLevelType w:val="hybridMultilevel"/>
    <w:tmpl w:val="33162A56"/>
    <w:lvl w:ilvl="0" w:tplc="6A36EFCE">
      <w:start w:val="1"/>
      <w:numFmt w:val="bullet"/>
      <w:lvlText w:val="·"/>
      <w:lvlJc w:val="left"/>
      <w:pPr>
        <w:ind w:left="720" w:hanging="360"/>
      </w:pPr>
      <w:rPr>
        <w:rFonts w:ascii="Symbol" w:hAnsi="Symbol" w:hint="default"/>
      </w:rPr>
    </w:lvl>
    <w:lvl w:ilvl="1" w:tplc="43C2E36E">
      <w:start w:val="1"/>
      <w:numFmt w:val="decimal"/>
      <w:lvlText w:val="%2."/>
      <w:lvlJc w:val="left"/>
      <w:pPr>
        <w:ind w:left="1440" w:hanging="360"/>
      </w:pPr>
      <w:rPr>
        <w:rFonts w:hint="default"/>
      </w:rPr>
    </w:lvl>
    <w:lvl w:ilvl="2" w:tplc="7C9CECBA">
      <w:start w:val="1"/>
      <w:numFmt w:val="bullet"/>
      <w:lvlText w:val=""/>
      <w:lvlJc w:val="left"/>
      <w:pPr>
        <w:ind w:left="2160" w:hanging="360"/>
      </w:pPr>
      <w:rPr>
        <w:rFonts w:ascii="Wingdings" w:hAnsi="Wingdings" w:hint="default"/>
      </w:rPr>
    </w:lvl>
    <w:lvl w:ilvl="3" w:tplc="33EEBE4E">
      <w:start w:val="1"/>
      <w:numFmt w:val="bullet"/>
      <w:lvlText w:val=""/>
      <w:lvlJc w:val="left"/>
      <w:pPr>
        <w:ind w:left="2880" w:hanging="360"/>
      </w:pPr>
      <w:rPr>
        <w:rFonts w:ascii="Symbol" w:hAnsi="Symbol" w:hint="default"/>
      </w:rPr>
    </w:lvl>
    <w:lvl w:ilvl="4" w:tplc="5B36A15E">
      <w:start w:val="1"/>
      <w:numFmt w:val="bullet"/>
      <w:lvlText w:val="o"/>
      <w:lvlJc w:val="left"/>
      <w:pPr>
        <w:ind w:left="3600" w:hanging="360"/>
      </w:pPr>
      <w:rPr>
        <w:rFonts w:ascii="Courier New" w:hAnsi="Courier New" w:hint="default"/>
      </w:rPr>
    </w:lvl>
    <w:lvl w:ilvl="5" w:tplc="2D706DE6">
      <w:start w:val="1"/>
      <w:numFmt w:val="bullet"/>
      <w:lvlText w:val=""/>
      <w:lvlJc w:val="left"/>
      <w:pPr>
        <w:ind w:left="4320" w:hanging="360"/>
      </w:pPr>
      <w:rPr>
        <w:rFonts w:ascii="Wingdings" w:hAnsi="Wingdings" w:hint="default"/>
      </w:rPr>
    </w:lvl>
    <w:lvl w:ilvl="6" w:tplc="86107974">
      <w:start w:val="1"/>
      <w:numFmt w:val="bullet"/>
      <w:lvlText w:val=""/>
      <w:lvlJc w:val="left"/>
      <w:pPr>
        <w:ind w:left="5040" w:hanging="360"/>
      </w:pPr>
      <w:rPr>
        <w:rFonts w:ascii="Symbol" w:hAnsi="Symbol" w:hint="default"/>
      </w:rPr>
    </w:lvl>
    <w:lvl w:ilvl="7" w:tplc="D938BA06">
      <w:start w:val="1"/>
      <w:numFmt w:val="bullet"/>
      <w:lvlText w:val="o"/>
      <w:lvlJc w:val="left"/>
      <w:pPr>
        <w:ind w:left="5760" w:hanging="360"/>
      </w:pPr>
      <w:rPr>
        <w:rFonts w:ascii="Courier New" w:hAnsi="Courier New" w:hint="default"/>
      </w:rPr>
    </w:lvl>
    <w:lvl w:ilvl="8" w:tplc="FB6E2FCC">
      <w:start w:val="1"/>
      <w:numFmt w:val="bullet"/>
      <w:lvlText w:val=""/>
      <w:lvlJc w:val="left"/>
      <w:pPr>
        <w:ind w:left="6480" w:hanging="360"/>
      </w:pPr>
      <w:rPr>
        <w:rFonts w:ascii="Wingdings" w:hAnsi="Wingdings" w:hint="default"/>
      </w:rPr>
    </w:lvl>
  </w:abstractNum>
  <w:abstractNum w:abstractNumId="102" w15:restartNumberingAfterBreak="0">
    <w:nsid w:val="34171EFD"/>
    <w:multiLevelType w:val="hybridMultilevel"/>
    <w:tmpl w:val="2D0EBA7C"/>
    <w:lvl w:ilvl="0" w:tplc="AAE463B2">
      <w:start w:val="1"/>
      <w:numFmt w:val="decimal"/>
      <w:lvlText w:val="%1)"/>
      <w:lvlJc w:val="left"/>
      <w:pPr>
        <w:ind w:left="1800" w:hanging="360"/>
      </w:pPr>
      <w:rPr>
        <w:rFonts w:hint="default"/>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3" w15:restartNumberingAfterBreak="0">
    <w:nsid w:val="34B01409"/>
    <w:multiLevelType w:val="hybridMultilevel"/>
    <w:tmpl w:val="8DF69456"/>
    <w:lvl w:ilvl="0" w:tplc="0809001B">
      <w:start w:val="1"/>
      <w:numFmt w:val="lowerRoman"/>
      <w:lvlText w:val="%1."/>
      <w:lvlJc w:val="right"/>
      <w:pPr>
        <w:ind w:left="1800" w:hanging="360"/>
      </w:p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104" w15:restartNumberingAfterBreak="0">
    <w:nsid w:val="34EC077E"/>
    <w:multiLevelType w:val="hybridMultilevel"/>
    <w:tmpl w:val="1D52424E"/>
    <w:lvl w:ilvl="0" w:tplc="D4EE6B84">
      <w:start w:val="1"/>
      <w:numFmt w:val="lowerLetter"/>
      <w:lvlText w:val="(%1)"/>
      <w:lvlJc w:val="left"/>
      <w:pPr>
        <w:ind w:left="1440" w:hanging="360"/>
      </w:pPr>
      <w:rPr>
        <w:rFonts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05" w15:restartNumberingAfterBreak="0">
    <w:nsid w:val="353273F6"/>
    <w:multiLevelType w:val="hybridMultilevel"/>
    <w:tmpl w:val="C5502D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6" w15:restartNumberingAfterBreak="0">
    <w:nsid w:val="368C4E6F"/>
    <w:multiLevelType w:val="multilevel"/>
    <w:tmpl w:val="40EAC0F4"/>
    <w:lvl w:ilvl="0">
      <w:start w:val="1"/>
      <w:numFmt w:val="bullet"/>
      <w:lvlText w:val=""/>
      <w:lvlJc w:val="left"/>
      <w:pPr>
        <w:ind w:left="360" w:hanging="360"/>
      </w:pPr>
      <w:rPr>
        <w:rFonts w:ascii="Symbol" w:hAnsi="Symbol" w:hint="default"/>
      </w:rPr>
    </w:lvl>
    <w:lvl w:ilvl="1">
      <w:start w:val="1"/>
      <w:numFmt w:val="decimal"/>
      <w:isLgl/>
      <w:lvlText w:val="%1.%2"/>
      <w:lvlJc w:val="left"/>
      <w:pPr>
        <w:ind w:left="1080" w:hanging="360"/>
      </w:pPr>
      <w:rPr>
        <w:rFonts w:hint="default"/>
        <w:u w:val="none"/>
      </w:rPr>
    </w:lvl>
    <w:lvl w:ilvl="2">
      <w:start w:val="1"/>
      <w:numFmt w:val="decimal"/>
      <w:isLgl/>
      <w:lvlText w:val="%1.%2.%3"/>
      <w:lvlJc w:val="left"/>
      <w:pPr>
        <w:ind w:left="2160" w:hanging="720"/>
      </w:pPr>
      <w:rPr>
        <w:rFonts w:hint="default"/>
        <w:u w:val="single"/>
      </w:rPr>
    </w:lvl>
    <w:lvl w:ilvl="3">
      <w:start w:val="1"/>
      <w:numFmt w:val="decimal"/>
      <w:isLgl/>
      <w:lvlText w:val="%1.%2.%3.%4"/>
      <w:lvlJc w:val="left"/>
      <w:pPr>
        <w:ind w:left="2880" w:hanging="720"/>
      </w:pPr>
      <w:rPr>
        <w:rFonts w:hint="default"/>
        <w:u w:val="single"/>
      </w:rPr>
    </w:lvl>
    <w:lvl w:ilvl="4">
      <w:start w:val="1"/>
      <w:numFmt w:val="decimal"/>
      <w:isLgl/>
      <w:lvlText w:val="%1.%2.%3.%4.%5"/>
      <w:lvlJc w:val="left"/>
      <w:pPr>
        <w:ind w:left="3960" w:hanging="1080"/>
      </w:pPr>
      <w:rPr>
        <w:rFonts w:hint="default"/>
        <w:u w:val="single"/>
      </w:rPr>
    </w:lvl>
    <w:lvl w:ilvl="5">
      <w:start w:val="1"/>
      <w:numFmt w:val="decimal"/>
      <w:isLgl/>
      <w:lvlText w:val="%1.%2.%3.%4.%5.%6"/>
      <w:lvlJc w:val="left"/>
      <w:pPr>
        <w:ind w:left="4680" w:hanging="1080"/>
      </w:pPr>
      <w:rPr>
        <w:rFonts w:hint="default"/>
        <w:u w:val="single"/>
      </w:rPr>
    </w:lvl>
    <w:lvl w:ilvl="6">
      <w:start w:val="1"/>
      <w:numFmt w:val="decimal"/>
      <w:isLgl/>
      <w:lvlText w:val="%1.%2.%3.%4.%5.%6.%7"/>
      <w:lvlJc w:val="left"/>
      <w:pPr>
        <w:ind w:left="5760" w:hanging="1440"/>
      </w:pPr>
      <w:rPr>
        <w:rFonts w:hint="default"/>
        <w:u w:val="single"/>
      </w:rPr>
    </w:lvl>
    <w:lvl w:ilvl="7">
      <w:start w:val="1"/>
      <w:numFmt w:val="decimal"/>
      <w:isLgl/>
      <w:lvlText w:val="%1.%2.%3.%4.%5.%6.%7.%8"/>
      <w:lvlJc w:val="left"/>
      <w:pPr>
        <w:ind w:left="6480" w:hanging="1440"/>
      </w:pPr>
      <w:rPr>
        <w:rFonts w:hint="default"/>
        <w:u w:val="single"/>
      </w:rPr>
    </w:lvl>
    <w:lvl w:ilvl="8">
      <w:start w:val="1"/>
      <w:numFmt w:val="decimal"/>
      <w:isLgl/>
      <w:lvlText w:val="%1.%2.%3.%4.%5.%6.%7.%8.%9"/>
      <w:lvlJc w:val="left"/>
      <w:pPr>
        <w:ind w:left="7200" w:hanging="1440"/>
      </w:pPr>
      <w:rPr>
        <w:rFonts w:hint="default"/>
        <w:u w:val="single"/>
      </w:rPr>
    </w:lvl>
  </w:abstractNum>
  <w:abstractNum w:abstractNumId="107" w15:restartNumberingAfterBreak="0">
    <w:nsid w:val="37B96D9B"/>
    <w:multiLevelType w:val="hybridMultilevel"/>
    <w:tmpl w:val="6444E81E"/>
    <w:lvl w:ilvl="0" w:tplc="AAE463B2">
      <w:start w:val="1"/>
      <w:numFmt w:val="decimal"/>
      <w:lvlText w:val="%1)"/>
      <w:lvlJc w:val="left"/>
      <w:pPr>
        <w:ind w:left="180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8" w15:restartNumberingAfterBreak="0">
    <w:nsid w:val="384B4663"/>
    <w:multiLevelType w:val="hybridMultilevel"/>
    <w:tmpl w:val="1B54CC5E"/>
    <w:lvl w:ilvl="0" w:tplc="08090001">
      <w:start w:val="1"/>
      <w:numFmt w:val="bullet"/>
      <w:lvlText w:val=""/>
      <w:lvlJc w:val="left"/>
      <w:pPr>
        <w:ind w:left="1428" w:hanging="360"/>
      </w:pPr>
      <w:rPr>
        <w:rFonts w:ascii="Symbol" w:hAnsi="Symbol" w:hint="default"/>
      </w:rPr>
    </w:lvl>
    <w:lvl w:ilvl="1" w:tplc="08090003">
      <w:start w:val="1"/>
      <w:numFmt w:val="bullet"/>
      <w:lvlText w:val="o"/>
      <w:lvlJc w:val="left"/>
      <w:pPr>
        <w:ind w:left="2148" w:hanging="360"/>
      </w:pPr>
      <w:rPr>
        <w:rFonts w:ascii="Courier New" w:hAnsi="Courier New" w:cs="Courier New" w:hint="default"/>
      </w:rPr>
    </w:lvl>
    <w:lvl w:ilvl="2" w:tplc="08090005" w:tentative="1">
      <w:start w:val="1"/>
      <w:numFmt w:val="bullet"/>
      <w:lvlText w:val=""/>
      <w:lvlJc w:val="left"/>
      <w:pPr>
        <w:ind w:left="2868" w:hanging="360"/>
      </w:pPr>
      <w:rPr>
        <w:rFonts w:ascii="Wingdings" w:hAnsi="Wingdings" w:hint="default"/>
      </w:rPr>
    </w:lvl>
    <w:lvl w:ilvl="3" w:tplc="08090001" w:tentative="1">
      <w:start w:val="1"/>
      <w:numFmt w:val="bullet"/>
      <w:lvlText w:val=""/>
      <w:lvlJc w:val="left"/>
      <w:pPr>
        <w:ind w:left="3588" w:hanging="360"/>
      </w:pPr>
      <w:rPr>
        <w:rFonts w:ascii="Symbol" w:hAnsi="Symbol" w:hint="default"/>
      </w:rPr>
    </w:lvl>
    <w:lvl w:ilvl="4" w:tplc="08090003" w:tentative="1">
      <w:start w:val="1"/>
      <w:numFmt w:val="bullet"/>
      <w:lvlText w:val="o"/>
      <w:lvlJc w:val="left"/>
      <w:pPr>
        <w:ind w:left="4308" w:hanging="360"/>
      </w:pPr>
      <w:rPr>
        <w:rFonts w:ascii="Courier New" w:hAnsi="Courier New" w:cs="Courier New" w:hint="default"/>
      </w:rPr>
    </w:lvl>
    <w:lvl w:ilvl="5" w:tplc="08090005" w:tentative="1">
      <w:start w:val="1"/>
      <w:numFmt w:val="bullet"/>
      <w:lvlText w:val=""/>
      <w:lvlJc w:val="left"/>
      <w:pPr>
        <w:ind w:left="5028" w:hanging="360"/>
      </w:pPr>
      <w:rPr>
        <w:rFonts w:ascii="Wingdings" w:hAnsi="Wingdings" w:hint="default"/>
      </w:rPr>
    </w:lvl>
    <w:lvl w:ilvl="6" w:tplc="08090001" w:tentative="1">
      <w:start w:val="1"/>
      <w:numFmt w:val="bullet"/>
      <w:lvlText w:val=""/>
      <w:lvlJc w:val="left"/>
      <w:pPr>
        <w:ind w:left="5748" w:hanging="360"/>
      </w:pPr>
      <w:rPr>
        <w:rFonts w:ascii="Symbol" w:hAnsi="Symbol" w:hint="default"/>
      </w:rPr>
    </w:lvl>
    <w:lvl w:ilvl="7" w:tplc="08090003" w:tentative="1">
      <w:start w:val="1"/>
      <w:numFmt w:val="bullet"/>
      <w:lvlText w:val="o"/>
      <w:lvlJc w:val="left"/>
      <w:pPr>
        <w:ind w:left="6468" w:hanging="360"/>
      </w:pPr>
      <w:rPr>
        <w:rFonts w:ascii="Courier New" w:hAnsi="Courier New" w:cs="Courier New" w:hint="default"/>
      </w:rPr>
    </w:lvl>
    <w:lvl w:ilvl="8" w:tplc="08090005" w:tentative="1">
      <w:start w:val="1"/>
      <w:numFmt w:val="bullet"/>
      <w:lvlText w:val=""/>
      <w:lvlJc w:val="left"/>
      <w:pPr>
        <w:ind w:left="7188" w:hanging="360"/>
      </w:pPr>
      <w:rPr>
        <w:rFonts w:ascii="Wingdings" w:hAnsi="Wingdings" w:hint="default"/>
      </w:rPr>
    </w:lvl>
  </w:abstractNum>
  <w:abstractNum w:abstractNumId="109" w15:restartNumberingAfterBreak="0">
    <w:nsid w:val="392E54A7"/>
    <w:multiLevelType w:val="hybridMultilevel"/>
    <w:tmpl w:val="6444E81E"/>
    <w:lvl w:ilvl="0" w:tplc="AAE463B2">
      <w:start w:val="1"/>
      <w:numFmt w:val="decimal"/>
      <w:lvlText w:val="%1)"/>
      <w:lvlJc w:val="left"/>
      <w:pPr>
        <w:ind w:left="180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0" w15:restartNumberingAfterBreak="0">
    <w:nsid w:val="393023CB"/>
    <w:multiLevelType w:val="hybridMultilevel"/>
    <w:tmpl w:val="E3DE411A"/>
    <w:lvl w:ilvl="0" w:tplc="08160001">
      <w:start w:val="1"/>
      <w:numFmt w:val="bullet"/>
      <w:lvlText w:val=""/>
      <w:lvlJc w:val="left"/>
      <w:pPr>
        <w:ind w:left="720" w:hanging="360"/>
      </w:pPr>
      <w:rPr>
        <w:rFonts w:ascii="Symbol" w:hAnsi="Symbol" w:hint="default"/>
      </w:rPr>
    </w:lvl>
    <w:lvl w:ilvl="1" w:tplc="08160003" w:tentative="1">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111" w15:restartNumberingAfterBreak="0">
    <w:nsid w:val="39842DF0"/>
    <w:multiLevelType w:val="hybridMultilevel"/>
    <w:tmpl w:val="25A0DA44"/>
    <w:lvl w:ilvl="0" w:tplc="20AEF7D8">
      <w:start w:val="1"/>
      <w:numFmt w:val="decimal"/>
      <w:lvlText w:val="%1."/>
      <w:lvlJc w:val="left"/>
      <w:pPr>
        <w:ind w:left="720" w:hanging="360"/>
      </w:pPr>
    </w:lvl>
    <w:lvl w:ilvl="1" w:tplc="9E409298">
      <w:start w:val="1"/>
      <w:numFmt w:val="lowerLetter"/>
      <w:lvlText w:val="%2."/>
      <w:lvlJc w:val="left"/>
      <w:pPr>
        <w:ind w:left="1440" w:hanging="360"/>
      </w:pPr>
    </w:lvl>
    <w:lvl w:ilvl="2" w:tplc="6E9CE752">
      <w:start w:val="1"/>
      <w:numFmt w:val="lowerRoman"/>
      <w:lvlText w:val="%3."/>
      <w:lvlJc w:val="right"/>
      <w:pPr>
        <w:ind w:left="2160" w:hanging="180"/>
      </w:pPr>
    </w:lvl>
    <w:lvl w:ilvl="3" w:tplc="CFE89178">
      <w:start w:val="1"/>
      <w:numFmt w:val="decimal"/>
      <w:lvlText w:val="%4."/>
      <w:lvlJc w:val="left"/>
      <w:pPr>
        <w:ind w:left="2880" w:hanging="360"/>
      </w:pPr>
    </w:lvl>
    <w:lvl w:ilvl="4" w:tplc="3460C692">
      <w:start w:val="1"/>
      <w:numFmt w:val="lowerLetter"/>
      <w:lvlText w:val="%5."/>
      <w:lvlJc w:val="left"/>
      <w:pPr>
        <w:ind w:left="3600" w:hanging="360"/>
      </w:pPr>
    </w:lvl>
    <w:lvl w:ilvl="5" w:tplc="7F3EDC68">
      <w:start w:val="1"/>
      <w:numFmt w:val="lowerRoman"/>
      <w:lvlText w:val="%6."/>
      <w:lvlJc w:val="right"/>
      <w:pPr>
        <w:ind w:left="4320" w:hanging="180"/>
      </w:pPr>
    </w:lvl>
    <w:lvl w:ilvl="6" w:tplc="0E8C773C">
      <w:start w:val="1"/>
      <w:numFmt w:val="decimal"/>
      <w:lvlText w:val="%7."/>
      <w:lvlJc w:val="left"/>
      <w:pPr>
        <w:ind w:left="5040" w:hanging="360"/>
      </w:pPr>
    </w:lvl>
    <w:lvl w:ilvl="7" w:tplc="C9E87D3A">
      <w:start w:val="1"/>
      <w:numFmt w:val="lowerLetter"/>
      <w:lvlText w:val="%8."/>
      <w:lvlJc w:val="left"/>
      <w:pPr>
        <w:ind w:left="5760" w:hanging="360"/>
      </w:pPr>
    </w:lvl>
    <w:lvl w:ilvl="8" w:tplc="B2F01550">
      <w:start w:val="1"/>
      <w:numFmt w:val="lowerRoman"/>
      <w:lvlText w:val="%9."/>
      <w:lvlJc w:val="right"/>
      <w:pPr>
        <w:ind w:left="6480" w:hanging="180"/>
      </w:pPr>
    </w:lvl>
  </w:abstractNum>
  <w:abstractNum w:abstractNumId="112" w15:restartNumberingAfterBreak="0">
    <w:nsid w:val="3A0333F1"/>
    <w:multiLevelType w:val="hybridMultilevel"/>
    <w:tmpl w:val="8B967D4E"/>
    <w:lvl w:ilvl="0" w:tplc="963C153A">
      <w:start w:val="1"/>
      <w:numFmt w:val="lowerLetter"/>
      <w:pStyle w:val="Numberedtitlelevel4"/>
      <w:lvlText w:val="%1."/>
      <w:lvlJc w:val="left"/>
      <w:pPr>
        <w:ind w:left="72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3" w15:restartNumberingAfterBreak="0">
    <w:nsid w:val="3B211612"/>
    <w:multiLevelType w:val="hybridMultilevel"/>
    <w:tmpl w:val="BAF8494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4" w15:restartNumberingAfterBreak="0">
    <w:nsid w:val="3BC116CB"/>
    <w:multiLevelType w:val="hybridMultilevel"/>
    <w:tmpl w:val="5E0C69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5" w15:restartNumberingAfterBreak="0">
    <w:nsid w:val="3C1B1429"/>
    <w:multiLevelType w:val="hybridMultilevel"/>
    <w:tmpl w:val="B818FBDC"/>
    <w:lvl w:ilvl="0" w:tplc="08160011">
      <w:start w:val="1"/>
      <w:numFmt w:val="decimal"/>
      <w:lvlText w:val="%1)"/>
      <w:lvlJc w:val="left"/>
      <w:pPr>
        <w:ind w:left="720" w:hanging="360"/>
      </w:pPr>
      <w:rPr>
        <w:rFonts w:hint="default"/>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116" w15:restartNumberingAfterBreak="0">
    <w:nsid w:val="3E480E5A"/>
    <w:multiLevelType w:val="hybridMultilevel"/>
    <w:tmpl w:val="7B12C4B4"/>
    <w:lvl w:ilvl="0" w:tplc="C3761530">
      <w:start w:val="1"/>
      <w:numFmt w:val="bullet"/>
      <w:lvlText w:val="·"/>
      <w:lvlJc w:val="left"/>
      <w:pPr>
        <w:ind w:left="720" w:hanging="360"/>
      </w:pPr>
      <w:rPr>
        <w:rFonts w:ascii="Symbol" w:hAnsi="Symbol" w:hint="default"/>
      </w:rPr>
    </w:lvl>
    <w:lvl w:ilvl="1" w:tplc="23B8D700">
      <w:start w:val="1"/>
      <w:numFmt w:val="decimal"/>
      <w:lvlText w:val="%2."/>
      <w:lvlJc w:val="left"/>
      <w:pPr>
        <w:ind w:left="1440" w:hanging="360"/>
      </w:pPr>
      <w:rPr>
        <w:rFonts w:hint="default"/>
      </w:rPr>
    </w:lvl>
    <w:lvl w:ilvl="2" w:tplc="C7602BD0">
      <w:start w:val="1"/>
      <w:numFmt w:val="bullet"/>
      <w:lvlText w:val=""/>
      <w:lvlJc w:val="left"/>
      <w:pPr>
        <w:ind w:left="2160" w:hanging="360"/>
      </w:pPr>
      <w:rPr>
        <w:rFonts w:ascii="Wingdings" w:hAnsi="Wingdings" w:hint="default"/>
      </w:rPr>
    </w:lvl>
    <w:lvl w:ilvl="3" w:tplc="293AFFD4">
      <w:start w:val="1"/>
      <w:numFmt w:val="bullet"/>
      <w:lvlText w:val=""/>
      <w:lvlJc w:val="left"/>
      <w:pPr>
        <w:ind w:left="2880" w:hanging="360"/>
      </w:pPr>
      <w:rPr>
        <w:rFonts w:ascii="Symbol" w:hAnsi="Symbol" w:hint="default"/>
      </w:rPr>
    </w:lvl>
    <w:lvl w:ilvl="4" w:tplc="FACAC054">
      <w:start w:val="1"/>
      <w:numFmt w:val="bullet"/>
      <w:lvlText w:val="o"/>
      <w:lvlJc w:val="left"/>
      <w:pPr>
        <w:ind w:left="3600" w:hanging="360"/>
      </w:pPr>
      <w:rPr>
        <w:rFonts w:ascii="Courier New" w:hAnsi="Courier New" w:hint="default"/>
      </w:rPr>
    </w:lvl>
    <w:lvl w:ilvl="5" w:tplc="E4AC43BE">
      <w:start w:val="1"/>
      <w:numFmt w:val="bullet"/>
      <w:lvlText w:val=""/>
      <w:lvlJc w:val="left"/>
      <w:pPr>
        <w:ind w:left="4320" w:hanging="360"/>
      </w:pPr>
      <w:rPr>
        <w:rFonts w:ascii="Wingdings" w:hAnsi="Wingdings" w:hint="default"/>
      </w:rPr>
    </w:lvl>
    <w:lvl w:ilvl="6" w:tplc="45BA7DDE">
      <w:start w:val="1"/>
      <w:numFmt w:val="bullet"/>
      <w:lvlText w:val=""/>
      <w:lvlJc w:val="left"/>
      <w:pPr>
        <w:ind w:left="5040" w:hanging="360"/>
      </w:pPr>
      <w:rPr>
        <w:rFonts w:ascii="Symbol" w:hAnsi="Symbol" w:hint="default"/>
      </w:rPr>
    </w:lvl>
    <w:lvl w:ilvl="7" w:tplc="49468E78">
      <w:start w:val="1"/>
      <w:numFmt w:val="bullet"/>
      <w:lvlText w:val="o"/>
      <w:lvlJc w:val="left"/>
      <w:pPr>
        <w:ind w:left="5760" w:hanging="360"/>
      </w:pPr>
      <w:rPr>
        <w:rFonts w:ascii="Courier New" w:hAnsi="Courier New" w:hint="default"/>
      </w:rPr>
    </w:lvl>
    <w:lvl w:ilvl="8" w:tplc="1DA6F43A">
      <w:start w:val="1"/>
      <w:numFmt w:val="bullet"/>
      <w:lvlText w:val=""/>
      <w:lvlJc w:val="left"/>
      <w:pPr>
        <w:ind w:left="6480" w:hanging="360"/>
      </w:pPr>
      <w:rPr>
        <w:rFonts w:ascii="Wingdings" w:hAnsi="Wingdings" w:hint="default"/>
      </w:rPr>
    </w:lvl>
  </w:abstractNum>
  <w:abstractNum w:abstractNumId="117" w15:restartNumberingAfterBreak="0">
    <w:nsid w:val="3EA048E2"/>
    <w:multiLevelType w:val="hybridMultilevel"/>
    <w:tmpl w:val="FFFFFFFF"/>
    <w:lvl w:ilvl="0" w:tplc="A0AEDBE4">
      <w:start w:val="1"/>
      <w:numFmt w:val="bullet"/>
      <w:lvlText w:val="·"/>
      <w:lvlJc w:val="left"/>
      <w:pPr>
        <w:ind w:left="720" w:hanging="360"/>
      </w:pPr>
      <w:rPr>
        <w:rFonts w:ascii="Symbol" w:hAnsi="Symbol" w:hint="default"/>
      </w:rPr>
    </w:lvl>
    <w:lvl w:ilvl="1" w:tplc="3D8EF6CC">
      <w:start w:val="1"/>
      <w:numFmt w:val="bullet"/>
      <w:lvlText w:val="o"/>
      <w:lvlJc w:val="left"/>
      <w:pPr>
        <w:ind w:left="1440" w:hanging="360"/>
      </w:pPr>
      <w:rPr>
        <w:rFonts w:ascii="Courier New" w:hAnsi="Courier New" w:hint="default"/>
      </w:rPr>
    </w:lvl>
    <w:lvl w:ilvl="2" w:tplc="786AE30E">
      <w:start w:val="1"/>
      <w:numFmt w:val="bullet"/>
      <w:lvlText w:val=""/>
      <w:lvlJc w:val="left"/>
      <w:pPr>
        <w:ind w:left="2160" w:hanging="360"/>
      </w:pPr>
      <w:rPr>
        <w:rFonts w:ascii="Wingdings" w:hAnsi="Wingdings" w:hint="default"/>
      </w:rPr>
    </w:lvl>
    <w:lvl w:ilvl="3" w:tplc="33EAEC3C">
      <w:start w:val="1"/>
      <w:numFmt w:val="bullet"/>
      <w:lvlText w:val=""/>
      <w:lvlJc w:val="left"/>
      <w:pPr>
        <w:ind w:left="2880" w:hanging="360"/>
      </w:pPr>
      <w:rPr>
        <w:rFonts w:ascii="Symbol" w:hAnsi="Symbol" w:hint="default"/>
      </w:rPr>
    </w:lvl>
    <w:lvl w:ilvl="4" w:tplc="3946B71A">
      <w:start w:val="1"/>
      <w:numFmt w:val="bullet"/>
      <w:lvlText w:val="o"/>
      <w:lvlJc w:val="left"/>
      <w:pPr>
        <w:ind w:left="3600" w:hanging="360"/>
      </w:pPr>
      <w:rPr>
        <w:rFonts w:ascii="Courier New" w:hAnsi="Courier New" w:hint="default"/>
      </w:rPr>
    </w:lvl>
    <w:lvl w:ilvl="5" w:tplc="03B48594">
      <w:start w:val="1"/>
      <w:numFmt w:val="bullet"/>
      <w:lvlText w:val=""/>
      <w:lvlJc w:val="left"/>
      <w:pPr>
        <w:ind w:left="4320" w:hanging="360"/>
      </w:pPr>
      <w:rPr>
        <w:rFonts w:ascii="Wingdings" w:hAnsi="Wingdings" w:hint="default"/>
      </w:rPr>
    </w:lvl>
    <w:lvl w:ilvl="6" w:tplc="11DA5030">
      <w:start w:val="1"/>
      <w:numFmt w:val="bullet"/>
      <w:lvlText w:val=""/>
      <w:lvlJc w:val="left"/>
      <w:pPr>
        <w:ind w:left="5040" w:hanging="360"/>
      </w:pPr>
      <w:rPr>
        <w:rFonts w:ascii="Symbol" w:hAnsi="Symbol" w:hint="default"/>
      </w:rPr>
    </w:lvl>
    <w:lvl w:ilvl="7" w:tplc="B4D85D64">
      <w:start w:val="1"/>
      <w:numFmt w:val="bullet"/>
      <w:lvlText w:val="o"/>
      <w:lvlJc w:val="left"/>
      <w:pPr>
        <w:ind w:left="5760" w:hanging="360"/>
      </w:pPr>
      <w:rPr>
        <w:rFonts w:ascii="Courier New" w:hAnsi="Courier New" w:hint="default"/>
      </w:rPr>
    </w:lvl>
    <w:lvl w:ilvl="8" w:tplc="31DE5E48">
      <w:start w:val="1"/>
      <w:numFmt w:val="bullet"/>
      <w:lvlText w:val=""/>
      <w:lvlJc w:val="left"/>
      <w:pPr>
        <w:ind w:left="6480" w:hanging="360"/>
      </w:pPr>
      <w:rPr>
        <w:rFonts w:ascii="Wingdings" w:hAnsi="Wingdings" w:hint="default"/>
      </w:rPr>
    </w:lvl>
  </w:abstractNum>
  <w:abstractNum w:abstractNumId="118" w15:restartNumberingAfterBreak="0">
    <w:nsid w:val="3F16627B"/>
    <w:multiLevelType w:val="hybridMultilevel"/>
    <w:tmpl w:val="DB923068"/>
    <w:lvl w:ilvl="0" w:tplc="85CC68A2">
      <w:start w:val="52"/>
      <w:numFmt w:val="decimal"/>
      <w:lvlText w:val="%1."/>
      <w:lvlJc w:val="left"/>
      <w:pPr>
        <w:ind w:left="928" w:hanging="360"/>
      </w:pPr>
      <w:rPr>
        <w:rFonts w:hint="default"/>
        <w:strike w:val="0"/>
        <w:color w:val="0070C0"/>
      </w:rPr>
    </w:lvl>
    <w:lvl w:ilvl="1" w:tplc="08090019">
      <w:start w:val="1"/>
      <w:numFmt w:val="lowerLetter"/>
      <w:lvlText w:val="%2."/>
      <w:lvlJc w:val="left"/>
      <w:pPr>
        <w:ind w:left="1648" w:hanging="360"/>
      </w:pPr>
    </w:lvl>
    <w:lvl w:ilvl="2" w:tplc="0809001B" w:tentative="1">
      <w:start w:val="1"/>
      <w:numFmt w:val="lowerRoman"/>
      <w:lvlText w:val="%3."/>
      <w:lvlJc w:val="right"/>
      <w:pPr>
        <w:ind w:left="2368" w:hanging="180"/>
      </w:pPr>
    </w:lvl>
    <w:lvl w:ilvl="3" w:tplc="0809000F" w:tentative="1">
      <w:start w:val="1"/>
      <w:numFmt w:val="decimal"/>
      <w:lvlText w:val="%4."/>
      <w:lvlJc w:val="left"/>
      <w:pPr>
        <w:ind w:left="3088" w:hanging="360"/>
      </w:pPr>
    </w:lvl>
    <w:lvl w:ilvl="4" w:tplc="08090019" w:tentative="1">
      <w:start w:val="1"/>
      <w:numFmt w:val="lowerLetter"/>
      <w:lvlText w:val="%5."/>
      <w:lvlJc w:val="left"/>
      <w:pPr>
        <w:ind w:left="3808" w:hanging="360"/>
      </w:pPr>
    </w:lvl>
    <w:lvl w:ilvl="5" w:tplc="0809001B" w:tentative="1">
      <w:start w:val="1"/>
      <w:numFmt w:val="lowerRoman"/>
      <w:lvlText w:val="%6."/>
      <w:lvlJc w:val="right"/>
      <w:pPr>
        <w:ind w:left="4528" w:hanging="180"/>
      </w:pPr>
    </w:lvl>
    <w:lvl w:ilvl="6" w:tplc="0809000F" w:tentative="1">
      <w:start w:val="1"/>
      <w:numFmt w:val="decimal"/>
      <w:lvlText w:val="%7."/>
      <w:lvlJc w:val="left"/>
      <w:pPr>
        <w:ind w:left="5248" w:hanging="360"/>
      </w:pPr>
    </w:lvl>
    <w:lvl w:ilvl="7" w:tplc="08090019" w:tentative="1">
      <w:start w:val="1"/>
      <w:numFmt w:val="lowerLetter"/>
      <w:lvlText w:val="%8."/>
      <w:lvlJc w:val="left"/>
      <w:pPr>
        <w:ind w:left="5968" w:hanging="360"/>
      </w:pPr>
    </w:lvl>
    <w:lvl w:ilvl="8" w:tplc="0809001B" w:tentative="1">
      <w:start w:val="1"/>
      <w:numFmt w:val="lowerRoman"/>
      <w:lvlText w:val="%9."/>
      <w:lvlJc w:val="right"/>
      <w:pPr>
        <w:ind w:left="6688" w:hanging="180"/>
      </w:pPr>
    </w:lvl>
  </w:abstractNum>
  <w:abstractNum w:abstractNumId="119" w15:restartNumberingAfterBreak="0">
    <w:nsid w:val="3FE45865"/>
    <w:multiLevelType w:val="hybridMultilevel"/>
    <w:tmpl w:val="FE84C4A0"/>
    <w:lvl w:ilvl="0" w:tplc="C6148992">
      <w:start w:val="1"/>
      <w:numFmt w:val="bullet"/>
      <w:pStyle w:val="numberedparagraph"/>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0" w15:restartNumberingAfterBreak="0">
    <w:nsid w:val="40037F04"/>
    <w:multiLevelType w:val="hybridMultilevel"/>
    <w:tmpl w:val="FF2CD3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1" w15:restartNumberingAfterBreak="0">
    <w:nsid w:val="41285243"/>
    <w:multiLevelType w:val="hybridMultilevel"/>
    <w:tmpl w:val="AAF2915A"/>
    <w:lvl w:ilvl="0" w:tplc="97EA7E1E">
      <w:start w:val="50"/>
      <w:numFmt w:val="bullet"/>
      <w:lvlText w:val="-"/>
      <w:lvlJc w:val="left"/>
      <w:pPr>
        <w:ind w:left="445" w:hanging="360"/>
      </w:pPr>
      <w:rPr>
        <w:rFonts w:ascii="Times New Roman" w:eastAsia="Times New Roman" w:hAnsi="Times New Roman" w:cs="Times New Roman" w:hint="default"/>
      </w:rPr>
    </w:lvl>
    <w:lvl w:ilvl="1" w:tplc="08090003" w:tentative="1">
      <w:start w:val="1"/>
      <w:numFmt w:val="bullet"/>
      <w:lvlText w:val="o"/>
      <w:lvlJc w:val="left"/>
      <w:pPr>
        <w:ind w:left="1165" w:hanging="360"/>
      </w:pPr>
      <w:rPr>
        <w:rFonts w:ascii="Courier New" w:hAnsi="Courier New" w:cs="Courier New" w:hint="default"/>
      </w:rPr>
    </w:lvl>
    <w:lvl w:ilvl="2" w:tplc="08090005" w:tentative="1">
      <w:start w:val="1"/>
      <w:numFmt w:val="bullet"/>
      <w:lvlText w:val=""/>
      <w:lvlJc w:val="left"/>
      <w:pPr>
        <w:ind w:left="1885" w:hanging="360"/>
      </w:pPr>
      <w:rPr>
        <w:rFonts w:ascii="Wingdings" w:hAnsi="Wingdings" w:hint="default"/>
      </w:rPr>
    </w:lvl>
    <w:lvl w:ilvl="3" w:tplc="08090001" w:tentative="1">
      <w:start w:val="1"/>
      <w:numFmt w:val="bullet"/>
      <w:lvlText w:val=""/>
      <w:lvlJc w:val="left"/>
      <w:pPr>
        <w:ind w:left="2605" w:hanging="360"/>
      </w:pPr>
      <w:rPr>
        <w:rFonts w:ascii="Symbol" w:hAnsi="Symbol" w:hint="default"/>
      </w:rPr>
    </w:lvl>
    <w:lvl w:ilvl="4" w:tplc="08090003" w:tentative="1">
      <w:start w:val="1"/>
      <w:numFmt w:val="bullet"/>
      <w:lvlText w:val="o"/>
      <w:lvlJc w:val="left"/>
      <w:pPr>
        <w:ind w:left="3325" w:hanging="360"/>
      </w:pPr>
      <w:rPr>
        <w:rFonts w:ascii="Courier New" w:hAnsi="Courier New" w:cs="Courier New" w:hint="default"/>
      </w:rPr>
    </w:lvl>
    <w:lvl w:ilvl="5" w:tplc="08090005" w:tentative="1">
      <w:start w:val="1"/>
      <w:numFmt w:val="bullet"/>
      <w:lvlText w:val=""/>
      <w:lvlJc w:val="left"/>
      <w:pPr>
        <w:ind w:left="4045" w:hanging="360"/>
      </w:pPr>
      <w:rPr>
        <w:rFonts w:ascii="Wingdings" w:hAnsi="Wingdings" w:hint="default"/>
      </w:rPr>
    </w:lvl>
    <w:lvl w:ilvl="6" w:tplc="08090001" w:tentative="1">
      <w:start w:val="1"/>
      <w:numFmt w:val="bullet"/>
      <w:lvlText w:val=""/>
      <w:lvlJc w:val="left"/>
      <w:pPr>
        <w:ind w:left="4765" w:hanging="360"/>
      </w:pPr>
      <w:rPr>
        <w:rFonts w:ascii="Symbol" w:hAnsi="Symbol" w:hint="default"/>
      </w:rPr>
    </w:lvl>
    <w:lvl w:ilvl="7" w:tplc="08090003" w:tentative="1">
      <w:start w:val="1"/>
      <w:numFmt w:val="bullet"/>
      <w:lvlText w:val="o"/>
      <w:lvlJc w:val="left"/>
      <w:pPr>
        <w:ind w:left="5485" w:hanging="360"/>
      </w:pPr>
      <w:rPr>
        <w:rFonts w:ascii="Courier New" w:hAnsi="Courier New" w:cs="Courier New" w:hint="default"/>
      </w:rPr>
    </w:lvl>
    <w:lvl w:ilvl="8" w:tplc="08090005" w:tentative="1">
      <w:start w:val="1"/>
      <w:numFmt w:val="bullet"/>
      <w:lvlText w:val=""/>
      <w:lvlJc w:val="left"/>
      <w:pPr>
        <w:ind w:left="6205" w:hanging="360"/>
      </w:pPr>
      <w:rPr>
        <w:rFonts w:ascii="Wingdings" w:hAnsi="Wingdings" w:hint="default"/>
      </w:rPr>
    </w:lvl>
  </w:abstractNum>
  <w:abstractNum w:abstractNumId="122" w15:restartNumberingAfterBreak="0">
    <w:nsid w:val="41910805"/>
    <w:multiLevelType w:val="hybridMultilevel"/>
    <w:tmpl w:val="DB2269C6"/>
    <w:lvl w:ilvl="0" w:tplc="7BBAF134">
      <w:start w:val="3"/>
      <w:numFmt w:val="bullet"/>
      <w:lvlText w:val="-"/>
      <w:lvlJc w:val="left"/>
      <w:pPr>
        <w:ind w:left="720" w:hanging="360"/>
      </w:pPr>
      <w:rPr>
        <w:rFonts w:ascii="Calibri" w:eastAsiaTheme="minorEastAsia" w:hAnsi="Calibri" w:cs="Calibri" w:hint="default"/>
      </w:rPr>
    </w:lvl>
    <w:lvl w:ilvl="1" w:tplc="08160003" w:tentative="1">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123" w15:restartNumberingAfterBreak="0">
    <w:nsid w:val="41910F6D"/>
    <w:multiLevelType w:val="hybridMultilevel"/>
    <w:tmpl w:val="F4669CCC"/>
    <w:lvl w:ilvl="0" w:tplc="0809001B">
      <w:start w:val="1"/>
      <w:numFmt w:val="lowerRoman"/>
      <w:lvlText w:val="%1."/>
      <w:lvlJc w:val="right"/>
      <w:pPr>
        <w:ind w:left="1800" w:hanging="360"/>
      </w:p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124" w15:restartNumberingAfterBreak="0">
    <w:nsid w:val="41F800E5"/>
    <w:multiLevelType w:val="hybridMultilevel"/>
    <w:tmpl w:val="F8B82BF0"/>
    <w:lvl w:ilvl="0" w:tplc="805CBA54">
      <w:start w:val="45"/>
      <w:numFmt w:val="decimal"/>
      <w:lvlText w:val="%1)"/>
      <w:lvlJc w:val="left"/>
      <w:pPr>
        <w:ind w:left="2694" w:hanging="360"/>
      </w:pPr>
      <w:rPr>
        <w:rFonts w:eastAsia="MS Mincho" w:hint="default"/>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5" w15:restartNumberingAfterBreak="0">
    <w:nsid w:val="4266117F"/>
    <w:multiLevelType w:val="hybridMultilevel"/>
    <w:tmpl w:val="DE10C0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6" w15:restartNumberingAfterBreak="0">
    <w:nsid w:val="4275537F"/>
    <w:multiLevelType w:val="hybridMultilevel"/>
    <w:tmpl w:val="E37EEA10"/>
    <w:lvl w:ilvl="0" w:tplc="08090001">
      <w:start w:val="1"/>
      <w:numFmt w:val="bullet"/>
      <w:lvlText w:val=""/>
      <w:lvlJc w:val="left"/>
      <w:pPr>
        <w:ind w:left="805" w:hanging="360"/>
      </w:pPr>
      <w:rPr>
        <w:rFonts w:ascii="Symbol" w:hAnsi="Symbol" w:hint="default"/>
      </w:rPr>
    </w:lvl>
    <w:lvl w:ilvl="1" w:tplc="08090003" w:tentative="1">
      <w:start w:val="1"/>
      <w:numFmt w:val="bullet"/>
      <w:lvlText w:val="o"/>
      <w:lvlJc w:val="left"/>
      <w:pPr>
        <w:ind w:left="1525" w:hanging="360"/>
      </w:pPr>
      <w:rPr>
        <w:rFonts w:ascii="Courier New" w:hAnsi="Courier New" w:cs="Courier New" w:hint="default"/>
      </w:rPr>
    </w:lvl>
    <w:lvl w:ilvl="2" w:tplc="08090005" w:tentative="1">
      <w:start w:val="1"/>
      <w:numFmt w:val="bullet"/>
      <w:lvlText w:val=""/>
      <w:lvlJc w:val="left"/>
      <w:pPr>
        <w:ind w:left="2245" w:hanging="360"/>
      </w:pPr>
      <w:rPr>
        <w:rFonts w:ascii="Wingdings" w:hAnsi="Wingdings" w:hint="default"/>
      </w:rPr>
    </w:lvl>
    <w:lvl w:ilvl="3" w:tplc="08090001" w:tentative="1">
      <w:start w:val="1"/>
      <w:numFmt w:val="bullet"/>
      <w:lvlText w:val=""/>
      <w:lvlJc w:val="left"/>
      <w:pPr>
        <w:ind w:left="2965" w:hanging="360"/>
      </w:pPr>
      <w:rPr>
        <w:rFonts w:ascii="Symbol" w:hAnsi="Symbol" w:hint="default"/>
      </w:rPr>
    </w:lvl>
    <w:lvl w:ilvl="4" w:tplc="08090003" w:tentative="1">
      <w:start w:val="1"/>
      <w:numFmt w:val="bullet"/>
      <w:lvlText w:val="o"/>
      <w:lvlJc w:val="left"/>
      <w:pPr>
        <w:ind w:left="3685" w:hanging="360"/>
      </w:pPr>
      <w:rPr>
        <w:rFonts w:ascii="Courier New" w:hAnsi="Courier New" w:cs="Courier New" w:hint="default"/>
      </w:rPr>
    </w:lvl>
    <w:lvl w:ilvl="5" w:tplc="08090005" w:tentative="1">
      <w:start w:val="1"/>
      <w:numFmt w:val="bullet"/>
      <w:lvlText w:val=""/>
      <w:lvlJc w:val="left"/>
      <w:pPr>
        <w:ind w:left="4405" w:hanging="360"/>
      </w:pPr>
      <w:rPr>
        <w:rFonts w:ascii="Wingdings" w:hAnsi="Wingdings" w:hint="default"/>
      </w:rPr>
    </w:lvl>
    <w:lvl w:ilvl="6" w:tplc="08090001" w:tentative="1">
      <w:start w:val="1"/>
      <w:numFmt w:val="bullet"/>
      <w:lvlText w:val=""/>
      <w:lvlJc w:val="left"/>
      <w:pPr>
        <w:ind w:left="5125" w:hanging="360"/>
      </w:pPr>
      <w:rPr>
        <w:rFonts w:ascii="Symbol" w:hAnsi="Symbol" w:hint="default"/>
      </w:rPr>
    </w:lvl>
    <w:lvl w:ilvl="7" w:tplc="08090003" w:tentative="1">
      <w:start w:val="1"/>
      <w:numFmt w:val="bullet"/>
      <w:lvlText w:val="o"/>
      <w:lvlJc w:val="left"/>
      <w:pPr>
        <w:ind w:left="5845" w:hanging="360"/>
      </w:pPr>
      <w:rPr>
        <w:rFonts w:ascii="Courier New" w:hAnsi="Courier New" w:cs="Courier New" w:hint="default"/>
      </w:rPr>
    </w:lvl>
    <w:lvl w:ilvl="8" w:tplc="08090005" w:tentative="1">
      <w:start w:val="1"/>
      <w:numFmt w:val="bullet"/>
      <w:lvlText w:val=""/>
      <w:lvlJc w:val="left"/>
      <w:pPr>
        <w:ind w:left="6565" w:hanging="360"/>
      </w:pPr>
      <w:rPr>
        <w:rFonts w:ascii="Wingdings" w:hAnsi="Wingdings" w:hint="default"/>
      </w:rPr>
    </w:lvl>
  </w:abstractNum>
  <w:abstractNum w:abstractNumId="127" w15:restartNumberingAfterBreak="0">
    <w:nsid w:val="427553C3"/>
    <w:multiLevelType w:val="hybridMultilevel"/>
    <w:tmpl w:val="625E3582"/>
    <w:lvl w:ilvl="0" w:tplc="0CDE26CA">
      <w:start w:val="1"/>
      <w:numFmt w:val="bullet"/>
      <w:lvlText w:val="·"/>
      <w:lvlJc w:val="left"/>
      <w:pPr>
        <w:ind w:left="720" w:hanging="360"/>
      </w:pPr>
      <w:rPr>
        <w:rFonts w:ascii="Symbol" w:hAnsi="Symbol" w:hint="default"/>
      </w:rPr>
    </w:lvl>
    <w:lvl w:ilvl="1" w:tplc="6E66BED4">
      <w:start w:val="1"/>
      <w:numFmt w:val="bullet"/>
      <w:lvlText w:val="o"/>
      <w:lvlJc w:val="left"/>
      <w:pPr>
        <w:ind w:left="1440" w:hanging="360"/>
      </w:pPr>
      <w:rPr>
        <w:rFonts w:ascii="Courier New" w:hAnsi="Courier New" w:hint="default"/>
      </w:rPr>
    </w:lvl>
    <w:lvl w:ilvl="2" w:tplc="6136DC70">
      <w:start w:val="1"/>
      <w:numFmt w:val="bullet"/>
      <w:lvlText w:val=""/>
      <w:lvlJc w:val="left"/>
      <w:pPr>
        <w:ind w:left="2160" w:hanging="360"/>
      </w:pPr>
      <w:rPr>
        <w:rFonts w:ascii="Wingdings" w:hAnsi="Wingdings" w:hint="default"/>
      </w:rPr>
    </w:lvl>
    <w:lvl w:ilvl="3" w:tplc="56BCDBBC">
      <w:start w:val="1"/>
      <w:numFmt w:val="bullet"/>
      <w:lvlText w:val=""/>
      <w:lvlJc w:val="left"/>
      <w:pPr>
        <w:ind w:left="2880" w:hanging="360"/>
      </w:pPr>
      <w:rPr>
        <w:rFonts w:ascii="Symbol" w:hAnsi="Symbol" w:hint="default"/>
      </w:rPr>
    </w:lvl>
    <w:lvl w:ilvl="4" w:tplc="5726A0C8">
      <w:start w:val="1"/>
      <w:numFmt w:val="bullet"/>
      <w:lvlText w:val="o"/>
      <w:lvlJc w:val="left"/>
      <w:pPr>
        <w:ind w:left="3600" w:hanging="360"/>
      </w:pPr>
      <w:rPr>
        <w:rFonts w:ascii="Courier New" w:hAnsi="Courier New" w:hint="default"/>
      </w:rPr>
    </w:lvl>
    <w:lvl w:ilvl="5" w:tplc="AB124752">
      <w:start w:val="1"/>
      <w:numFmt w:val="bullet"/>
      <w:lvlText w:val=""/>
      <w:lvlJc w:val="left"/>
      <w:pPr>
        <w:ind w:left="4320" w:hanging="360"/>
      </w:pPr>
      <w:rPr>
        <w:rFonts w:ascii="Wingdings" w:hAnsi="Wingdings" w:hint="default"/>
      </w:rPr>
    </w:lvl>
    <w:lvl w:ilvl="6" w:tplc="935C97FC">
      <w:start w:val="1"/>
      <w:numFmt w:val="bullet"/>
      <w:lvlText w:val=""/>
      <w:lvlJc w:val="left"/>
      <w:pPr>
        <w:ind w:left="5040" w:hanging="360"/>
      </w:pPr>
      <w:rPr>
        <w:rFonts w:ascii="Symbol" w:hAnsi="Symbol" w:hint="default"/>
      </w:rPr>
    </w:lvl>
    <w:lvl w:ilvl="7" w:tplc="24A2BA28">
      <w:start w:val="1"/>
      <w:numFmt w:val="bullet"/>
      <w:lvlText w:val="o"/>
      <w:lvlJc w:val="left"/>
      <w:pPr>
        <w:ind w:left="5760" w:hanging="360"/>
      </w:pPr>
      <w:rPr>
        <w:rFonts w:ascii="Courier New" w:hAnsi="Courier New" w:hint="default"/>
      </w:rPr>
    </w:lvl>
    <w:lvl w:ilvl="8" w:tplc="3F24B7EA">
      <w:start w:val="1"/>
      <w:numFmt w:val="bullet"/>
      <w:lvlText w:val=""/>
      <w:lvlJc w:val="left"/>
      <w:pPr>
        <w:ind w:left="6480" w:hanging="360"/>
      </w:pPr>
      <w:rPr>
        <w:rFonts w:ascii="Wingdings" w:hAnsi="Wingdings" w:hint="default"/>
      </w:rPr>
    </w:lvl>
  </w:abstractNum>
  <w:abstractNum w:abstractNumId="128" w15:restartNumberingAfterBreak="0">
    <w:nsid w:val="42957DBD"/>
    <w:multiLevelType w:val="hybridMultilevel"/>
    <w:tmpl w:val="42E26CDA"/>
    <w:lvl w:ilvl="0" w:tplc="7D5EEB9C">
      <w:start w:val="1"/>
      <w:numFmt w:val="lowerRoman"/>
      <w:lvlText w:val="(%1)"/>
      <w:lvlJc w:val="left"/>
      <w:pPr>
        <w:ind w:left="753" w:hanging="720"/>
      </w:pPr>
      <w:rPr>
        <w:rFonts w:hint="default"/>
      </w:rPr>
    </w:lvl>
    <w:lvl w:ilvl="1" w:tplc="08090019" w:tentative="1">
      <w:start w:val="1"/>
      <w:numFmt w:val="lowerLetter"/>
      <w:lvlText w:val="%2."/>
      <w:lvlJc w:val="left"/>
      <w:pPr>
        <w:ind w:left="1113" w:hanging="360"/>
      </w:pPr>
    </w:lvl>
    <w:lvl w:ilvl="2" w:tplc="0809001B" w:tentative="1">
      <w:start w:val="1"/>
      <w:numFmt w:val="lowerRoman"/>
      <w:lvlText w:val="%3."/>
      <w:lvlJc w:val="right"/>
      <w:pPr>
        <w:ind w:left="1833" w:hanging="180"/>
      </w:pPr>
    </w:lvl>
    <w:lvl w:ilvl="3" w:tplc="0809000F" w:tentative="1">
      <w:start w:val="1"/>
      <w:numFmt w:val="decimal"/>
      <w:lvlText w:val="%4."/>
      <w:lvlJc w:val="left"/>
      <w:pPr>
        <w:ind w:left="2553" w:hanging="360"/>
      </w:pPr>
    </w:lvl>
    <w:lvl w:ilvl="4" w:tplc="08090019" w:tentative="1">
      <w:start w:val="1"/>
      <w:numFmt w:val="lowerLetter"/>
      <w:lvlText w:val="%5."/>
      <w:lvlJc w:val="left"/>
      <w:pPr>
        <w:ind w:left="3273" w:hanging="360"/>
      </w:pPr>
    </w:lvl>
    <w:lvl w:ilvl="5" w:tplc="0809001B" w:tentative="1">
      <w:start w:val="1"/>
      <w:numFmt w:val="lowerRoman"/>
      <w:lvlText w:val="%6."/>
      <w:lvlJc w:val="right"/>
      <w:pPr>
        <w:ind w:left="3993" w:hanging="180"/>
      </w:pPr>
    </w:lvl>
    <w:lvl w:ilvl="6" w:tplc="0809000F" w:tentative="1">
      <w:start w:val="1"/>
      <w:numFmt w:val="decimal"/>
      <w:lvlText w:val="%7."/>
      <w:lvlJc w:val="left"/>
      <w:pPr>
        <w:ind w:left="4713" w:hanging="360"/>
      </w:pPr>
    </w:lvl>
    <w:lvl w:ilvl="7" w:tplc="08090019" w:tentative="1">
      <w:start w:val="1"/>
      <w:numFmt w:val="lowerLetter"/>
      <w:lvlText w:val="%8."/>
      <w:lvlJc w:val="left"/>
      <w:pPr>
        <w:ind w:left="5433" w:hanging="360"/>
      </w:pPr>
    </w:lvl>
    <w:lvl w:ilvl="8" w:tplc="0809001B" w:tentative="1">
      <w:start w:val="1"/>
      <w:numFmt w:val="lowerRoman"/>
      <w:lvlText w:val="%9."/>
      <w:lvlJc w:val="right"/>
      <w:pPr>
        <w:ind w:left="6153" w:hanging="180"/>
      </w:pPr>
    </w:lvl>
  </w:abstractNum>
  <w:abstractNum w:abstractNumId="129" w15:restartNumberingAfterBreak="0">
    <w:nsid w:val="42DB0852"/>
    <w:multiLevelType w:val="hybridMultilevel"/>
    <w:tmpl w:val="FFFFFFFF"/>
    <w:lvl w:ilvl="0" w:tplc="DCB81600">
      <w:start w:val="1"/>
      <w:numFmt w:val="decimal"/>
      <w:lvlText w:val="%1."/>
      <w:lvlJc w:val="left"/>
      <w:pPr>
        <w:ind w:left="720" w:hanging="360"/>
      </w:pPr>
    </w:lvl>
    <w:lvl w:ilvl="1" w:tplc="709C6A3A">
      <w:start w:val="1"/>
      <w:numFmt w:val="lowerLetter"/>
      <w:lvlText w:val="%2."/>
      <w:lvlJc w:val="left"/>
      <w:pPr>
        <w:ind w:left="1440" w:hanging="360"/>
      </w:pPr>
    </w:lvl>
    <w:lvl w:ilvl="2" w:tplc="A14A22E0">
      <w:start w:val="1"/>
      <w:numFmt w:val="lowerRoman"/>
      <w:lvlText w:val="%3."/>
      <w:lvlJc w:val="right"/>
      <w:pPr>
        <w:ind w:left="2160" w:hanging="180"/>
      </w:pPr>
    </w:lvl>
    <w:lvl w:ilvl="3" w:tplc="37A2BA48">
      <w:start w:val="1"/>
      <w:numFmt w:val="decimal"/>
      <w:lvlText w:val="%4."/>
      <w:lvlJc w:val="left"/>
      <w:pPr>
        <w:ind w:left="2880" w:hanging="360"/>
      </w:pPr>
    </w:lvl>
    <w:lvl w:ilvl="4" w:tplc="0158D936">
      <w:start w:val="1"/>
      <w:numFmt w:val="lowerLetter"/>
      <w:lvlText w:val="%5."/>
      <w:lvlJc w:val="left"/>
      <w:pPr>
        <w:ind w:left="3600" w:hanging="360"/>
      </w:pPr>
    </w:lvl>
    <w:lvl w:ilvl="5" w:tplc="7DCEB506">
      <w:start w:val="1"/>
      <w:numFmt w:val="lowerRoman"/>
      <w:lvlText w:val="%6."/>
      <w:lvlJc w:val="right"/>
      <w:pPr>
        <w:ind w:left="4320" w:hanging="180"/>
      </w:pPr>
    </w:lvl>
    <w:lvl w:ilvl="6" w:tplc="19DC56C0">
      <w:start w:val="1"/>
      <w:numFmt w:val="decimal"/>
      <w:lvlText w:val="%7."/>
      <w:lvlJc w:val="left"/>
      <w:pPr>
        <w:ind w:left="5040" w:hanging="360"/>
      </w:pPr>
    </w:lvl>
    <w:lvl w:ilvl="7" w:tplc="5A90A1E8">
      <w:start w:val="1"/>
      <w:numFmt w:val="lowerLetter"/>
      <w:lvlText w:val="%8."/>
      <w:lvlJc w:val="left"/>
      <w:pPr>
        <w:ind w:left="5760" w:hanging="360"/>
      </w:pPr>
    </w:lvl>
    <w:lvl w:ilvl="8" w:tplc="E2EE7886">
      <w:start w:val="1"/>
      <w:numFmt w:val="lowerRoman"/>
      <w:lvlText w:val="%9."/>
      <w:lvlJc w:val="right"/>
      <w:pPr>
        <w:ind w:left="6480" w:hanging="180"/>
      </w:pPr>
    </w:lvl>
  </w:abstractNum>
  <w:abstractNum w:abstractNumId="130" w15:restartNumberingAfterBreak="0">
    <w:nsid w:val="435E3A14"/>
    <w:multiLevelType w:val="hybridMultilevel"/>
    <w:tmpl w:val="FFFFFFFF"/>
    <w:lvl w:ilvl="0" w:tplc="90ACABF0">
      <w:start w:val="1"/>
      <w:numFmt w:val="decimal"/>
      <w:lvlText w:val="%1."/>
      <w:lvlJc w:val="left"/>
      <w:pPr>
        <w:ind w:left="720" w:hanging="360"/>
      </w:pPr>
    </w:lvl>
    <w:lvl w:ilvl="1" w:tplc="A4C6AD9C">
      <w:start w:val="1"/>
      <w:numFmt w:val="lowerLetter"/>
      <w:lvlText w:val="%2."/>
      <w:lvlJc w:val="left"/>
      <w:pPr>
        <w:ind w:left="1440" w:hanging="360"/>
      </w:pPr>
    </w:lvl>
    <w:lvl w:ilvl="2" w:tplc="A88217C0">
      <w:start w:val="1"/>
      <w:numFmt w:val="lowerRoman"/>
      <w:lvlText w:val="%3."/>
      <w:lvlJc w:val="right"/>
      <w:pPr>
        <w:ind w:left="2160" w:hanging="180"/>
      </w:pPr>
    </w:lvl>
    <w:lvl w:ilvl="3" w:tplc="A83A2AD8">
      <w:start w:val="1"/>
      <w:numFmt w:val="decimal"/>
      <w:lvlText w:val="%4."/>
      <w:lvlJc w:val="left"/>
      <w:pPr>
        <w:ind w:left="2880" w:hanging="360"/>
      </w:pPr>
    </w:lvl>
    <w:lvl w:ilvl="4" w:tplc="1432078E">
      <w:start w:val="1"/>
      <w:numFmt w:val="lowerLetter"/>
      <w:lvlText w:val="%5."/>
      <w:lvlJc w:val="left"/>
      <w:pPr>
        <w:ind w:left="3600" w:hanging="360"/>
      </w:pPr>
    </w:lvl>
    <w:lvl w:ilvl="5" w:tplc="4B42B678">
      <w:start w:val="1"/>
      <w:numFmt w:val="lowerRoman"/>
      <w:lvlText w:val="%6."/>
      <w:lvlJc w:val="right"/>
      <w:pPr>
        <w:ind w:left="4320" w:hanging="180"/>
      </w:pPr>
    </w:lvl>
    <w:lvl w:ilvl="6" w:tplc="B3DEEFF0">
      <w:start w:val="1"/>
      <w:numFmt w:val="decimal"/>
      <w:lvlText w:val="%7."/>
      <w:lvlJc w:val="left"/>
      <w:pPr>
        <w:ind w:left="5040" w:hanging="360"/>
      </w:pPr>
    </w:lvl>
    <w:lvl w:ilvl="7" w:tplc="5A362826">
      <w:start w:val="1"/>
      <w:numFmt w:val="lowerLetter"/>
      <w:lvlText w:val="%8."/>
      <w:lvlJc w:val="left"/>
      <w:pPr>
        <w:ind w:left="5760" w:hanging="360"/>
      </w:pPr>
    </w:lvl>
    <w:lvl w:ilvl="8" w:tplc="BC6E4078">
      <w:start w:val="1"/>
      <w:numFmt w:val="lowerRoman"/>
      <w:lvlText w:val="%9."/>
      <w:lvlJc w:val="right"/>
      <w:pPr>
        <w:ind w:left="6480" w:hanging="180"/>
      </w:pPr>
    </w:lvl>
  </w:abstractNum>
  <w:abstractNum w:abstractNumId="131" w15:restartNumberingAfterBreak="0">
    <w:nsid w:val="436C5B11"/>
    <w:multiLevelType w:val="hybridMultilevel"/>
    <w:tmpl w:val="FFFFFFFF"/>
    <w:lvl w:ilvl="0" w:tplc="BA0AACFA">
      <w:start w:val="1"/>
      <w:numFmt w:val="bullet"/>
      <w:lvlText w:val="·"/>
      <w:lvlJc w:val="left"/>
      <w:pPr>
        <w:ind w:left="720" w:hanging="360"/>
      </w:pPr>
      <w:rPr>
        <w:rFonts w:ascii="Symbol" w:hAnsi="Symbol" w:hint="default"/>
      </w:rPr>
    </w:lvl>
    <w:lvl w:ilvl="1" w:tplc="73C8394E">
      <w:start w:val="1"/>
      <w:numFmt w:val="bullet"/>
      <w:lvlText w:val="o"/>
      <w:lvlJc w:val="left"/>
      <w:pPr>
        <w:ind w:left="1440" w:hanging="360"/>
      </w:pPr>
      <w:rPr>
        <w:rFonts w:ascii="Courier New" w:hAnsi="Courier New" w:hint="default"/>
      </w:rPr>
    </w:lvl>
    <w:lvl w:ilvl="2" w:tplc="DD1E4EEC">
      <w:start w:val="1"/>
      <w:numFmt w:val="bullet"/>
      <w:lvlText w:val=""/>
      <w:lvlJc w:val="left"/>
      <w:pPr>
        <w:ind w:left="2160" w:hanging="360"/>
      </w:pPr>
      <w:rPr>
        <w:rFonts w:ascii="Wingdings" w:hAnsi="Wingdings" w:hint="default"/>
      </w:rPr>
    </w:lvl>
    <w:lvl w:ilvl="3" w:tplc="04ACAC0E">
      <w:start w:val="1"/>
      <w:numFmt w:val="bullet"/>
      <w:lvlText w:val=""/>
      <w:lvlJc w:val="left"/>
      <w:pPr>
        <w:ind w:left="2880" w:hanging="360"/>
      </w:pPr>
      <w:rPr>
        <w:rFonts w:ascii="Symbol" w:hAnsi="Symbol" w:hint="default"/>
      </w:rPr>
    </w:lvl>
    <w:lvl w:ilvl="4" w:tplc="1674D12E">
      <w:start w:val="1"/>
      <w:numFmt w:val="bullet"/>
      <w:lvlText w:val="o"/>
      <w:lvlJc w:val="left"/>
      <w:pPr>
        <w:ind w:left="3600" w:hanging="360"/>
      </w:pPr>
      <w:rPr>
        <w:rFonts w:ascii="Courier New" w:hAnsi="Courier New" w:hint="default"/>
      </w:rPr>
    </w:lvl>
    <w:lvl w:ilvl="5" w:tplc="724AF508">
      <w:start w:val="1"/>
      <w:numFmt w:val="bullet"/>
      <w:lvlText w:val=""/>
      <w:lvlJc w:val="left"/>
      <w:pPr>
        <w:ind w:left="4320" w:hanging="360"/>
      </w:pPr>
      <w:rPr>
        <w:rFonts w:ascii="Wingdings" w:hAnsi="Wingdings" w:hint="default"/>
      </w:rPr>
    </w:lvl>
    <w:lvl w:ilvl="6" w:tplc="F066FAB4">
      <w:start w:val="1"/>
      <w:numFmt w:val="bullet"/>
      <w:lvlText w:val=""/>
      <w:lvlJc w:val="left"/>
      <w:pPr>
        <w:ind w:left="5040" w:hanging="360"/>
      </w:pPr>
      <w:rPr>
        <w:rFonts w:ascii="Symbol" w:hAnsi="Symbol" w:hint="default"/>
      </w:rPr>
    </w:lvl>
    <w:lvl w:ilvl="7" w:tplc="5ED811E8">
      <w:start w:val="1"/>
      <w:numFmt w:val="bullet"/>
      <w:lvlText w:val="o"/>
      <w:lvlJc w:val="left"/>
      <w:pPr>
        <w:ind w:left="5760" w:hanging="360"/>
      </w:pPr>
      <w:rPr>
        <w:rFonts w:ascii="Courier New" w:hAnsi="Courier New" w:hint="default"/>
      </w:rPr>
    </w:lvl>
    <w:lvl w:ilvl="8" w:tplc="391068F6">
      <w:start w:val="1"/>
      <w:numFmt w:val="bullet"/>
      <w:lvlText w:val=""/>
      <w:lvlJc w:val="left"/>
      <w:pPr>
        <w:ind w:left="6480" w:hanging="360"/>
      </w:pPr>
      <w:rPr>
        <w:rFonts w:ascii="Wingdings" w:hAnsi="Wingdings" w:hint="default"/>
      </w:rPr>
    </w:lvl>
  </w:abstractNum>
  <w:abstractNum w:abstractNumId="132" w15:restartNumberingAfterBreak="0">
    <w:nsid w:val="43D91D16"/>
    <w:multiLevelType w:val="hybridMultilevel"/>
    <w:tmpl w:val="F496AE26"/>
    <w:lvl w:ilvl="0" w:tplc="08090001">
      <w:start w:val="1"/>
      <w:numFmt w:val="bullet"/>
      <w:lvlText w:val=""/>
      <w:lvlJc w:val="left"/>
      <w:pPr>
        <w:ind w:left="805" w:hanging="360"/>
      </w:pPr>
      <w:rPr>
        <w:rFonts w:ascii="Symbol" w:hAnsi="Symbol" w:hint="default"/>
      </w:rPr>
    </w:lvl>
    <w:lvl w:ilvl="1" w:tplc="08090003" w:tentative="1">
      <w:start w:val="1"/>
      <w:numFmt w:val="bullet"/>
      <w:lvlText w:val="o"/>
      <w:lvlJc w:val="left"/>
      <w:pPr>
        <w:ind w:left="1525" w:hanging="360"/>
      </w:pPr>
      <w:rPr>
        <w:rFonts w:ascii="Courier New" w:hAnsi="Courier New" w:cs="Courier New" w:hint="default"/>
      </w:rPr>
    </w:lvl>
    <w:lvl w:ilvl="2" w:tplc="08090005" w:tentative="1">
      <w:start w:val="1"/>
      <w:numFmt w:val="bullet"/>
      <w:lvlText w:val=""/>
      <w:lvlJc w:val="left"/>
      <w:pPr>
        <w:ind w:left="2245" w:hanging="360"/>
      </w:pPr>
      <w:rPr>
        <w:rFonts w:ascii="Wingdings" w:hAnsi="Wingdings" w:hint="default"/>
      </w:rPr>
    </w:lvl>
    <w:lvl w:ilvl="3" w:tplc="08090001" w:tentative="1">
      <w:start w:val="1"/>
      <w:numFmt w:val="bullet"/>
      <w:lvlText w:val=""/>
      <w:lvlJc w:val="left"/>
      <w:pPr>
        <w:ind w:left="2965" w:hanging="360"/>
      </w:pPr>
      <w:rPr>
        <w:rFonts w:ascii="Symbol" w:hAnsi="Symbol" w:hint="default"/>
      </w:rPr>
    </w:lvl>
    <w:lvl w:ilvl="4" w:tplc="08090003" w:tentative="1">
      <w:start w:val="1"/>
      <w:numFmt w:val="bullet"/>
      <w:lvlText w:val="o"/>
      <w:lvlJc w:val="left"/>
      <w:pPr>
        <w:ind w:left="3685" w:hanging="360"/>
      </w:pPr>
      <w:rPr>
        <w:rFonts w:ascii="Courier New" w:hAnsi="Courier New" w:cs="Courier New" w:hint="default"/>
      </w:rPr>
    </w:lvl>
    <w:lvl w:ilvl="5" w:tplc="08090005" w:tentative="1">
      <w:start w:val="1"/>
      <w:numFmt w:val="bullet"/>
      <w:lvlText w:val=""/>
      <w:lvlJc w:val="left"/>
      <w:pPr>
        <w:ind w:left="4405" w:hanging="360"/>
      </w:pPr>
      <w:rPr>
        <w:rFonts w:ascii="Wingdings" w:hAnsi="Wingdings" w:hint="default"/>
      </w:rPr>
    </w:lvl>
    <w:lvl w:ilvl="6" w:tplc="08090001" w:tentative="1">
      <w:start w:val="1"/>
      <w:numFmt w:val="bullet"/>
      <w:lvlText w:val=""/>
      <w:lvlJc w:val="left"/>
      <w:pPr>
        <w:ind w:left="5125" w:hanging="360"/>
      </w:pPr>
      <w:rPr>
        <w:rFonts w:ascii="Symbol" w:hAnsi="Symbol" w:hint="default"/>
      </w:rPr>
    </w:lvl>
    <w:lvl w:ilvl="7" w:tplc="08090003" w:tentative="1">
      <w:start w:val="1"/>
      <w:numFmt w:val="bullet"/>
      <w:lvlText w:val="o"/>
      <w:lvlJc w:val="left"/>
      <w:pPr>
        <w:ind w:left="5845" w:hanging="360"/>
      </w:pPr>
      <w:rPr>
        <w:rFonts w:ascii="Courier New" w:hAnsi="Courier New" w:cs="Courier New" w:hint="default"/>
      </w:rPr>
    </w:lvl>
    <w:lvl w:ilvl="8" w:tplc="08090005" w:tentative="1">
      <w:start w:val="1"/>
      <w:numFmt w:val="bullet"/>
      <w:lvlText w:val=""/>
      <w:lvlJc w:val="left"/>
      <w:pPr>
        <w:ind w:left="6565" w:hanging="360"/>
      </w:pPr>
      <w:rPr>
        <w:rFonts w:ascii="Wingdings" w:hAnsi="Wingdings" w:hint="default"/>
      </w:rPr>
    </w:lvl>
  </w:abstractNum>
  <w:abstractNum w:abstractNumId="133" w15:restartNumberingAfterBreak="0">
    <w:nsid w:val="44C27D48"/>
    <w:multiLevelType w:val="hybridMultilevel"/>
    <w:tmpl w:val="B15CC8FC"/>
    <w:lvl w:ilvl="0" w:tplc="090C4D3E">
      <w:start w:val="1"/>
      <w:numFmt w:val="bullet"/>
      <w:pStyle w:val="bullet2"/>
      <w:lvlText w:val=""/>
      <w:lvlJc w:val="left"/>
      <w:pPr>
        <w:tabs>
          <w:tab w:val="num" w:pos="680"/>
        </w:tabs>
        <w:ind w:left="680" w:hanging="340"/>
      </w:pPr>
      <w:rPr>
        <w:rFonts w:ascii="Symbol" w:hAnsi="Symbol" w:hint="default"/>
      </w:rPr>
    </w:lvl>
    <w:lvl w:ilvl="1" w:tplc="04090003">
      <w:start w:val="1"/>
      <w:numFmt w:val="bullet"/>
      <w:lvlText w:val="o"/>
      <w:lvlJc w:val="left"/>
      <w:pPr>
        <w:ind w:left="1080" w:hanging="360"/>
      </w:pPr>
      <w:rPr>
        <w:rFonts w:ascii="Courier New" w:hAnsi="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4" w15:restartNumberingAfterBreak="0">
    <w:nsid w:val="44FB0A58"/>
    <w:multiLevelType w:val="hybridMultilevel"/>
    <w:tmpl w:val="FF84F170"/>
    <w:lvl w:ilvl="0" w:tplc="08090001">
      <w:start w:val="1"/>
      <w:numFmt w:val="bullet"/>
      <w:lvlText w:val=""/>
      <w:lvlJc w:val="left"/>
      <w:pPr>
        <w:ind w:left="1428" w:hanging="360"/>
      </w:pPr>
      <w:rPr>
        <w:rFonts w:ascii="Symbol" w:hAnsi="Symbol" w:hint="default"/>
      </w:rPr>
    </w:lvl>
    <w:lvl w:ilvl="1" w:tplc="08090003" w:tentative="1">
      <w:start w:val="1"/>
      <w:numFmt w:val="bullet"/>
      <w:lvlText w:val="o"/>
      <w:lvlJc w:val="left"/>
      <w:pPr>
        <w:ind w:left="2148" w:hanging="360"/>
      </w:pPr>
      <w:rPr>
        <w:rFonts w:ascii="Courier New" w:hAnsi="Courier New" w:cs="Courier New" w:hint="default"/>
      </w:rPr>
    </w:lvl>
    <w:lvl w:ilvl="2" w:tplc="08090005" w:tentative="1">
      <w:start w:val="1"/>
      <w:numFmt w:val="bullet"/>
      <w:lvlText w:val=""/>
      <w:lvlJc w:val="left"/>
      <w:pPr>
        <w:ind w:left="2868" w:hanging="360"/>
      </w:pPr>
      <w:rPr>
        <w:rFonts w:ascii="Wingdings" w:hAnsi="Wingdings" w:hint="default"/>
      </w:rPr>
    </w:lvl>
    <w:lvl w:ilvl="3" w:tplc="08090001" w:tentative="1">
      <w:start w:val="1"/>
      <w:numFmt w:val="bullet"/>
      <w:lvlText w:val=""/>
      <w:lvlJc w:val="left"/>
      <w:pPr>
        <w:ind w:left="3588" w:hanging="360"/>
      </w:pPr>
      <w:rPr>
        <w:rFonts w:ascii="Symbol" w:hAnsi="Symbol" w:hint="default"/>
      </w:rPr>
    </w:lvl>
    <w:lvl w:ilvl="4" w:tplc="08090003" w:tentative="1">
      <w:start w:val="1"/>
      <w:numFmt w:val="bullet"/>
      <w:lvlText w:val="o"/>
      <w:lvlJc w:val="left"/>
      <w:pPr>
        <w:ind w:left="4308" w:hanging="360"/>
      </w:pPr>
      <w:rPr>
        <w:rFonts w:ascii="Courier New" w:hAnsi="Courier New" w:cs="Courier New" w:hint="default"/>
      </w:rPr>
    </w:lvl>
    <w:lvl w:ilvl="5" w:tplc="08090005" w:tentative="1">
      <w:start w:val="1"/>
      <w:numFmt w:val="bullet"/>
      <w:lvlText w:val=""/>
      <w:lvlJc w:val="left"/>
      <w:pPr>
        <w:ind w:left="5028" w:hanging="360"/>
      </w:pPr>
      <w:rPr>
        <w:rFonts w:ascii="Wingdings" w:hAnsi="Wingdings" w:hint="default"/>
      </w:rPr>
    </w:lvl>
    <w:lvl w:ilvl="6" w:tplc="08090001" w:tentative="1">
      <w:start w:val="1"/>
      <w:numFmt w:val="bullet"/>
      <w:lvlText w:val=""/>
      <w:lvlJc w:val="left"/>
      <w:pPr>
        <w:ind w:left="5748" w:hanging="360"/>
      </w:pPr>
      <w:rPr>
        <w:rFonts w:ascii="Symbol" w:hAnsi="Symbol" w:hint="default"/>
      </w:rPr>
    </w:lvl>
    <w:lvl w:ilvl="7" w:tplc="08090003" w:tentative="1">
      <w:start w:val="1"/>
      <w:numFmt w:val="bullet"/>
      <w:lvlText w:val="o"/>
      <w:lvlJc w:val="left"/>
      <w:pPr>
        <w:ind w:left="6468" w:hanging="360"/>
      </w:pPr>
      <w:rPr>
        <w:rFonts w:ascii="Courier New" w:hAnsi="Courier New" w:cs="Courier New" w:hint="default"/>
      </w:rPr>
    </w:lvl>
    <w:lvl w:ilvl="8" w:tplc="08090005" w:tentative="1">
      <w:start w:val="1"/>
      <w:numFmt w:val="bullet"/>
      <w:lvlText w:val=""/>
      <w:lvlJc w:val="left"/>
      <w:pPr>
        <w:ind w:left="7188" w:hanging="360"/>
      </w:pPr>
      <w:rPr>
        <w:rFonts w:ascii="Wingdings" w:hAnsi="Wingdings" w:hint="default"/>
      </w:rPr>
    </w:lvl>
  </w:abstractNum>
  <w:abstractNum w:abstractNumId="135" w15:restartNumberingAfterBreak="0">
    <w:nsid w:val="45756D35"/>
    <w:multiLevelType w:val="hybridMultilevel"/>
    <w:tmpl w:val="C17C3AE4"/>
    <w:lvl w:ilvl="0" w:tplc="B6928798">
      <w:start w:val="52"/>
      <w:numFmt w:val="decimal"/>
      <w:lvlText w:val="%1."/>
      <w:lvlJc w:val="left"/>
      <w:pPr>
        <w:ind w:left="720" w:hanging="360"/>
      </w:pPr>
    </w:lvl>
    <w:lvl w:ilvl="1" w:tplc="3F367B64">
      <w:start w:val="1"/>
      <w:numFmt w:val="lowerLetter"/>
      <w:lvlText w:val="%2."/>
      <w:lvlJc w:val="left"/>
      <w:pPr>
        <w:ind w:left="1440" w:hanging="360"/>
      </w:pPr>
    </w:lvl>
    <w:lvl w:ilvl="2" w:tplc="51D0F6AA">
      <w:start w:val="1"/>
      <w:numFmt w:val="lowerRoman"/>
      <w:lvlText w:val="%3."/>
      <w:lvlJc w:val="right"/>
      <w:pPr>
        <w:ind w:left="2160" w:hanging="180"/>
      </w:pPr>
    </w:lvl>
    <w:lvl w:ilvl="3" w:tplc="78E6ADE6">
      <w:start w:val="1"/>
      <w:numFmt w:val="decimal"/>
      <w:lvlText w:val="%4."/>
      <w:lvlJc w:val="left"/>
      <w:pPr>
        <w:ind w:left="2880" w:hanging="360"/>
      </w:pPr>
    </w:lvl>
    <w:lvl w:ilvl="4" w:tplc="E8EC4AD2">
      <w:start w:val="1"/>
      <w:numFmt w:val="lowerLetter"/>
      <w:lvlText w:val="%5."/>
      <w:lvlJc w:val="left"/>
      <w:pPr>
        <w:ind w:left="3600" w:hanging="360"/>
      </w:pPr>
    </w:lvl>
    <w:lvl w:ilvl="5" w:tplc="EA4C29B8">
      <w:start w:val="1"/>
      <w:numFmt w:val="lowerRoman"/>
      <w:lvlText w:val="%6."/>
      <w:lvlJc w:val="right"/>
      <w:pPr>
        <w:ind w:left="4320" w:hanging="180"/>
      </w:pPr>
    </w:lvl>
    <w:lvl w:ilvl="6" w:tplc="F412FF34">
      <w:start w:val="1"/>
      <w:numFmt w:val="decimal"/>
      <w:lvlText w:val="%7."/>
      <w:lvlJc w:val="left"/>
      <w:pPr>
        <w:ind w:left="5040" w:hanging="360"/>
      </w:pPr>
    </w:lvl>
    <w:lvl w:ilvl="7" w:tplc="17324140">
      <w:start w:val="1"/>
      <w:numFmt w:val="lowerLetter"/>
      <w:lvlText w:val="%8."/>
      <w:lvlJc w:val="left"/>
      <w:pPr>
        <w:ind w:left="5760" w:hanging="360"/>
      </w:pPr>
    </w:lvl>
    <w:lvl w:ilvl="8" w:tplc="8DC65FEA">
      <w:start w:val="1"/>
      <w:numFmt w:val="lowerRoman"/>
      <w:lvlText w:val="%9."/>
      <w:lvlJc w:val="right"/>
      <w:pPr>
        <w:ind w:left="6480" w:hanging="180"/>
      </w:pPr>
    </w:lvl>
  </w:abstractNum>
  <w:abstractNum w:abstractNumId="136" w15:restartNumberingAfterBreak="0">
    <w:nsid w:val="45F3484C"/>
    <w:multiLevelType w:val="hybridMultilevel"/>
    <w:tmpl w:val="CDDC159E"/>
    <w:lvl w:ilvl="0" w:tplc="0972CC78">
      <w:start w:val="1"/>
      <w:numFmt w:val="lowerRoman"/>
      <w:lvlText w:val="(%1)"/>
      <w:lvlJc w:val="left"/>
      <w:pPr>
        <w:ind w:left="753" w:hanging="720"/>
      </w:pPr>
      <w:rPr>
        <w:rFonts w:hint="default"/>
      </w:rPr>
    </w:lvl>
    <w:lvl w:ilvl="1" w:tplc="08090019" w:tentative="1">
      <w:start w:val="1"/>
      <w:numFmt w:val="lowerLetter"/>
      <w:lvlText w:val="%2."/>
      <w:lvlJc w:val="left"/>
      <w:pPr>
        <w:ind w:left="1113" w:hanging="360"/>
      </w:pPr>
    </w:lvl>
    <w:lvl w:ilvl="2" w:tplc="0809001B" w:tentative="1">
      <w:start w:val="1"/>
      <w:numFmt w:val="lowerRoman"/>
      <w:lvlText w:val="%3."/>
      <w:lvlJc w:val="right"/>
      <w:pPr>
        <w:ind w:left="1833" w:hanging="180"/>
      </w:pPr>
    </w:lvl>
    <w:lvl w:ilvl="3" w:tplc="0809000F" w:tentative="1">
      <w:start w:val="1"/>
      <w:numFmt w:val="decimal"/>
      <w:lvlText w:val="%4."/>
      <w:lvlJc w:val="left"/>
      <w:pPr>
        <w:ind w:left="2553" w:hanging="360"/>
      </w:pPr>
    </w:lvl>
    <w:lvl w:ilvl="4" w:tplc="08090019" w:tentative="1">
      <w:start w:val="1"/>
      <w:numFmt w:val="lowerLetter"/>
      <w:lvlText w:val="%5."/>
      <w:lvlJc w:val="left"/>
      <w:pPr>
        <w:ind w:left="3273" w:hanging="360"/>
      </w:pPr>
    </w:lvl>
    <w:lvl w:ilvl="5" w:tplc="0809001B" w:tentative="1">
      <w:start w:val="1"/>
      <w:numFmt w:val="lowerRoman"/>
      <w:lvlText w:val="%6."/>
      <w:lvlJc w:val="right"/>
      <w:pPr>
        <w:ind w:left="3993" w:hanging="180"/>
      </w:pPr>
    </w:lvl>
    <w:lvl w:ilvl="6" w:tplc="0809000F" w:tentative="1">
      <w:start w:val="1"/>
      <w:numFmt w:val="decimal"/>
      <w:lvlText w:val="%7."/>
      <w:lvlJc w:val="left"/>
      <w:pPr>
        <w:ind w:left="4713" w:hanging="360"/>
      </w:pPr>
    </w:lvl>
    <w:lvl w:ilvl="7" w:tplc="08090019" w:tentative="1">
      <w:start w:val="1"/>
      <w:numFmt w:val="lowerLetter"/>
      <w:lvlText w:val="%8."/>
      <w:lvlJc w:val="left"/>
      <w:pPr>
        <w:ind w:left="5433" w:hanging="360"/>
      </w:pPr>
    </w:lvl>
    <w:lvl w:ilvl="8" w:tplc="0809001B" w:tentative="1">
      <w:start w:val="1"/>
      <w:numFmt w:val="lowerRoman"/>
      <w:lvlText w:val="%9."/>
      <w:lvlJc w:val="right"/>
      <w:pPr>
        <w:ind w:left="6153" w:hanging="180"/>
      </w:pPr>
    </w:lvl>
  </w:abstractNum>
  <w:abstractNum w:abstractNumId="137" w15:restartNumberingAfterBreak="0">
    <w:nsid w:val="45F75F11"/>
    <w:multiLevelType w:val="hybridMultilevel"/>
    <w:tmpl w:val="FFFFFFFF"/>
    <w:lvl w:ilvl="0" w:tplc="9D88E720">
      <w:start w:val="1"/>
      <w:numFmt w:val="bullet"/>
      <w:lvlText w:val="·"/>
      <w:lvlJc w:val="left"/>
      <w:pPr>
        <w:ind w:left="720" w:hanging="360"/>
      </w:pPr>
      <w:rPr>
        <w:rFonts w:ascii="Symbol" w:hAnsi="Symbol" w:hint="default"/>
      </w:rPr>
    </w:lvl>
    <w:lvl w:ilvl="1" w:tplc="51884D46">
      <w:start w:val="1"/>
      <w:numFmt w:val="bullet"/>
      <w:lvlText w:val="o"/>
      <w:lvlJc w:val="left"/>
      <w:pPr>
        <w:ind w:left="1440" w:hanging="360"/>
      </w:pPr>
      <w:rPr>
        <w:rFonts w:ascii="Courier New" w:hAnsi="Courier New" w:hint="default"/>
      </w:rPr>
    </w:lvl>
    <w:lvl w:ilvl="2" w:tplc="CFB61AB4">
      <w:start w:val="1"/>
      <w:numFmt w:val="bullet"/>
      <w:lvlText w:val=""/>
      <w:lvlJc w:val="left"/>
      <w:pPr>
        <w:ind w:left="2160" w:hanging="360"/>
      </w:pPr>
      <w:rPr>
        <w:rFonts w:ascii="Wingdings" w:hAnsi="Wingdings" w:hint="default"/>
      </w:rPr>
    </w:lvl>
    <w:lvl w:ilvl="3" w:tplc="ADFE8606">
      <w:start w:val="1"/>
      <w:numFmt w:val="bullet"/>
      <w:lvlText w:val=""/>
      <w:lvlJc w:val="left"/>
      <w:pPr>
        <w:ind w:left="2880" w:hanging="360"/>
      </w:pPr>
      <w:rPr>
        <w:rFonts w:ascii="Symbol" w:hAnsi="Symbol" w:hint="default"/>
      </w:rPr>
    </w:lvl>
    <w:lvl w:ilvl="4" w:tplc="F73EC1CA">
      <w:start w:val="1"/>
      <w:numFmt w:val="bullet"/>
      <w:lvlText w:val="o"/>
      <w:lvlJc w:val="left"/>
      <w:pPr>
        <w:ind w:left="3600" w:hanging="360"/>
      </w:pPr>
      <w:rPr>
        <w:rFonts w:ascii="Courier New" w:hAnsi="Courier New" w:hint="default"/>
      </w:rPr>
    </w:lvl>
    <w:lvl w:ilvl="5" w:tplc="EE24A45E">
      <w:start w:val="1"/>
      <w:numFmt w:val="bullet"/>
      <w:lvlText w:val=""/>
      <w:lvlJc w:val="left"/>
      <w:pPr>
        <w:ind w:left="4320" w:hanging="360"/>
      </w:pPr>
      <w:rPr>
        <w:rFonts w:ascii="Wingdings" w:hAnsi="Wingdings" w:hint="default"/>
      </w:rPr>
    </w:lvl>
    <w:lvl w:ilvl="6" w:tplc="18F4A210">
      <w:start w:val="1"/>
      <w:numFmt w:val="bullet"/>
      <w:lvlText w:val=""/>
      <w:lvlJc w:val="left"/>
      <w:pPr>
        <w:ind w:left="5040" w:hanging="360"/>
      </w:pPr>
      <w:rPr>
        <w:rFonts w:ascii="Symbol" w:hAnsi="Symbol" w:hint="default"/>
      </w:rPr>
    </w:lvl>
    <w:lvl w:ilvl="7" w:tplc="EC60BC66">
      <w:start w:val="1"/>
      <w:numFmt w:val="bullet"/>
      <w:lvlText w:val="o"/>
      <w:lvlJc w:val="left"/>
      <w:pPr>
        <w:ind w:left="5760" w:hanging="360"/>
      </w:pPr>
      <w:rPr>
        <w:rFonts w:ascii="Courier New" w:hAnsi="Courier New" w:hint="default"/>
      </w:rPr>
    </w:lvl>
    <w:lvl w:ilvl="8" w:tplc="062C43C2">
      <w:start w:val="1"/>
      <w:numFmt w:val="bullet"/>
      <w:lvlText w:val=""/>
      <w:lvlJc w:val="left"/>
      <w:pPr>
        <w:ind w:left="6480" w:hanging="360"/>
      </w:pPr>
      <w:rPr>
        <w:rFonts w:ascii="Wingdings" w:hAnsi="Wingdings" w:hint="default"/>
      </w:rPr>
    </w:lvl>
  </w:abstractNum>
  <w:abstractNum w:abstractNumId="138" w15:restartNumberingAfterBreak="0">
    <w:nsid w:val="46F32E4A"/>
    <w:multiLevelType w:val="hybridMultilevel"/>
    <w:tmpl w:val="DB781246"/>
    <w:lvl w:ilvl="0" w:tplc="4BEACA78">
      <w:numFmt w:val="none"/>
      <w:lvlText w:val=""/>
      <w:lvlJc w:val="left"/>
      <w:pPr>
        <w:tabs>
          <w:tab w:val="num" w:pos="360"/>
        </w:tabs>
      </w:pPr>
    </w:lvl>
    <w:lvl w:ilvl="1" w:tplc="A5A06C28">
      <w:start w:val="1"/>
      <w:numFmt w:val="decimal"/>
      <w:lvlText w:val="%2)"/>
      <w:lvlJc w:val="left"/>
      <w:pPr>
        <w:ind w:left="1080" w:hanging="360"/>
      </w:pPr>
      <w:rPr>
        <w:rFonts w:hint="default"/>
      </w:rPr>
    </w:lvl>
    <w:lvl w:ilvl="2" w:tplc="62F0F12A">
      <w:start w:val="1"/>
      <w:numFmt w:val="lowerRoman"/>
      <w:lvlText w:val="%3."/>
      <w:lvlJc w:val="right"/>
      <w:pPr>
        <w:ind w:left="1800" w:hanging="180"/>
      </w:pPr>
    </w:lvl>
    <w:lvl w:ilvl="3" w:tplc="71BE027E" w:tentative="1">
      <w:start w:val="1"/>
      <w:numFmt w:val="decimal"/>
      <w:lvlText w:val="%4."/>
      <w:lvlJc w:val="left"/>
      <w:pPr>
        <w:ind w:left="2520" w:hanging="360"/>
      </w:pPr>
    </w:lvl>
    <w:lvl w:ilvl="4" w:tplc="03427AE2" w:tentative="1">
      <w:start w:val="1"/>
      <w:numFmt w:val="lowerLetter"/>
      <w:lvlText w:val="%5."/>
      <w:lvlJc w:val="left"/>
      <w:pPr>
        <w:ind w:left="3240" w:hanging="360"/>
      </w:pPr>
    </w:lvl>
    <w:lvl w:ilvl="5" w:tplc="B79A3FB4" w:tentative="1">
      <w:start w:val="1"/>
      <w:numFmt w:val="lowerRoman"/>
      <w:lvlText w:val="%6."/>
      <w:lvlJc w:val="right"/>
      <w:pPr>
        <w:ind w:left="3960" w:hanging="180"/>
      </w:pPr>
    </w:lvl>
    <w:lvl w:ilvl="6" w:tplc="505673C4" w:tentative="1">
      <w:start w:val="1"/>
      <w:numFmt w:val="decimal"/>
      <w:lvlText w:val="%7."/>
      <w:lvlJc w:val="left"/>
      <w:pPr>
        <w:ind w:left="4680" w:hanging="360"/>
      </w:pPr>
    </w:lvl>
    <w:lvl w:ilvl="7" w:tplc="A5EE0B1E" w:tentative="1">
      <w:start w:val="1"/>
      <w:numFmt w:val="lowerLetter"/>
      <w:lvlText w:val="%8."/>
      <w:lvlJc w:val="left"/>
      <w:pPr>
        <w:ind w:left="5400" w:hanging="360"/>
      </w:pPr>
    </w:lvl>
    <w:lvl w:ilvl="8" w:tplc="CA1C1D5A" w:tentative="1">
      <w:start w:val="1"/>
      <w:numFmt w:val="lowerRoman"/>
      <w:lvlText w:val="%9."/>
      <w:lvlJc w:val="right"/>
      <w:pPr>
        <w:ind w:left="6120" w:hanging="180"/>
      </w:pPr>
    </w:lvl>
  </w:abstractNum>
  <w:abstractNum w:abstractNumId="139" w15:restartNumberingAfterBreak="0">
    <w:nsid w:val="476C32E1"/>
    <w:multiLevelType w:val="hybridMultilevel"/>
    <w:tmpl w:val="1E9224A8"/>
    <w:lvl w:ilvl="0" w:tplc="CE4831C8">
      <w:start w:val="1"/>
      <w:numFmt w:val="bullet"/>
      <w:lvlText w:val="·"/>
      <w:lvlJc w:val="left"/>
      <w:pPr>
        <w:ind w:left="720" w:hanging="360"/>
      </w:pPr>
      <w:rPr>
        <w:rFonts w:ascii="Symbol" w:hAnsi="Symbol" w:hint="default"/>
      </w:rPr>
    </w:lvl>
    <w:lvl w:ilvl="1" w:tplc="3B24329A">
      <w:start w:val="1"/>
      <w:numFmt w:val="bullet"/>
      <w:lvlText w:val="o"/>
      <w:lvlJc w:val="left"/>
      <w:pPr>
        <w:ind w:left="1440" w:hanging="360"/>
      </w:pPr>
      <w:rPr>
        <w:rFonts w:ascii="Courier New" w:hAnsi="Courier New" w:hint="default"/>
      </w:rPr>
    </w:lvl>
    <w:lvl w:ilvl="2" w:tplc="83A84D84">
      <w:start w:val="1"/>
      <w:numFmt w:val="bullet"/>
      <w:lvlText w:val=""/>
      <w:lvlJc w:val="left"/>
      <w:pPr>
        <w:ind w:left="2160" w:hanging="360"/>
      </w:pPr>
      <w:rPr>
        <w:rFonts w:ascii="Wingdings" w:hAnsi="Wingdings" w:hint="default"/>
      </w:rPr>
    </w:lvl>
    <w:lvl w:ilvl="3" w:tplc="197606B2">
      <w:start w:val="1"/>
      <w:numFmt w:val="bullet"/>
      <w:lvlText w:val=""/>
      <w:lvlJc w:val="left"/>
      <w:pPr>
        <w:ind w:left="2880" w:hanging="360"/>
      </w:pPr>
      <w:rPr>
        <w:rFonts w:ascii="Symbol" w:hAnsi="Symbol" w:hint="default"/>
      </w:rPr>
    </w:lvl>
    <w:lvl w:ilvl="4" w:tplc="1414A106">
      <w:start w:val="1"/>
      <w:numFmt w:val="bullet"/>
      <w:lvlText w:val="o"/>
      <w:lvlJc w:val="left"/>
      <w:pPr>
        <w:ind w:left="3600" w:hanging="360"/>
      </w:pPr>
      <w:rPr>
        <w:rFonts w:ascii="Courier New" w:hAnsi="Courier New" w:hint="default"/>
      </w:rPr>
    </w:lvl>
    <w:lvl w:ilvl="5" w:tplc="CB0AF864">
      <w:start w:val="1"/>
      <w:numFmt w:val="bullet"/>
      <w:lvlText w:val=""/>
      <w:lvlJc w:val="left"/>
      <w:pPr>
        <w:ind w:left="4320" w:hanging="360"/>
      </w:pPr>
      <w:rPr>
        <w:rFonts w:ascii="Wingdings" w:hAnsi="Wingdings" w:hint="default"/>
      </w:rPr>
    </w:lvl>
    <w:lvl w:ilvl="6" w:tplc="AD285DB6">
      <w:start w:val="1"/>
      <w:numFmt w:val="bullet"/>
      <w:lvlText w:val=""/>
      <w:lvlJc w:val="left"/>
      <w:pPr>
        <w:ind w:left="5040" w:hanging="360"/>
      </w:pPr>
      <w:rPr>
        <w:rFonts w:ascii="Symbol" w:hAnsi="Symbol" w:hint="default"/>
      </w:rPr>
    </w:lvl>
    <w:lvl w:ilvl="7" w:tplc="77C40BAA">
      <w:start w:val="1"/>
      <w:numFmt w:val="bullet"/>
      <w:lvlText w:val="o"/>
      <w:lvlJc w:val="left"/>
      <w:pPr>
        <w:ind w:left="5760" w:hanging="360"/>
      </w:pPr>
      <w:rPr>
        <w:rFonts w:ascii="Courier New" w:hAnsi="Courier New" w:hint="default"/>
      </w:rPr>
    </w:lvl>
    <w:lvl w:ilvl="8" w:tplc="D25CA5B8">
      <w:start w:val="1"/>
      <w:numFmt w:val="bullet"/>
      <w:lvlText w:val=""/>
      <w:lvlJc w:val="left"/>
      <w:pPr>
        <w:ind w:left="6480" w:hanging="360"/>
      </w:pPr>
      <w:rPr>
        <w:rFonts w:ascii="Wingdings" w:hAnsi="Wingdings" w:hint="default"/>
      </w:rPr>
    </w:lvl>
  </w:abstractNum>
  <w:abstractNum w:abstractNumId="140" w15:restartNumberingAfterBreak="0">
    <w:nsid w:val="486F0A09"/>
    <w:multiLevelType w:val="hybridMultilevel"/>
    <w:tmpl w:val="72D260BC"/>
    <w:lvl w:ilvl="0" w:tplc="08090001">
      <w:start w:val="1"/>
      <w:numFmt w:val="bullet"/>
      <w:lvlText w:val=""/>
      <w:lvlJc w:val="left"/>
      <w:pPr>
        <w:ind w:left="805" w:hanging="360"/>
      </w:pPr>
      <w:rPr>
        <w:rFonts w:ascii="Symbol" w:hAnsi="Symbol" w:hint="default"/>
      </w:rPr>
    </w:lvl>
    <w:lvl w:ilvl="1" w:tplc="08090003" w:tentative="1">
      <w:start w:val="1"/>
      <w:numFmt w:val="bullet"/>
      <w:lvlText w:val="o"/>
      <w:lvlJc w:val="left"/>
      <w:pPr>
        <w:ind w:left="1525" w:hanging="360"/>
      </w:pPr>
      <w:rPr>
        <w:rFonts w:ascii="Courier New" w:hAnsi="Courier New" w:cs="Courier New" w:hint="default"/>
      </w:rPr>
    </w:lvl>
    <w:lvl w:ilvl="2" w:tplc="08090005" w:tentative="1">
      <w:start w:val="1"/>
      <w:numFmt w:val="bullet"/>
      <w:lvlText w:val=""/>
      <w:lvlJc w:val="left"/>
      <w:pPr>
        <w:ind w:left="2245" w:hanging="360"/>
      </w:pPr>
      <w:rPr>
        <w:rFonts w:ascii="Wingdings" w:hAnsi="Wingdings" w:hint="default"/>
      </w:rPr>
    </w:lvl>
    <w:lvl w:ilvl="3" w:tplc="08090001" w:tentative="1">
      <w:start w:val="1"/>
      <w:numFmt w:val="bullet"/>
      <w:lvlText w:val=""/>
      <w:lvlJc w:val="left"/>
      <w:pPr>
        <w:ind w:left="2965" w:hanging="360"/>
      </w:pPr>
      <w:rPr>
        <w:rFonts w:ascii="Symbol" w:hAnsi="Symbol" w:hint="default"/>
      </w:rPr>
    </w:lvl>
    <w:lvl w:ilvl="4" w:tplc="08090003" w:tentative="1">
      <w:start w:val="1"/>
      <w:numFmt w:val="bullet"/>
      <w:lvlText w:val="o"/>
      <w:lvlJc w:val="left"/>
      <w:pPr>
        <w:ind w:left="3685" w:hanging="360"/>
      </w:pPr>
      <w:rPr>
        <w:rFonts w:ascii="Courier New" w:hAnsi="Courier New" w:cs="Courier New" w:hint="default"/>
      </w:rPr>
    </w:lvl>
    <w:lvl w:ilvl="5" w:tplc="08090005" w:tentative="1">
      <w:start w:val="1"/>
      <w:numFmt w:val="bullet"/>
      <w:lvlText w:val=""/>
      <w:lvlJc w:val="left"/>
      <w:pPr>
        <w:ind w:left="4405" w:hanging="360"/>
      </w:pPr>
      <w:rPr>
        <w:rFonts w:ascii="Wingdings" w:hAnsi="Wingdings" w:hint="default"/>
      </w:rPr>
    </w:lvl>
    <w:lvl w:ilvl="6" w:tplc="08090001" w:tentative="1">
      <w:start w:val="1"/>
      <w:numFmt w:val="bullet"/>
      <w:lvlText w:val=""/>
      <w:lvlJc w:val="left"/>
      <w:pPr>
        <w:ind w:left="5125" w:hanging="360"/>
      </w:pPr>
      <w:rPr>
        <w:rFonts w:ascii="Symbol" w:hAnsi="Symbol" w:hint="default"/>
      </w:rPr>
    </w:lvl>
    <w:lvl w:ilvl="7" w:tplc="08090003" w:tentative="1">
      <w:start w:val="1"/>
      <w:numFmt w:val="bullet"/>
      <w:lvlText w:val="o"/>
      <w:lvlJc w:val="left"/>
      <w:pPr>
        <w:ind w:left="5845" w:hanging="360"/>
      </w:pPr>
      <w:rPr>
        <w:rFonts w:ascii="Courier New" w:hAnsi="Courier New" w:cs="Courier New" w:hint="default"/>
      </w:rPr>
    </w:lvl>
    <w:lvl w:ilvl="8" w:tplc="08090005" w:tentative="1">
      <w:start w:val="1"/>
      <w:numFmt w:val="bullet"/>
      <w:lvlText w:val=""/>
      <w:lvlJc w:val="left"/>
      <w:pPr>
        <w:ind w:left="6565" w:hanging="360"/>
      </w:pPr>
      <w:rPr>
        <w:rFonts w:ascii="Wingdings" w:hAnsi="Wingdings" w:hint="default"/>
      </w:rPr>
    </w:lvl>
  </w:abstractNum>
  <w:abstractNum w:abstractNumId="141" w15:restartNumberingAfterBreak="0">
    <w:nsid w:val="489010CE"/>
    <w:multiLevelType w:val="hybridMultilevel"/>
    <w:tmpl w:val="AD7859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2" w15:restartNumberingAfterBreak="0">
    <w:nsid w:val="48DA2401"/>
    <w:multiLevelType w:val="hybridMultilevel"/>
    <w:tmpl w:val="A3BC0C96"/>
    <w:lvl w:ilvl="0" w:tplc="6304ED5E">
      <w:start w:val="1"/>
      <w:numFmt w:val="decimal"/>
      <w:lvlText w:val="(%1)"/>
      <w:lvlJc w:val="right"/>
      <w:pPr>
        <w:ind w:left="1074" w:hanging="360"/>
      </w:pPr>
      <w:rPr>
        <w:rFonts w:hint="default"/>
      </w:rPr>
    </w:lvl>
    <w:lvl w:ilvl="1" w:tplc="0809001B">
      <w:start w:val="1"/>
      <w:numFmt w:val="lowerRoman"/>
      <w:lvlText w:val="%2."/>
      <w:lvlJc w:val="right"/>
      <w:pPr>
        <w:ind w:left="1794" w:hanging="360"/>
      </w:pPr>
    </w:lvl>
    <w:lvl w:ilvl="2" w:tplc="B60A0A72">
      <w:start w:val="51"/>
      <w:numFmt w:val="decimal"/>
      <w:lvlText w:val="%3)"/>
      <w:lvlJc w:val="left"/>
      <w:pPr>
        <w:ind w:left="2694" w:hanging="360"/>
      </w:pPr>
      <w:rPr>
        <w:rFonts w:hint="default"/>
      </w:rPr>
    </w:lvl>
    <w:lvl w:ilvl="3" w:tplc="0809000F" w:tentative="1">
      <w:start w:val="1"/>
      <w:numFmt w:val="decimal"/>
      <w:lvlText w:val="%4."/>
      <w:lvlJc w:val="left"/>
      <w:pPr>
        <w:ind w:left="3234" w:hanging="360"/>
      </w:pPr>
    </w:lvl>
    <w:lvl w:ilvl="4" w:tplc="08090019" w:tentative="1">
      <w:start w:val="1"/>
      <w:numFmt w:val="lowerLetter"/>
      <w:lvlText w:val="%5."/>
      <w:lvlJc w:val="left"/>
      <w:pPr>
        <w:ind w:left="3954" w:hanging="360"/>
      </w:pPr>
    </w:lvl>
    <w:lvl w:ilvl="5" w:tplc="0809001B" w:tentative="1">
      <w:start w:val="1"/>
      <w:numFmt w:val="lowerRoman"/>
      <w:lvlText w:val="%6."/>
      <w:lvlJc w:val="right"/>
      <w:pPr>
        <w:ind w:left="4674" w:hanging="180"/>
      </w:pPr>
    </w:lvl>
    <w:lvl w:ilvl="6" w:tplc="0809000F" w:tentative="1">
      <w:start w:val="1"/>
      <w:numFmt w:val="decimal"/>
      <w:lvlText w:val="%7."/>
      <w:lvlJc w:val="left"/>
      <w:pPr>
        <w:ind w:left="5394" w:hanging="360"/>
      </w:pPr>
    </w:lvl>
    <w:lvl w:ilvl="7" w:tplc="08090019" w:tentative="1">
      <w:start w:val="1"/>
      <w:numFmt w:val="lowerLetter"/>
      <w:lvlText w:val="%8."/>
      <w:lvlJc w:val="left"/>
      <w:pPr>
        <w:ind w:left="6114" w:hanging="360"/>
      </w:pPr>
    </w:lvl>
    <w:lvl w:ilvl="8" w:tplc="0809001B" w:tentative="1">
      <w:start w:val="1"/>
      <w:numFmt w:val="lowerRoman"/>
      <w:lvlText w:val="%9."/>
      <w:lvlJc w:val="right"/>
      <w:pPr>
        <w:ind w:left="6834" w:hanging="180"/>
      </w:pPr>
    </w:lvl>
  </w:abstractNum>
  <w:abstractNum w:abstractNumId="143" w15:restartNumberingAfterBreak="0">
    <w:nsid w:val="492269F1"/>
    <w:multiLevelType w:val="hybridMultilevel"/>
    <w:tmpl w:val="04B4E452"/>
    <w:lvl w:ilvl="0" w:tplc="CCD23C1A">
      <w:start w:val="1"/>
      <w:numFmt w:val="bullet"/>
      <w:lvlText w:val="-"/>
      <w:lvlJc w:val="left"/>
      <w:pPr>
        <w:ind w:left="445" w:hanging="360"/>
      </w:pPr>
      <w:rPr>
        <w:rFonts w:ascii="Cambria" w:eastAsia="Cambria" w:hAnsi="Cambria" w:cs="Cambria" w:hint="default"/>
      </w:rPr>
    </w:lvl>
    <w:lvl w:ilvl="1" w:tplc="08090003" w:tentative="1">
      <w:start w:val="1"/>
      <w:numFmt w:val="bullet"/>
      <w:lvlText w:val="o"/>
      <w:lvlJc w:val="left"/>
      <w:pPr>
        <w:ind w:left="1165" w:hanging="360"/>
      </w:pPr>
      <w:rPr>
        <w:rFonts w:ascii="Courier New" w:hAnsi="Courier New" w:cs="Courier New" w:hint="default"/>
      </w:rPr>
    </w:lvl>
    <w:lvl w:ilvl="2" w:tplc="08090005" w:tentative="1">
      <w:start w:val="1"/>
      <w:numFmt w:val="bullet"/>
      <w:lvlText w:val=""/>
      <w:lvlJc w:val="left"/>
      <w:pPr>
        <w:ind w:left="1885" w:hanging="360"/>
      </w:pPr>
      <w:rPr>
        <w:rFonts w:ascii="Wingdings" w:hAnsi="Wingdings" w:hint="default"/>
      </w:rPr>
    </w:lvl>
    <w:lvl w:ilvl="3" w:tplc="08090001" w:tentative="1">
      <w:start w:val="1"/>
      <w:numFmt w:val="bullet"/>
      <w:lvlText w:val=""/>
      <w:lvlJc w:val="left"/>
      <w:pPr>
        <w:ind w:left="2605" w:hanging="360"/>
      </w:pPr>
      <w:rPr>
        <w:rFonts w:ascii="Symbol" w:hAnsi="Symbol" w:hint="default"/>
      </w:rPr>
    </w:lvl>
    <w:lvl w:ilvl="4" w:tplc="08090003" w:tentative="1">
      <w:start w:val="1"/>
      <w:numFmt w:val="bullet"/>
      <w:lvlText w:val="o"/>
      <w:lvlJc w:val="left"/>
      <w:pPr>
        <w:ind w:left="3325" w:hanging="360"/>
      </w:pPr>
      <w:rPr>
        <w:rFonts w:ascii="Courier New" w:hAnsi="Courier New" w:cs="Courier New" w:hint="default"/>
      </w:rPr>
    </w:lvl>
    <w:lvl w:ilvl="5" w:tplc="08090005" w:tentative="1">
      <w:start w:val="1"/>
      <w:numFmt w:val="bullet"/>
      <w:lvlText w:val=""/>
      <w:lvlJc w:val="left"/>
      <w:pPr>
        <w:ind w:left="4045" w:hanging="360"/>
      </w:pPr>
      <w:rPr>
        <w:rFonts w:ascii="Wingdings" w:hAnsi="Wingdings" w:hint="default"/>
      </w:rPr>
    </w:lvl>
    <w:lvl w:ilvl="6" w:tplc="08090001" w:tentative="1">
      <w:start w:val="1"/>
      <w:numFmt w:val="bullet"/>
      <w:lvlText w:val=""/>
      <w:lvlJc w:val="left"/>
      <w:pPr>
        <w:ind w:left="4765" w:hanging="360"/>
      </w:pPr>
      <w:rPr>
        <w:rFonts w:ascii="Symbol" w:hAnsi="Symbol" w:hint="default"/>
      </w:rPr>
    </w:lvl>
    <w:lvl w:ilvl="7" w:tplc="08090003" w:tentative="1">
      <w:start w:val="1"/>
      <w:numFmt w:val="bullet"/>
      <w:lvlText w:val="o"/>
      <w:lvlJc w:val="left"/>
      <w:pPr>
        <w:ind w:left="5485" w:hanging="360"/>
      </w:pPr>
      <w:rPr>
        <w:rFonts w:ascii="Courier New" w:hAnsi="Courier New" w:cs="Courier New" w:hint="default"/>
      </w:rPr>
    </w:lvl>
    <w:lvl w:ilvl="8" w:tplc="08090005" w:tentative="1">
      <w:start w:val="1"/>
      <w:numFmt w:val="bullet"/>
      <w:lvlText w:val=""/>
      <w:lvlJc w:val="left"/>
      <w:pPr>
        <w:ind w:left="6205" w:hanging="360"/>
      </w:pPr>
      <w:rPr>
        <w:rFonts w:ascii="Wingdings" w:hAnsi="Wingdings" w:hint="default"/>
      </w:rPr>
    </w:lvl>
  </w:abstractNum>
  <w:abstractNum w:abstractNumId="144" w15:restartNumberingAfterBreak="0">
    <w:nsid w:val="49D36EAE"/>
    <w:multiLevelType w:val="hybridMultilevel"/>
    <w:tmpl w:val="93C0B8DA"/>
    <w:lvl w:ilvl="0" w:tplc="08090001">
      <w:start w:val="1"/>
      <w:numFmt w:val="bullet"/>
      <w:lvlText w:val=""/>
      <w:lvlJc w:val="left"/>
      <w:pPr>
        <w:ind w:left="805" w:hanging="360"/>
      </w:pPr>
      <w:rPr>
        <w:rFonts w:ascii="Symbol" w:hAnsi="Symbol" w:hint="default"/>
      </w:rPr>
    </w:lvl>
    <w:lvl w:ilvl="1" w:tplc="08090003">
      <w:start w:val="1"/>
      <w:numFmt w:val="bullet"/>
      <w:lvlText w:val="o"/>
      <w:lvlJc w:val="left"/>
      <w:pPr>
        <w:ind w:left="1525" w:hanging="360"/>
      </w:pPr>
      <w:rPr>
        <w:rFonts w:ascii="Courier New" w:hAnsi="Courier New" w:cs="Courier New" w:hint="default"/>
      </w:rPr>
    </w:lvl>
    <w:lvl w:ilvl="2" w:tplc="08090005" w:tentative="1">
      <w:start w:val="1"/>
      <w:numFmt w:val="bullet"/>
      <w:lvlText w:val=""/>
      <w:lvlJc w:val="left"/>
      <w:pPr>
        <w:ind w:left="2245" w:hanging="360"/>
      </w:pPr>
      <w:rPr>
        <w:rFonts w:ascii="Wingdings" w:hAnsi="Wingdings" w:hint="default"/>
      </w:rPr>
    </w:lvl>
    <w:lvl w:ilvl="3" w:tplc="08090001" w:tentative="1">
      <w:start w:val="1"/>
      <w:numFmt w:val="bullet"/>
      <w:lvlText w:val=""/>
      <w:lvlJc w:val="left"/>
      <w:pPr>
        <w:ind w:left="2965" w:hanging="360"/>
      </w:pPr>
      <w:rPr>
        <w:rFonts w:ascii="Symbol" w:hAnsi="Symbol" w:hint="default"/>
      </w:rPr>
    </w:lvl>
    <w:lvl w:ilvl="4" w:tplc="08090003" w:tentative="1">
      <w:start w:val="1"/>
      <w:numFmt w:val="bullet"/>
      <w:lvlText w:val="o"/>
      <w:lvlJc w:val="left"/>
      <w:pPr>
        <w:ind w:left="3685" w:hanging="360"/>
      </w:pPr>
      <w:rPr>
        <w:rFonts w:ascii="Courier New" w:hAnsi="Courier New" w:cs="Courier New" w:hint="default"/>
      </w:rPr>
    </w:lvl>
    <w:lvl w:ilvl="5" w:tplc="08090005" w:tentative="1">
      <w:start w:val="1"/>
      <w:numFmt w:val="bullet"/>
      <w:lvlText w:val=""/>
      <w:lvlJc w:val="left"/>
      <w:pPr>
        <w:ind w:left="4405" w:hanging="360"/>
      </w:pPr>
      <w:rPr>
        <w:rFonts w:ascii="Wingdings" w:hAnsi="Wingdings" w:hint="default"/>
      </w:rPr>
    </w:lvl>
    <w:lvl w:ilvl="6" w:tplc="08090001" w:tentative="1">
      <w:start w:val="1"/>
      <w:numFmt w:val="bullet"/>
      <w:lvlText w:val=""/>
      <w:lvlJc w:val="left"/>
      <w:pPr>
        <w:ind w:left="5125" w:hanging="360"/>
      </w:pPr>
      <w:rPr>
        <w:rFonts w:ascii="Symbol" w:hAnsi="Symbol" w:hint="default"/>
      </w:rPr>
    </w:lvl>
    <w:lvl w:ilvl="7" w:tplc="08090003" w:tentative="1">
      <w:start w:val="1"/>
      <w:numFmt w:val="bullet"/>
      <w:lvlText w:val="o"/>
      <w:lvlJc w:val="left"/>
      <w:pPr>
        <w:ind w:left="5845" w:hanging="360"/>
      </w:pPr>
      <w:rPr>
        <w:rFonts w:ascii="Courier New" w:hAnsi="Courier New" w:cs="Courier New" w:hint="default"/>
      </w:rPr>
    </w:lvl>
    <w:lvl w:ilvl="8" w:tplc="08090005" w:tentative="1">
      <w:start w:val="1"/>
      <w:numFmt w:val="bullet"/>
      <w:lvlText w:val=""/>
      <w:lvlJc w:val="left"/>
      <w:pPr>
        <w:ind w:left="6565" w:hanging="360"/>
      </w:pPr>
      <w:rPr>
        <w:rFonts w:ascii="Wingdings" w:hAnsi="Wingdings" w:hint="default"/>
      </w:rPr>
    </w:lvl>
  </w:abstractNum>
  <w:abstractNum w:abstractNumId="145" w15:restartNumberingAfterBreak="0">
    <w:nsid w:val="49F74A04"/>
    <w:multiLevelType w:val="hybridMultilevel"/>
    <w:tmpl w:val="763EAF08"/>
    <w:lvl w:ilvl="0" w:tplc="08160001">
      <w:start w:val="1"/>
      <w:numFmt w:val="bullet"/>
      <w:lvlText w:val=""/>
      <w:lvlJc w:val="left"/>
      <w:pPr>
        <w:ind w:left="720" w:hanging="360"/>
      </w:pPr>
      <w:rPr>
        <w:rFonts w:ascii="Symbol" w:hAnsi="Symbol" w:hint="default"/>
      </w:rPr>
    </w:lvl>
    <w:lvl w:ilvl="1" w:tplc="08160003" w:tentative="1">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146" w15:restartNumberingAfterBreak="0">
    <w:nsid w:val="4A183C4D"/>
    <w:multiLevelType w:val="hybridMultilevel"/>
    <w:tmpl w:val="CD585B18"/>
    <w:lvl w:ilvl="0" w:tplc="FE3C0D54">
      <w:start w:val="55"/>
      <w:numFmt w:val="bullet"/>
      <w:lvlText w:val="-"/>
      <w:lvlJc w:val="left"/>
      <w:pPr>
        <w:ind w:left="720" w:hanging="360"/>
      </w:pPr>
      <w:rPr>
        <w:rFonts w:ascii="Verdana" w:eastAsia="Calibri" w:hAnsi="Verdana"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7" w15:restartNumberingAfterBreak="0">
    <w:nsid w:val="4A282FC8"/>
    <w:multiLevelType w:val="hybridMultilevel"/>
    <w:tmpl w:val="9FBC9B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8" w15:restartNumberingAfterBreak="0">
    <w:nsid w:val="4A9C7E8A"/>
    <w:multiLevelType w:val="hybridMultilevel"/>
    <w:tmpl w:val="8D428572"/>
    <w:lvl w:ilvl="0" w:tplc="0BF2BB52">
      <w:start w:val="1"/>
      <w:numFmt w:val="decimal"/>
      <w:lvlText w:val="%1."/>
      <w:lvlJc w:val="left"/>
      <w:pPr>
        <w:ind w:left="720" w:hanging="360"/>
      </w:pPr>
    </w:lvl>
    <w:lvl w:ilvl="1" w:tplc="C5329D6A">
      <w:start w:val="1"/>
      <w:numFmt w:val="lowerLetter"/>
      <w:lvlText w:val="%2."/>
      <w:lvlJc w:val="left"/>
      <w:pPr>
        <w:ind w:left="1440" w:hanging="360"/>
      </w:pPr>
    </w:lvl>
    <w:lvl w:ilvl="2" w:tplc="7C7C1D38">
      <w:start w:val="1"/>
      <w:numFmt w:val="lowerRoman"/>
      <w:lvlText w:val="%3."/>
      <w:lvlJc w:val="right"/>
      <w:pPr>
        <w:ind w:left="2160" w:hanging="180"/>
      </w:pPr>
    </w:lvl>
    <w:lvl w:ilvl="3" w:tplc="54163190">
      <w:start w:val="1"/>
      <w:numFmt w:val="decimal"/>
      <w:lvlText w:val="%4."/>
      <w:lvlJc w:val="left"/>
      <w:pPr>
        <w:ind w:left="2880" w:hanging="360"/>
      </w:pPr>
    </w:lvl>
    <w:lvl w:ilvl="4" w:tplc="CE1EE69E">
      <w:start w:val="1"/>
      <w:numFmt w:val="lowerLetter"/>
      <w:lvlText w:val="%5."/>
      <w:lvlJc w:val="left"/>
      <w:pPr>
        <w:ind w:left="3600" w:hanging="360"/>
      </w:pPr>
    </w:lvl>
    <w:lvl w:ilvl="5" w:tplc="BECC24AA">
      <w:start w:val="1"/>
      <w:numFmt w:val="lowerRoman"/>
      <w:lvlText w:val="%6."/>
      <w:lvlJc w:val="right"/>
      <w:pPr>
        <w:ind w:left="4320" w:hanging="180"/>
      </w:pPr>
    </w:lvl>
    <w:lvl w:ilvl="6" w:tplc="DA8E3506">
      <w:start w:val="1"/>
      <w:numFmt w:val="decimal"/>
      <w:lvlText w:val="%7."/>
      <w:lvlJc w:val="left"/>
      <w:pPr>
        <w:ind w:left="5040" w:hanging="360"/>
      </w:pPr>
    </w:lvl>
    <w:lvl w:ilvl="7" w:tplc="94AAC4CE">
      <w:start w:val="1"/>
      <w:numFmt w:val="lowerLetter"/>
      <w:lvlText w:val="%8."/>
      <w:lvlJc w:val="left"/>
      <w:pPr>
        <w:ind w:left="5760" w:hanging="360"/>
      </w:pPr>
    </w:lvl>
    <w:lvl w:ilvl="8" w:tplc="92AA1CF6">
      <w:start w:val="1"/>
      <w:numFmt w:val="lowerRoman"/>
      <w:lvlText w:val="%9."/>
      <w:lvlJc w:val="right"/>
      <w:pPr>
        <w:ind w:left="6480" w:hanging="180"/>
      </w:pPr>
    </w:lvl>
  </w:abstractNum>
  <w:abstractNum w:abstractNumId="149" w15:restartNumberingAfterBreak="0">
    <w:nsid w:val="4AF60CEE"/>
    <w:multiLevelType w:val="hybridMultilevel"/>
    <w:tmpl w:val="FFFFFFFF"/>
    <w:lvl w:ilvl="0" w:tplc="627236E0">
      <w:start w:val="1"/>
      <w:numFmt w:val="bullet"/>
      <w:lvlText w:val="-"/>
      <w:lvlJc w:val="left"/>
      <w:pPr>
        <w:ind w:left="720" w:hanging="360"/>
      </w:pPr>
      <w:rPr>
        <w:rFonts w:ascii="&quot;Calibri&quot;,sans-serif" w:hAnsi="&quot;Calibri&quot;,sans-serif" w:hint="default"/>
      </w:rPr>
    </w:lvl>
    <w:lvl w:ilvl="1" w:tplc="8856D2EA">
      <w:start w:val="1"/>
      <w:numFmt w:val="bullet"/>
      <w:lvlText w:val="o"/>
      <w:lvlJc w:val="left"/>
      <w:pPr>
        <w:ind w:left="1440" w:hanging="360"/>
      </w:pPr>
      <w:rPr>
        <w:rFonts w:ascii="Courier New" w:hAnsi="Courier New" w:hint="default"/>
      </w:rPr>
    </w:lvl>
    <w:lvl w:ilvl="2" w:tplc="18421B60">
      <w:start w:val="1"/>
      <w:numFmt w:val="bullet"/>
      <w:lvlText w:val=""/>
      <w:lvlJc w:val="left"/>
      <w:pPr>
        <w:ind w:left="2160" w:hanging="360"/>
      </w:pPr>
      <w:rPr>
        <w:rFonts w:ascii="Wingdings" w:hAnsi="Wingdings" w:hint="default"/>
      </w:rPr>
    </w:lvl>
    <w:lvl w:ilvl="3" w:tplc="BC0CCF9C">
      <w:start w:val="1"/>
      <w:numFmt w:val="bullet"/>
      <w:lvlText w:val=""/>
      <w:lvlJc w:val="left"/>
      <w:pPr>
        <w:ind w:left="2880" w:hanging="360"/>
      </w:pPr>
      <w:rPr>
        <w:rFonts w:ascii="Symbol" w:hAnsi="Symbol" w:hint="default"/>
      </w:rPr>
    </w:lvl>
    <w:lvl w:ilvl="4" w:tplc="21C4A204">
      <w:start w:val="1"/>
      <w:numFmt w:val="bullet"/>
      <w:lvlText w:val="o"/>
      <w:lvlJc w:val="left"/>
      <w:pPr>
        <w:ind w:left="3600" w:hanging="360"/>
      </w:pPr>
      <w:rPr>
        <w:rFonts w:ascii="Courier New" w:hAnsi="Courier New" w:hint="default"/>
      </w:rPr>
    </w:lvl>
    <w:lvl w:ilvl="5" w:tplc="F63291C6">
      <w:start w:val="1"/>
      <w:numFmt w:val="bullet"/>
      <w:lvlText w:val=""/>
      <w:lvlJc w:val="left"/>
      <w:pPr>
        <w:ind w:left="4320" w:hanging="360"/>
      </w:pPr>
      <w:rPr>
        <w:rFonts w:ascii="Wingdings" w:hAnsi="Wingdings" w:hint="default"/>
      </w:rPr>
    </w:lvl>
    <w:lvl w:ilvl="6" w:tplc="E3D4D0EE">
      <w:start w:val="1"/>
      <w:numFmt w:val="bullet"/>
      <w:lvlText w:val=""/>
      <w:lvlJc w:val="left"/>
      <w:pPr>
        <w:ind w:left="5040" w:hanging="360"/>
      </w:pPr>
      <w:rPr>
        <w:rFonts w:ascii="Symbol" w:hAnsi="Symbol" w:hint="default"/>
      </w:rPr>
    </w:lvl>
    <w:lvl w:ilvl="7" w:tplc="E5B00DF6">
      <w:start w:val="1"/>
      <w:numFmt w:val="bullet"/>
      <w:lvlText w:val="o"/>
      <w:lvlJc w:val="left"/>
      <w:pPr>
        <w:ind w:left="5760" w:hanging="360"/>
      </w:pPr>
      <w:rPr>
        <w:rFonts w:ascii="Courier New" w:hAnsi="Courier New" w:hint="default"/>
      </w:rPr>
    </w:lvl>
    <w:lvl w:ilvl="8" w:tplc="EAD0D474">
      <w:start w:val="1"/>
      <w:numFmt w:val="bullet"/>
      <w:lvlText w:val=""/>
      <w:lvlJc w:val="left"/>
      <w:pPr>
        <w:ind w:left="6480" w:hanging="360"/>
      </w:pPr>
      <w:rPr>
        <w:rFonts w:ascii="Wingdings" w:hAnsi="Wingdings" w:hint="default"/>
      </w:rPr>
    </w:lvl>
  </w:abstractNum>
  <w:abstractNum w:abstractNumId="150" w15:restartNumberingAfterBreak="0">
    <w:nsid w:val="4BF366C4"/>
    <w:multiLevelType w:val="hybridMultilevel"/>
    <w:tmpl w:val="FFFFFFFF"/>
    <w:lvl w:ilvl="0" w:tplc="7818B60E">
      <w:start w:val="1"/>
      <w:numFmt w:val="bullet"/>
      <w:lvlText w:val="·"/>
      <w:lvlJc w:val="left"/>
      <w:pPr>
        <w:ind w:left="720" w:hanging="360"/>
      </w:pPr>
      <w:rPr>
        <w:rFonts w:ascii="Symbol" w:hAnsi="Symbol" w:hint="default"/>
      </w:rPr>
    </w:lvl>
    <w:lvl w:ilvl="1" w:tplc="C23889DA">
      <w:start w:val="1"/>
      <w:numFmt w:val="decimal"/>
      <w:lvlText w:val="%2."/>
      <w:lvlJc w:val="left"/>
      <w:pPr>
        <w:ind w:left="1440" w:hanging="360"/>
      </w:pPr>
      <w:rPr>
        <w:rFonts w:hint="default"/>
      </w:rPr>
    </w:lvl>
    <w:lvl w:ilvl="2" w:tplc="05529188">
      <w:start w:val="1"/>
      <w:numFmt w:val="bullet"/>
      <w:lvlText w:val=""/>
      <w:lvlJc w:val="left"/>
      <w:pPr>
        <w:ind w:left="2160" w:hanging="360"/>
      </w:pPr>
      <w:rPr>
        <w:rFonts w:ascii="Wingdings" w:hAnsi="Wingdings" w:hint="default"/>
      </w:rPr>
    </w:lvl>
    <w:lvl w:ilvl="3" w:tplc="74A8D556">
      <w:start w:val="1"/>
      <w:numFmt w:val="bullet"/>
      <w:lvlText w:val=""/>
      <w:lvlJc w:val="left"/>
      <w:pPr>
        <w:ind w:left="2880" w:hanging="360"/>
      </w:pPr>
      <w:rPr>
        <w:rFonts w:ascii="Symbol" w:hAnsi="Symbol" w:hint="default"/>
      </w:rPr>
    </w:lvl>
    <w:lvl w:ilvl="4" w:tplc="D15C47FC">
      <w:start w:val="1"/>
      <w:numFmt w:val="bullet"/>
      <w:lvlText w:val="o"/>
      <w:lvlJc w:val="left"/>
      <w:pPr>
        <w:ind w:left="3600" w:hanging="360"/>
      </w:pPr>
      <w:rPr>
        <w:rFonts w:ascii="Courier New" w:hAnsi="Courier New" w:hint="default"/>
      </w:rPr>
    </w:lvl>
    <w:lvl w:ilvl="5" w:tplc="019ACE82">
      <w:start w:val="1"/>
      <w:numFmt w:val="bullet"/>
      <w:lvlText w:val=""/>
      <w:lvlJc w:val="left"/>
      <w:pPr>
        <w:ind w:left="4320" w:hanging="360"/>
      </w:pPr>
      <w:rPr>
        <w:rFonts w:ascii="Wingdings" w:hAnsi="Wingdings" w:hint="default"/>
      </w:rPr>
    </w:lvl>
    <w:lvl w:ilvl="6" w:tplc="04BCD96A">
      <w:start w:val="1"/>
      <w:numFmt w:val="bullet"/>
      <w:lvlText w:val=""/>
      <w:lvlJc w:val="left"/>
      <w:pPr>
        <w:ind w:left="5040" w:hanging="360"/>
      </w:pPr>
      <w:rPr>
        <w:rFonts w:ascii="Symbol" w:hAnsi="Symbol" w:hint="default"/>
      </w:rPr>
    </w:lvl>
    <w:lvl w:ilvl="7" w:tplc="76C4CCEC">
      <w:start w:val="1"/>
      <w:numFmt w:val="bullet"/>
      <w:lvlText w:val="o"/>
      <w:lvlJc w:val="left"/>
      <w:pPr>
        <w:ind w:left="5760" w:hanging="360"/>
      </w:pPr>
      <w:rPr>
        <w:rFonts w:ascii="Courier New" w:hAnsi="Courier New" w:hint="default"/>
      </w:rPr>
    </w:lvl>
    <w:lvl w:ilvl="8" w:tplc="05386F44">
      <w:start w:val="1"/>
      <w:numFmt w:val="bullet"/>
      <w:lvlText w:val=""/>
      <w:lvlJc w:val="left"/>
      <w:pPr>
        <w:ind w:left="6480" w:hanging="360"/>
      </w:pPr>
      <w:rPr>
        <w:rFonts w:ascii="Wingdings" w:hAnsi="Wingdings" w:hint="default"/>
      </w:rPr>
    </w:lvl>
  </w:abstractNum>
  <w:abstractNum w:abstractNumId="151" w15:restartNumberingAfterBreak="0">
    <w:nsid w:val="4C691602"/>
    <w:multiLevelType w:val="hybridMultilevel"/>
    <w:tmpl w:val="FFFFFFFF"/>
    <w:lvl w:ilvl="0" w:tplc="13B6A028">
      <w:start w:val="1"/>
      <w:numFmt w:val="decimal"/>
      <w:lvlText w:val="%1."/>
      <w:lvlJc w:val="left"/>
      <w:pPr>
        <w:ind w:left="720" w:hanging="360"/>
      </w:pPr>
    </w:lvl>
    <w:lvl w:ilvl="1" w:tplc="9D74E164">
      <w:start w:val="1"/>
      <w:numFmt w:val="lowerLetter"/>
      <w:lvlText w:val="%2."/>
      <w:lvlJc w:val="left"/>
      <w:pPr>
        <w:ind w:left="1440" w:hanging="360"/>
      </w:pPr>
    </w:lvl>
    <w:lvl w:ilvl="2" w:tplc="35D0B660">
      <w:start w:val="1"/>
      <w:numFmt w:val="lowerRoman"/>
      <w:lvlText w:val="%3."/>
      <w:lvlJc w:val="right"/>
      <w:pPr>
        <w:ind w:left="2160" w:hanging="180"/>
      </w:pPr>
    </w:lvl>
    <w:lvl w:ilvl="3" w:tplc="11568AEC">
      <w:start w:val="1"/>
      <w:numFmt w:val="decimal"/>
      <w:lvlText w:val="%4."/>
      <w:lvlJc w:val="left"/>
      <w:pPr>
        <w:ind w:left="2880" w:hanging="360"/>
      </w:pPr>
    </w:lvl>
    <w:lvl w:ilvl="4" w:tplc="F5C2A0E0">
      <w:start w:val="1"/>
      <w:numFmt w:val="lowerLetter"/>
      <w:lvlText w:val="%5."/>
      <w:lvlJc w:val="left"/>
      <w:pPr>
        <w:ind w:left="3600" w:hanging="360"/>
      </w:pPr>
    </w:lvl>
    <w:lvl w:ilvl="5" w:tplc="2EDAA962">
      <w:start w:val="1"/>
      <w:numFmt w:val="lowerRoman"/>
      <w:lvlText w:val="%6."/>
      <w:lvlJc w:val="right"/>
      <w:pPr>
        <w:ind w:left="4320" w:hanging="180"/>
      </w:pPr>
    </w:lvl>
    <w:lvl w:ilvl="6" w:tplc="BEC04A96">
      <w:start w:val="1"/>
      <w:numFmt w:val="decimal"/>
      <w:lvlText w:val="%7."/>
      <w:lvlJc w:val="left"/>
      <w:pPr>
        <w:ind w:left="5040" w:hanging="360"/>
      </w:pPr>
    </w:lvl>
    <w:lvl w:ilvl="7" w:tplc="CF5CAD9A">
      <w:start w:val="1"/>
      <w:numFmt w:val="lowerLetter"/>
      <w:lvlText w:val="%8."/>
      <w:lvlJc w:val="left"/>
      <w:pPr>
        <w:ind w:left="5760" w:hanging="360"/>
      </w:pPr>
    </w:lvl>
    <w:lvl w:ilvl="8" w:tplc="9A2611C8">
      <w:start w:val="1"/>
      <w:numFmt w:val="lowerRoman"/>
      <w:lvlText w:val="%9."/>
      <w:lvlJc w:val="right"/>
      <w:pPr>
        <w:ind w:left="6480" w:hanging="180"/>
      </w:pPr>
    </w:lvl>
  </w:abstractNum>
  <w:abstractNum w:abstractNumId="152" w15:restartNumberingAfterBreak="0">
    <w:nsid w:val="4CD8334A"/>
    <w:multiLevelType w:val="hybridMultilevel"/>
    <w:tmpl w:val="FFFFFFFF"/>
    <w:lvl w:ilvl="0" w:tplc="D640E50E">
      <w:start w:val="1"/>
      <w:numFmt w:val="decimal"/>
      <w:lvlText w:val="%1."/>
      <w:lvlJc w:val="left"/>
      <w:pPr>
        <w:ind w:left="720" w:hanging="360"/>
      </w:pPr>
    </w:lvl>
    <w:lvl w:ilvl="1" w:tplc="CF489950">
      <w:start w:val="1"/>
      <w:numFmt w:val="lowerLetter"/>
      <w:lvlText w:val="%2."/>
      <w:lvlJc w:val="left"/>
      <w:pPr>
        <w:ind w:left="1440" w:hanging="360"/>
      </w:pPr>
    </w:lvl>
    <w:lvl w:ilvl="2" w:tplc="08AABD10">
      <w:start w:val="1"/>
      <w:numFmt w:val="lowerRoman"/>
      <w:lvlText w:val="%3."/>
      <w:lvlJc w:val="right"/>
      <w:pPr>
        <w:ind w:left="2160" w:hanging="180"/>
      </w:pPr>
    </w:lvl>
    <w:lvl w:ilvl="3" w:tplc="BE64A6EE">
      <w:start w:val="1"/>
      <w:numFmt w:val="decimal"/>
      <w:lvlText w:val="%4."/>
      <w:lvlJc w:val="left"/>
      <w:pPr>
        <w:ind w:left="2880" w:hanging="360"/>
      </w:pPr>
    </w:lvl>
    <w:lvl w:ilvl="4" w:tplc="7B585AB6">
      <w:start w:val="1"/>
      <w:numFmt w:val="lowerLetter"/>
      <w:lvlText w:val="%5."/>
      <w:lvlJc w:val="left"/>
      <w:pPr>
        <w:ind w:left="3600" w:hanging="360"/>
      </w:pPr>
    </w:lvl>
    <w:lvl w:ilvl="5" w:tplc="81C62F1C">
      <w:start w:val="1"/>
      <w:numFmt w:val="lowerRoman"/>
      <w:lvlText w:val="%6."/>
      <w:lvlJc w:val="right"/>
      <w:pPr>
        <w:ind w:left="4320" w:hanging="180"/>
      </w:pPr>
    </w:lvl>
    <w:lvl w:ilvl="6" w:tplc="9D8A23F2">
      <w:start w:val="1"/>
      <w:numFmt w:val="decimal"/>
      <w:lvlText w:val="%7."/>
      <w:lvlJc w:val="left"/>
      <w:pPr>
        <w:ind w:left="5040" w:hanging="360"/>
      </w:pPr>
    </w:lvl>
    <w:lvl w:ilvl="7" w:tplc="6DBE8972">
      <w:start w:val="1"/>
      <w:numFmt w:val="lowerLetter"/>
      <w:lvlText w:val="%8."/>
      <w:lvlJc w:val="left"/>
      <w:pPr>
        <w:ind w:left="5760" w:hanging="360"/>
      </w:pPr>
    </w:lvl>
    <w:lvl w:ilvl="8" w:tplc="789A19A0">
      <w:start w:val="1"/>
      <w:numFmt w:val="lowerRoman"/>
      <w:lvlText w:val="%9."/>
      <w:lvlJc w:val="right"/>
      <w:pPr>
        <w:ind w:left="6480" w:hanging="180"/>
      </w:pPr>
    </w:lvl>
  </w:abstractNum>
  <w:abstractNum w:abstractNumId="153" w15:restartNumberingAfterBreak="0">
    <w:nsid w:val="4E682FAF"/>
    <w:multiLevelType w:val="hybridMultilevel"/>
    <w:tmpl w:val="18827CF4"/>
    <w:lvl w:ilvl="0" w:tplc="16E255B0">
      <w:start w:val="1"/>
      <w:numFmt w:val="decimal"/>
      <w:lvlText w:val="%1."/>
      <w:lvlJc w:val="left"/>
      <w:pPr>
        <w:ind w:left="720" w:hanging="360"/>
      </w:pPr>
    </w:lvl>
    <w:lvl w:ilvl="1" w:tplc="CA8CD326">
      <w:start w:val="1"/>
      <w:numFmt w:val="decimal"/>
      <w:lvlText w:val="%2."/>
      <w:lvlJc w:val="left"/>
      <w:pPr>
        <w:ind w:left="1440" w:hanging="360"/>
      </w:pPr>
    </w:lvl>
    <w:lvl w:ilvl="2" w:tplc="D2687AE6">
      <w:start w:val="1"/>
      <w:numFmt w:val="lowerRoman"/>
      <w:lvlText w:val="%3."/>
      <w:lvlJc w:val="right"/>
      <w:pPr>
        <w:ind w:left="2160" w:hanging="180"/>
      </w:pPr>
    </w:lvl>
    <w:lvl w:ilvl="3" w:tplc="68700AC8">
      <w:start w:val="1"/>
      <w:numFmt w:val="decimal"/>
      <w:lvlText w:val="%4."/>
      <w:lvlJc w:val="left"/>
      <w:pPr>
        <w:ind w:left="2880" w:hanging="360"/>
      </w:pPr>
    </w:lvl>
    <w:lvl w:ilvl="4" w:tplc="F0241D3C">
      <w:start w:val="1"/>
      <w:numFmt w:val="lowerLetter"/>
      <w:lvlText w:val="%5."/>
      <w:lvlJc w:val="left"/>
      <w:pPr>
        <w:ind w:left="3600" w:hanging="360"/>
      </w:pPr>
    </w:lvl>
    <w:lvl w:ilvl="5" w:tplc="E8861942">
      <w:start w:val="1"/>
      <w:numFmt w:val="lowerRoman"/>
      <w:lvlText w:val="%6."/>
      <w:lvlJc w:val="right"/>
      <w:pPr>
        <w:ind w:left="4320" w:hanging="180"/>
      </w:pPr>
    </w:lvl>
    <w:lvl w:ilvl="6" w:tplc="4C3871E4">
      <w:start w:val="1"/>
      <w:numFmt w:val="decimal"/>
      <w:lvlText w:val="%7."/>
      <w:lvlJc w:val="left"/>
      <w:pPr>
        <w:ind w:left="5040" w:hanging="360"/>
      </w:pPr>
    </w:lvl>
    <w:lvl w:ilvl="7" w:tplc="AC4C7490">
      <w:start w:val="1"/>
      <w:numFmt w:val="lowerLetter"/>
      <w:lvlText w:val="%8."/>
      <w:lvlJc w:val="left"/>
      <w:pPr>
        <w:ind w:left="5760" w:hanging="360"/>
      </w:pPr>
    </w:lvl>
    <w:lvl w:ilvl="8" w:tplc="437403A0">
      <w:start w:val="1"/>
      <w:numFmt w:val="lowerRoman"/>
      <w:lvlText w:val="%9."/>
      <w:lvlJc w:val="right"/>
      <w:pPr>
        <w:ind w:left="6480" w:hanging="180"/>
      </w:pPr>
    </w:lvl>
  </w:abstractNum>
  <w:abstractNum w:abstractNumId="154" w15:restartNumberingAfterBreak="0">
    <w:nsid w:val="50422B26"/>
    <w:multiLevelType w:val="hybridMultilevel"/>
    <w:tmpl w:val="F20404C2"/>
    <w:lvl w:ilvl="0" w:tplc="7D5EEB9C">
      <w:start w:val="1"/>
      <w:numFmt w:val="lowerRoman"/>
      <w:lvlText w:val="(%1)"/>
      <w:lvlJc w:val="left"/>
      <w:pPr>
        <w:ind w:left="753" w:hanging="720"/>
      </w:pPr>
      <w:rPr>
        <w:rFonts w:hint="default"/>
      </w:rPr>
    </w:lvl>
    <w:lvl w:ilvl="1" w:tplc="08090019" w:tentative="1">
      <w:start w:val="1"/>
      <w:numFmt w:val="lowerLetter"/>
      <w:lvlText w:val="%2."/>
      <w:lvlJc w:val="left"/>
      <w:pPr>
        <w:ind w:left="1113" w:hanging="360"/>
      </w:pPr>
    </w:lvl>
    <w:lvl w:ilvl="2" w:tplc="0809001B" w:tentative="1">
      <w:start w:val="1"/>
      <w:numFmt w:val="lowerRoman"/>
      <w:lvlText w:val="%3."/>
      <w:lvlJc w:val="right"/>
      <w:pPr>
        <w:ind w:left="1833" w:hanging="180"/>
      </w:pPr>
    </w:lvl>
    <w:lvl w:ilvl="3" w:tplc="0809000F" w:tentative="1">
      <w:start w:val="1"/>
      <w:numFmt w:val="decimal"/>
      <w:lvlText w:val="%4."/>
      <w:lvlJc w:val="left"/>
      <w:pPr>
        <w:ind w:left="2553" w:hanging="360"/>
      </w:pPr>
    </w:lvl>
    <w:lvl w:ilvl="4" w:tplc="08090019" w:tentative="1">
      <w:start w:val="1"/>
      <w:numFmt w:val="lowerLetter"/>
      <w:lvlText w:val="%5."/>
      <w:lvlJc w:val="left"/>
      <w:pPr>
        <w:ind w:left="3273" w:hanging="360"/>
      </w:pPr>
    </w:lvl>
    <w:lvl w:ilvl="5" w:tplc="0809001B" w:tentative="1">
      <w:start w:val="1"/>
      <w:numFmt w:val="lowerRoman"/>
      <w:lvlText w:val="%6."/>
      <w:lvlJc w:val="right"/>
      <w:pPr>
        <w:ind w:left="3993" w:hanging="180"/>
      </w:pPr>
    </w:lvl>
    <w:lvl w:ilvl="6" w:tplc="0809000F" w:tentative="1">
      <w:start w:val="1"/>
      <w:numFmt w:val="decimal"/>
      <w:lvlText w:val="%7."/>
      <w:lvlJc w:val="left"/>
      <w:pPr>
        <w:ind w:left="4713" w:hanging="360"/>
      </w:pPr>
    </w:lvl>
    <w:lvl w:ilvl="7" w:tplc="08090019" w:tentative="1">
      <w:start w:val="1"/>
      <w:numFmt w:val="lowerLetter"/>
      <w:lvlText w:val="%8."/>
      <w:lvlJc w:val="left"/>
      <w:pPr>
        <w:ind w:left="5433" w:hanging="360"/>
      </w:pPr>
    </w:lvl>
    <w:lvl w:ilvl="8" w:tplc="0809001B" w:tentative="1">
      <w:start w:val="1"/>
      <w:numFmt w:val="lowerRoman"/>
      <w:lvlText w:val="%9."/>
      <w:lvlJc w:val="right"/>
      <w:pPr>
        <w:ind w:left="6153" w:hanging="180"/>
      </w:pPr>
    </w:lvl>
  </w:abstractNum>
  <w:abstractNum w:abstractNumId="155" w15:restartNumberingAfterBreak="0">
    <w:nsid w:val="51863F82"/>
    <w:multiLevelType w:val="hybridMultilevel"/>
    <w:tmpl w:val="FFFFFFFF"/>
    <w:lvl w:ilvl="0" w:tplc="5886620E">
      <w:start w:val="1"/>
      <w:numFmt w:val="bullet"/>
      <w:lvlText w:val="·"/>
      <w:lvlJc w:val="left"/>
      <w:pPr>
        <w:ind w:left="720" w:hanging="360"/>
      </w:pPr>
      <w:rPr>
        <w:rFonts w:ascii="Symbol" w:hAnsi="Symbol" w:hint="default"/>
      </w:rPr>
    </w:lvl>
    <w:lvl w:ilvl="1" w:tplc="337A5E36">
      <w:start w:val="1"/>
      <w:numFmt w:val="decimal"/>
      <w:lvlText w:val="%2."/>
      <w:lvlJc w:val="left"/>
      <w:pPr>
        <w:ind w:left="1440" w:hanging="360"/>
      </w:pPr>
      <w:rPr>
        <w:rFonts w:hint="default"/>
      </w:rPr>
    </w:lvl>
    <w:lvl w:ilvl="2" w:tplc="A3BE1D6A">
      <w:start w:val="1"/>
      <w:numFmt w:val="bullet"/>
      <w:lvlText w:val=""/>
      <w:lvlJc w:val="left"/>
      <w:pPr>
        <w:ind w:left="2160" w:hanging="360"/>
      </w:pPr>
      <w:rPr>
        <w:rFonts w:ascii="Wingdings" w:hAnsi="Wingdings" w:hint="default"/>
      </w:rPr>
    </w:lvl>
    <w:lvl w:ilvl="3" w:tplc="E8A2134C">
      <w:start w:val="1"/>
      <w:numFmt w:val="bullet"/>
      <w:lvlText w:val=""/>
      <w:lvlJc w:val="left"/>
      <w:pPr>
        <w:ind w:left="2880" w:hanging="360"/>
      </w:pPr>
      <w:rPr>
        <w:rFonts w:ascii="Symbol" w:hAnsi="Symbol" w:hint="default"/>
      </w:rPr>
    </w:lvl>
    <w:lvl w:ilvl="4" w:tplc="C0261D4E">
      <w:start w:val="1"/>
      <w:numFmt w:val="bullet"/>
      <w:lvlText w:val="o"/>
      <w:lvlJc w:val="left"/>
      <w:pPr>
        <w:ind w:left="3600" w:hanging="360"/>
      </w:pPr>
      <w:rPr>
        <w:rFonts w:ascii="Courier New" w:hAnsi="Courier New" w:hint="default"/>
      </w:rPr>
    </w:lvl>
    <w:lvl w:ilvl="5" w:tplc="8D5814B6">
      <w:start w:val="1"/>
      <w:numFmt w:val="bullet"/>
      <w:lvlText w:val=""/>
      <w:lvlJc w:val="left"/>
      <w:pPr>
        <w:ind w:left="4320" w:hanging="360"/>
      </w:pPr>
      <w:rPr>
        <w:rFonts w:ascii="Wingdings" w:hAnsi="Wingdings" w:hint="default"/>
      </w:rPr>
    </w:lvl>
    <w:lvl w:ilvl="6" w:tplc="C860A228">
      <w:start w:val="1"/>
      <w:numFmt w:val="bullet"/>
      <w:lvlText w:val=""/>
      <w:lvlJc w:val="left"/>
      <w:pPr>
        <w:ind w:left="5040" w:hanging="360"/>
      </w:pPr>
      <w:rPr>
        <w:rFonts w:ascii="Symbol" w:hAnsi="Symbol" w:hint="default"/>
      </w:rPr>
    </w:lvl>
    <w:lvl w:ilvl="7" w:tplc="80C0C9B6">
      <w:start w:val="1"/>
      <w:numFmt w:val="bullet"/>
      <w:lvlText w:val="o"/>
      <w:lvlJc w:val="left"/>
      <w:pPr>
        <w:ind w:left="5760" w:hanging="360"/>
      </w:pPr>
      <w:rPr>
        <w:rFonts w:ascii="Courier New" w:hAnsi="Courier New" w:hint="default"/>
      </w:rPr>
    </w:lvl>
    <w:lvl w:ilvl="8" w:tplc="CDC20E0A">
      <w:start w:val="1"/>
      <w:numFmt w:val="bullet"/>
      <w:lvlText w:val=""/>
      <w:lvlJc w:val="left"/>
      <w:pPr>
        <w:ind w:left="6480" w:hanging="360"/>
      </w:pPr>
      <w:rPr>
        <w:rFonts w:ascii="Wingdings" w:hAnsi="Wingdings" w:hint="default"/>
      </w:rPr>
    </w:lvl>
  </w:abstractNum>
  <w:abstractNum w:abstractNumId="156" w15:restartNumberingAfterBreak="0">
    <w:nsid w:val="52B23B42"/>
    <w:multiLevelType w:val="hybridMultilevel"/>
    <w:tmpl w:val="30AA6C84"/>
    <w:lvl w:ilvl="0" w:tplc="0809001B">
      <w:start w:val="1"/>
      <w:numFmt w:val="lowerRoman"/>
      <w:lvlText w:val="%1."/>
      <w:lvlJc w:val="righ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7" w15:restartNumberingAfterBreak="0">
    <w:nsid w:val="53F95047"/>
    <w:multiLevelType w:val="hybridMultilevel"/>
    <w:tmpl w:val="FFFFFFFF"/>
    <w:lvl w:ilvl="0" w:tplc="F8FEE626">
      <w:start w:val="1"/>
      <w:numFmt w:val="decimal"/>
      <w:lvlText w:val="%1."/>
      <w:lvlJc w:val="left"/>
      <w:pPr>
        <w:ind w:left="720" w:hanging="360"/>
      </w:pPr>
    </w:lvl>
    <w:lvl w:ilvl="1" w:tplc="DD9079C0">
      <w:start w:val="1"/>
      <w:numFmt w:val="decimal"/>
      <w:lvlText w:val="%2."/>
      <w:lvlJc w:val="left"/>
      <w:pPr>
        <w:ind w:left="1440" w:hanging="360"/>
      </w:pPr>
    </w:lvl>
    <w:lvl w:ilvl="2" w:tplc="2E9EDF62">
      <w:start w:val="1"/>
      <w:numFmt w:val="lowerRoman"/>
      <w:lvlText w:val="%3."/>
      <w:lvlJc w:val="right"/>
      <w:pPr>
        <w:ind w:left="2160" w:hanging="180"/>
      </w:pPr>
    </w:lvl>
    <w:lvl w:ilvl="3" w:tplc="4E1AB8CA">
      <w:start w:val="1"/>
      <w:numFmt w:val="decimal"/>
      <w:lvlText w:val="%4."/>
      <w:lvlJc w:val="left"/>
      <w:pPr>
        <w:ind w:left="2880" w:hanging="360"/>
      </w:pPr>
    </w:lvl>
    <w:lvl w:ilvl="4" w:tplc="A55C23E6">
      <w:start w:val="1"/>
      <w:numFmt w:val="lowerLetter"/>
      <w:lvlText w:val="%5."/>
      <w:lvlJc w:val="left"/>
      <w:pPr>
        <w:ind w:left="3600" w:hanging="360"/>
      </w:pPr>
    </w:lvl>
    <w:lvl w:ilvl="5" w:tplc="A9CA267C">
      <w:start w:val="1"/>
      <w:numFmt w:val="lowerRoman"/>
      <w:lvlText w:val="%6."/>
      <w:lvlJc w:val="right"/>
      <w:pPr>
        <w:ind w:left="4320" w:hanging="180"/>
      </w:pPr>
    </w:lvl>
    <w:lvl w:ilvl="6" w:tplc="B2829E66">
      <w:start w:val="1"/>
      <w:numFmt w:val="decimal"/>
      <w:lvlText w:val="%7."/>
      <w:lvlJc w:val="left"/>
      <w:pPr>
        <w:ind w:left="5040" w:hanging="360"/>
      </w:pPr>
    </w:lvl>
    <w:lvl w:ilvl="7" w:tplc="2A10226A">
      <w:start w:val="1"/>
      <w:numFmt w:val="lowerLetter"/>
      <w:lvlText w:val="%8."/>
      <w:lvlJc w:val="left"/>
      <w:pPr>
        <w:ind w:left="5760" w:hanging="360"/>
      </w:pPr>
    </w:lvl>
    <w:lvl w:ilvl="8" w:tplc="B90C711A">
      <w:start w:val="1"/>
      <w:numFmt w:val="lowerRoman"/>
      <w:lvlText w:val="%9."/>
      <w:lvlJc w:val="right"/>
      <w:pPr>
        <w:ind w:left="6480" w:hanging="180"/>
      </w:pPr>
    </w:lvl>
  </w:abstractNum>
  <w:abstractNum w:abstractNumId="158" w15:restartNumberingAfterBreak="0">
    <w:nsid w:val="54656358"/>
    <w:multiLevelType w:val="multilevel"/>
    <w:tmpl w:val="D2C6920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9" w15:restartNumberingAfterBreak="0">
    <w:nsid w:val="55B70622"/>
    <w:multiLevelType w:val="hybridMultilevel"/>
    <w:tmpl w:val="F00CB8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0" w15:restartNumberingAfterBreak="0">
    <w:nsid w:val="56985AE2"/>
    <w:multiLevelType w:val="hybridMultilevel"/>
    <w:tmpl w:val="917CA5EE"/>
    <w:lvl w:ilvl="0" w:tplc="2B329774">
      <w:start w:val="1"/>
      <w:numFmt w:val="bullet"/>
      <w:lvlText w:val=""/>
      <w:lvlJc w:val="left"/>
      <w:pPr>
        <w:ind w:left="720" w:hanging="360"/>
      </w:pPr>
      <w:rPr>
        <w:rFonts w:ascii="Symbol" w:hAnsi="Symbol" w:hint="default"/>
      </w:rPr>
    </w:lvl>
    <w:lvl w:ilvl="1" w:tplc="E522C776">
      <w:start w:val="1"/>
      <w:numFmt w:val="bullet"/>
      <w:lvlText w:val="o"/>
      <w:lvlJc w:val="left"/>
      <w:pPr>
        <w:ind w:left="1440" w:hanging="360"/>
      </w:pPr>
      <w:rPr>
        <w:rFonts w:ascii="Courier New" w:hAnsi="Courier New" w:hint="default"/>
      </w:rPr>
    </w:lvl>
    <w:lvl w:ilvl="2" w:tplc="779035AC">
      <w:start w:val="1"/>
      <w:numFmt w:val="bullet"/>
      <w:lvlText w:val=""/>
      <w:lvlJc w:val="left"/>
      <w:pPr>
        <w:ind w:left="2160" w:hanging="360"/>
      </w:pPr>
      <w:rPr>
        <w:rFonts w:ascii="Wingdings" w:hAnsi="Wingdings" w:hint="default"/>
      </w:rPr>
    </w:lvl>
    <w:lvl w:ilvl="3" w:tplc="646AB0FA">
      <w:start w:val="1"/>
      <w:numFmt w:val="bullet"/>
      <w:lvlText w:val=""/>
      <w:lvlJc w:val="left"/>
      <w:pPr>
        <w:ind w:left="2880" w:hanging="360"/>
      </w:pPr>
      <w:rPr>
        <w:rFonts w:ascii="Symbol" w:hAnsi="Symbol" w:hint="default"/>
      </w:rPr>
    </w:lvl>
    <w:lvl w:ilvl="4" w:tplc="19D20F94">
      <w:start w:val="1"/>
      <w:numFmt w:val="bullet"/>
      <w:lvlText w:val="o"/>
      <w:lvlJc w:val="left"/>
      <w:pPr>
        <w:ind w:left="3600" w:hanging="360"/>
      </w:pPr>
      <w:rPr>
        <w:rFonts w:ascii="Courier New" w:hAnsi="Courier New" w:hint="default"/>
      </w:rPr>
    </w:lvl>
    <w:lvl w:ilvl="5" w:tplc="1CD2EE2A">
      <w:start w:val="1"/>
      <w:numFmt w:val="bullet"/>
      <w:lvlText w:val=""/>
      <w:lvlJc w:val="left"/>
      <w:pPr>
        <w:ind w:left="4320" w:hanging="360"/>
      </w:pPr>
      <w:rPr>
        <w:rFonts w:ascii="Wingdings" w:hAnsi="Wingdings" w:hint="default"/>
      </w:rPr>
    </w:lvl>
    <w:lvl w:ilvl="6" w:tplc="85BCF010">
      <w:start w:val="1"/>
      <w:numFmt w:val="bullet"/>
      <w:lvlText w:val=""/>
      <w:lvlJc w:val="left"/>
      <w:pPr>
        <w:ind w:left="5040" w:hanging="360"/>
      </w:pPr>
      <w:rPr>
        <w:rFonts w:ascii="Symbol" w:hAnsi="Symbol" w:hint="default"/>
      </w:rPr>
    </w:lvl>
    <w:lvl w:ilvl="7" w:tplc="4F142666">
      <w:start w:val="1"/>
      <w:numFmt w:val="bullet"/>
      <w:lvlText w:val="o"/>
      <w:lvlJc w:val="left"/>
      <w:pPr>
        <w:ind w:left="5760" w:hanging="360"/>
      </w:pPr>
      <w:rPr>
        <w:rFonts w:ascii="Courier New" w:hAnsi="Courier New" w:hint="default"/>
      </w:rPr>
    </w:lvl>
    <w:lvl w:ilvl="8" w:tplc="7BC49D68">
      <w:start w:val="1"/>
      <w:numFmt w:val="bullet"/>
      <w:lvlText w:val=""/>
      <w:lvlJc w:val="left"/>
      <w:pPr>
        <w:ind w:left="6480" w:hanging="360"/>
      </w:pPr>
      <w:rPr>
        <w:rFonts w:ascii="Wingdings" w:hAnsi="Wingdings" w:hint="default"/>
      </w:rPr>
    </w:lvl>
  </w:abstractNum>
  <w:abstractNum w:abstractNumId="161" w15:restartNumberingAfterBreak="0">
    <w:nsid w:val="582F3CBD"/>
    <w:multiLevelType w:val="hybridMultilevel"/>
    <w:tmpl w:val="E2F8FEC4"/>
    <w:lvl w:ilvl="0" w:tplc="08090001">
      <w:start w:val="1"/>
      <w:numFmt w:val="bullet"/>
      <w:lvlText w:val=""/>
      <w:lvlJc w:val="left"/>
      <w:pPr>
        <w:ind w:left="360" w:hanging="360"/>
      </w:pPr>
      <w:rPr>
        <w:rFonts w:ascii="Symbol" w:hAnsi="Symbol" w:hint="default"/>
        <w:spacing w:val="0"/>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62" w15:restartNumberingAfterBreak="0">
    <w:nsid w:val="59235E79"/>
    <w:multiLevelType w:val="hybridMultilevel"/>
    <w:tmpl w:val="2E96878E"/>
    <w:lvl w:ilvl="0" w:tplc="08160001">
      <w:start w:val="1"/>
      <w:numFmt w:val="bullet"/>
      <w:lvlText w:val=""/>
      <w:lvlJc w:val="left"/>
      <w:pPr>
        <w:ind w:left="805" w:hanging="360"/>
      </w:pPr>
      <w:rPr>
        <w:rFonts w:ascii="Symbol" w:hAnsi="Symbol" w:hint="default"/>
      </w:rPr>
    </w:lvl>
    <w:lvl w:ilvl="1" w:tplc="08160003" w:tentative="1">
      <w:start w:val="1"/>
      <w:numFmt w:val="bullet"/>
      <w:lvlText w:val="o"/>
      <w:lvlJc w:val="left"/>
      <w:pPr>
        <w:ind w:left="1525" w:hanging="360"/>
      </w:pPr>
      <w:rPr>
        <w:rFonts w:ascii="Courier New" w:hAnsi="Courier New" w:cs="Courier New" w:hint="default"/>
      </w:rPr>
    </w:lvl>
    <w:lvl w:ilvl="2" w:tplc="08160005" w:tentative="1">
      <w:start w:val="1"/>
      <w:numFmt w:val="bullet"/>
      <w:lvlText w:val=""/>
      <w:lvlJc w:val="left"/>
      <w:pPr>
        <w:ind w:left="2245" w:hanging="360"/>
      </w:pPr>
      <w:rPr>
        <w:rFonts w:ascii="Wingdings" w:hAnsi="Wingdings" w:hint="default"/>
      </w:rPr>
    </w:lvl>
    <w:lvl w:ilvl="3" w:tplc="08160001" w:tentative="1">
      <w:start w:val="1"/>
      <w:numFmt w:val="bullet"/>
      <w:lvlText w:val=""/>
      <w:lvlJc w:val="left"/>
      <w:pPr>
        <w:ind w:left="2965" w:hanging="360"/>
      </w:pPr>
      <w:rPr>
        <w:rFonts w:ascii="Symbol" w:hAnsi="Symbol" w:hint="default"/>
      </w:rPr>
    </w:lvl>
    <w:lvl w:ilvl="4" w:tplc="08160003" w:tentative="1">
      <w:start w:val="1"/>
      <w:numFmt w:val="bullet"/>
      <w:lvlText w:val="o"/>
      <w:lvlJc w:val="left"/>
      <w:pPr>
        <w:ind w:left="3685" w:hanging="360"/>
      </w:pPr>
      <w:rPr>
        <w:rFonts w:ascii="Courier New" w:hAnsi="Courier New" w:cs="Courier New" w:hint="default"/>
      </w:rPr>
    </w:lvl>
    <w:lvl w:ilvl="5" w:tplc="08160005" w:tentative="1">
      <w:start w:val="1"/>
      <w:numFmt w:val="bullet"/>
      <w:lvlText w:val=""/>
      <w:lvlJc w:val="left"/>
      <w:pPr>
        <w:ind w:left="4405" w:hanging="360"/>
      </w:pPr>
      <w:rPr>
        <w:rFonts w:ascii="Wingdings" w:hAnsi="Wingdings" w:hint="default"/>
      </w:rPr>
    </w:lvl>
    <w:lvl w:ilvl="6" w:tplc="08160001" w:tentative="1">
      <w:start w:val="1"/>
      <w:numFmt w:val="bullet"/>
      <w:lvlText w:val=""/>
      <w:lvlJc w:val="left"/>
      <w:pPr>
        <w:ind w:left="5125" w:hanging="360"/>
      </w:pPr>
      <w:rPr>
        <w:rFonts w:ascii="Symbol" w:hAnsi="Symbol" w:hint="default"/>
      </w:rPr>
    </w:lvl>
    <w:lvl w:ilvl="7" w:tplc="08160003" w:tentative="1">
      <w:start w:val="1"/>
      <w:numFmt w:val="bullet"/>
      <w:lvlText w:val="o"/>
      <w:lvlJc w:val="left"/>
      <w:pPr>
        <w:ind w:left="5845" w:hanging="360"/>
      </w:pPr>
      <w:rPr>
        <w:rFonts w:ascii="Courier New" w:hAnsi="Courier New" w:cs="Courier New" w:hint="default"/>
      </w:rPr>
    </w:lvl>
    <w:lvl w:ilvl="8" w:tplc="08160005" w:tentative="1">
      <w:start w:val="1"/>
      <w:numFmt w:val="bullet"/>
      <w:lvlText w:val=""/>
      <w:lvlJc w:val="left"/>
      <w:pPr>
        <w:ind w:left="6565" w:hanging="360"/>
      </w:pPr>
      <w:rPr>
        <w:rFonts w:ascii="Wingdings" w:hAnsi="Wingdings" w:hint="default"/>
      </w:rPr>
    </w:lvl>
  </w:abstractNum>
  <w:abstractNum w:abstractNumId="163" w15:restartNumberingAfterBreak="0">
    <w:nsid w:val="59525D42"/>
    <w:multiLevelType w:val="hybridMultilevel"/>
    <w:tmpl w:val="FFFFFFFF"/>
    <w:lvl w:ilvl="0" w:tplc="E20096AA">
      <w:start w:val="1"/>
      <w:numFmt w:val="bullet"/>
      <w:lvlText w:val="-"/>
      <w:lvlJc w:val="left"/>
      <w:pPr>
        <w:ind w:left="720" w:hanging="360"/>
      </w:pPr>
      <w:rPr>
        <w:rFonts w:ascii="Calibri" w:hAnsi="Calibri" w:hint="default"/>
      </w:rPr>
    </w:lvl>
    <w:lvl w:ilvl="1" w:tplc="9BFCB794">
      <w:start w:val="1"/>
      <w:numFmt w:val="bullet"/>
      <w:lvlText w:val="o"/>
      <w:lvlJc w:val="left"/>
      <w:pPr>
        <w:ind w:left="1440" w:hanging="360"/>
      </w:pPr>
      <w:rPr>
        <w:rFonts w:ascii="Courier New" w:hAnsi="Courier New" w:hint="default"/>
      </w:rPr>
    </w:lvl>
    <w:lvl w:ilvl="2" w:tplc="50F8D120">
      <w:start w:val="1"/>
      <w:numFmt w:val="bullet"/>
      <w:lvlText w:val=""/>
      <w:lvlJc w:val="left"/>
      <w:pPr>
        <w:ind w:left="2160" w:hanging="360"/>
      </w:pPr>
      <w:rPr>
        <w:rFonts w:ascii="Wingdings" w:hAnsi="Wingdings" w:hint="default"/>
      </w:rPr>
    </w:lvl>
    <w:lvl w:ilvl="3" w:tplc="3D08CF90">
      <w:start w:val="1"/>
      <w:numFmt w:val="bullet"/>
      <w:lvlText w:val=""/>
      <w:lvlJc w:val="left"/>
      <w:pPr>
        <w:ind w:left="2880" w:hanging="360"/>
      </w:pPr>
      <w:rPr>
        <w:rFonts w:ascii="Symbol" w:hAnsi="Symbol" w:hint="default"/>
      </w:rPr>
    </w:lvl>
    <w:lvl w:ilvl="4" w:tplc="500A0032">
      <w:start w:val="1"/>
      <w:numFmt w:val="bullet"/>
      <w:lvlText w:val="o"/>
      <w:lvlJc w:val="left"/>
      <w:pPr>
        <w:ind w:left="3600" w:hanging="360"/>
      </w:pPr>
      <w:rPr>
        <w:rFonts w:ascii="Courier New" w:hAnsi="Courier New" w:hint="default"/>
      </w:rPr>
    </w:lvl>
    <w:lvl w:ilvl="5" w:tplc="D494BF2A">
      <w:start w:val="1"/>
      <w:numFmt w:val="bullet"/>
      <w:lvlText w:val=""/>
      <w:lvlJc w:val="left"/>
      <w:pPr>
        <w:ind w:left="4320" w:hanging="360"/>
      </w:pPr>
      <w:rPr>
        <w:rFonts w:ascii="Wingdings" w:hAnsi="Wingdings" w:hint="default"/>
      </w:rPr>
    </w:lvl>
    <w:lvl w:ilvl="6" w:tplc="2BE41F68">
      <w:start w:val="1"/>
      <w:numFmt w:val="bullet"/>
      <w:lvlText w:val=""/>
      <w:lvlJc w:val="left"/>
      <w:pPr>
        <w:ind w:left="5040" w:hanging="360"/>
      </w:pPr>
      <w:rPr>
        <w:rFonts w:ascii="Symbol" w:hAnsi="Symbol" w:hint="default"/>
      </w:rPr>
    </w:lvl>
    <w:lvl w:ilvl="7" w:tplc="43F0D1B4">
      <w:start w:val="1"/>
      <w:numFmt w:val="bullet"/>
      <w:lvlText w:val="o"/>
      <w:lvlJc w:val="left"/>
      <w:pPr>
        <w:ind w:left="5760" w:hanging="360"/>
      </w:pPr>
      <w:rPr>
        <w:rFonts w:ascii="Courier New" w:hAnsi="Courier New" w:hint="default"/>
      </w:rPr>
    </w:lvl>
    <w:lvl w:ilvl="8" w:tplc="86E8DE92">
      <w:start w:val="1"/>
      <w:numFmt w:val="bullet"/>
      <w:lvlText w:val=""/>
      <w:lvlJc w:val="left"/>
      <w:pPr>
        <w:ind w:left="6480" w:hanging="360"/>
      </w:pPr>
      <w:rPr>
        <w:rFonts w:ascii="Wingdings" w:hAnsi="Wingdings" w:hint="default"/>
      </w:rPr>
    </w:lvl>
  </w:abstractNum>
  <w:abstractNum w:abstractNumId="164" w15:restartNumberingAfterBreak="0">
    <w:nsid w:val="5A10544D"/>
    <w:multiLevelType w:val="hybridMultilevel"/>
    <w:tmpl w:val="AEF0A6A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65" w15:restartNumberingAfterBreak="0">
    <w:nsid w:val="5ADD1127"/>
    <w:multiLevelType w:val="hybridMultilevel"/>
    <w:tmpl w:val="44722EE6"/>
    <w:lvl w:ilvl="0" w:tplc="7D5EEB9C">
      <w:start w:val="1"/>
      <w:numFmt w:val="lowerRoman"/>
      <w:lvlText w:val="(%1)"/>
      <w:lvlJc w:val="left"/>
      <w:pPr>
        <w:ind w:left="753" w:hanging="720"/>
      </w:pPr>
      <w:rPr>
        <w:rFonts w:hint="default"/>
      </w:rPr>
    </w:lvl>
    <w:lvl w:ilvl="1" w:tplc="08090019" w:tentative="1">
      <w:start w:val="1"/>
      <w:numFmt w:val="lowerLetter"/>
      <w:lvlText w:val="%2."/>
      <w:lvlJc w:val="left"/>
      <w:pPr>
        <w:ind w:left="1113" w:hanging="360"/>
      </w:pPr>
    </w:lvl>
    <w:lvl w:ilvl="2" w:tplc="0809001B" w:tentative="1">
      <w:start w:val="1"/>
      <w:numFmt w:val="lowerRoman"/>
      <w:lvlText w:val="%3."/>
      <w:lvlJc w:val="right"/>
      <w:pPr>
        <w:ind w:left="1833" w:hanging="180"/>
      </w:pPr>
    </w:lvl>
    <w:lvl w:ilvl="3" w:tplc="0809000F" w:tentative="1">
      <w:start w:val="1"/>
      <w:numFmt w:val="decimal"/>
      <w:lvlText w:val="%4."/>
      <w:lvlJc w:val="left"/>
      <w:pPr>
        <w:ind w:left="2553" w:hanging="360"/>
      </w:pPr>
    </w:lvl>
    <w:lvl w:ilvl="4" w:tplc="08090019" w:tentative="1">
      <w:start w:val="1"/>
      <w:numFmt w:val="lowerLetter"/>
      <w:lvlText w:val="%5."/>
      <w:lvlJc w:val="left"/>
      <w:pPr>
        <w:ind w:left="3273" w:hanging="360"/>
      </w:pPr>
    </w:lvl>
    <w:lvl w:ilvl="5" w:tplc="0809001B" w:tentative="1">
      <w:start w:val="1"/>
      <w:numFmt w:val="lowerRoman"/>
      <w:lvlText w:val="%6."/>
      <w:lvlJc w:val="right"/>
      <w:pPr>
        <w:ind w:left="3993" w:hanging="180"/>
      </w:pPr>
    </w:lvl>
    <w:lvl w:ilvl="6" w:tplc="0809000F" w:tentative="1">
      <w:start w:val="1"/>
      <w:numFmt w:val="decimal"/>
      <w:lvlText w:val="%7."/>
      <w:lvlJc w:val="left"/>
      <w:pPr>
        <w:ind w:left="4713" w:hanging="360"/>
      </w:pPr>
    </w:lvl>
    <w:lvl w:ilvl="7" w:tplc="08090019" w:tentative="1">
      <w:start w:val="1"/>
      <w:numFmt w:val="lowerLetter"/>
      <w:lvlText w:val="%8."/>
      <w:lvlJc w:val="left"/>
      <w:pPr>
        <w:ind w:left="5433" w:hanging="360"/>
      </w:pPr>
    </w:lvl>
    <w:lvl w:ilvl="8" w:tplc="0809001B" w:tentative="1">
      <w:start w:val="1"/>
      <w:numFmt w:val="lowerRoman"/>
      <w:lvlText w:val="%9."/>
      <w:lvlJc w:val="right"/>
      <w:pPr>
        <w:ind w:left="6153" w:hanging="180"/>
      </w:pPr>
    </w:lvl>
  </w:abstractNum>
  <w:abstractNum w:abstractNumId="166" w15:restartNumberingAfterBreak="0">
    <w:nsid w:val="5B9E0146"/>
    <w:multiLevelType w:val="hybridMultilevel"/>
    <w:tmpl w:val="3564CFFE"/>
    <w:lvl w:ilvl="0" w:tplc="08090001">
      <w:start w:val="1"/>
      <w:numFmt w:val="bullet"/>
      <w:lvlText w:val=""/>
      <w:lvlJc w:val="left"/>
      <w:pPr>
        <w:ind w:left="805" w:hanging="360"/>
      </w:pPr>
      <w:rPr>
        <w:rFonts w:ascii="Symbol" w:hAnsi="Symbol" w:hint="default"/>
      </w:rPr>
    </w:lvl>
    <w:lvl w:ilvl="1" w:tplc="08090003" w:tentative="1">
      <w:start w:val="1"/>
      <w:numFmt w:val="bullet"/>
      <w:lvlText w:val="o"/>
      <w:lvlJc w:val="left"/>
      <w:pPr>
        <w:ind w:left="1525" w:hanging="360"/>
      </w:pPr>
      <w:rPr>
        <w:rFonts w:ascii="Courier New" w:hAnsi="Courier New" w:cs="Courier New" w:hint="default"/>
      </w:rPr>
    </w:lvl>
    <w:lvl w:ilvl="2" w:tplc="08090005" w:tentative="1">
      <w:start w:val="1"/>
      <w:numFmt w:val="bullet"/>
      <w:lvlText w:val=""/>
      <w:lvlJc w:val="left"/>
      <w:pPr>
        <w:ind w:left="2245" w:hanging="360"/>
      </w:pPr>
      <w:rPr>
        <w:rFonts w:ascii="Wingdings" w:hAnsi="Wingdings" w:hint="default"/>
      </w:rPr>
    </w:lvl>
    <w:lvl w:ilvl="3" w:tplc="08090001" w:tentative="1">
      <w:start w:val="1"/>
      <w:numFmt w:val="bullet"/>
      <w:lvlText w:val=""/>
      <w:lvlJc w:val="left"/>
      <w:pPr>
        <w:ind w:left="2965" w:hanging="360"/>
      </w:pPr>
      <w:rPr>
        <w:rFonts w:ascii="Symbol" w:hAnsi="Symbol" w:hint="default"/>
      </w:rPr>
    </w:lvl>
    <w:lvl w:ilvl="4" w:tplc="08090003" w:tentative="1">
      <w:start w:val="1"/>
      <w:numFmt w:val="bullet"/>
      <w:lvlText w:val="o"/>
      <w:lvlJc w:val="left"/>
      <w:pPr>
        <w:ind w:left="3685" w:hanging="360"/>
      </w:pPr>
      <w:rPr>
        <w:rFonts w:ascii="Courier New" w:hAnsi="Courier New" w:cs="Courier New" w:hint="default"/>
      </w:rPr>
    </w:lvl>
    <w:lvl w:ilvl="5" w:tplc="08090005" w:tentative="1">
      <w:start w:val="1"/>
      <w:numFmt w:val="bullet"/>
      <w:lvlText w:val=""/>
      <w:lvlJc w:val="left"/>
      <w:pPr>
        <w:ind w:left="4405" w:hanging="360"/>
      </w:pPr>
      <w:rPr>
        <w:rFonts w:ascii="Wingdings" w:hAnsi="Wingdings" w:hint="default"/>
      </w:rPr>
    </w:lvl>
    <w:lvl w:ilvl="6" w:tplc="08090001" w:tentative="1">
      <w:start w:val="1"/>
      <w:numFmt w:val="bullet"/>
      <w:lvlText w:val=""/>
      <w:lvlJc w:val="left"/>
      <w:pPr>
        <w:ind w:left="5125" w:hanging="360"/>
      </w:pPr>
      <w:rPr>
        <w:rFonts w:ascii="Symbol" w:hAnsi="Symbol" w:hint="default"/>
      </w:rPr>
    </w:lvl>
    <w:lvl w:ilvl="7" w:tplc="08090003" w:tentative="1">
      <w:start w:val="1"/>
      <w:numFmt w:val="bullet"/>
      <w:lvlText w:val="o"/>
      <w:lvlJc w:val="left"/>
      <w:pPr>
        <w:ind w:left="5845" w:hanging="360"/>
      </w:pPr>
      <w:rPr>
        <w:rFonts w:ascii="Courier New" w:hAnsi="Courier New" w:cs="Courier New" w:hint="default"/>
      </w:rPr>
    </w:lvl>
    <w:lvl w:ilvl="8" w:tplc="08090005" w:tentative="1">
      <w:start w:val="1"/>
      <w:numFmt w:val="bullet"/>
      <w:lvlText w:val=""/>
      <w:lvlJc w:val="left"/>
      <w:pPr>
        <w:ind w:left="6565" w:hanging="360"/>
      </w:pPr>
      <w:rPr>
        <w:rFonts w:ascii="Wingdings" w:hAnsi="Wingdings" w:hint="default"/>
      </w:rPr>
    </w:lvl>
  </w:abstractNum>
  <w:abstractNum w:abstractNumId="167" w15:restartNumberingAfterBreak="0">
    <w:nsid w:val="5BB44229"/>
    <w:multiLevelType w:val="hybridMultilevel"/>
    <w:tmpl w:val="CBBEE3D4"/>
    <w:lvl w:ilvl="0" w:tplc="CCD23C1A">
      <w:start w:val="1"/>
      <w:numFmt w:val="bullet"/>
      <w:lvlText w:val="-"/>
      <w:lvlJc w:val="left"/>
      <w:pPr>
        <w:ind w:left="890" w:hanging="360"/>
      </w:pPr>
      <w:rPr>
        <w:rFonts w:ascii="Cambria" w:eastAsia="Cambria" w:hAnsi="Cambria" w:cs="Cambria" w:hint="default"/>
      </w:rPr>
    </w:lvl>
    <w:lvl w:ilvl="1" w:tplc="08090003" w:tentative="1">
      <w:start w:val="1"/>
      <w:numFmt w:val="bullet"/>
      <w:lvlText w:val="o"/>
      <w:lvlJc w:val="left"/>
      <w:pPr>
        <w:ind w:left="1525" w:hanging="360"/>
      </w:pPr>
      <w:rPr>
        <w:rFonts w:ascii="Courier New" w:hAnsi="Courier New" w:cs="Courier New" w:hint="default"/>
      </w:rPr>
    </w:lvl>
    <w:lvl w:ilvl="2" w:tplc="08090005" w:tentative="1">
      <w:start w:val="1"/>
      <w:numFmt w:val="bullet"/>
      <w:lvlText w:val=""/>
      <w:lvlJc w:val="left"/>
      <w:pPr>
        <w:ind w:left="2245" w:hanging="360"/>
      </w:pPr>
      <w:rPr>
        <w:rFonts w:ascii="Wingdings" w:hAnsi="Wingdings" w:hint="default"/>
      </w:rPr>
    </w:lvl>
    <w:lvl w:ilvl="3" w:tplc="08090001" w:tentative="1">
      <w:start w:val="1"/>
      <w:numFmt w:val="bullet"/>
      <w:lvlText w:val=""/>
      <w:lvlJc w:val="left"/>
      <w:pPr>
        <w:ind w:left="2965" w:hanging="360"/>
      </w:pPr>
      <w:rPr>
        <w:rFonts w:ascii="Symbol" w:hAnsi="Symbol" w:hint="default"/>
      </w:rPr>
    </w:lvl>
    <w:lvl w:ilvl="4" w:tplc="08090003" w:tentative="1">
      <w:start w:val="1"/>
      <w:numFmt w:val="bullet"/>
      <w:lvlText w:val="o"/>
      <w:lvlJc w:val="left"/>
      <w:pPr>
        <w:ind w:left="3685" w:hanging="360"/>
      </w:pPr>
      <w:rPr>
        <w:rFonts w:ascii="Courier New" w:hAnsi="Courier New" w:cs="Courier New" w:hint="default"/>
      </w:rPr>
    </w:lvl>
    <w:lvl w:ilvl="5" w:tplc="08090005" w:tentative="1">
      <w:start w:val="1"/>
      <w:numFmt w:val="bullet"/>
      <w:lvlText w:val=""/>
      <w:lvlJc w:val="left"/>
      <w:pPr>
        <w:ind w:left="4405" w:hanging="360"/>
      </w:pPr>
      <w:rPr>
        <w:rFonts w:ascii="Wingdings" w:hAnsi="Wingdings" w:hint="default"/>
      </w:rPr>
    </w:lvl>
    <w:lvl w:ilvl="6" w:tplc="08090001" w:tentative="1">
      <w:start w:val="1"/>
      <w:numFmt w:val="bullet"/>
      <w:lvlText w:val=""/>
      <w:lvlJc w:val="left"/>
      <w:pPr>
        <w:ind w:left="5125" w:hanging="360"/>
      </w:pPr>
      <w:rPr>
        <w:rFonts w:ascii="Symbol" w:hAnsi="Symbol" w:hint="default"/>
      </w:rPr>
    </w:lvl>
    <w:lvl w:ilvl="7" w:tplc="08090003" w:tentative="1">
      <w:start w:val="1"/>
      <w:numFmt w:val="bullet"/>
      <w:lvlText w:val="o"/>
      <w:lvlJc w:val="left"/>
      <w:pPr>
        <w:ind w:left="5845" w:hanging="360"/>
      </w:pPr>
      <w:rPr>
        <w:rFonts w:ascii="Courier New" w:hAnsi="Courier New" w:cs="Courier New" w:hint="default"/>
      </w:rPr>
    </w:lvl>
    <w:lvl w:ilvl="8" w:tplc="08090005" w:tentative="1">
      <w:start w:val="1"/>
      <w:numFmt w:val="bullet"/>
      <w:lvlText w:val=""/>
      <w:lvlJc w:val="left"/>
      <w:pPr>
        <w:ind w:left="6565" w:hanging="360"/>
      </w:pPr>
      <w:rPr>
        <w:rFonts w:ascii="Wingdings" w:hAnsi="Wingdings" w:hint="default"/>
      </w:rPr>
    </w:lvl>
  </w:abstractNum>
  <w:abstractNum w:abstractNumId="168" w15:restartNumberingAfterBreak="0">
    <w:nsid w:val="5C851747"/>
    <w:multiLevelType w:val="hybridMultilevel"/>
    <w:tmpl w:val="FFFFFFFF"/>
    <w:lvl w:ilvl="0" w:tplc="5302F9D4">
      <w:start w:val="1"/>
      <w:numFmt w:val="bullet"/>
      <w:lvlText w:val=""/>
      <w:lvlJc w:val="left"/>
      <w:pPr>
        <w:ind w:left="720" w:hanging="360"/>
      </w:pPr>
      <w:rPr>
        <w:rFonts w:ascii="Symbol" w:hAnsi="Symbol" w:hint="default"/>
      </w:rPr>
    </w:lvl>
    <w:lvl w:ilvl="1" w:tplc="DD4659C2">
      <w:start w:val="1"/>
      <w:numFmt w:val="bullet"/>
      <w:lvlText w:val="o"/>
      <w:lvlJc w:val="left"/>
      <w:pPr>
        <w:ind w:left="1440" w:hanging="360"/>
      </w:pPr>
      <w:rPr>
        <w:rFonts w:ascii="Courier New" w:hAnsi="Courier New" w:hint="default"/>
      </w:rPr>
    </w:lvl>
    <w:lvl w:ilvl="2" w:tplc="D9BA3428">
      <w:start w:val="1"/>
      <w:numFmt w:val="bullet"/>
      <w:lvlText w:val=""/>
      <w:lvlJc w:val="left"/>
      <w:pPr>
        <w:ind w:left="2160" w:hanging="360"/>
      </w:pPr>
      <w:rPr>
        <w:rFonts w:ascii="Wingdings" w:hAnsi="Wingdings" w:hint="default"/>
      </w:rPr>
    </w:lvl>
    <w:lvl w:ilvl="3" w:tplc="67049B74">
      <w:start w:val="1"/>
      <w:numFmt w:val="bullet"/>
      <w:lvlText w:val=""/>
      <w:lvlJc w:val="left"/>
      <w:pPr>
        <w:ind w:left="2880" w:hanging="360"/>
      </w:pPr>
      <w:rPr>
        <w:rFonts w:ascii="Symbol" w:hAnsi="Symbol" w:hint="default"/>
      </w:rPr>
    </w:lvl>
    <w:lvl w:ilvl="4" w:tplc="5C00F5D2">
      <w:start w:val="1"/>
      <w:numFmt w:val="bullet"/>
      <w:lvlText w:val="o"/>
      <w:lvlJc w:val="left"/>
      <w:pPr>
        <w:ind w:left="3600" w:hanging="360"/>
      </w:pPr>
      <w:rPr>
        <w:rFonts w:ascii="Courier New" w:hAnsi="Courier New" w:hint="default"/>
      </w:rPr>
    </w:lvl>
    <w:lvl w:ilvl="5" w:tplc="20E4343C">
      <w:start w:val="1"/>
      <w:numFmt w:val="bullet"/>
      <w:lvlText w:val=""/>
      <w:lvlJc w:val="left"/>
      <w:pPr>
        <w:ind w:left="4320" w:hanging="360"/>
      </w:pPr>
      <w:rPr>
        <w:rFonts w:ascii="Wingdings" w:hAnsi="Wingdings" w:hint="default"/>
      </w:rPr>
    </w:lvl>
    <w:lvl w:ilvl="6" w:tplc="4D8680CA">
      <w:start w:val="1"/>
      <w:numFmt w:val="bullet"/>
      <w:lvlText w:val=""/>
      <w:lvlJc w:val="left"/>
      <w:pPr>
        <w:ind w:left="5040" w:hanging="360"/>
      </w:pPr>
      <w:rPr>
        <w:rFonts w:ascii="Symbol" w:hAnsi="Symbol" w:hint="default"/>
      </w:rPr>
    </w:lvl>
    <w:lvl w:ilvl="7" w:tplc="2C16C8AA">
      <w:start w:val="1"/>
      <w:numFmt w:val="bullet"/>
      <w:lvlText w:val="o"/>
      <w:lvlJc w:val="left"/>
      <w:pPr>
        <w:ind w:left="5760" w:hanging="360"/>
      </w:pPr>
      <w:rPr>
        <w:rFonts w:ascii="Courier New" w:hAnsi="Courier New" w:hint="default"/>
      </w:rPr>
    </w:lvl>
    <w:lvl w:ilvl="8" w:tplc="9C6673B4">
      <w:start w:val="1"/>
      <w:numFmt w:val="bullet"/>
      <w:lvlText w:val=""/>
      <w:lvlJc w:val="left"/>
      <w:pPr>
        <w:ind w:left="6480" w:hanging="360"/>
      </w:pPr>
      <w:rPr>
        <w:rFonts w:ascii="Wingdings" w:hAnsi="Wingdings" w:hint="default"/>
      </w:rPr>
    </w:lvl>
  </w:abstractNum>
  <w:abstractNum w:abstractNumId="169" w15:restartNumberingAfterBreak="0">
    <w:nsid w:val="5D106B02"/>
    <w:multiLevelType w:val="hybridMultilevel"/>
    <w:tmpl w:val="6444E81E"/>
    <w:lvl w:ilvl="0" w:tplc="AAE463B2">
      <w:start w:val="1"/>
      <w:numFmt w:val="decimal"/>
      <w:lvlText w:val="%1)"/>
      <w:lvlJc w:val="left"/>
      <w:pPr>
        <w:ind w:left="1800" w:hanging="360"/>
      </w:pPr>
      <w:rPr>
        <w:rFonts w:hint="default"/>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0" w15:restartNumberingAfterBreak="0">
    <w:nsid w:val="5D332643"/>
    <w:multiLevelType w:val="hybridMultilevel"/>
    <w:tmpl w:val="4A46D1D8"/>
    <w:lvl w:ilvl="0" w:tplc="08160001">
      <w:start w:val="1"/>
      <w:numFmt w:val="bullet"/>
      <w:lvlText w:val=""/>
      <w:lvlJc w:val="left"/>
      <w:pPr>
        <w:ind w:left="753" w:hanging="360"/>
      </w:pPr>
      <w:rPr>
        <w:rFonts w:ascii="Symbol" w:hAnsi="Symbol" w:hint="default"/>
      </w:rPr>
    </w:lvl>
    <w:lvl w:ilvl="1" w:tplc="08160003" w:tentative="1">
      <w:start w:val="1"/>
      <w:numFmt w:val="bullet"/>
      <w:lvlText w:val="o"/>
      <w:lvlJc w:val="left"/>
      <w:pPr>
        <w:ind w:left="1473" w:hanging="360"/>
      </w:pPr>
      <w:rPr>
        <w:rFonts w:ascii="Courier New" w:hAnsi="Courier New" w:cs="Courier New" w:hint="default"/>
      </w:rPr>
    </w:lvl>
    <w:lvl w:ilvl="2" w:tplc="08160005" w:tentative="1">
      <w:start w:val="1"/>
      <w:numFmt w:val="bullet"/>
      <w:lvlText w:val=""/>
      <w:lvlJc w:val="left"/>
      <w:pPr>
        <w:ind w:left="2193" w:hanging="360"/>
      </w:pPr>
      <w:rPr>
        <w:rFonts w:ascii="Wingdings" w:hAnsi="Wingdings" w:hint="default"/>
      </w:rPr>
    </w:lvl>
    <w:lvl w:ilvl="3" w:tplc="08160001" w:tentative="1">
      <w:start w:val="1"/>
      <w:numFmt w:val="bullet"/>
      <w:lvlText w:val=""/>
      <w:lvlJc w:val="left"/>
      <w:pPr>
        <w:ind w:left="2913" w:hanging="360"/>
      </w:pPr>
      <w:rPr>
        <w:rFonts w:ascii="Symbol" w:hAnsi="Symbol" w:hint="default"/>
      </w:rPr>
    </w:lvl>
    <w:lvl w:ilvl="4" w:tplc="08160003" w:tentative="1">
      <w:start w:val="1"/>
      <w:numFmt w:val="bullet"/>
      <w:lvlText w:val="o"/>
      <w:lvlJc w:val="left"/>
      <w:pPr>
        <w:ind w:left="3633" w:hanging="360"/>
      </w:pPr>
      <w:rPr>
        <w:rFonts w:ascii="Courier New" w:hAnsi="Courier New" w:cs="Courier New" w:hint="default"/>
      </w:rPr>
    </w:lvl>
    <w:lvl w:ilvl="5" w:tplc="08160005" w:tentative="1">
      <w:start w:val="1"/>
      <w:numFmt w:val="bullet"/>
      <w:lvlText w:val=""/>
      <w:lvlJc w:val="left"/>
      <w:pPr>
        <w:ind w:left="4353" w:hanging="360"/>
      </w:pPr>
      <w:rPr>
        <w:rFonts w:ascii="Wingdings" w:hAnsi="Wingdings" w:hint="default"/>
      </w:rPr>
    </w:lvl>
    <w:lvl w:ilvl="6" w:tplc="08160001" w:tentative="1">
      <w:start w:val="1"/>
      <w:numFmt w:val="bullet"/>
      <w:lvlText w:val=""/>
      <w:lvlJc w:val="left"/>
      <w:pPr>
        <w:ind w:left="5073" w:hanging="360"/>
      </w:pPr>
      <w:rPr>
        <w:rFonts w:ascii="Symbol" w:hAnsi="Symbol" w:hint="default"/>
      </w:rPr>
    </w:lvl>
    <w:lvl w:ilvl="7" w:tplc="08160003" w:tentative="1">
      <w:start w:val="1"/>
      <w:numFmt w:val="bullet"/>
      <w:lvlText w:val="o"/>
      <w:lvlJc w:val="left"/>
      <w:pPr>
        <w:ind w:left="5793" w:hanging="360"/>
      </w:pPr>
      <w:rPr>
        <w:rFonts w:ascii="Courier New" w:hAnsi="Courier New" w:cs="Courier New" w:hint="default"/>
      </w:rPr>
    </w:lvl>
    <w:lvl w:ilvl="8" w:tplc="08160005" w:tentative="1">
      <w:start w:val="1"/>
      <w:numFmt w:val="bullet"/>
      <w:lvlText w:val=""/>
      <w:lvlJc w:val="left"/>
      <w:pPr>
        <w:ind w:left="6513" w:hanging="360"/>
      </w:pPr>
      <w:rPr>
        <w:rFonts w:ascii="Wingdings" w:hAnsi="Wingdings" w:hint="default"/>
      </w:rPr>
    </w:lvl>
  </w:abstractNum>
  <w:abstractNum w:abstractNumId="171" w15:restartNumberingAfterBreak="0">
    <w:nsid w:val="5D387742"/>
    <w:multiLevelType w:val="hybridMultilevel"/>
    <w:tmpl w:val="6444E81E"/>
    <w:lvl w:ilvl="0" w:tplc="AAE463B2">
      <w:start w:val="1"/>
      <w:numFmt w:val="decimal"/>
      <w:lvlText w:val="%1)"/>
      <w:lvlJc w:val="left"/>
      <w:pPr>
        <w:ind w:left="180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2" w15:restartNumberingAfterBreak="0">
    <w:nsid w:val="5E3F52BA"/>
    <w:multiLevelType w:val="hybridMultilevel"/>
    <w:tmpl w:val="2462250C"/>
    <w:lvl w:ilvl="0" w:tplc="895E822A">
      <w:start w:val="1"/>
      <w:numFmt w:val="decimal"/>
      <w:lvlText w:val="%1."/>
      <w:lvlJc w:val="left"/>
      <w:pPr>
        <w:ind w:left="530" w:hanging="445"/>
      </w:pPr>
      <w:rPr>
        <w:rFonts w:hint="default"/>
      </w:rPr>
    </w:lvl>
    <w:lvl w:ilvl="1" w:tplc="08090019" w:tentative="1">
      <w:start w:val="1"/>
      <w:numFmt w:val="lowerLetter"/>
      <w:lvlText w:val="%2."/>
      <w:lvlJc w:val="left"/>
      <w:pPr>
        <w:ind w:left="1165" w:hanging="360"/>
      </w:pPr>
    </w:lvl>
    <w:lvl w:ilvl="2" w:tplc="0809001B" w:tentative="1">
      <w:start w:val="1"/>
      <w:numFmt w:val="lowerRoman"/>
      <w:lvlText w:val="%3."/>
      <w:lvlJc w:val="right"/>
      <w:pPr>
        <w:ind w:left="1885" w:hanging="180"/>
      </w:pPr>
    </w:lvl>
    <w:lvl w:ilvl="3" w:tplc="0809000F" w:tentative="1">
      <w:start w:val="1"/>
      <w:numFmt w:val="decimal"/>
      <w:lvlText w:val="%4."/>
      <w:lvlJc w:val="left"/>
      <w:pPr>
        <w:ind w:left="2605" w:hanging="360"/>
      </w:pPr>
    </w:lvl>
    <w:lvl w:ilvl="4" w:tplc="08090019" w:tentative="1">
      <w:start w:val="1"/>
      <w:numFmt w:val="lowerLetter"/>
      <w:lvlText w:val="%5."/>
      <w:lvlJc w:val="left"/>
      <w:pPr>
        <w:ind w:left="3325" w:hanging="360"/>
      </w:pPr>
    </w:lvl>
    <w:lvl w:ilvl="5" w:tplc="0809001B" w:tentative="1">
      <w:start w:val="1"/>
      <w:numFmt w:val="lowerRoman"/>
      <w:lvlText w:val="%6."/>
      <w:lvlJc w:val="right"/>
      <w:pPr>
        <w:ind w:left="4045" w:hanging="180"/>
      </w:pPr>
    </w:lvl>
    <w:lvl w:ilvl="6" w:tplc="0809000F" w:tentative="1">
      <w:start w:val="1"/>
      <w:numFmt w:val="decimal"/>
      <w:lvlText w:val="%7."/>
      <w:lvlJc w:val="left"/>
      <w:pPr>
        <w:ind w:left="4765" w:hanging="360"/>
      </w:pPr>
    </w:lvl>
    <w:lvl w:ilvl="7" w:tplc="08090019" w:tentative="1">
      <w:start w:val="1"/>
      <w:numFmt w:val="lowerLetter"/>
      <w:lvlText w:val="%8."/>
      <w:lvlJc w:val="left"/>
      <w:pPr>
        <w:ind w:left="5485" w:hanging="360"/>
      </w:pPr>
    </w:lvl>
    <w:lvl w:ilvl="8" w:tplc="0809001B" w:tentative="1">
      <w:start w:val="1"/>
      <w:numFmt w:val="lowerRoman"/>
      <w:lvlText w:val="%9."/>
      <w:lvlJc w:val="right"/>
      <w:pPr>
        <w:ind w:left="6205" w:hanging="180"/>
      </w:pPr>
    </w:lvl>
  </w:abstractNum>
  <w:abstractNum w:abstractNumId="173" w15:restartNumberingAfterBreak="0">
    <w:nsid w:val="5EEF3CC7"/>
    <w:multiLevelType w:val="hybridMultilevel"/>
    <w:tmpl w:val="D3001D84"/>
    <w:lvl w:ilvl="0" w:tplc="BE2C372A">
      <w:start w:val="1"/>
      <w:numFmt w:val="bullet"/>
      <w:lvlText w:val="-"/>
      <w:lvlJc w:val="left"/>
      <w:pPr>
        <w:ind w:left="720" w:hanging="360"/>
      </w:pPr>
      <w:rPr>
        <w:rFonts w:ascii="&quot;Calibri&quot;,sans-serif" w:hAnsi="&quot;Calibri&quot;,sans-serif" w:hint="default"/>
      </w:rPr>
    </w:lvl>
    <w:lvl w:ilvl="1" w:tplc="BE7C4842">
      <w:start w:val="1"/>
      <w:numFmt w:val="bullet"/>
      <w:lvlText w:val="o"/>
      <w:lvlJc w:val="left"/>
      <w:pPr>
        <w:ind w:left="1440" w:hanging="360"/>
      </w:pPr>
      <w:rPr>
        <w:rFonts w:ascii="Courier New" w:hAnsi="Courier New" w:hint="default"/>
      </w:rPr>
    </w:lvl>
    <w:lvl w:ilvl="2" w:tplc="A0BE2BDA">
      <w:start w:val="1"/>
      <w:numFmt w:val="bullet"/>
      <w:lvlText w:val=""/>
      <w:lvlJc w:val="left"/>
      <w:pPr>
        <w:ind w:left="2160" w:hanging="360"/>
      </w:pPr>
      <w:rPr>
        <w:rFonts w:ascii="Wingdings" w:hAnsi="Wingdings" w:hint="default"/>
      </w:rPr>
    </w:lvl>
    <w:lvl w:ilvl="3" w:tplc="A7EECF48">
      <w:start w:val="1"/>
      <w:numFmt w:val="bullet"/>
      <w:lvlText w:val=""/>
      <w:lvlJc w:val="left"/>
      <w:pPr>
        <w:ind w:left="2880" w:hanging="360"/>
      </w:pPr>
      <w:rPr>
        <w:rFonts w:ascii="Symbol" w:hAnsi="Symbol" w:hint="default"/>
      </w:rPr>
    </w:lvl>
    <w:lvl w:ilvl="4" w:tplc="B8C041BE">
      <w:start w:val="1"/>
      <w:numFmt w:val="bullet"/>
      <w:lvlText w:val="o"/>
      <w:lvlJc w:val="left"/>
      <w:pPr>
        <w:ind w:left="3600" w:hanging="360"/>
      </w:pPr>
      <w:rPr>
        <w:rFonts w:ascii="Courier New" w:hAnsi="Courier New" w:hint="default"/>
      </w:rPr>
    </w:lvl>
    <w:lvl w:ilvl="5" w:tplc="6D688C50">
      <w:start w:val="1"/>
      <w:numFmt w:val="bullet"/>
      <w:lvlText w:val=""/>
      <w:lvlJc w:val="left"/>
      <w:pPr>
        <w:ind w:left="4320" w:hanging="360"/>
      </w:pPr>
      <w:rPr>
        <w:rFonts w:ascii="Wingdings" w:hAnsi="Wingdings" w:hint="default"/>
      </w:rPr>
    </w:lvl>
    <w:lvl w:ilvl="6" w:tplc="64602E00">
      <w:start w:val="1"/>
      <w:numFmt w:val="bullet"/>
      <w:lvlText w:val=""/>
      <w:lvlJc w:val="left"/>
      <w:pPr>
        <w:ind w:left="5040" w:hanging="360"/>
      </w:pPr>
      <w:rPr>
        <w:rFonts w:ascii="Symbol" w:hAnsi="Symbol" w:hint="default"/>
      </w:rPr>
    </w:lvl>
    <w:lvl w:ilvl="7" w:tplc="19B0B4E2">
      <w:start w:val="1"/>
      <w:numFmt w:val="bullet"/>
      <w:lvlText w:val="o"/>
      <w:lvlJc w:val="left"/>
      <w:pPr>
        <w:ind w:left="5760" w:hanging="360"/>
      </w:pPr>
      <w:rPr>
        <w:rFonts w:ascii="Courier New" w:hAnsi="Courier New" w:hint="default"/>
      </w:rPr>
    </w:lvl>
    <w:lvl w:ilvl="8" w:tplc="B8286664">
      <w:start w:val="1"/>
      <w:numFmt w:val="bullet"/>
      <w:lvlText w:val=""/>
      <w:lvlJc w:val="left"/>
      <w:pPr>
        <w:ind w:left="6480" w:hanging="360"/>
      </w:pPr>
      <w:rPr>
        <w:rFonts w:ascii="Wingdings" w:hAnsi="Wingdings" w:hint="default"/>
      </w:rPr>
    </w:lvl>
  </w:abstractNum>
  <w:abstractNum w:abstractNumId="174" w15:restartNumberingAfterBreak="0">
    <w:nsid w:val="5F406C4C"/>
    <w:multiLevelType w:val="hybridMultilevel"/>
    <w:tmpl w:val="DF5C70F0"/>
    <w:lvl w:ilvl="0" w:tplc="42900518">
      <w:start w:val="1"/>
      <w:numFmt w:val="bullet"/>
      <w:lvlText w:val="·"/>
      <w:lvlJc w:val="left"/>
      <w:pPr>
        <w:ind w:left="720" w:hanging="360"/>
      </w:pPr>
      <w:rPr>
        <w:rFonts w:ascii="Symbol" w:hAnsi="Symbol" w:hint="default"/>
      </w:rPr>
    </w:lvl>
    <w:lvl w:ilvl="1" w:tplc="CC5A2C74">
      <w:start w:val="1"/>
      <w:numFmt w:val="bullet"/>
      <w:lvlText w:val="o"/>
      <w:lvlJc w:val="left"/>
      <w:pPr>
        <w:ind w:left="1440" w:hanging="360"/>
      </w:pPr>
      <w:rPr>
        <w:rFonts w:ascii="Courier New" w:hAnsi="Courier New" w:hint="default"/>
      </w:rPr>
    </w:lvl>
    <w:lvl w:ilvl="2" w:tplc="C0F0541E">
      <w:start w:val="1"/>
      <w:numFmt w:val="bullet"/>
      <w:lvlText w:val=""/>
      <w:lvlJc w:val="left"/>
      <w:pPr>
        <w:ind w:left="2160" w:hanging="360"/>
      </w:pPr>
      <w:rPr>
        <w:rFonts w:ascii="Wingdings" w:hAnsi="Wingdings" w:hint="default"/>
      </w:rPr>
    </w:lvl>
    <w:lvl w:ilvl="3" w:tplc="5FC6AD28">
      <w:start w:val="1"/>
      <w:numFmt w:val="bullet"/>
      <w:lvlText w:val=""/>
      <w:lvlJc w:val="left"/>
      <w:pPr>
        <w:ind w:left="2880" w:hanging="360"/>
      </w:pPr>
      <w:rPr>
        <w:rFonts w:ascii="Symbol" w:hAnsi="Symbol" w:hint="default"/>
      </w:rPr>
    </w:lvl>
    <w:lvl w:ilvl="4" w:tplc="6D92DB8C">
      <w:start w:val="1"/>
      <w:numFmt w:val="bullet"/>
      <w:lvlText w:val="o"/>
      <w:lvlJc w:val="left"/>
      <w:pPr>
        <w:ind w:left="3600" w:hanging="360"/>
      </w:pPr>
      <w:rPr>
        <w:rFonts w:ascii="Courier New" w:hAnsi="Courier New" w:hint="default"/>
      </w:rPr>
    </w:lvl>
    <w:lvl w:ilvl="5" w:tplc="360499D4">
      <w:start w:val="1"/>
      <w:numFmt w:val="bullet"/>
      <w:lvlText w:val=""/>
      <w:lvlJc w:val="left"/>
      <w:pPr>
        <w:ind w:left="4320" w:hanging="360"/>
      </w:pPr>
      <w:rPr>
        <w:rFonts w:ascii="Wingdings" w:hAnsi="Wingdings" w:hint="default"/>
      </w:rPr>
    </w:lvl>
    <w:lvl w:ilvl="6" w:tplc="DB087B5A">
      <w:start w:val="1"/>
      <w:numFmt w:val="bullet"/>
      <w:lvlText w:val=""/>
      <w:lvlJc w:val="left"/>
      <w:pPr>
        <w:ind w:left="5040" w:hanging="360"/>
      </w:pPr>
      <w:rPr>
        <w:rFonts w:ascii="Symbol" w:hAnsi="Symbol" w:hint="default"/>
      </w:rPr>
    </w:lvl>
    <w:lvl w:ilvl="7" w:tplc="9894D160">
      <w:start w:val="1"/>
      <w:numFmt w:val="bullet"/>
      <w:lvlText w:val="o"/>
      <w:lvlJc w:val="left"/>
      <w:pPr>
        <w:ind w:left="5760" w:hanging="360"/>
      </w:pPr>
      <w:rPr>
        <w:rFonts w:ascii="Courier New" w:hAnsi="Courier New" w:hint="default"/>
      </w:rPr>
    </w:lvl>
    <w:lvl w:ilvl="8" w:tplc="D1264484">
      <w:start w:val="1"/>
      <w:numFmt w:val="bullet"/>
      <w:lvlText w:val=""/>
      <w:lvlJc w:val="left"/>
      <w:pPr>
        <w:ind w:left="6480" w:hanging="360"/>
      </w:pPr>
      <w:rPr>
        <w:rFonts w:ascii="Wingdings" w:hAnsi="Wingdings" w:hint="default"/>
      </w:rPr>
    </w:lvl>
  </w:abstractNum>
  <w:abstractNum w:abstractNumId="175" w15:restartNumberingAfterBreak="0">
    <w:nsid w:val="5FAD3D08"/>
    <w:multiLevelType w:val="hybridMultilevel"/>
    <w:tmpl w:val="DB923068"/>
    <w:lvl w:ilvl="0" w:tplc="85CC68A2">
      <w:start w:val="52"/>
      <w:numFmt w:val="decimal"/>
      <w:lvlText w:val="%1."/>
      <w:lvlJc w:val="left"/>
      <w:pPr>
        <w:ind w:left="928" w:hanging="360"/>
      </w:pPr>
      <w:rPr>
        <w:rFonts w:hint="default"/>
        <w:strike w:val="0"/>
        <w:color w:val="0070C0"/>
      </w:rPr>
    </w:lvl>
    <w:lvl w:ilvl="1" w:tplc="08090019">
      <w:start w:val="1"/>
      <w:numFmt w:val="lowerLetter"/>
      <w:lvlText w:val="%2."/>
      <w:lvlJc w:val="left"/>
      <w:pPr>
        <w:ind w:left="1648" w:hanging="360"/>
      </w:pPr>
    </w:lvl>
    <w:lvl w:ilvl="2" w:tplc="0809001B" w:tentative="1">
      <w:start w:val="1"/>
      <w:numFmt w:val="lowerRoman"/>
      <w:lvlText w:val="%3."/>
      <w:lvlJc w:val="right"/>
      <w:pPr>
        <w:ind w:left="2368" w:hanging="180"/>
      </w:pPr>
    </w:lvl>
    <w:lvl w:ilvl="3" w:tplc="0809000F" w:tentative="1">
      <w:start w:val="1"/>
      <w:numFmt w:val="decimal"/>
      <w:lvlText w:val="%4."/>
      <w:lvlJc w:val="left"/>
      <w:pPr>
        <w:ind w:left="3088" w:hanging="360"/>
      </w:pPr>
    </w:lvl>
    <w:lvl w:ilvl="4" w:tplc="08090019" w:tentative="1">
      <w:start w:val="1"/>
      <w:numFmt w:val="lowerLetter"/>
      <w:lvlText w:val="%5."/>
      <w:lvlJc w:val="left"/>
      <w:pPr>
        <w:ind w:left="3808" w:hanging="360"/>
      </w:pPr>
    </w:lvl>
    <w:lvl w:ilvl="5" w:tplc="0809001B" w:tentative="1">
      <w:start w:val="1"/>
      <w:numFmt w:val="lowerRoman"/>
      <w:lvlText w:val="%6."/>
      <w:lvlJc w:val="right"/>
      <w:pPr>
        <w:ind w:left="4528" w:hanging="180"/>
      </w:pPr>
    </w:lvl>
    <w:lvl w:ilvl="6" w:tplc="0809000F" w:tentative="1">
      <w:start w:val="1"/>
      <w:numFmt w:val="decimal"/>
      <w:lvlText w:val="%7."/>
      <w:lvlJc w:val="left"/>
      <w:pPr>
        <w:ind w:left="5248" w:hanging="360"/>
      </w:pPr>
    </w:lvl>
    <w:lvl w:ilvl="7" w:tplc="08090019" w:tentative="1">
      <w:start w:val="1"/>
      <w:numFmt w:val="lowerLetter"/>
      <w:lvlText w:val="%8."/>
      <w:lvlJc w:val="left"/>
      <w:pPr>
        <w:ind w:left="5968" w:hanging="360"/>
      </w:pPr>
    </w:lvl>
    <w:lvl w:ilvl="8" w:tplc="0809001B" w:tentative="1">
      <w:start w:val="1"/>
      <w:numFmt w:val="lowerRoman"/>
      <w:lvlText w:val="%9."/>
      <w:lvlJc w:val="right"/>
      <w:pPr>
        <w:ind w:left="6688" w:hanging="180"/>
      </w:pPr>
    </w:lvl>
  </w:abstractNum>
  <w:abstractNum w:abstractNumId="176" w15:restartNumberingAfterBreak="0">
    <w:nsid w:val="605147A2"/>
    <w:multiLevelType w:val="hybridMultilevel"/>
    <w:tmpl w:val="AFF86D02"/>
    <w:lvl w:ilvl="0" w:tplc="41D287EE">
      <w:start w:val="1"/>
      <w:numFmt w:val="decimal"/>
      <w:lvlText w:val="%1."/>
      <w:lvlJc w:val="left"/>
      <w:pPr>
        <w:ind w:left="720" w:hanging="360"/>
      </w:pPr>
    </w:lvl>
    <w:lvl w:ilvl="1" w:tplc="40C64530">
      <w:start w:val="1"/>
      <w:numFmt w:val="decimal"/>
      <w:lvlText w:val="%2."/>
      <w:lvlJc w:val="left"/>
      <w:pPr>
        <w:ind w:left="1440" w:hanging="360"/>
      </w:pPr>
    </w:lvl>
    <w:lvl w:ilvl="2" w:tplc="A0206DEE">
      <w:start w:val="1"/>
      <w:numFmt w:val="lowerRoman"/>
      <w:lvlText w:val="%3."/>
      <w:lvlJc w:val="right"/>
      <w:pPr>
        <w:ind w:left="2160" w:hanging="180"/>
      </w:pPr>
    </w:lvl>
    <w:lvl w:ilvl="3" w:tplc="D2301244">
      <w:start w:val="1"/>
      <w:numFmt w:val="decimal"/>
      <w:lvlText w:val="%4."/>
      <w:lvlJc w:val="left"/>
      <w:pPr>
        <w:ind w:left="2880" w:hanging="360"/>
      </w:pPr>
    </w:lvl>
    <w:lvl w:ilvl="4" w:tplc="0D4679E8">
      <w:start w:val="1"/>
      <w:numFmt w:val="lowerLetter"/>
      <w:lvlText w:val="%5."/>
      <w:lvlJc w:val="left"/>
      <w:pPr>
        <w:ind w:left="3600" w:hanging="360"/>
      </w:pPr>
    </w:lvl>
    <w:lvl w:ilvl="5" w:tplc="485ED0D8">
      <w:start w:val="1"/>
      <w:numFmt w:val="lowerRoman"/>
      <w:lvlText w:val="%6."/>
      <w:lvlJc w:val="right"/>
      <w:pPr>
        <w:ind w:left="4320" w:hanging="180"/>
      </w:pPr>
    </w:lvl>
    <w:lvl w:ilvl="6" w:tplc="9CE0A61C">
      <w:start w:val="1"/>
      <w:numFmt w:val="decimal"/>
      <w:lvlText w:val="%7."/>
      <w:lvlJc w:val="left"/>
      <w:pPr>
        <w:ind w:left="5040" w:hanging="360"/>
      </w:pPr>
    </w:lvl>
    <w:lvl w:ilvl="7" w:tplc="EF92423A">
      <w:start w:val="1"/>
      <w:numFmt w:val="lowerLetter"/>
      <w:lvlText w:val="%8."/>
      <w:lvlJc w:val="left"/>
      <w:pPr>
        <w:ind w:left="5760" w:hanging="360"/>
      </w:pPr>
    </w:lvl>
    <w:lvl w:ilvl="8" w:tplc="1F0EAEDC">
      <w:start w:val="1"/>
      <w:numFmt w:val="lowerRoman"/>
      <w:lvlText w:val="%9."/>
      <w:lvlJc w:val="right"/>
      <w:pPr>
        <w:ind w:left="6480" w:hanging="180"/>
      </w:pPr>
    </w:lvl>
  </w:abstractNum>
  <w:abstractNum w:abstractNumId="177" w15:restartNumberingAfterBreak="0">
    <w:nsid w:val="606D78C4"/>
    <w:multiLevelType w:val="hybridMultilevel"/>
    <w:tmpl w:val="FFFFFFFF"/>
    <w:lvl w:ilvl="0" w:tplc="84762456">
      <w:start w:val="1"/>
      <w:numFmt w:val="decimal"/>
      <w:lvlText w:val="%1."/>
      <w:lvlJc w:val="left"/>
      <w:pPr>
        <w:ind w:left="720" w:hanging="360"/>
      </w:pPr>
    </w:lvl>
    <w:lvl w:ilvl="1" w:tplc="499E7F82">
      <w:start w:val="1"/>
      <w:numFmt w:val="lowerLetter"/>
      <w:lvlText w:val="%2."/>
      <w:lvlJc w:val="left"/>
      <w:pPr>
        <w:ind w:left="1440" w:hanging="360"/>
      </w:pPr>
    </w:lvl>
    <w:lvl w:ilvl="2" w:tplc="3B5E071A">
      <w:start w:val="1"/>
      <w:numFmt w:val="lowerRoman"/>
      <w:lvlText w:val="%3."/>
      <w:lvlJc w:val="right"/>
      <w:pPr>
        <w:ind w:left="2160" w:hanging="180"/>
      </w:pPr>
    </w:lvl>
    <w:lvl w:ilvl="3" w:tplc="B0763120">
      <w:start w:val="1"/>
      <w:numFmt w:val="decimal"/>
      <w:lvlText w:val="%4."/>
      <w:lvlJc w:val="left"/>
      <w:pPr>
        <w:ind w:left="2880" w:hanging="360"/>
      </w:pPr>
    </w:lvl>
    <w:lvl w:ilvl="4" w:tplc="EB9EABC2">
      <w:start w:val="1"/>
      <w:numFmt w:val="lowerLetter"/>
      <w:lvlText w:val="%5."/>
      <w:lvlJc w:val="left"/>
      <w:pPr>
        <w:ind w:left="3600" w:hanging="360"/>
      </w:pPr>
    </w:lvl>
    <w:lvl w:ilvl="5" w:tplc="D228C230">
      <w:start w:val="1"/>
      <w:numFmt w:val="lowerRoman"/>
      <w:lvlText w:val="%6."/>
      <w:lvlJc w:val="right"/>
      <w:pPr>
        <w:ind w:left="4320" w:hanging="180"/>
      </w:pPr>
    </w:lvl>
    <w:lvl w:ilvl="6" w:tplc="599ABA50">
      <w:start w:val="1"/>
      <w:numFmt w:val="decimal"/>
      <w:lvlText w:val="%7."/>
      <w:lvlJc w:val="left"/>
      <w:pPr>
        <w:ind w:left="5040" w:hanging="360"/>
      </w:pPr>
    </w:lvl>
    <w:lvl w:ilvl="7" w:tplc="1DA6DAC0">
      <w:start w:val="1"/>
      <w:numFmt w:val="lowerLetter"/>
      <w:lvlText w:val="%8."/>
      <w:lvlJc w:val="left"/>
      <w:pPr>
        <w:ind w:left="5760" w:hanging="360"/>
      </w:pPr>
    </w:lvl>
    <w:lvl w:ilvl="8" w:tplc="ACCEC848">
      <w:start w:val="1"/>
      <w:numFmt w:val="lowerRoman"/>
      <w:lvlText w:val="%9."/>
      <w:lvlJc w:val="right"/>
      <w:pPr>
        <w:ind w:left="6480" w:hanging="180"/>
      </w:pPr>
    </w:lvl>
  </w:abstractNum>
  <w:abstractNum w:abstractNumId="178" w15:restartNumberingAfterBreak="0">
    <w:nsid w:val="607415E9"/>
    <w:multiLevelType w:val="hybridMultilevel"/>
    <w:tmpl w:val="5E4E3CA0"/>
    <w:lvl w:ilvl="0" w:tplc="A7D4F840">
      <w:start w:val="40"/>
      <w:numFmt w:val="bullet"/>
      <w:lvlText w:val="-"/>
      <w:lvlJc w:val="left"/>
      <w:pPr>
        <w:ind w:left="720" w:hanging="360"/>
      </w:pPr>
      <w:rPr>
        <w:rFonts w:ascii="Verdana" w:eastAsia="Calibri" w:hAnsi="Verdana"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9" w15:restartNumberingAfterBreak="0">
    <w:nsid w:val="60AE4036"/>
    <w:multiLevelType w:val="hybridMultilevel"/>
    <w:tmpl w:val="24AEAA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0" w15:restartNumberingAfterBreak="0">
    <w:nsid w:val="624A7553"/>
    <w:multiLevelType w:val="hybridMultilevel"/>
    <w:tmpl w:val="7B54DAD4"/>
    <w:lvl w:ilvl="0" w:tplc="0972CC78">
      <w:start w:val="1"/>
      <w:numFmt w:val="lowerRoman"/>
      <w:lvlText w:val="(%1)"/>
      <w:lvlJc w:val="left"/>
      <w:pPr>
        <w:ind w:left="1068" w:hanging="360"/>
      </w:pPr>
      <w:rPr>
        <w:rFonts w:hint="default"/>
      </w:rPr>
    </w:lvl>
    <w:lvl w:ilvl="1" w:tplc="08160019" w:tentative="1">
      <w:start w:val="1"/>
      <w:numFmt w:val="lowerLetter"/>
      <w:lvlText w:val="%2."/>
      <w:lvlJc w:val="left"/>
      <w:pPr>
        <w:ind w:left="1788" w:hanging="360"/>
      </w:pPr>
    </w:lvl>
    <w:lvl w:ilvl="2" w:tplc="0816001B" w:tentative="1">
      <w:start w:val="1"/>
      <w:numFmt w:val="lowerRoman"/>
      <w:lvlText w:val="%3."/>
      <w:lvlJc w:val="right"/>
      <w:pPr>
        <w:ind w:left="2508" w:hanging="180"/>
      </w:pPr>
    </w:lvl>
    <w:lvl w:ilvl="3" w:tplc="0816000F" w:tentative="1">
      <w:start w:val="1"/>
      <w:numFmt w:val="decimal"/>
      <w:lvlText w:val="%4."/>
      <w:lvlJc w:val="left"/>
      <w:pPr>
        <w:ind w:left="3228" w:hanging="360"/>
      </w:pPr>
    </w:lvl>
    <w:lvl w:ilvl="4" w:tplc="08160019" w:tentative="1">
      <w:start w:val="1"/>
      <w:numFmt w:val="lowerLetter"/>
      <w:lvlText w:val="%5."/>
      <w:lvlJc w:val="left"/>
      <w:pPr>
        <w:ind w:left="3948" w:hanging="360"/>
      </w:pPr>
    </w:lvl>
    <w:lvl w:ilvl="5" w:tplc="0816001B" w:tentative="1">
      <w:start w:val="1"/>
      <w:numFmt w:val="lowerRoman"/>
      <w:lvlText w:val="%6."/>
      <w:lvlJc w:val="right"/>
      <w:pPr>
        <w:ind w:left="4668" w:hanging="180"/>
      </w:pPr>
    </w:lvl>
    <w:lvl w:ilvl="6" w:tplc="0816000F" w:tentative="1">
      <w:start w:val="1"/>
      <w:numFmt w:val="decimal"/>
      <w:lvlText w:val="%7."/>
      <w:lvlJc w:val="left"/>
      <w:pPr>
        <w:ind w:left="5388" w:hanging="360"/>
      </w:pPr>
    </w:lvl>
    <w:lvl w:ilvl="7" w:tplc="08160019" w:tentative="1">
      <w:start w:val="1"/>
      <w:numFmt w:val="lowerLetter"/>
      <w:lvlText w:val="%8."/>
      <w:lvlJc w:val="left"/>
      <w:pPr>
        <w:ind w:left="6108" w:hanging="360"/>
      </w:pPr>
    </w:lvl>
    <w:lvl w:ilvl="8" w:tplc="0816001B" w:tentative="1">
      <w:start w:val="1"/>
      <w:numFmt w:val="lowerRoman"/>
      <w:lvlText w:val="%9."/>
      <w:lvlJc w:val="right"/>
      <w:pPr>
        <w:ind w:left="6828" w:hanging="180"/>
      </w:pPr>
    </w:lvl>
  </w:abstractNum>
  <w:abstractNum w:abstractNumId="181" w15:restartNumberingAfterBreak="0">
    <w:nsid w:val="62DE286D"/>
    <w:multiLevelType w:val="hybridMultilevel"/>
    <w:tmpl w:val="389AC0F2"/>
    <w:lvl w:ilvl="0" w:tplc="7BBAF134">
      <w:start w:val="3"/>
      <w:numFmt w:val="bullet"/>
      <w:lvlText w:val="-"/>
      <w:lvlJc w:val="left"/>
      <w:pPr>
        <w:ind w:left="717" w:hanging="360"/>
      </w:pPr>
      <w:rPr>
        <w:rFonts w:ascii="Calibri" w:eastAsiaTheme="minorEastAsia" w:hAnsi="Calibri" w:cs="Calibri" w:hint="default"/>
        <w:spacing w:val="0"/>
      </w:rPr>
    </w:lvl>
    <w:lvl w:ilvl="1" w:tplc="04090001">
      <w:start w:val="1"/>
      <w:numFmt w:val="bullet"/>
      <w:lvlText w:val=""/>
      <w:lvlJc w:val="left"/>
      <w:pPr>
        <w:ind w:left="1437" w:hanging="360"/>
      </w:pPr>
      <w:rPr>
        <w:rFonts w:ascii="Symbol" w:hAnsi="Symbol" w:hint="default"/>
      </w:rPr>
    </w:lvl>
    <w:lvl w:ilvl="2" w:tplc="0809001B" w:tentative="1">
      <w:start w:val="1"/>
      <w:numFmt w:val="lowerRoman"/>
      <w:lvlText w:val="%3."/>
      <w:lvlJc w:val="right"/>
      <w:pPr>
        <w:ind w:left="2157" w:hanging="180"/>
      </w:pPr>
    </w:lvl>
    <w:lvl w:ilvl="3" w:tplc="0809000F" w:tentative="1">
      <w:start w:val="1"/>
      <w:numFmt w:val="decimal"/>
      <w:lvlText w:val="%4."/>
      <w:lvlJc w:val="left"/>
      <w:pPr>
        <w:ind w:left="2877" w:hanging="360"/>
      </w:pPr>
    </w:lvl>
    <w:lvl w:ilvl="4" w:tplc="08090019" w:tentative="1">
      <w:start w:val="1"/>
      <w:numFmt w:val="lowerLetter"/>
      <w:lvlText w:val="%5."/>
      <w:lvlJc w:val="left"/>
      <w:pPr>
        <w:ind w:left="3597" w:hanging="360"/>
      </w:pPr>
    </w:lvl>
    <w:lvl w:ilvl="5" w:tplc="0809001B" w:tentative="1">
      <w:start w:val="1"/>
      <w:numFmt w:val="lowerRoman"/>
      <w:lvlText w:val="%6."/>
      <w:lvlJc w:val="right"/>
      <w:pPr>
        <w:ind w:left="4317" w:hanging="180"/>
      </w:pPr>
    </w:lvl>
    <w:lvl w:ilvl="6" w:tplc="0809000F" w:tentative="1">
      <w:start w:val="1"/>
      <w:numFmt w:val="decimal"/>
      <w:lvlText w:val="%7."/>
      <w:lvlJc w:val="left"/>
      <w:pPr>
        <w:ind w:left="5037" w:hanging="360"/>
      </w:pPr>
    </w:lvl>
    <w:lvl w:ilvl="7" w:tplc="08090019" w:tentative="1">
      <w:start w:val="1"/>
      <w:numFmt w:val="lowerLetter"/>
      <w:lvlText w:val="%8."/>
      <w:lvlJc w:val="left"/>
      <w:pPr>
        <w:ind w:left="5757" w:hanging="360"/>
      </w:pPr>
    </w:lvl>
    <w:lvl w:ilvl="8" w:tplc="0809001B" w:tentative="1">
      <w:start w:val="1"/>
      <w:numFmt w:val="lowerRoman"/>
      <w:lvlText w:val="%9."/>
      <w:lvlJc w:val="right"/>
      <w:pPr>
        <w:ind w:left="6477" w:hanging="180"/>
      </w:pPr>
    </w:lvl>
  </w:abstractNum>
  <w:abstractNum w:abstractNumId="182" w15:restartNumberingAfterBreak="0">
    <w:nsid w:val="62FB77AD"/>
    <w:multiLevelType w:val="hybridMultilevel"/>
    <w:tmpl w:val="6E2C0A1C"/>
    <w:lvl w:ilvl="0" w:tplc="71A2B31C">
      <w:start w:val="2"/>
      <w:numFmt w:val="decimal"/>
      <w:lvlText w:val="%1)"/>
      <w:lvlJc w:val="left"/>
      <w:pPr>
        <w:ind w:left="1080" w:hanging="360"/>
      </w:pPr>
      <w:rPr>
        <w:rFonts w:hint="default"/>
      </w:rPr>
    </w:lvl>
    <w:lvl w:ilvl="1" w:tplc="08090019">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83" w15:restartNumberingAfterBreak="0">
    <w:nsid w:val="639A5964"/>
    <w:multiLevelType w:val="hybridMultilevel"/>
    <w:tmpl w:val="FFFFFFFF"/>
    <w:lvl w:ilvl="0" w:tplc="35D0D0A0">
      <w:start w:val="1"/>
      <w:numFmt w:val="decimal"/>
      <w:lvlText w:val="%1."/>
      <w:lvlJc w:val="left"/>
      <w:pPr>
        <w:ind w:left="720" w:hanging="360"/>
      </w:pPr>
    </w:lvl>
    <w:lvl w:ilvl="1" w:tplc="0340239E">
      <w:start w:val="1"/>
      <w:numFmt w:val="decimal"/>
      <w:lvlText w:val="%2."/>
      <w:lvlJc w:val="left"/>
      <w:pPr>
        <w:ind w:left="1440" w:hanging="360"/>
      </w:pPr>
    </w:lvl>
    <w:lvl w:ilvl="2" w:tplc="ADBCB3D6">
      <w:start w:val="1"/>
      <w:numFmt w:val="lowerRoman"/>
      <w:lvlText w:val="%3."/>
      <w:lvlJc w:val="right"/>
      <w:pPr>
        <w:ind w:left="2160" w:hanging="180"/>
      </w:pPr>
    </w:lvl>
    <w:lvl w:ilvl="3" w:tplc="CF2EB4F8">
      <w:start w:val="1"/>
      <w:numFmt w:val="decimal"/>
      <w:lvlText w:val="%4."/>
      <w:lvlJc w:val="left"/>
      <w:pPr>
        <w:ind w:left="2880" w:hanging="360"/>
      </w:pPr>
    </w:lvl>
    <w:lvl w:ilvl="4" w:tplc="FD20740A">
      <w:start w:val="1"/>
      <w:numFmt w:val="lowerLetter"/>
      <w:lvlText w:val="%5."/>
      <w:lvlJc w:val="left"/>
      <w:pPr>
        <w:ind w:left="3600" w:hanging="360"/>
      </w:pPr>
    </w:lvl>
    <w:lvl w:ilvl="5" w:tplc="3F143DEE">
      <w:start w:val="1"/>
      <w:numFmt w:val="lowerRoman"/>
      <w:lvlText w:val="%6."/>
      <w:lvlJc w:val="right"/>
      <w:pPr>
        <w:ind w:left="4320" w:hanging="180"/>
      </w:pPr>
    </w:lvl>
    <w:lvl w:ilvl="6" w:tplc="4F1C5B8C">
      <w:start w:val="1"/>
      <w:numFmt w:val="decimal"/>
      <w:lvlText w:val="%7."/>
      <w:lvlJc w:val="left"/>
      <w:pPr>
        <w:ind w:left="5040" w:hanging="360"/>
      </w:pPr>
    </w:lvl>
    <w:lvl w:ilvl="7" w:tplc="81AC4C5C">
      <w:start w:val="1"/>
      <w:numFmt w:val="lowerLetter"/>
      <w:lvlText w:val="%8."/>
      <w:lvlJc w:val="left"/>
      <w:pPr>
        <w:ind w:left="5760" w:hanging="360"/>
      </w:pPr>
    </w:lvl>
    <w:lvl w:ilvl="8" w:tplc="E3328D54">
      <w:start w:val="1"/>
      <w:numFmt w:val="lowerRoman"/>
      <w:lvlText w:val="%9."/>
      <w:lvlJc w:val="right"/>
      <w:pPr>
        <w:ind w:left="6480" w:hanging="180"/>
      </w:pPr>
    </w:lvl>
  </w:abstractNum>
  <w:abstractNum w:abstractNumId="184" w15:restartNumberingAfterBreak="0">
    <w:nsid w:val="63C9723A"/>
    <w:multiLevelType w:val="hybridMultilevel"/>
    <w:tmpl w:val="E7289BFA"/>
    <w:lvl w:ilvl="0" w:tplc="0809001B">
      <w:start w:val="1"/>
      <w:numFmt w:val="lowerRoman"/>
      <w:lvlText w:val="%1."/>
      <w:lvlJc w:val="right"/>
      <w:pPr>
        <w:ind w:left="1440" w:hanging="360"/>
      </w:pPr>
      <w:rPr>
        <w:rFonts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85" w15:restartNumberingAfterBreak="0">
    <w:nsid w:val="64293F29"/>
    <w:multiLevelType w:val="hybridMultilevel"/>
    <w:tmpl w:val="799A8CC8"/>
    <w:lvl w:ilvl="0" w:tplc="08090001">
      <w:start w:val="1"/>
      <w:numFmt w:val="bullet"/>
      <w:lvlText w:val=""/>
      <w:lvlJc w:val="left"/>
      <w:pPr>
        <w:ind w:left="1428" w:hanging="360"/>
      </w:pPr>
      <w:rPr>
        <w:rFonts w:ascii="Symbol" w:hAnsi="Symbol" w:hint="default"/>
      </w:rPr>
    </w:lvl>
    <w:lvl w:ilvl="1" w:tplc="08090003" w:tentative="1">
      <w:start w:val="1"/>
      <w:numFmt w:val="bullet"/>
      <w:lvlText w:val="o"/>
      <w:lvlJc w:val="left"/>
      <w:pPr>
        <w:ind w:left="2148" w:hanging="360"/>
      </w:pPr>
      <w:rPr>
        <w:rFonts w:ascii="Courier New" w:hAnsi="Courier New" w:cs="Courier New" w:hint="default"/>
      </w:rPr>
    </w:lvl>
    <w:lvl w:ilvl="2" w:tplc="08090005" w:tentative="1">
      <w:start w:val="1"/>
      <w:numFmt w:val="bullet"/>
      <w:lvlText w:val=""/>
      <w:lvlJc w:val="left"/>
      <w:pPr>
        <w:ind w:left="2868" w:hanging="360"/>
      </w:pPr>
      <w:rPr>
        <w:rFonts w:ascii="Wingdings" w:hAnsi="Wingdings" w:hint="default"/>
      </w:rPr>
    </w:lvl>
    <w:lvl w:ilvl="3" w:tplc="08090001" w:tentative="1">
      <w:start w:val="1"/>
      <w:numFmt w:val="bullet"/>
      <w:lvlText w:val=""/>
      <w:lvlJc w:val="left"/>
      <w:pPr>
        <w:ind w:left="3588" w:hanging="360"/>
      </w:pPr>
      <w:rPr>
        <w:rFonts w:ascii="Symbol" w:hAnsi="Symbol" w:hint="default"/>
      </w:rPr>
    </w:lvl>
    <w:lvl w:ilvl="4" w:tplc="08090003" w:tentative="1">
      <w:start w:val="1"/>
      <w:numFmt w:val="bullet"/>
      <w:lvlText w:val="o"/>
      <w:lvlJc w:val="left"/>
      <w:pPr>
        <w:ind w:left="4308" w:hanging="360"/>
      </w:pPr>
      <w:rPr>
        <w:rFonts w:ascii="Courier New" w:hAnsi="Courier New" w:cs="Courier New" w:hint="default"/>
      </w:rPr>
    </w:lvl>
    <w:lvl w:ilvl="5" w:tplc="08090005" w:tentative="1">
      <w:start w:val="1"/>
      <w:numFmt w:val="bullet"/>
      <w:lvlText w:val=""/>
      <w:lvlJc w:val="left"/>
      <w:pPr>
        <w:ind w:left="5028" w:hanging="360"/>
      </w:pPr>
      <w:rPr>
        <w:rFonts w:ascii="Wingdings" w:hAnsi="Wingdings" w:hint="default"/>
      </w:rPr>
    </w:lvl>
    <w:lvl w:ilvl="6" w:tplc="08090001" w:tentative="1">
      <w:start w:val="1"/>
      <w:numFmt w:val="bullet"/>
      <w:lvlText w:val=""/>
      <w:lvlJc w:val="left"/>
      <w:pPr>
        <w:ind w:left="5748" w:hanging="360"/>
      </w:pPr>
      <w:rPr>
        <w:rFonts w:ascii="Symbol" w:hAnsi="Symbol" w:hint="default"/>
      </w:rPr>
    </w:lvl>
    <w:lvl w:ilvl="7" w:tplc="08090003" w:tentative="1">
      <w:start w:val="1"/>
      <w:numFmt w:val="bullet"/>
      <w:lvlText w:val="o"/>
      <w:lvlJc w:val="left"/>
      <w:pPr>
        <w:ind w:left="6468" w:hanging="360"/>
      </w:pPr>
      <w:rPr>
        <w:rFonts w:ascii="Courier New" w:hAnsi="Courier New" w:cs="Courier New" w:hint="default"/>
      </w:rPr>
    </w:lvl>
    <w:lvl w:ilvl="8" w:tplc="08090005" w:tentative="1">
      <w:start w:val="1"/>
      <w:numFmt w:val="bullet"/>
      <w:lvlText w:val=""/>
      <w:lvlJc w:val="left"/>
      <w:pPr>
        <w:ind w:left="7188" w:hanging="360"/>
      </w:pPr>
      <w:rPr>
        <w:rFonts w:ascii="Wingdings" w:hAnsi="Wingdings" w:hint="default"/>
      </w:rPr>
    </w:lvl>
  </w:abstractNum>
  <w:abstractNum w:abstractNumId="186" w15:restartNumberingAfterBreak="0">
    <w:nsid w:val="65D310CE"/>
    <w:multiLevelType w:val="hybridMultilevel"/>
    <w:tmpl w:val="DB923068"/>
    <w:lvl w:ilvl="0" w:tplc="85CC68A2">
      <w:start w:val="52"/>
      <w:numFmt w:val="decimal"/>
      <w:lvlText w:val="%1."/>
      <w:lvlJc w:val="left"/>
      <w:pPr>
        <w:ind w:left="928" w:hanging="360"/>
      </w:pPr>
      <w:rPr>
        <w:rFonts w:hint="default"/>
        <w:strike w:val="0"/>
        <w:color w:val="0070C0"/>
      </w:rPr>
    </w:lvl>
    <w:lvl w:ilvl="1" w:tplc="08090019">
      <w:start w:val="1"/>
      <w:numFmt w:val="lowerLetter"/>
      <w:lvlText w:val="%2."/>
      <w:lvlJc w:val="left"/>
      <w:pPr>
        <w:ind w:left="1648" w:hanging="360"/>
      </w:pPr>
    </w:lvl>
    <w:lvl w:ilvl="2" w:tplc="0809001B" w:tentative="1">
      <w:start w:val="1"/>
      <w:numFmt w:val="lowerRoman"/>
      <w:lvlText w:val="%3."/>
      <w:lvlJc w:val="right"/>
      <w:pPr>
        <w:ind w:left="2368" w:hanging="180"/>
      </w:pPr>
    </w:lvl>
    <w:lvl w:ilvl="3" w:tplc="0809000F" w:tentative="1">
      <w:start w:val="1"/>
      <w:numFmt w:val="decimal"/>
      <w:lvlText w:val="%4."/>
      <w:lvlJc w:val="left"/>
      <w:pPr>
        <w:ind w:left="3088" w:hanging="360"/>
      </w:pPr>
    </w:lvl>
    <w:lvl w:ilvl="4" w:tplc="08090019" w:tentative="1">
      <w:start w:val="1"/>
      <w:numFmt w:val="lowerLetter"/>
      <w:lvlText w:val="%5."/>
      <w:lvlJc w:val="left"/>
      <w:pPr>
        <w:ind w:left="3808" w:hanging="360"/>
      </w:pPr>
    </w:lvl>
    <w:lvl w:ilvl="5" w:tplc="0809001B" w:tentative="1">
      <w:start w:val="1"/>
      <w:numFmt w:val="lowerRoman"/>
      <w:lvlText w:val="%6."/>
      <w:lvlJc w:val="right"/>
      <w:pPr>
        <w:ind w:left="4528" w:hanging="180"/>
      </w:pPr>
    </w:lvl>
    <w:lvl w:ilvl="6" w:tplc="0809000F" w:tentative="1">
      <w:start w:val="1"/>
      <w:numFmt w:val="decimal"/>
      <w:lvlText w:val="%7."/>
      <w:lvlJc w:val="left"/>
      <w:pPr>
        <w:ind w:left="5248" w:hanging="360"/>
      </w:pPr>
    </w:lvl>
    <w:lvl w:ilvl="7" w:tplc="08090019" w:tentative="1">
      <w:start w:val="1"/>
      <w:numFmt w:val="lowerLetter"/>
      <w:lvlText w:val="%8."/>
      <w:lvlJc w:val="left"/>
      <w:pPr>
        <w:ind w:left="5968" w:hanging="360"/>
      </w:pPr>
    </w:lvl>
    <w:lvl w:ilvl="8" w:tplc="0809001B" w:tentative="1">
      <w:start w:val="1"/>
      <w:numFmt w:val="lowerRoman"/>
      <w:lvlText w:val="%9."/>
      <w:lvlJc w:val="right"/>
      <w:pPr>
        <w:ind w:left="6688" w:hanging="180"/>
      </w:pPr>
    </w:lvl>
  </w:abstractNum>
  <w:abstractNum w:abstractNumId="187" w15:restartNumberingAfterBreak="0">
    <w:nsid w:val="65DF7145"/>
    <w:multiLevelType w:val="hybridMultilevel"/>
    <w:tmpl w:val="51B886C4"/>
    <w:lvl w:ilvl="0" w:tplc="A7BA0830">
      <w:start w:val="1"/>
      <w:numFmt w:val="bullet"/>
      <w:lvlText w:val="·"/>
      <w:lvlJc w:val="left"/>
      <w:pPr>
        <w:ind w:left="720" w:hanging="360"/>
      </w:pPr>
      <w:rPr>
        <w:rFonts w:ascii="Symbol" w:hAnsi="Symbol" w:hint="default"/>
      </w:rPr>
    </w:lvl>
    <w:lvl w:ilvl="1" w:tplc="841A7C6C">
      <w:start w:val="1"/>
      <w:numFmt w:val="bullet"/>
      <w:lvlText w:val="o"/>
      <w:lvlJc w:val="left"/>
      <w:pPr>
        <w:ind w:left="1440" w:hanging="360"/>
      </w:pPr>
      <w:rPr>
        <w:rFonts w:ascii="Courier New" w:hAnsi="Courier New" w:hint="default"/>
      </w:rPr>
    </w:lvl>
    <w:lvl w:ilvl="2" w:tplc="C1485DFA">
      <w:start w:val="1"/>
      <w:numFmt w:val="bullet"/>
      <w:lvlText w:val=""/>
      <w:lvlJc w:val="left"/>
      <w:pPr>
        <w:ind w:left="2160" w:hanging="360"/>
      </w:pPr>
      <w:rPr>
        <w:rFonts w:ascii="Wingdings" w:hAnsi="Wingdings" w:hint="default"/>
      </w:rPr>
    </w:lvl>
    <w:lvl w:ilvl="3" w:tplc="CFD016BC">
      <w:start w:val="1"/>
      <w:numFmt w:val="bullet"/>
      <w:lvlText w:val=""/>
      <w:lvlJc w:val="left"/>
      <w:pPr>
        <w:ind w:left="2880" w:hanging="360"/>
      </w:pPr>
      <w:rPr>
        <w:rFonts w:ascii="Symbol" w:hAnsi="Symbol" w:hint="default"/>
      </w:rPr>
    </w:lvl>
    <w:lvl w:ilvl="4" w:tplc="7452F5DE">
      <w:start w:val="1"/>
      <w:numFmt w:val="bullet"/>
      <w:lvlText w:val="o"/>
      <w:lvlJc w:val="left"/>
      <w:pPr>
        <w:ind w:left="3600" w:hanging="360"/>
      </w:pPr>
      <w:rPr>
        <w:rFonts w:ascii="Courier New" w:hAnsi="Courier New" w:hint="default"/>
      </w:rPr>
    </w:lvl>
    <w:lvl w:ilvl="5" w:tplc="D090D416">
      <w:start w:val="1"/>
      <w:numFmt w:val="bullet"/>
      <w:lvlText w:val=""/>
      <w:lvlJc w:val="left"/>
      <w:pPr>
        <w:ind w:left="4320" w:hanging="360"/>
      </w:pPr>
      <w:rPr>
        <w:rFonts w:ascii="Wingdings" w:hAnsi="Wingdings" w:hint="default"/>
      </w:rPr>
    </w:lvl>
    <w:lvl w:ilvl="6" w:tplc="C6F64E60">
      <w:start w:val="1"/>
      <w:numFmt w:val="bullet"/>
      <w:lvlText w:val=""/>
      <w:lvlJc w:val="left"/>
      <w:pPr>
        <w:ind w:left="5040" w:hanging="360"/>
      </w:pPr>
      <w:rPr>
        <w:rFonts w:ascii="Symbol" w:hAnsi="Symbol" w:hint="default"/>
      </w:rPr>
    </w:lvl>
    <w:lvl w:ilvl="7" w:tplc="40F66C10">
      <w:start w:val="1"/>
      <w:numFmt w:val="bullet"/>
      <w:lvlText w:val="o"/>
      <w:lvlJc w:val="left"/>
      <w:pPr>
        <w:ind w:left="5760" w:hanging="360"/>
      </w:pPr>
      <w:rPr>
        <w:rFonts w:ascii="Courier New" w:hAnsi="Courier New" w:hint="default"/>
      </w:rPr>
    </w:lvl>
    <w:lvl w:ilvl="8" w:tplc="3EB05E98">
      <w:start w:val="1"/>
      <w:numFmt w:val="bullet"/>
      <w:lvlText w:val=""/>
      <w:lvlJc w:val="left"/>
      <w:pPr>
        <w:ind w:left="6480" w:hanging="360"/>
      </w:pPr>
      <w:rPr>
        <w:rFonts w:ascii="Wingdings" w:hAnsi="Wingdings" w:hint="default"/>
      </w:rPr>
    </w:lvl>
  </w:abstractNum>
  <w:abstractNum w:abstractNumId="188" w15:restartNumberingAfterBreak="0">
    <w:nsid w:val="67045AA4"/>
    <w:multiLevelType w:val="hybridMultilevel"/>
    <w:tmpl w:val="FE326594"/>
    <w:lvl w:ilvl="0" w:tplc="040C0017">
      <w:start w:val="1"/>
      <w:numFmt w:val="low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89" w15:restartNumberingAfterBreak="0">
    <w:nsid w:val="672C3D90"/>
    <w:multiLevelType w:val="hybridMultilevel"/>
    <w:tmpl w:val="FA507458"/>
    <w:lvl w:ilvl="0" w:tplc="08090001">
      <w:start w:val="1"/>
      <w:numFmt w:val="bullet"/>
      <w:lvlText w:val=""/>
      <w:lvlJc w:val="left"/>
      <w:pPr>
        <w:ind w:left="1428" w:hanging="360"/>
      </w:pPr>
      <w:rPr>
        <w:rFonts w:ascii="Symbol" w:hAnsi="Symbol" w:hint="default"/>
      </w:rPr>
    </w:lvl>
    <w:lvl w:ilvl="1" w:tplc="08090003" w:tentative="1">
      <w:start w:val="1"/>
      <w:numFmt w:val="bullet"/>
      <w:lvlText w:val="o"/>
      <w:lvlJc w:val="left"/>
      <w:pPr>
        <w:ind w:left="2148" w:hanging="360"/>
      </w:pPr>
      <w:rPr>
        <w:rFonts w:ascii="Courier New" w:hAnsi="Courier New" w:cs="Courier New" w:hint="default"/>
      </w:rPr>
    </w:lvl>
    <w:lvl w:ilvl="2" w:tplc="08090005" w:tentative="1">
      <w:start w:val="1"/>
      <w:numFmt w:val="bullet"/>
      <w:lvlText w:val=""/>
      <w:lvlJc w:val="left"/>
      <w:pPr>
        <w:ind w:left="2868" w:hanging="360"/>
      </w:pPr>
      <w:rPr>
        <w:rFonts w:ascii="Wingdings" w:hAnsi="Wingdings" w:hint="default"/>
      </w:rPr>
    </w:lvl>
    <w:lvl w:ilvl="3" w:tplc="08090001" w:tentative="1">
      <w:start w:val="1"/>
      <w:numFmt w:val="bullet"/>
      <w:lvlText w:val=""/>
      <w:lvlJc w:val="left"/>
      <w:pPr>
        <w:ind w:left="3588" w:hanging="360"/>
      </w:pPr>
      <w:rPr>
        <w:rFonts w:ascii="Symbol" w:hAnsi="Symbol" w:hint="default"/>
      </w:rPr>
    </w:lvl>
    <w:lvl w:ilvl="4" w:tplc="08090003" w:tentative="1">
      <w:start w:val="1"/>
      <w:numFmt w:val="bullet"/>
      <w:lvlText w:val="o"/>
      <w:lvlJc w:val="left"/>
      <w:pPr>
        <w:ind w:left="4308" w:hanging="360"/>
      </w:pPr>
      <w:rPr>
        <w:rFonts w:ascii="Courier New" w:hAnsi="Courier New" w:cs="Courier New" w:hint="default"/>
      </w:rPr>
    </w:lvl>
    <w:lvl w:ilvl="5" w:tplc="08090005" w:tentative="1">
      <w:start w:val="1"/>
      <w:numFmt w:val="bullet"/>
      <w:lvlText w:val=""/>
      <w:lvlJc w:val="left"/>
      <w:pPr>
        <w:ind w:left="5028" w:hanging="360"/>
      </w:pPr>
      <w:rPr>
        <w:rFonts w:ascii="Wingdings" w:hAnsi="Wingdings" w:hint="default"/>
      </w:rPr>
    </w:lvl>
    <w:lvl w:ilvl="6" w:tplc="08090001" w:tentative="1">
      <w:start w:val="1"/>
      <w:numFmt w:val="bullet"/>
      <w:lvlText w:val=""/>
      <w:lvlJc w:val="left"/>
      <w:pPr>
        <w:ind w:left="5748" w:hanging="360"/>
      </w:pPr>
      <w:rPr>
        <w:rFonts w:ascii="Symbol" w:hAnsi="Symbol" w:hint="default"/>
      </w:rPr>
    </w:lvl>
    <w:lvl w:ilvl="7" w:tplc="08090003" w:tentative="1">
      <w:start w:val="1"/>
      <w:numFmt w:val="bullet"/>
      <w:lvlText w:val="o"/>
      <w:lvlJc w:val="left"/>
      <w:pPr>
        <w:ind w:left="6468" w:hanging="360"/>
      </w:pPr>
      <w:rPr>
        <w:rFonts w:ascii="Courier New" w:hAnsi="Courier New" w:cs="Courier New" w:hint="default"/>
      </w:rPr>
    </w:lvl>
    <w:lvl w:ilvl="8" w:tplc="08090005" w:tentative="1">
      <w:start w:val="1"/>
      <w:numFmt w:val="bullet"/>
      <w:lvlText w:val=""/>
      <w:lvlJc w:val="left"/>
      <w:pPr>
        <w:ind w:left="7188" w:hanging="360"/>
      </w:pPr>
      <w:rPr>
        <w:rFonts w:ascii="Wingdings" w:hAnsi="Wingdings" w:hint="default"/>
      </w:rPr>
    </w:lvl>
  </w:abstractNum>
  <w:abstractNum w:abstractNumId="190" w15:restartNumberingAfterBreak="0">
    <w:nsid w:val="67A85384"/>
    <w:multiLevelType w:val="hybridMultilevel"/>
    <w:tmpl w:val="FFFFFFFF"/>
    <w:lvl w:ilvl="0" w:tplc="7F426448">
      <w:start w:val="1"/>
      <w:numFmt w:val="bullet"/>
      <w:lvlText w:val="·"/>
      <w:lvlJc w:val="left"/>
      <w:pPr>
        <w:ind w:left="720" w:hanging="360"/>
      </w:pPr>
      <w:rPr>
        <w:rFonts w:ascii="Symbol" w:hAnsi="Symbol" w:hint="default"/>
      </w:rPr>
    </w:lvl>
    <w:lvl w:ilvl="1" w:tplc="ABE06104">
      <w:start w:val="1"/>
      <w:numFmt w:val="bullet"/>
      <w:lvlText w:val="o"/>
      <w:lvlJc w:val="left"/>
      <w:pPr>
        <w:ind w:left="1440" w:hanging="360"/>
      </w:pPr>
      <w:rPr>
        <w:rFonts w:ascii="Courier New" w:hAnsi="Courier New" w:hint="default"/>
      </w:rPr>
    </w:lvl>
    <w:lvl w:ilvl="2" w:tplc="2E9A1BB2">
      <w:start w:val="1"/>
      <w:numFmt w:val="bullet"/>
      <w:lvlText w:val=""/>
      <w:lvlJc w:val="left"/>
      <w:pPr>
        <w:ind w:left="2160" w:hanging="360"/>
      </w:pPr>
      <w:rPr>
        <w:rFonts w:ascii="Wingdings" w:hAnsi="Wingdings" w:hint="default"/>
      </w:rPr>
    </w:lvl>
    <w:lvl w:ilvl="3" w:tplc="D674A232">
      <w:start w:val="1"/>
      <w:numFmt w:val="bullet"/>
      <w:lvlText w:val=""/>
      <w:lvlJc w:val="left"/>
      <w:pPr>
        <w:ind w:left="2880" w:hanging="360"/>
      </w:pPr>
      <w:rPr>
        <w:rFonts w:ascii="Symbol" w:hAnsi="Symbol" w:hint="default"/>
      </w:rPr>
    </w:lvl>
    <w:lvl w:ilvl="4" w:tplc="C832CA3A">
      <w:start w:val="1"/>
      <w:numFmt w:val="bullet"/>
      <w:lvlText w:val="o"/>
      <w:lvlJc w:val="left"/>
      <w:pPr>
        <w:ind w:left="3600" w:hanging="360"/>
      </w:pPr>
      <w:rPr>
        <w:rFonts w:ascii="Courier New" w:hAnsi="Courier New" w:hint="default"/>
      </w:rPr>
    </w:lvl>
    <w:lvl w:ilvl="5" w:tplc="C6842834">
      <w:start w:val="1"/>
      <w:numFmt w:val="bullet"/>
      <w:lvlText w:val=""/>
      <w:lvlJc w:val="left"/>
      <w:pPr>
        <w:ind w:left="4320" w:hanging="360"/>
      </w:pPr>
      <w:rPr>
        <w:rFonts w:ascii="Wingdings" w:hAnsi="Wingdings" w:hint="default"/>
      </w:rPr>
    </w:lvl>
    <w:lvl w:ilvl="6" w:tplc="CD54CCD4">
      <w:start w:val="1"/>
      <w:numFmt w:val="bullet"/>
      <w:lvlText w:val=""/>
      <w:lvlJc w:val="left"/>
      <w:pPr>
        <w:ind w:left="5040" w:hanging="360"/>
      </w:pPr>
      <w:rPr>
        <w:rFonts w:ascii="Symbol" w:hAnsi="Symbol" w:hint="default"/>
      </w:rPr>
    </w:lvl>
    <w:lvl w:ilvl="7" w:tplc="8D44EEBE">
      <w:start w:val="1"/>
      <w:numFmt w:val="bullet"/>
      <w:lvlText w:val="o"/>
      <w:lvlJc w:val="left"/>
      <w:pPr>
        <w:ind w:left="5760" w:hanging="360"/>
      </w:pPr>
      <w:rPr>
        <w:rFonts w:ascii="Courier New" w:hAnsi="Courier New" w:hint="default"/>
      </w:rPr>
    </w:lvl>
    <w:lvl w:ilvl="8" w:tplc="A0A09D2A">
      <w:start w:val="1"/>
      <w:numFmt w:val="bullet"/>
      <w:lvlText w:val=""/>
      <w:lvlJc w:val="left"/>
      <w:pPr>
        <w:ind w:left="6480" w:hanging="360"/>
      </w:pPr>
      <w:rPr>
        <w:rFonts w:ascii="Wingdings" w:hAnsi="Wingdings" w:hint="default"/>
      </w:rPr>
    </w:lvl>
  </w:abstractNum>
  <w:abstractNum w:abstractNumId="191" w15:restartNumberingAfterBreak="0">
    <w:nsid w:val="67C006A5"/>
    <w:multiLevelType w:val="hybridMultilevel"/>
    <w:tmpl w:val="B73053C6"/>
    <w:lvl w:ilvl="0" w:tplc="6304ED5E">
      <w:start w:val="1"/>
      <w:numFmt w:val="decimal"/>
      <w:lvlText w:val="(%1)"/>
      <w:lvlJc w:val="right"/>
      <w:pPr>
        <w:ind w:left="1074" w:hanging="360"/>
      </w:pPr>
      <w:rPr>
        <w:rFonts w:hint="default"/>
      </w:rPr>
    </w:lvl>
    <w:lvl w:ilvl="1" w:tplc="0809001B">
      <w:start w:val="1"/>
      <w:numFmt w:val="lowerRoman"/>
      <w:lvlText w:val="%2."/>
      <w:lvlJc w:val="right"/>
      <w:pPr>
        <w:ind w:left="1794" w:hanging="360"/>
      </w:pPr>
    </w:lvl>
    <w:lvl w:ilvl="2" w:tplc="805CBA54">
      <w:start w:val="45"/>
      <w:numFmt w:val="decimal"/>
      <w:lvlText w:val="%3)"/>
      <w:lvlJc w:val="left"/>
      <w:pPr>
        <w:ind w:left="2694" w:hanging="360"/>
      </w:pPr>
      <w:rPr>
        <w:rFonts w:eastAsia="MS Mincho" w:hint="default"/>
        <w:color w:val="auto"/>
      </w:rPr>
    </w:lvl>
    <w:lvl w:ilvl="3" w:tplc="343C732C">
      <w:start w:val="1"/>
      <w:numFmt w:val="lowerRoman"/>
      <w:lvlText w:val="(%4)"/>
      <w:lvlJc w:val="left"/>
      <w:pPr>
        <w:ind w:left="3594" w:hanging="720"/>
      </w:pPr>
      <w:rPr>
        <w:rFonts w:hint="default"/>
      </w:rPr>
    </w:lvl>
    <w:lvl w:ilvl="4" w:tplc="08090019">
      <w:start w:val="1"/>
      <w:numFmt w:val="lowerLetter"/>
      <w:lvlText w:val="%5."/>
      <w:lvlJc w:val="left"/>
      <w:pPr>
        <w:ind w:left="3954" w:hanging="360"/>
      </w:pPr>
    </w:lvl>
    <w:lvl w:ilvl="5" w:tplc="0809001B" w:tentative="1">
      <w:start w:val="1"/>
      <w:numFmt w:val="lowerRoman"/>
      <w:lvlText w:val="%6."/>
      <w:lvlJc w:val="right"/>
      <w:pPr>
        <w:ind w:left="4674" w:hanging="180"/>
      </w:pPr>
    </w:lvl>
    <w:lvl w:ilvl="6" w:tplc="0809000F" w:tentative="1">
      <w:start w:val="1"/>
      <w:numFmt w:val="decimal"/>
      <w:lvlText w:val="%7."/>
      <w:lvlJc w:val="left"/>
      <w:pPr>
        <w:ind w:left="5394" w:hanging="360"/>
      </w:pPr>
    </w:lvl>
    <w:lvl w:ilvl="7" w:tplc="08090019" w:tentative="1">
      <w:start w:val="1"/>
      <w:numFmt w:val="lowerLetter"/>
      <w:lvlText w:val="%8."/>
      <w:lvlJc w:val="left"/>
      <w:pPr>
        <w:ind w:left="6114" w:hanging="360"/>
      </w:pPr>
    </w:lvl>
    <w:lvl w:ilvl="8" w:tplc="0809001B" w:tentative="1">
      <w:start w:val="1"/>
      <w:numFmt w:val="lowerRoman"/>
      <w:lvlText w:val="%9."/>
      <w:lvlJc w:val="right"/>
      <w:pPr>
        <w:ind w:left="6834" w:hanging="180"/>
      </w:pPr>
    </w:lvl>
  </w:abstractNum>
  <w:abstractNum w:abstractNumId="192" w15:restartNumberingAfterBreak="0">
    <w:nsid w:val="68042957"/>
    <w:multiLevelType w:val="hybridMultilevel"/>
    <w:tmpl w:val="E064F45E"/>
    <w:lvl w:ilvl="0" w:tplc="5DE487A8">
      <w:start w:val="57"/>
      <w:numFmt w:val="decimal"/>
      <w:lvlText w:val="%1"/>
      <w:lvlJc w:val="left"/>
      <w:pPr>
        <w:ind w:left="720" w:hanging="360"/>
      </w:pPr>
      <w:rPr>
        <w:rFonts w:eastAsia="MS Mincho"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3" w15:restartNumberingAfterBreak="0">
    <w:nsid w:val="68E30A57"/>
    <w:multiLevelType w:val="hybridMultilevel"/>
    <w:tmpl w:val="951021D0"/>
    <w:lvl w:ilvl="0" w:tplc="08AAAA54">
      <w:start w:val="1"/>
      <w:numFmt w:val="bullet"/>
      <w:lvlText w:val="·"/>
      <w:lvlJc w:val="left"/>
      <w:pPr>
        <w:ind w:left="720" w:hanging="360"/>
      </w:pPr>
    </w:lvl>
    <w:lvl w:ilvl="1" w:tplc="08090001">
      <w:start w:val="1"/>
      <w:numFmt w:val="bullet"/>
      <w:lvlText w:val=""/>
      <w:lvlJc w:val="left"/>
      <w:pPr>
        <w:ind w:left="1440" w:hanging="360"/>
      </w:pPr>
      <w:rPr>
        <w:rFonts w:ascii="Symbol" w:hAnsi="Symbol" w:hint="default"/>
      </w:rPr>
    </w:lvl>
    <w:lvl w:ilvl="2" w:tplc="F32A256C">
      <w:start w:val="1"/>
      <w:numFmt w:val="lowerRoman"/>
      <w:lvlText w:val="%3."/>
      <w:lvlJc w:val="right"/>
      <w:pPr>
        <w:ind w:left="2160" w:hanging="180"/>
      </w:pPr>
    </w:lvl>
    <w:lvl w:ilvl="3" w:tplc="E4646F38">
      <w:start w:val="1"/>
      <w:numFmt w:val="decimal"/>
      <w:lvlText w:val="%4."/>
      <w:lvlJc w:val="left"/>
      <w:pPr>
        <w:ind w:left="2880" w:hanging="360"/>
      </w:pPr>
    </w:lvl>
    <w:lvl w:ilvl="4" w:tplc="48BCA9D2">
      <w:start w:val="1"/>
      <w:numFmt w:val="lowerLetter"/>
      <w:lvlText w:val="%5."/>
      <w:lvlJc w:val="left"/>
      <w:pPr>
        <w:ind w:left="3600" w:hanging="360"/>
      </w:pPr>
    </w:lvl>
    <w:lvl w:ilvl="5" w:tplc="6BAACC24">
      <w:start w:val="1"/>
      <w:numFmt w:val="lowerRoman"/>
      <w:lvlText w:val="%6."/>
      <w:lvlJc w:val="right"/>
      <w:pPr>
        <w:ind w:left="4320" w:hanging="180"/>
      </w:pPr>
    </w:lvl>
    <w:lvl w:ilvl="6" w:tplc="276EF0A8">
      <w:start w:val="1"/>
      <w:numFmt w:val="decimal"/>
      <w:lvlText w:val="%7."/>
      <w:lvlJc w:val="left"/>
      <w:pPr>
        <w:ind w:left="5040" w:hanging="360"/>
      </w:pPr>
    </w:lvl>
    <w:lvl w:ilvl="7" w:tplc="E550DE5C">
      <w:start w:val="1"/>
      <w:numFmt w:val="lowerLetter"/>
      <w:lvlText w:val="%8."/>
      <w:lvlJc w:val="left"/>
      <w:pPr>
        <w:ind w:left="5760" w:hanging="360"/>
      </w:pPr>
    </w:lvl>
    <w:lvl w:ilvl="8" w:tplc="E83A813E">
      <w:start w:val="1"/>
      <w:numFmt w:val="lowerRoman"/>
      <w:lvlText w:val="%9."/>
      <w:lvlJc w:val="right"/>
      <w:pPr>
        <w:ind w:left="6480" w:hanging="180"/>
      </w:pPr>
    </w:lvl>
  </w:abstractNum>
  <w:abstractNum w:abstractNumId="194" w15:restartNumberingAfterBreak="0">
    <w:nsid w:val="690A652A"/>
    <w:multiLevelType w:val="hybridMultilevel"/>
    <w:tmpl w:val="FFFFFFFF"/>
    <w:lvl w:ilvl="0" w:tplc="B594A394">
      <w:start w:val="1"/>
      <w:numFmt w:val="decimal"/>
      <w:lvlText w:val="%1."/>
      <w:lvlJc w:val="left"/>
      <w:pPr>
        <w:ind w:left="720" w:hanging="360"/>
      </w:pPr>
    </w:lvl>
    <w:lvl w:ilvl="1" w:tplc="D9A4EDE4">
      <w:start w:val="1"/>
      <w:numFmt w:val="lowerLetter"/>
      <w:lvlText w:val="%2."/>
      <w:lvlJc w:val="left"/>
      <w:pPr>
        <w:ind w:left="1440" w:hanging="360"/>
      </w:pPr>
    </w:lvl>
    <w:lvl w:ilvl="2" w:tplc="069831A2">
      <w:start w:val="1"/>
      <w:numFmt w:val="lowerRoman"/>
      <w:lvlText w:val="%3."/>
      <w:lvlJc w:val="right"/>
      <w:pPr>
        <w:ind w:left="2160" w:hanging="180"/>
      </w:pPr>
    </w:lvl>
    <w:lvl w:ilvl="3" w:tplc="90F20FF4">
      <w:start w:val="1"/>
      <w:numFmt w:val="decimal"/>
      <w:lvlText w:val="%4."/>
      <w:lvlJc w:val="left"/>
      <w:pPr>
        <w:ind w:left="2880" w:hanging="360"/>
      </w:pPr>
    </w:lvl>
    <w:lvl w:ilvl="4" w:tplc="4418DAA4">
      <w:start w:val="1"/>
      <w:numFmt w:val="lowerLetter"/>
      <w:lvlText w:val="%5."/>
      <w:lvlJc w:val="left"/>
      <w:pPr>
        <w:ind w:left="3600" w:hanging="360"/>
      </w:pPr>
    </w:lvl>
    <w:lvl w:ilvl="5" w:tplc="7D968528">
      <w:start w:val="1"/>
      <w:numFmt w:val="lowerRoman"/>
      <w:lvlText w:val="%6."/>
      <w:lvlJc w:val="right"/>
      <w:pPr>
        <w:ind w:left="4320" w:hanging="180"/>
      </w:pPr>
    </w:lvl>
    <w:lvl w:ilvl="6" w:tplc="D980AA92">
      <w:start w:val="1"/>
      <w:numFmt w:val="decimal"/>
      <w:lvlText w:val="%7."/>
      <w:lvlJc w:val="left"/>
      <w:pPr>
        <w:ind w:left="5040" w:hanging="360"/>
      </w:pPr>
    </w:lvl>
    <w:lvl w:ilvl="7" w:tplc="438807A2">
      <w:start w:val="1"/>
      <w:numFmt w:val="lowerLetter"/>
      <w:lvlText w:val="%8."/>
      <w:lvlJc w:val="left"/>
      <w:pPr>
        <w:ind w:left="5760" w:hanging="360"/>
      </w:pPr>
    </w:lvl>
    <w:lvl w:ilvl="8" w:tplc="5052F44C">
      <w:start w:val="1"/>
      <w:numFmt w:val="lowerRoman"/>
      <w:lvlText w:val="%9."/>
      <w:lvlJc w:val="right"/>
      <w:pPr>
        <w:ind w:left="6480" w:hanging="180"/>
      </w:pPr>
    </w:lvl>
  </w:abstractNum>
  <w:abstractNum w:abstractNumId="195" w15:restartNumberingAfterBreak="0">
    <w:nsid w:val="6A9A58EE"/>
    <w:multiLevelType w:val="hybridMultilevel"/>
    <w:tmpl w:val="E332AB52"/>
    <w:lvl w:ilvl="0" w:tplc="08090001">
      <w:start w:val="1"/>
      <w:numFmt w:val="bullet"/>
      <w:lvlText w:val=""/>
      <w:lvlJc w:val="left"/>
      <w:pPr>
        <w:ind w:left="805" w:hanging="360"/>
      </w:pPr>
      <w:rPr>
        <w:rFonts w:ascii="Symbol" w:hAnsi="Symbol" w:hint="default"/>
      </w:rPr>
    </w:lvl>
    <w:lvl w:ilvl="1" w:tplc="08090003" w:tentative="1">
      <w:start w:val="1"/>
      <w:numFmt w:val="bullet"/>
      <w:lvlText w:val="o"/>
      <w:lvlJc w:val="left"/>
      <w:pPr>
        <w:ind w:left="1525" w:hanging="360"/>
      </w:pPr>
      <w:rPr>
        <w:rFonts w:ascii="Courier New" w:hAnsi="Courier New" w:cs="Courier New" w:hint="default"/>
      </w:rPr>
    </w:lvl>
    <w:lvl w:ilvl="2" w:tplc="08090005" w:tentative="1">
      <w:start w:val="1"/>
      <w:numFmt w:val="bullet"/>
      <w:lvlText w:val=""/>
      <w:lvlJc w:val="left"/>
      <w:pPr>
        <w:ind w:left="2245" w:hanging="360"/>
      </w:pPr>
      <w:rPr>
        <w:rFonts w:ascii="Wingdings" w:hAnsi="Wingdings" w:hint="default"/>
      </w:rPr>
    </w:lvl>
    <w:lvl w:ilvl="3" w:tplc="08090001" w:tentative="1">
      <w:start w:val="1"/>
      <w:numFmt w:val="bullet"/>
      <w:lvlText w:val=""/>
      <w:lvlJc w:val="left"/>
      <w:pPr>
        <w:ind w:left="2965" w:hanging="360"/>
      </w:pPr>
      <w:rPr>
        <w:rFonts w:ascii="Symbol" w:hAnsi="Symbol" w:hint="default"/>
      </w:rPr>
    </w:lvl>
    <w:lvl w:ilvl="4" w:tplc="08090003" w:tentative="1">
      <w:start w:val="1"/>
      <w:numFmt w:val="bullet"/>
      <w:lvlText w:val="o"/>
      <w:lvlJc w:val="left"/>
      <w:pPr>
        <w:ind w:left="3685" w:hanging="360"/>
      </w:pPr>
      <w:rPr>
        <w:rFonts w:ascii="Courier New" w:hAnsi="Courier New" w:cs="Courier New" w:hint="default"/>
      </w:rPr>
    </w:lvl>
    <w:lvl w:ilvl="5" w:tplc="08090005" w:tentative="1">
      <w:start w:val="1"/>
      <w:numFmt w:val="bullet"/>
      <w:lvlText w:val=""/>
      <w:lvlJc w:val="left"/>
      <w:pPr>
        <w:ind w:left="4405" w:hanging="360"/>
      </w:pPr>
      <w:rPr>
        <w:rFonts w:ascii="Wingdings" w:hAnsi="Wingdings" w:hint="default"/>
      </w:rPr>
    </w:lvl>
    <w:lvl w:ilvl="6" w:tplc="08090001" w:tentative="1">
      <w:start w:val="1"/>
      <w:numFmt w:val="bullet"/>
      <w:lvlText w:val=""/>
      <w:lvlJc w:val="left"/>
      <w:pPr>
        <w:ind w:left="5125" w:hanging="360"/>
      </w:pPr>
      <w:rPr>
        <w:rFonts w:ascii="Symbol" w:hAnsi="Symbol" w:hint="default"/>
      </w:rPr>
    </w:lvl>
    <w:lvl w:ilvl="7" w:tplc="08090003" w:tentative="1">
      <w:start w:val="1"/>
      <w:numFmt w:val="bullet"/>
      <w:lvlText w:val="o"/>
      <w:lvlJc w:val="left"/>
      <w:pPr>
        <w:ind w:left="5845" w:hanging="360"/>
      </w:pPr>
      <w:rPr>
        <w:rFonts w:ascii="Courier New" w:hAnsi="Courier New" w:cs="Courier New" w:hint="default"/>
      </w:rPr>
    </w:lvl>
    <w:lvl w:ilvl="8" w:tplc="08090005" w:tentative="1">
      <w:start w:val="1"/>
      <w:numFmt w:val="bullet"/>
      <w:lvlText w:val=""/>
      <w:lvlJc w:val="left"/>
      <w:pPr>
        <w:ind w:left="6565" w:hanging="360"/>
      </w:pPr>
      <w:rPr>
        <w:rFonts w:ascii="Wingdings" w:hAnsi="Wingdings" w:hint="default"/>
      </w:rPr>
    </w:lvl>
  </w:abstractNum>
  <w:abstractNum w:abstractNumId="196" w15:restartNumberingAfterBreak="0">
    <w:nsid w:val="6B416C67"/>
    <w:multiLevelType w:val="hybridMultilevel"/>
    <w:tmpl w:val="FFFFFFFF"/>
    <w:lvl w:ilvl="0" w:tplc="D0B09374">
      <w:start w:val="1"/>
      <w:numFmt w:val="bullet"/>
      <w:lvlText w:val="·"/>
      <w:lvlJc w:val="left"/>
      <w:pPr>
        <w:ind w:left="720" w:hanging="360"/>
      </w:pPr>
      <w:rPr>
        <w:rFonts w:ascii="Symbol" w:hAnsi="Symbol" w:hint="default"/>
      </w:rPr>
    </w:lvl>
    <w:lvl w:ilvl="1" w:tplc="3E2ED156">
      <w:start w:val="1"/>
      <w:numFmt w:val="decimal"/>
      <w:lvlText w:val="%2."/>
      <w:lvlJc w:val="left"/>
      <w:pPr>
        <w:ind w:left="1440" w:hanging="360"/>
      </w:pPr>
      <w:rPr>
        <w:rFonts w:hint="default"/>
      </w:rPr>
    </w:lvl>
    <w:lvl w:ilvl="2" w:tplc="7B90A510">
      <w:start w:val="1"/>
      <w:numFmt w:val="bullet"/>
      <w:lvlText w:val=""/>
      <w:lvlJc w:val="left"/>
      <w:pPr>
        <w:ind w:left="2160" w:hanging="360"/>
      </w:pPr>
      <w:rPr>
        <w:rFonts w:ascii="Wingdings" w:hAnsi="Wingdings" w:hint="default"/>
      </w:rPr>
    </w:lvl>
    <w:lvl w:ilvl="3" w:tplc="E6D61F0A">
      <w:start w:val="1"/>
      <w:numFmt w:val="bullet"/>
      <w:lvlText w:val=""/>
      <w:lvlJc w:val="left"/>
      <w:pPr>
        <w:ind w:left="2880" w:hanging="360"/>
      </w:pPr>
      <w:rPr>
        <w:rFonts w:ascii="Symbol" w:hAnsi="Symbol" w:hint="default"/>
      </w:rPr>
    </w:lvl>
    <w:lvl w:ilvl="4" w:tplc="3CA4BAEA">
      <w:start w:val="1"/>
      <w:numFmt w:val="bullet"/>
      <w:lvlText w:val="o"/>
      <w:lvlJc w:val="left"/>
      <w:pPr>
        <w:ind w:left="3600" w:hanging="360"/>
      </w:pPr>
      <w:rPr>
        <w:rFonts w:ascii="Courier New" w:hAnsi="Courier New" w:hint="default"/>
      </w:rPr>
    </w:lvl>
    <w:lvl w:ilvl="5" w:tplc="332A4AF8">
      <w:start w:val="1"/>
      <w:numFmt w:val="bullet"/>
      <w:lvlText w:val=""/>
      <w:lvlJc w:val="left"/>
      <w:pPr>
        <w:ind w:left="4320" w:hanging="360"/>
      </w:pPr>
      <w:rPr>
        <w:rFonts w:ascii="Wingdings" w:hAnsi="Wingdings" w:hint="default"/>
      </w:rPr>
    </w:lvl>
    <w:lvl w:ilvl="6" w:tplc="94004B88">
      <w:start w:val="1"/>
      <w:numFmt w:val="bullet"/>
      <w:lvlText w:val=""/>
      <w:lvlJc w:val="left"/>
      <w:pPr>
        <w:ind w:left="5040" w:hanging="360"/>
      </w:pPr>
      <w:rPr>
        <w:rFonts w:ascii="Symbol" w:hAnsi="Symbol" w:hint="default"/>
      </w:rPr>
    </w:lvl>
    <w:lvl w:ilvl="7" w:tplc="2D822F44">
      <w:start w:val="1"/>
      <w:numFmt w:val="bullet"/>
      <w:lvlText w:val="o"/>
      <w:lvlJc w:val="left"/>
      <w:pPr>
        <w:ind w:left="5760" w:hanging="360"/>
      </w:pPr>
      <w:rPr>
        <w:rFonts w:ascii="Courier New" w:hAnsi="Courier New" w:hint="default"/>
      </w:rPr>
    </w:lvl>
    <w:lvl w:ilvl="8" w:tplc="CE0ACBF2">
      <w:start w:val="1"/>
      <w:numFmt w:val="bullet"/>
      <w:lvlText w:val=""/>
      <w:lvlJc w:val="left"/>
      <w:pPr>
        <w:ind w:left="6480" w:hanging="360"/>
      </w:pPr>
      <w:rPr>
        <w:rFonts w:ascii="Wingdings" w:hAnsi="Wingdings" w:hint="default"/>
      </w:rPr>
    </w:lvl>
  </w:abstractNum>
  <w:abstractNum w:abstractNumId="197" w15:restartNumberingAfterBreak="0">
    <w:nsid w:val="6BC535BB"/>
    <w:multiLevelType w:val="hybridMultilevel"/>
    <w:tmpl w:val="DBF049AA"/>
    <w:lvl w:ilvl="0" w:tplc="7D5EEB9C">
      <w:start w:val="1"/>
      <w:numFmt w:val="lowerRoman"/>
      <w:lvlText w:val="(%1)"/>
      <w:lvlJc w:val="left"/>
      <w:pPr>
        <w:ind w:left="753" w:hanging="720"/>
      </w:pPr>
      <w:rPr>
        <w:rFonts w:hint="default"/>
      </w:rPr>
    </w:lvl>
    <w:lvl w:ilvl="1" w:tplc="08090019" w:tentative="1">
      <w:start w:val="1"/>
      <w:numFmt w:val="lowerLetter"/>
      <w:lvlText w:val="%2."/>
      <w:lvlJc w:val="left"/>
      <w:pPr>
        <w:ind w:left="1113" w:hanging="360"/>
      </w:pPr>
    </w:lvl>
    <w:lvl w:ilvl="2" w:tplc="0809001B" w:tentative="1">
      <w:start w:val="1"/>
      <w:numFmt w:val="lowerRoman"/>
      <w:lvlText w:val="%3."/>
      <w:lvlJc w:val="right"/>
      <w:pPr>
        <w:ind w:left="1833" w:hanging="180"/>
      </w:pPr>
    </w:lvl>
    <w:lvl w:ilvl="3" w:tplc="0809000F" w:tentative="1">
      <w:start w:val="1"/>
      <w:numFmt w:val="decimal"/>
      <w:lvlText w:val="%4."/>
      <w:lvlJc w:val="left"/>
      <w:pPr>
        <w:ind w:left="2553" w:hanging="360"/>
      </w:pPr>
    </w:lvl>
    <w:lvl w:ilvl="4" w:tplc="08090019" w:tentative="1">
      <w:start w:val="1"/>
      <w:numFmt w:val="lowerLetter"/>
      <w:lvlText w:val="%5."/>
      <w:lvlJc w:val="left"/>
      <w:pPr>
        <w:ind w:left="3273" w:hanging="360"/>
      </w:pPr>
    </w:lvl>
    <w:lvl w:ilvl="5" w:tplc="0809001B" w:tentative="1">
      <w:start w:val="1"/>
      <w:numFmt w:val="lowerRoman"/>
      <w:lvlText w:val="%6."/>
      <w:lvlJc w:val="right"/>
      <w:pPr>
        <w:ind w:left="3993" w:hanging="180"/>
      </w:pPr>
    </w:lvl>
    <w:lvl w:ilvl="6" w:tplc="0809000F" w:tentative="1">
      <w:start w:val="1"/>
      <w:numFmt w:val="decimal"/>
      <w:lvlText w:val="%7."/>
      <w:lvlJc w:val="left"/>
      <w:pPr>
        <w:ind w:left="4713" w:hanging="360"/>
      </w:pPr>
    </w:lvl>
    <w:lvl w:ilvl="7" w:tplc="08090019" w:tentative="1">
      <w:start w:val="1"/>
      <w:numFmt w:val="lowerLetter"/>
      <w:lvlText w:val="%8."/>
      <w:lvlJc w:val="left"/>
      <w:pPr>
        <w:ind w:left="5433" w:hanging="360"/>
      </w:pPr>
    </w:lvl>
    <w:lvl w:ilvl="8" w:tplc="0809001B" w:tentative="1">
      <w:start w:val="1"/>
      <w:numFmt w:val="lowerRoman"/>
      <w:lvlText w:val="%9."/>
      <w:lvlJc w:val="right"/>
      <w:pPr>
        <w:ind w:left="6153" w:hanging="180"/>
      </w:pPr>
    </w:lvl>
  </w:abstractNum>
  <w:abstractNum w:abstractNumId="198" w15:restartNumberingAfterBreak="0">
    <w:nsid w:val="6BCD57BB"/>
    <w:multiLevelType w:val="multilevel"/>
    <w:tmpl w:val="6FBE688C"/>
    <w:lvl w:ilvl="0">
      <w:start w:val="1"/>
      <w:numFmt w:val="upperRoman"/>
      <w:lvlText w:val="%1."/>
      <w:lvlJc w:val="left"/>
      <w:pPr>
        <w:ind w:left="0" w:firstLine="0"/>
      </w:pPr>
    </w:lvl>
    <w:lvl w:ilvl="1">
      <w:start w:val="1"/>
      <w:numFmt w:val="decimal"/>
      <w:lvlText w:val="%1.%2"/>
      <w:lvlJc w:val="left"/>
      <w:pPr>
        <w:ind w:left="0" w:firstLine="0"/>
      </w:pPr>
    </w:lvl>
    <w:lvl w:ilvl="2">
      <w:start w:val="1"/>
      <w:numFmt w:val="decimal"/>
      <w:pStyle w:val="Instructionsberschrift3"/>
      <w:lvlText w:val="%1.%2.%3"/>
      <w:lvlJc w:val="left"/>
      <w:pPr>
        <w:ind w:left="720" w:hanging="432"/>
      </w:pPr>
      <w:rPr>
        <w:b w:val="0"/>
      </w:r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99" w15:restartNumberingAfterBreak="0">
    <w:nsid w:val="6C026693"/>
    <w:multiLevelType w:val="hybridMultilevel"/>
    <w:tmpl w:val="BC685418"/>
    <w:lvl w:ilvl="0" w:tplc="A9781040">
      <w:start w:val="1"/>
      <w:numFmt w:val="bullet"/>
      <w:lvlText w:val="-"/>
      <w:lvlJc w:val="left"/>
      <w:pPr>
        <w:ind w:left="720" w:hanging="360"/>
      </w:pPr>
      <w:rPr>
        <w:rFonts w:ascii="Calibri" w:hAnsi="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0" w15:restartNumberingAfterBreak="0">
    <w:nsid w:val="6CB8133D"/>
    <w:multiLevelType w:val="hybridMultilevel"/>
    <w:tmpl w:val="9AFC1E62"/>
    <w:lvl w:ilvl="0" w:tplc="08090001">
      <w:start w:val="1"/>
      <w:numFmt w:val="bullet"/>
      <w:lvlText w:val=""/>
      <w:lvlJc w:val="left"/>
      <w:pPr>
        <w:ind w:left="1428" w:hanging="360"/>
      </w:pPr>
      <w:rPr>
        <w:rFonts w:ascii="Symbol" w:hAnsi="Symbol" w:hint="default"/>
      </w:rPr>
    </w:lvl>
    <w:lvl w:ilvl="1" w:tplc="08090003" w:tentative="1">
      <w:start w:val="1"/>
      <w:numFmt w:val="bullet"/>
      <w:lvlText w:val="o"/>
      <w:lvlJc w:val="left"/>
      <w:pPr>
        <w:ind w:left="2148" w:hanging="360"/>
      </w:pPr>
      <w:rPr>
        <w:rFonts w:ascii="Courier New" w:hAnsi="Courier New" w:cs="Courier New" w:hint="default"/>
      </w:rPr>
    </w:lvl>
    <w:lvl w:ilvl="2" w:tplc="08090005" w:tentative="1">
      <w:start w:val="1"/>
      <w:numFmt w:val="bullet"/>
      <w:lvlText w:val=""/>
      <w:lvlJc w:val="left"/>
      <w:pPr>
        <w:ind w:left="2868" w:hanging="360"/>
      </w:pPr>
      <w:rPr>
        <w:rFonts w:ascii="Wingdings" w:hAnsi="Wingdings" w:hint="default"/>
      </w:rPr>
    </w:lvl>
    <w:lvl w:ilvl="3" w:tplc="08090001" w:tentative="1">
      <w:start w:val="1"/>
      <w:numFmt w:val="bullet"/>
      <w:lvlText w:val=""/>
      <w:lvlJc w:val="left"/>
      <w:pPr>
        <w:ind w:left="3588" w:hanging="360"/>
      </w:pPr>
      <w:rPr>
        <w:rFonts w:ascii="Symbol" w:hAnsi="Symbol" w:hint="default"/>
      </w:rPr>
    </w:lvl>
    <w:lvl w:ilvl="4" w:tplc="08090003" w:tentative="1">
      <w:start w:val="1"/>
      <w:numFmt w:val="bullet"/>
      <w:lvlText w:val="o"/>
      <w:lvlJc w:val="left"/>
      <w:pPr>
        <w:ind w:left="4308" w:hanging="360"/>
      </w:pPr>
      <w:rPr>
        <w:rFonts w:ascii="Courier New" w:hAnsi="Courier New" w:cs="Courier New" w:hint="default"/>
      </w:rPr>
    </w:lvl>
    <w:lvl w:ilvl="5" w:tplc="08090005" w:tentative="1">
      <w:start w:val="1"/>
      <w:numFmt w:val="bullet"/>
      <w:lvlText w:val=""/>
      <w:lvlJc w:val="left"/>
      <w:pPr>
        <w:ind w:left="5028" w:hanging="360"/>
      </w:pPr>
      <w:rPr>
        <w:rFonts w:ascii="Wingdings" w:hAnsi="Wingdings" w:hint="default"/>
      </w:rPr>
    </w:lvl>
    <w:lvl w:ilvl="6" w:tplc="08090001" w:tentative="1">
      <w:start w:val="1"/>
      <w:numFmt w:val="bullet"/>
      <w:lvlText w:val=""/>
      <w:lvlJc w:val="left"/>
      <w:pPr>
        <w:ind w:left="5748" w:hanging="360"/>
      </w:pPr>
      <w:rPr>
        <w:rFonts w:ascii="Symbol" w:hAnsi="Symbol" w:hint="default"/>
      </w:rPr>
    </w:lvl>
    <w:lvl w:ilvl="7" w:tplc="08090003" w:tentative="1">
      <w:start w:val="1"/>
      <w:numFmt w:val="bullet"/>
      <w:lvlText w:val="o"/>
      <w:lvlJc w:val="left"/>
      <w:pPr>
        <w:ind w:left="6468" w:hanging="360"/>
      </w:pPr>
      <w:rPr>
        <w:rFonts w:ascii="Courier New" w:hAnsi="Courier New" w:cs="Courier New" w:hint="default"/>
      </w:rPr>
    </w:lvl>
    <w:lvl w:ilvl="8" w:tplc="08090005" w:tentative="1">
      <w:start w:val="1"/>
      <w:numFmt w:val="bullet"/>
      <w:lvlText w:val=""/>
      <w:lvlJc w:val="left"/>
      <w:pPr>
        <w:ind w:left="7188" w:hanging="360"/>
      </w:pPr>
      <w:rPr>
        <w:rFonts w:ascii="Wingdings" w:hAnsi="Wingdings" w:hint="default"/>
      </w:rPr>
    </w:lvl>
  </w:abstractNum>
  <w:abstractNum w:abstractNumId="201" w15:restartNumberingAfterBreak="0">
    <w:nsid w:val="6CCB754A"/>
    <w:multiLevelType w:val="multilevel"/>
    <w:tmpl w:val="BC04785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2" w15:restartNumberingAfterBreak="0">
    <w:nsid w:val="6DB451DC"/>
    <w:multiLevelType w:val="multilevel"/>
    <w:tmpl w:val="649A00FE"/>
    <w:lvl w:ilvl="0">
      <w:start w:val="1"/>
      <w:numFmt w:val="decimal"/>
      <w:lvlText w:val="%1."/>
      <w:lvlJc w:val="left"/>
      <w:pPr>
        <w:ind w:left="720" w:hanging="360"/>
      </w:pPr>
      <w:rPr>
        <w:i w:val="0"/>
      </w:rPr>
    </w:lvl>
    <w:lvl w:ilvl="1">
      <w:start w:val="1"/>
      <w:numFmt w:val="decimal"/>
      <w:isLgl/>
      <w:lvlText w:val="%1.%2"/>
      <w:lvlJc w:val="left"/>
      <w:pPr>
        <w:ind w:left="1080" w:hanging="720"/>
      </w:pPr>
      <w:rPr>
        <w:rFonts w:hint="default"/>
      </w:rPr>
    </w:lvl>
    <w:lvl w:ilvl="2">
      <w:start w:val="1"/>
      <w:numFmt w:val="decimal"/>
      <w:isLgl/>
      <w:lvlText w:val="%1.%2.%3"/>
      <w:lvlJc w:val="left"/>
      <w:pPr>
        <w:ind w:left="1440" w:hanging="108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2160" w:hanging="1800"/>
      </w:pPr>
      <w:rPr>
        <w:rFonts w:hint="default"/>
      </w:rPr>
    </w:lvl>
    <w:lvl w:ilvl="6">
      <w:start w:val="1"/>
      <w:numFmt w:val="decimal"/>
      <w:isLgl/>
      <w:lvlText w:val="%1.%2.%3.%4.%5.%6.%7"/>
      <w:lvlJc w:val="left"/>
      <w:pPr>
        <w:ind w:left="2520" w:hanging="2160"/>
      </w:pPr>
      <w:rPr>
        <w:rFonts w:hint="default"/>
      </w:rPr>
    </w:lvl>
    <w:lvl w:ilvl="7">
      <w:start w:val="1"/>
      <w:numFmt w:val="decimal"/>
      <w:isLgl/>
      <w:lvlText w:val="%1.%2.%3.%4.%5.%6.%7.%8"/>
      <w:lvlJc w:val="left"/>
      <w:pPr>
        <w:ind w:left="2880" w:hanging="2520"/>
      </w:pPr>
      <w:rPr>
        <w:rFonts w:hint="default"/>
      </w:rPr>
    </w:lvl>
    <w:lvl w:ilvl="8">
      <w:start w:val="1"/>
      <w:numFmt w:val="decimal"/>
      <w:isLgl/>
      <w:lvlText w:val="%1.%2.%3.%4.%5.%6.%7.%8.%9"/>
      <w:lvlJc w:val="left"/>
      <w:pPr>
        <w:ind w:left="2880" w:hanging="2520"/>
      </w:pPr>
      <w:rPr>
        <w:rFonts w:hint="default"/>
      </w:rPr>
    </w:lvl>
  </w:abstractNum>
  <w:abstractNum w:abstractNumId="203" w15:restartNumberingAfterBreak="0">
    <w:nsid w:val="6E157C41"/>
    <w:multiLevelType w:val="hybridMultilevel"/>
    <w:tmpl w:val="375075FE"/>
    <w:lvl w:ilvl="0" w:tplc="357AFF7A">
      <w:start w:val="1"/>
      <w:numFmt w:val="bullet"/>
      <w:lvlText w:val="·"/>
      <w:lvlJc w:val="left"/>
      <w:pPr>
        <w:ind w:left="720" w:hanging="360"/>
      </w:pPr>
      <w:rPr>
        <w:rFonts w:ascii="Symbol" w:hAnsi="Symbol" w:hint="default"/>
      </w:rPr>
    </w:lvl>
    <w:lvl w:ilvl="1" w:tplc="AEF20F6A">
      <w:start w:val="1"/>
      <w:numFmt w:val="decimal"/>
      <w:lvlText w:val="%2."/>
      <w:lvlJc w:val="left"/>
      <w:pPr>
        <w:ind w:left="1440" w:hanging="360"/>
      </w:pPr>
      <w:rPr>
        <w:rFonts w:hint="default"/>
      </w:rPr>
    </w:lvl>
    <w:lvl w:ilvl="2" w:tplc="D376CE86">
      <w:start w:val="1"/>
      <w:numFmt w:val="bullet"/>
      <w:lvlText w:val=""/>
      <w:lvlJc w:val="left"/>
      <w:pPr>
        <w:ind w:left="2160" w:hanging="360"/>
      </w:pPr>
      <w:rPr>
        <w:rFonts w:ascii="Wingdings" w:hAnsi="Wingdings" w:hint="default"/>
      </w:rPr>
    </w:lvl>
    <w:lvl w:ilvl="3" w:tplc="A7ECB72C">
      <w:start w:val="1"/>
      <w:numFmt w:val="bullet"/>
      <w:lvlText w:val=""/>
      <w:lvlJc w:val="left"/>
      <w:pPr>
        <w:ind w:left="2880" w:hanging="360"/>
      </w:pPr>
      <w:rPr>
        <w:rFonts w:ascii="Symbol" w:hAnsi="Symbol" w:hint="default"/>
      </w:rPr>
    </w:lvl>
    <w:lvl w:ilvl="4" w:tplc="96DCEDCC">
      <w:start w:val="1"/>
      <w:numFmt w:val="bullet"/>
      <w:lvlText w:val="o"/>
      <w:lvlJc w:val="left"/>
      <w:pPr>
        <w:ind w:left="3600" w:hanging="360"/>
      </w:pPr>
      <w:rPr>
        <w:rFonts w:ascii="Courier New" w:hAnsi="Courier New" w:hint="default"/>
      </w:rPr>
    </w:lvl>
    <w:lvl w:ilvl="5" w:tplc="2BFE3416">
      <w:start w:val="1"/>
      <w:numFmt w:val="bullet"/>
      <w:lvlText w:val=""/>
      <w:lvlJc w:val="left"/>
      <w:pPr>
        <w:ind w:left="4320" w:hanging="360"/>
      </w:pPr>
      <w:rPr>
        <w:rFonts w:ascii="Wingdings" w:hAnsi="Wingdings" w:hint="default"/>
      </w:rPr>
    </w:lvl>
    <w:lvl w:ilvl="6" w:tplc="8BAE30FC">
      <w:start w:val="1"/>
      <w:numFmt w:val="bullet"/>
      <w:lvlText w:val=""/>
      <w:lvlJc w:val="left"/>
      <w:pPr>
        <w:ind w:left="5040" w:hanging="360"/>
      </w:pPr>
      <w:rPr>
        <w:rFonts w:ascii="Symbol" w:hAnsi="Symbol" w:hint="default"/>
      </w:rPr>
    </w:lvl>
    <w:lvl w:ilvl="7" w:tplc="BF8ABDC8">
      <w:start w:val="1"/>
      <w:numFmt w:val="bullet"/>
      <w:lvlText w:val="o"/>
      <w:lvlJc w:val="left"/>
      <w:pPr>
        <w:ind w:left="5760" w:hanging="360"/>
      </w:pPr>
      <w:rPr>
        <w:rFonts w:ascii="Courier New" w:hAnsi="Courier New" w:hint="default"/>
      </w:rPr>
    </w:lvl>
    <w:lvl w:ilvl="8" w:tplc="5C5CAECC">
      <w:start w:val="1"/>
      <w:numFmt w:val="bullet"/>
      <w:lvlText w:val=""/>
      <w:lvlJc w:val="left"/>
      <w:pPr>
        <w:ind w:left="6480" w:hanging="360"/>
      </w:pPr>
      <w:rPr>
        <w:rFonts w:ascii="Wingdings" w:hAnsi="Wingdings" w:hint="default"/>
      </w:rPr>
    </w:lvl>
  </w:abstractNum>
  <w:abstractNum w:abstractNumId="204" w15:restartNumberingAfterBreak="0">
    <w:nsid w:val="6EE0541B"/>
    <w:multiLevelType w:val="hybridMultilevel"/>
    <w:tmpl w:val="C3B6CA8E"/>
    <w:lvl w:ilvl="0" w:tplc="08090001">
      <w:start w:val="1"/>
      <w:numFmt w:val="bullet"/>
      <w:lvlText w:val=""/>
      <w:lvlJc w:val="left"/>
      <w:pPr>
        <w:ind w:left="1428" w:hanging="360"/>
      </w:pPr>
      <w:rPr>
        <w:rFonts w:ascii="Symbol" w:hAnsi="Symbol" w:hint="default"/>
      </w:rPr>
    </w:lvl>
    <w:lvl w:ilvl="1" w:tplc="08090003" w:tentative="1">
      <w:start w:val="1"/>
      <w:numFmt w:val="bullet"/>
      <w:lvlText w:val="o"/>
      <w:lvlJc w:val="left"/>
      <w:pPr>
        <w:ind w:left="2148" w:hanging="360"/>
      </w:pPr>
      <w:rPr>
        <w:rFonts w:ascii="Courier New" w:hAnsi="Courier New" w:cs="Courier New" w:hint="default"/>
      </w:rPr>
    </w:lvl>
    <w:lvl w:ilvl="2" w:tplc="08090005" w:tentative="1">
      <w:start w:val="1"/>
      <w:numFmt w:val="bullet"/>
      <w:lvlText w:val=""/>
      <w:lvlJc w:val="left"/>
      <w:pPr>
        <w:ind w:left="2868" w:hanging="360"/>
      </w:pPr>
      <w:rPr>
        <w:rFonts w:ascii="Wingdings" w:hAnsi="Wingdings" w:hint="default"/>
      </w:rPr>
    </w:lvl>
    <w:lvl w:ilvl="3" w:tplc="08090001" w:tentative="1">
      <w:start w:val="1"/>
      <w:numFmt w:val="bullet"/>
      <w:lvlText w:val=""/>
      <w:lvlJc w:val="left"/>
      <w:pPr>
        <w:ind w:left="3588" w:hanging="360"/>
      </w:pPr>
      <w:rPr>
        <w:rFonts w:ascii="Symbol" w:hAnsi="Symbol" w:hint="default"/>
      </w:rPr>
    </w:lvl>
    <w:lvl w:ilvl="4" w:tplc="08090003" w:tentative="1">
      <w:start w:val="1"/>
      <w:numFmt w:val="bullet"/>
      <w:lvlText w:val="o"/>
      <w:lvlJc w:val="left"/>
      <w:pPr>
        <w:ind w:left="4308" w:hanging="360"/>
      </w:pPr>
      <w:rPr>
        <w:rFonts w:ascii="Courier New" w:hAnsi="Courier New" w:cs="Courier New" w:hint="default"/>
      </w:rPr>
    </w:lvl>
    <w:lvl w:ilvl="5" w:tplc="08090005" w:tentative="1">
      <w:start w:val="1"/>
      <w:numFmt w:val="bullet"/>
      <w:lvlText w:val=""/>
      <w:lvlJc w:val="left"/>
      <w:pPr>
        <w:ind w:left="5028" w:hanging="360"/>
      </w:pPr>
      <w:rPr>
        <w:rFonts w:ascii="Wingdings" w:hAnsi="Wingdings" w:hint="default"/>
      </w:rPr>
    </w:lvl>
    <w:lvl w:ilvl="6" w:tplc="08090001" w:tentative="1">
      <w:start w:val="1"/>
      <w:numFmt w:val="bullet"/>
      <w:lvlText w:val=""/>
      <w:lvlJc w:val="left"/>
      <w:pPr>
        <w:ind w:left="5748" w:hanging="360"/>
      </w:pPr>
      <w:rPr>
        <w:rFonts w:ascii="Symbol" w:hAnsi="Symbol" w:hint="default"/>
      </w:rPr>
    </w:lvl>
    <w:lvl w:ilvl="7" w:tplc="08090003" w:tentative="1">
      <w:start w:val="1"/>
      <w:numFmt w:val="bullet"/>
      <w:lvlText w:val="o"/>
      <w:lvlJc w:val="left"/>
      <w:pPr>
        <w:ind w:left="6468" w:hanging="360"/>
      </w:pPr>
      <w:rPr>
        <w:rFonts w:ascii="Courier New" w:hAnsi="Courier New" w:cs="Courier New" w:hint="default"/>
      </w:rPr>
    </w:lvl>
    <w:lvl w:ilvl="8" w:tplc="08090005" w:tentative="1">
      <w:start w:val="1"/>
      <w:numFmt w:val="bullet"/>
      <w:lvlText w:val=""/>
      <w:lvlJc w:val="left"/>
      <w:pPr>
        <w:ind w:left="7188" w:hanging="360"/>
      </w:pPr>
      <w:rPr>
        <w:rFonts w:ascii="Wingdings" w:hAnsi="Wingdings" w:hint="default"/>
      </w:rPr>
    </w:lvl>
  </w:abstractNum>
  <w:abstractNum w:abstractNumId="205" w15:restartNumberingAfterBreak="0">
    <w:nsid w:val="6F167A56"/>
    <w:multiLevelType w:val="hybridMultilevel"/>
    <w:tmpl w:val="28BAD89C"/>
    <w:lvl w:ilvl="0" w:tplc="88F8117C">
      <w:start w:val="1"/>
      <w:numFmt w:val="bullet"/>
      <w:lvlText w:val="·"/>
      <w:lvlJc w:val="left"/>
      <w:pPr>
        <w:ind w:left="720" w:hanging="360"/>
      </w:pPr>
      <w:rPr>
        <w:rFonts w:ascii="Symbol" w:hAnsi="Symbol" w:hint="default"/>
      </w:rPr>
    </w:lvl>
    <w:lvl w:ilvl="1" w:tplc="0EEE4636">
      <w:start w:val="1"/>
      <w:numFmt w:val="bullet"/>
      <w:lvlText w:val="o"/>
      <w:lvlJc w:val="left"/>
      <w:pPr>
        <w:ind w:left="1440" w:hanging="360"/>
      </w:pPr>
      <w:rPr>
        <w:rFonts w:ascii="Courier New" w:hAnsi="Courier New" w:hint="default"/>
      </w:rPr>
    </w:lvl>
    <w:lvl w:ilvl="2" w:tplc="041E5F9E">
      <w:start w:val="1"/>
      <w:numFmt w:val="bullet"/>
      <w:lvlText w:val=""/>
      <w:lvlJc w:val="left"/>
      <w:pPr>
        <w:ind w:left="2160" w:hanging="360"/>
      </w:pPr>
      <w:rPr>
        <w:rFonts w:ascii="Wingdings" w:hAnsi="Wingdings" w:hint="default"/>
      </w:rPr>
    </w:lvl>
    <w:lvl w:ilvl="3" w:tplc="89D42A5A">
      <w:start w:val="1"/>
      <w:numFmt w:val="bullet"/>
      <w:lvlText w:val=""/>
      <w:lvlJc w:val="left"/>
      <w:pPr>
        <w:ind w:left="2880" w:hanging="360"/>
      </w:pPr>
      <w:rPr>
        <w:rFonts w:ascii="Symbol" w:hAnsi="Symbol" w:hint="default"/>
      </w:rPr>
    </w:lvl>
    <w:lvl w:ilvl="4" w:tplc="40849A20">
      <w:start w:val="1"/>
      <w:numFmt w:val="bullet"/>
      <w:lvlText w:val="o"/>
      <w:lvlJc w:val="left"/>
      <w:pPr>
        <w:ind w:left="3600" w:hanging="360"/>
      </w:pPr>
      <w:rPr>
        <w:rFonts w:ascii="Courier New" w:hAnsi="Courier New" w:hint="default"/>
      </w:rPr>
    </w:lvl>
    <w:lvl w:ilvl="5" w:tplc="290C1BE6">
      <w:start w:val="1"/>
      <w:numFmt w:val="bullet"/>
      <w:lvlText w:val=""/>
      <w:lvlJc w:val="left"/>
      <w:pPr>
        <w:ind w:left="4320" w:hanging="360"/>
      </w:pPr>
      <w:rPr>
        <w:rFonts w:ascii="Wingdings" w:hAnsi="Wingdings" w:hint="default"/>
      </w:rPr>
    </w:lvl>
    <w:lvl w:ilvl="6" w:tplc="B75A9084">
      <w:start w:val="1"/>
      <w:numFmt w:val="bullet"/>
      <w:lvlText w:val=""/>
      <w:lvlJc w:val="left"/>
      <w:pPr>
        <w:ind w:left="5040" w:hanging="360"/>
      </w:pPr>
      <w:rPr>
        <w:rFonts w:ascii="Symbol" w:hAnsi="Symbol" w:hint="default"/>
      </w:rPr>
    </w:lvl>
    <w:lvl w:ilvl="7" w:tplc="99F25084">
      <w:start w:val="1"/>
      <w:numFmt w:val="bullet"/>
      <w:lvlText w:val="o"/>
      <w:lvlJc w:val="left"/>
      <w:pPr>
        <w:ind w:left="5760" w:hanging="360"/>
      </w:pPr>
      <w:rPr>
        <w:rFonts w:ascii="Courier New" w:hAnsi="Courier New" w:hint="default"/>
      </w:rPr>
    </w:lvl>
    <w:lvl w:ilvl="8" w:tplc="39DAAA14">
      <w:start w:val="1"/>
      <w:numFmt w:val="bullet"/>
      <w:lvlText w:val=""/>
      <w:lvlJc w:val="left"/>
      <w:pPr>
        <w:ind w:left="6480" w:hanging="360"/>
      </w:pPr>
      <w:rPr>
        <w:rFonts w:ascii="Wingdings" w:hAnsi="Wingdings" w:hint="default"/>
      </w:rPr>
    </w:lvl>
  </w:abstractNum>
  <w:abstractNum w:abstractNumId="206" w15:restartNumberingAfterBreak="0">
    <w:nsid w:val="6F2A6E34"/>
    <w:multiLevelType w:val="multilevel"/>
    <w:tmpl w:val="1D42C9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7" w15:restartNumberingAfterBreak="0">
    <w:nsid w:val="6F4F7920"/>
    <w:multiLevelType w:val="hybridMultilevel"/>
    <w:tmpl w:val="FFFFFFFF"/>
    <w:lvl w:ilvl="0" w:tplc="18EEAD7E">
      <w:start w:val="1"/>
      <w:numFmt w:val="bullet"/>
      <w:lvlText w:val="·"/>
      <w:lvlJc w:val="left"/>
      <w:pPr>
        <w:ind w:left="720" w:hanging="360"/>
      </w:pPr>
      <w:rPr>
        <w:rFonts w:ascii="Symbol" w:hAnsi="Symbol" w:hint="default"/>
      </w:rPr>
    </w:lvl>
    <w:lvl w:ilvl="1" w:tplc="3A94C39A">
      <w:start w:val="1"/>
      <w:numFmt w:val="bullet"/>
      <w:lvlText w:val="o"/>
      <w:lvlJc w:val="left"/>
      <w:pPr>
        <w:ind w:left="1440" w:hanging="360"/>
      </w:pPr>
      <w:rPr>
        <w:rFonts w:ascii="Courier New" w:hAnsi="Courier New" w:hint="default"/>
      </w:rPr>
    </w:lvl>
    <w:lvl w:ilvl="2" w:tplc="903A93DE">
      <w:start w:val="1"/>
      <w:numFmt w:val="bullet"/>
      <w:lvlText w:val=""/>
      <w:lvlJc w:val="left"/>
      <w:pPr>
        <w:ind w:left="2160" w:hanging="360"/>
      </w:pPr>
      <w:rPr>
        <w:rFonts w:ascii="Wingdings" w:hAnsi="Wingdings" w:hint="default"/>
      </w:rPr>
    </w:lvl>
    <w:lvl w:ilvl="3" w:tplc="42A8A9BA">
      <w:start w:val="1"/>
      <w:numFmt w:val="bullet"/>
      <w:lvlText w:val=""/>
      <w:lvlJc w:val="left"/>
      <w:pPr>
        <w:ind w:left="2880" w:hanging="360"/>
      </w:pPr>
      <w:rPr>
        <w:rFonts w:ascii="Symbol" w:hAnsi="Symbol" w:hint="default"/>
      </w:rPr>
    </w:lvl>
    <w:lvl w:ilvl="4" w:tplc="B5A8677A">
      <w:start w:val="1"/>
      <w:numFmt w:val="bullet"/>
      <w:lvlText w:val="o"/>
      <w:lvlJc w:val="left"/>
      <w:pPr>
        <w:ind w:left="3600" w:hanging="360"/>
      </w:pPr>
      <w:rPr>
        <w:rFonts w:ascii="Courier New" w:hAnsi="Courier New" w:hint="default"/>
      </w:rPr>
    </w:lvl>
    <w:lvl w:ilvl="5" w:tplc="1FC2A36C">
      <w:start w:val="1"/>
      <w:numFmt w:val="bullet"/>
      <w:lvlText w:val=""/>
      <w:lvlJc w:val="left"/>
      <w:pPr>
        <w:ind w:left="4320" w:hanging="360"/>
      </w:pPr>
      <w:rPr>
        <w:rFonts w:ascii="Wingdings" w:hAnsi="Wingdings" w:hint="default"/>
      </w:rPr>
    </w:lvl>
    <w:lvl w:ilvl="6" w:tplc="080CF9F6">
      <w:start w:val="1"/>
      <w:numFmt w:val="bullet"/>
      <w:lvlText w:val=""/>
      <w:lvlJc w:val="left"/>
      <w:pPr>
        <w:ind w:left="5040" w:hanging="360"/>
      </w:pPr>
      <w:rPr>
        <w:rFonts w:ascii="Symbol" w:hAnsi="Symbol" w:hint="default"/>
      </w:rPr>
    </w:lvl>
    <w:lvl w:ilvl="7" w:tplc="EF647294">
      <w:start w:val="1"/>
      <w:numFmt w:val="bullet"/>
      <w:lvlText w:val="o"/>
      <w:lvlJc w:val="left"/>
      <w:pPr>
        <w:ind w:left="5760" w:hanging="360"/>
      </w:pPr>
      <w:rPr>
        <w:rFonts w:ascii="Courier New" w:hAnsi="Courier New" w:hint="default"/>
      </w:rPr>
    </w:lvl>
    <w:lvl w:ilvl="8" w:tplc="1C2C4494">
      <w:start w:val="1"/>
      <w:numFmt w:val="bullet"/>
      <w:lvlText w:val=""/>
      <w:lvlJc w:val="left"/>
      <w:pPr>
        <w:ind w:left="6480" w:hanging="360"/>
      </w:pPr>
      <w:rPr>
        <w:rFonts w:ascii="Wingdings" w:hAnsi="Wingdings" w:hint="default"/>
      </w:rPr>
    </w:lvl>
  </w:abstractNum>
  <w:abstractNum w:abstractNumId="208" w15:restartNumberingAfterBreak="0">
    <w:nsid w:val="6FB95973"/>
    <w:multiLevelType w:val="hybridMultilevel"/>
    <w:tmpl w:val="AA8E90FC"/>
    <w:lvl w:ilvl="0" w:tplc="8302529E">
      <w:start w:val="1"/>
      <w:numFmt w:val="bullet"/>
      <w:lvlText w:val="·"/>
      <w:lvlJc w:val="left"/>
      <w:pPr>
        <w:ind w:left="720" w:hanging="360"/>
      </w:pPr>
      <w:rPr>
        <w:rFonts w:ascii="Symbol" w:hAnsi="Symbol" w:hint="default"/>
      </w:rPr>
    </w:lvl>
    <w:lvl w:ilvl="1" w:tplc="C6A2EA7C">
      <w:start w:val="1"/>
      <w:numFmt w:val="decimal"/>
      <w:lvlText w:val="%2."/>
      <w:lvlJc w:val="left"/>
      <w:pPr>
        <w:ind w:left="1440" w:hanging="360"/>
      </w:pPr>
      <w:rPr>
        <w:rFonts w:hint="default"/>
      </w:rPr>
    </w:lvl>
    <w:lvl w:ilvl="2" w:tplc="2A823F48">
      <w:start w:val="1"/>
      <w:numFmt w:val="bullet"/>
      <w:lvlText w:val=""/>
      <w:lvlJc w:val="left"/>
      <w:pPr>
        <w:ind w:left="2160" w:hanging="360"/>
      </w:pPr>
      <w:rPr>
        <w:rFonts w:ascii="Wingdings" w:hAnsi="Wingdings" w:hint="default"/>
      </w:rPr>
    </w:lvl>
    <w:lvl w:ilvl="3" w:tplc="30C69E2C">
      <w:start w:val="1"/>
      <w:numFmt w:val="bullet"/>
      <w:lvlText w:val=""/>
      <w:lvlJc w:val="left"/>
      <w:pPr>
        <w:ind w:left="2880" w:hanging="360"/>
      </w:pPr>
      <w:rPr>
        <w:rFonts w:ascii="Symbol" w:hAnsi="Symbol" w:hint="default"/>
      </w:rPr>
    </w:lvl>
    <w:lvl w:ilvl="4" w:tplc="A346624C">
      <w:start w:val="1"/>
      <w:numFmt w:val="bullet"/>
      <w:lvlText w:val="o"/>
      <w:lvlJc w:val="left"/>
      <w:pPr>
        <w:ind w:left="3600" w:hanging="360"/>
      </w:pPr>
      <w:rPr>
        <w:rFonts w:ascii="Courier New" w:hAnsi="Courier New" w:hint="default"/>
      </w:rPr>
    </w:lvl>
    <w:lvl w:ilvl="5" w:tplc="8E1AF08A">
      <w:start w:val="1"/>
      <w:numFmt w:val="bullet"/>
      <w:lvlText w:val=""/>
      <w:lvlJc w:val="left"/>
      <w:pPr>
        <w:ind w:left="4320" w:hanging="360"/>
      </w:pPr>
      <w:rPr>
        <w:rFonts w:ascii="Wingdings" w:hAnsi="Wingdings" w:hint="default"/>
      </w:rPr>
    </w:lvl>
    <w:lvl w:ilvl="6" w:tplc="9EB2AC54">
      <w:start w:val="1"/>
      <w:numFmt w:val="bullet"/>
      <w:lvlText w:val=""/>
      <w:lvlJc w:val="left"/>
      <w:pPr>
        <w:ind w:left="5040" w:hanging="360"/>
      </w:pPr>
      <w:rPr>
        <w:rFonts w:ascii="Symbol" w:hAnsi="Symbol" w:hint="default"/>
      </w:rPr>
    </w:lvl>
    <w:lvl w:ilvl="7" w:tplc="7D106C60">
      <w:start w:val="1"/>
      <w:numFmt w:val="bullet"/>
      <w:lvlText w:val="o"/>
      <w:lvlJc w:val="left"/>
      <w:pPr>
        <w:ind w:left="5760" w:hanging="360"/>
      </w:pPr>
      <w:rPr>
        <w:rFonts w:ascii="Courier New" w:hAnsi="Courier New" w:hint="default"/>
      </w:rPr>
    </w:lvl>
    <w:lvl w:ilvl="8" w:tplc="39002528">
      <w:start w:val="1"/>
      <w:numFmt w:val="bullet"/>
      <w:lvlText w:val=""/>
      <w:lvlJc w:val="left"/>
      <w:pPr>
        <w:ind w:left="6480" w:hanging="360"/>
      </w:pPr>
      <w:rPr>
        <w:rFonts w:ascii="Wingdings" w:hAnsi="Wingdings" w:hint="default"/>
      </w:rPr>
    </w:lvl>
  </w:abstractNum>
  <w:abstractNum w:abstractNumId="209" w15:restartNumberingAfterBreak="0">
    <w:nsid w:val="70084534"/>
    <w:multiLevelType w:val="multilevel"/>
    <w:tmpl w:val="40EAC0F4"/>
    <w:lvl w:ilvl="0">
      <w:start w:val="1"/>
      <w:numFmt w:val="bullet"/>
      <w:lvlText w:val=""/>
      <w:lvlJc w:val="left"/>
      <w:pPr>
        <w:ind w:left="360" w:hanging="360"/>
      </w:pPr>
      <w:rPr>
        <w:rFonts w:ascii="Symbol" w:hAnsi="Symbol" w:hint="default"/>
      </w:rPr>
    </w:lvl>
    <w:lvl w:ilvl="1">
      <w:start w:val="1"/>
      <w:numFmt w:val="decimal"/>
      <w:isLgl/>
      <w:lvlText w:val="%1.%2"/>
      <w:lvlJc w:val="left"/>
      <w:pPr>
        <w:ind w:left="1080" w:hanging="360"/>
      </w:pPr>
      <w:rPr>
        <w:rFonts w:hint="default"/>
        <w:u w:val="none"/>
      </w:rPr>
    </w:lvl>
    <w:lvl w:ilvl="2">
      <w:start w:val="1"/>
      <w:numFmt w:val="decimal"/>
      <w:isLgl/>
      <w:lvlText w:val="%1.%2.%3"/>
      <w:lvlJc w:val="left"/>
      <w:pPr>
        <w:ind w:left="2160" w:hanging="720"/>
      </w:pPr>
      <w:rPr>
        <w:rFonts w:hint="default"/>
        <w:u w:val="single"/>
      </w:rPr>
    </w:lvl>
    <w:lvl w:ilvl="3">
      <w:start w:val="1"/>
      <w:numFmt w:val="decimal"/>
      <w:isLgl/>
      <w:lvlText w:val="%1.%2.%3.%4"/>
      <w:lvlJc w:val="left"/>
      <w:pPr>
        <w:ind w:left="2880" w:hanging="720"/>
      </w:pPr>
      <w:rPr>
        <w:rFonts w:hint="default"/>
        <w:u w:val="single"/>
      </w:rPr>
    </w:lvl>
    <w:lvl w:ilvl="4">
      <w:start w:val="1"/>
      <w:numFmt w:val="decimal"/>
      <w:isLgl/>
      <w:lvlText w:val="%1.%2.%3.%4.%5"/>
      <w:lvlJc w:val="left"/>
      <w:pPr>
        <w:ind w:left="3960" w:hanging="1080"/>
      </w:pPr>
      <w:rPr>
        <w:rFonts w:hint="default"/>
        <w:u w:val="single"/>
      </w:rPr>
    </w:lvl>
    <w:lvl w:ilvl="5">
      <w:start w:val="1"/>
      <w:numFmt w:val="decimal"/>
      <w:isLgl/>
      <w:lvlText w:val="%1.%2.%3.%4.%5.%6"/>
      <w:lvlJc w:val="left"/>
      <w:pPr>
        <w:ind w:left="4680" w:hanging="1080"/>
      </w:pPr>
      <w:rPr>
        <w:rFonts w:hint="default"/>
        <w:u w:val="single"/>
      </w:rPr>
    </w:lvl>
    <w:lvl w:ilvl="6">
      <w:start w:val="1"/>
      <w:numFmt w:val="decimal"/>
      <w:isLgl/>
      <w:lvlText w:val="%1.%2.%3.%4.%5.%6.%7"/>
      <w:lvlJc w:val="left"/>
      <w:pPr>
        <w:ind w:left="5760" w:hanging="1440"/>
      </w:pPr>
      <w:rPr>
        <w:rFonts w:hint="default"/>
        <w:u w:val="single"/>
      </w:rPr>
    </w:lvl>
    <w:lvl w:ilvl="7">
      <w:start w:val="1"/>
      <w:numFmt w:val="decimal"/>
      <w:isLgl/>
      <w:lvlText w:val="%1.%2.%3.%4.%5.%6.%7.%8"/>
      <w:lvlJc w:val="left"/>
      <w:pPr>
        <w:ind w:left="6480" w:hanging="1440"/>
      </w:pPr>
      <w:rPr>
        <w:rFonts w:hint="default"/>
        <w:u w:val="single"/>
      </w:rPr>
    </w:lvl>
    <w:lvl w:ilvl="8">
      <w:start w:val="1"/>
      <w:numFmt w:val="decimal"/>
      <w:isLgl/>
      <w:lvlText w:val="%1.%2.%3.%4.%5.%6.%7.%8.%9"/>
      <w:lvlJc w:val="left"/>
      <w:pPr>
        <w:ind w:left="7200" w:hanging="1440"/>
      </w:pPr>
      <w:rPr>
        <w:rFonts w:hint="default"/>
        <w:u w:val="single"/>
      </w:rPr>
    </w:lvl>
  </w:abstractNum>
  <w:abstractNum w:abstractNumId="210" w15:restartNumberingAfterBreak="0">
    <w:nsid w:val="701D4702"/>
    <w:multiLevelType w:val="hybridMultilevel"/>
    <w:tmpl w:val="C00402D4"/>
    <w:lvl w:ilvl="0" w:tplc="D92AABF8">
      <w:start w:val="1"/>
      <w:numFmt w:val="bullet"/>
      <w:lvlText w:val="·"/>
      <w:lvlJc w:val="left"/>
      <w:pPr>
        <w:ind w:left="720" w:hanging="360"/>
      </w:pPr>
      <w:rPr>
        <w:rFonts w:ascii="Symbol" w:hAnsi="Symbol" w:hint="default"/>
      </w:rPr>
    </w:lvl>
    <w:lvl w:ilvl="1" w:tplc="EE02857A">
      <w:start w:val="1"/>
      <w:numFmt w:val="decimal"/>
      <w:lvlText w:val="%2."/>
      <w:lvlJc w:val="left"/>
      <w:pPr>
        <w:ind w:left="1440" w:hanging="360"/>
      </w:pPr>
      <w:rPr>
        <w:rFonts w:hint="default"/>
      </w:rPr>
    </w:lvl>
    <w:lvl w:ilvl="2" w:tplc="16DEA1FC">
      <w:start w:val="1"/>
      <w:numFmt w:val="bullet"/>
      <w:lvlText w:val=""/>
      <w:lvlJc w:val="left"/>
      <w:pPr>
        <w:ind w:left="2160" w:hanging="360"/>
      </w:pPr>
      <w:rPr>
        <w:rFonts w:ascii="Wingdings" w:hAnsi="Wingdings" w:hint="default"/>
      </w:rPr>
    </w:lvl>
    <w:lvl w:ilvl="3" w:tplc="C024BD78">
      <w:start w:val="1"/>
      <w:numFmt w:val="bullet"/>
      <w:lvlText w:val=""/>
      <w:lvlJc w:val="left"/>
      <w:pPr>
        <w:ind w:left="2880" w:hanging="360"/>
      </w:pPr>
      <w:rPr>
        <w:rFonts w:ascii="Symbol" w:hAnsi="Symbol" w:hint="default"/>
      </w:rPr>
    </w:lvl>
    <w:lvl w:ilvl="4" w:tplc="37D08E38">
      <w:start w:val="1"/>
      <w:numFmt w:val="bullet"/>
      <w:lvlText w:val="o"/>
      <w:lvlJc w:val="left"/>
      <w:pPr>
        <w:ind w:left="3600" w:hanging="360"/>
      </w:pPr>
      <w:rPr>
        <w:rFonts w:ascii="Courier New" w:hAnsi="Courier New" w:hint="default"/>
      </w:rPr>
    </w:lvl>
    <w:lvl w:ilvl="5" w:tplc="98C41290">
      <w:start w:val="1"/>
      <w:numFmt w:val="bullet"/>
      <w:lvlText w:val=""/>
      <w:lvlJc w:val="left"/>
      <w:pPr>
        <w:ind w:left="4320" w:hanging="360"/>
      </w:pPr>
      <w:rPr>
        <w:rFonts w:ascii="Wingdings" w:hAnsi="Wingdings" w:hint="default"/>
      </w:rPr>
    </w:lvl>
    <w:lvl w:ilvl="6" w:tplc="81A05BA6">
      <w:start w:val="1"/>
      <w:numFmt w:val="bullet"/>
      <w:lvlText w:val=""/>
      <w:lvlJc w:val="left"/>
      <w:pPr>
        <w:ind w:left="5040" w:hanging="360"/>
      </w:pPr>
      <w:rPr>
        <w:rFonts w:ascii="Symbol" w:hAnsi="Symbol" w:hint="default"/>
      </w:rPr>
    </w:lvl>
    <w:lvl w:ilvl="7" w:tplc="732C0420">
      <w:start w:val="1"/>
      <w:numFmt w:val="bullet"/>
      <w:lvlText w:val="o"/>
      <w:lvlJc w:val="left"/>
      <w:pPr>
        <w:ind w:left="5760" w:hanging="360"/>
      </w:pPr>
      <w:rPr>
        <w:rFonts w:ascii="Courier New" w:hAnsi="Courier New" w:hint="default"/>
      </w:rPr>
    </w:lvl>
    <w:lvl w:ilvl="8" w:tplc="B3AC786A">
      <w:start w:val="1"/>
      <w:numFmt w:val="bullet"/>
      <w:lvlText w:val=""/>
      <w:lvlJc w:val="left"/>
      <w:pPr>
        <w:ind w:left="6480" w:hanging="360"/>
      </w:pPr>
      <w:rPr>
        <w:rFonts w:ascii="Wingdings" w:hAnsi="Wingdings" w:hint="default"/>
      </w:rPr>
    </w:lvl>
  </w:abstractNum>
  <w:abstractNum w:abstractNumId="211" w15:restartNumberingAfterBreak="0">
    <w:nsid w:val="706A6883"/>
    <w:multiLevelType w:val="hybridMultilevel"/>
    <w:tmpl w:val="84981EAC"/>
    <w:lvl w:ilvl="0" w:tplc="08160011">
      <w:start w:val="1"/>
      <w:numFmt w:val="decimal"/>
      <w:lvlText w:val="%1)"/>
      <w:lvlJc w:val="left"/>
      <w:pPr>
        <w:ind w:left="720" w:hanging="360"/>
      </w:pPr>
      <w:rPr>
        <w:rFonts w:hint="default"/>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212" w15:restartNumberingAfterBreak="0">
    <w:nsid w:val="71064D88"/>
    <w:multiLevelType w:val="hybridMultilevel"/>
    <w:tmpl w:val="F79473BE"/>
    <w:lvl w:ilvl="0" w:tplc="98F68450">
      <w:start w:val="1"/>
      <w:numFmt w:val="bullet"/>
      <w:pStyle w:val="List1"/>
      <w:lvlText w:val=""/>
      <w:lvlJc w:val="left"/>
      <w:pPr>
        <w:ind w:left="720" w:hanging="72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3" w15:restartNumberingAfterBreak="0">
    <w:nsid w:val="71117267"/>
    <w:multiLevelType w:val="hybridMultilevel"/>
    <w:tmpl w:val="46547B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4" w15:restartNumberingAfterBreak="0">
    <w:nsid w:val="719E18D2"/>
    <w:multiLevelType w:val="hybridMultilevel"/>
    <w:tmpl w:val="1F3C9A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5" w15:restartNumberingAfterBreak="0">
    <w:nsid w:val="72282870"/>
    <w:multiLevelType w:val="hybridMultilevel"/>
    <w:tmpl w:val="FFFFFFFF"/>
    <w:lvl w:ilvl="0" w:tplc="08AAAA54">
      <w:start w:val="1"/>
      <w:numFmt w:val="bullet"/>
      <w:lvlText w:val="·"/>
      <w:lvlJc w:val="left"/>
      <w:pPr>
        <w:ind w:left="720" w:hanging="360"/>
      </w:pPr>
    </w:lvl>
    <w:lvl w:ilvl="1" w:tplc="F4B45504">
      <w:start w:val="1"/>
      <w:numFmt w:val="decimal"/>
      <w:lvlText w:val="%2."/>
      <w:lvlJc w:val="left"/>
      <w:pPr>
        <w:ind w:left="1440" w:hanging="360"/>
      </w:pPr>
    </w:lvl>
    <w:lvl w:ilvl="2" w:tplc="F32A256C">
      <w:start w:val="1"/>
      <w:numFmt w:val="lowerRoman"/>
      <w:lvlText w:val="%3."/>
      <w:lvlJc w:val="right"/>
      <w:pPr>
        <w:ind w:left="2160" w:hanging="180"/>
      </w:pPr>
    </w:lvl>
    <w:lvl w:ilvl="3" w:tplc="E4646F38">
      <w:start w:val="1"/>
      <w:numFmt w:val="decimal"/>
      <w:lvlText w:val="%4."/>
      <w:lvlJc w:val="left"/>
      <w:pPr>
        <w:ind w:left="2880" w:hanging="360"/>
      </w:pPr>
    </w:lvl>
    <w:lvl w:ilvl="4" w:tplc="48BCA9D2">
      <w:start w:val="1"/>
      <w:numFmt w:val="lowerLetter"/>
      <w:lvlText w:val="%5."/>
      <w:lvlJc w:val="left"/>
      <w:pPr>
        <w:ind w:left="3600" w:hanging="360"/>
      </w:pPr>
    </w:lvl>
    <w:lvl w:ilvl="5" w:tplc="6BAACC24">
      <w:start w:val="1"/>
      <w:numFmt w:val="lowerRoman"/>
      <w:lvlText w:val="%6."/>
      <w:lvlJc w:val="right"/>
      <w:pPr>
        <w:ind w:left="4320" w:hanging="180"/>
      </w:pPr>
    </w:lvl>
    <w:lvl w:ilvl="6" w:tplc="276EF0A8">
      <w:start w:val="1"/>
      <w:numFmt w:val="decimal"/>
      <w:lvlText w:val="%7."/>
      <w:lvlJc w:val="left"/>
      <w:pPr>
        <w:ind w:left="5040" w:hanging="360"/>
      </w:pPr>
    </w:lvl>
    <w:lvl w:ilvl="7" w:tplc="E550DE5C">
      <w:start w:val="1"/>
      <w:numFmt w:val="lowerLetter"/>
      <w:lvlText w:val="%8."/>
      <w:lvlJc w:val="left"/>
      <w:pPr>
        <w:ind w:left="5760" w:hanging="360"/>
      </w:pPr>
    </w:lvl>
    <w:lvl w:ilvl="8" w:tplc="E83A813E">
      <w:start w:val="1"/>
      <w:numFmt w:val="lowerRoman"/>
      <w:lvlText w:val="%9."/>
      <w:lvlJc w:val="right"/>
      <w:pPr>
        <w:ind w:left="6480" w:hanging="180"/>
      </w:pPr>
    </w:lvl>
  </w:abstractNum>
  <w:abstractNum w:abstractNumId="216" w15:restartNumberingAfterBreak="0">
    <w:nsid w:val="72E62938"/>
    <w:multiLevelType w:val="hybridMultilevel"/>
    <w:tmpl w:val="FFFFFFFF"/>
    <w:lvl w:ilvl="0" w:tplc="2862BA10">
      <w:start w:val="1"/>
      <w:numFmt w:val="bullet"/>
      <w:lvlText w:val="·"/>
      <w:lvlJc w:val="left"/>
      <w:pPr>
        <w:ind w:left="720" w:hanging="360"/>
      </w:pPr>
      <w:rPr>
        <w:rFonts w:ascii="Symbol" w:hAnsi="Symbol" w:hint="default"/>
      </w:rPr>
    </w:lvl>
    <w:lvl w:ilvl="1" w:tplc="A9E8D7D8">
      <w:start w:val="1"/>
      <w:numFmt w:val="bullet"/>
      <w:lvlText w:val="o"/>
      <w:lvlJc w:val="left"/>
      <w:pPr>
        <w:ind w:left="1440" w:hanging="360"/>
      </w:pPr>
      <w:rPr>
        <w:rFonts w:ascii="Courier New" w:hAnsi="Courier New" w:hint="default"/>
      </w:rPr>
    </w:lvl>
    <w:lvl w:ilvl="2" w:tplc="198A1E3A">
      <w:start w:val="1"/>
      <w:numFmt w:val="bullet"/>
      <w:lvlText w:val=""/>
      <w:lvlJc w:val="left"/>
      <w:pPr>
        <w:ind w:left="2160" w:hanging="360"/>
      </w:pPr>
      <w:rPr>
        <w:rFonts w:ascii="Wingdings" w:hAnsi="Wingdings" w:hint="default"/>
      </w:rPr>
    </w:lvl>
    <w:lvl w:ilvl="3" w:tplc="10B8BFB8">
      <w:start w:val="1"/>
      <w:numFmt w:val="bullet"/>
      <w:lvlText w:val=""/>
      <w:lvlJc w:val="left"/>
      <w:pPr>
        <w:ind w:left="2880" w:hanging="360"/>
      </w:pPr>
      <w:rPr>
        <w:rFonts w:ascii="Symbol" w:hAnsi="Symbol" w:hint="default"/>
      </w:rPr>
    </w:lvl>
    <w:lvl w:ilvl="4" w:tplc="981E2B80">
      <w:start w:val="1"/>
      <w:numFmt w:val="bullet"/>
      <w:lvlText w:val="o"/>
      <w:lvlJc w:val="left"/>
      <w:pPr>
        <w:ind w:left="3600" w:hanging="360"/>
      </w:pPr>
      <w:rPr>
        <w:rFonts w:ascii="Courier New" w:hAnsi="Courier New" w:hint="default"/>
      </w:rPr>
    </w:lvl>
    <w:lvl w:ilvl="5" w:tplc="262E0562">
      <w:start w:val="1"/>
      <w:numFmt w:val="bullet"/>
      <w:lvlText w:val=""/>
      <w:lvlJc w:val="left"/>
      <w:pPr>
        <w:ind w:left="4320" w:hanging="360"/>
      </w:pPr>
      <w:rPr>
        <w:rFonts w:ascii="Wingdings" w:hAnsi="Wingdings" w:hint="default"/>
      </w:rPr>
    </w:lvl>
    <w:lvl w:ilvl="6" w:tplc="F7202BDE">
      <w:start w:val="1"/>
      <w:numFmt w:val="bullet"/>
      <w:lvlText w:val=""/>
      <w:lvlJc w:val="left"/>
      <w:pPr>
        <w:ind w:left="5040" w:hanging="360"/>
      </w:pPr>
      <w:rPr>
        <w:rFonts w:ascii="Symbol" w:hAnsi="Symbol" w:hint="default"/>
      </w:rPr>
    </w:lvl>
    <w:lvl w:ilvl="7" w:tplc="3AC2A384">
      <w:start w:val="1"/>
      <w:numFmt w:val="bullet"/>
      <w:lvlText w:val="o"/>
      <w:lvlJc w:val="left"/>
      <w:pPr>
        <w:ind w:left="5760" w:hanging="360"/>
      </w:pPr>
      <w:rPr>
        <w:rFonts w:ascii="Courier New" w:hAnsi="Courier New" w:hint="default"/>
      </w:rPr>
    </w:lvl>
    <w:lvl w:ilvl="8" w:tplc="797877BE">
      <w:start w:val="1"/>
      <w:numFmt w:val="bullet"/>
      <w:lvlText w:val=""/>
      <w:lvlJc w:val="left"/>
      <w:pPr>
        <w:ind w:left="6480" w:hanging="360"/>
      </w:pPr>
      <w:rPr>
        <w:rFonts w:ascii="Wingdings" w:hAnsi="Wingdings" w:hint="default"/>
      </w:rPr>
    </w:lvl>
  </w:abstractNum>
  <w:abstractNum w:abstractNumId="217" w15:restartNumberingAfterBreak="0">
    <w:nsid w:val="748C5DC5"/>
    <w:multiLevelType w:val="hybridMultilevel"/>
    <w:tmpl w:val="6628A65E"/>
    <w:lvl w:ilvl="0" w:tplc="6304ED5E">
      <w:start w:val="1"/>
      <w:numFmt w:val="decimal"/>
      <w:lvlText w:val="(%1)"/>
      <w:lvlJc w:val="right"/>
      <w:pPr>
        <w:ind w:left="1074" w:hanging="360"/>
      </w:pPr>
      <w:rPr>
        <w:rFonts w:hint="default"/>
      </w:rPr>
    </w:lvl>
    <w:lvl w:ilvl="1" w:tplc="0809001B">
      <w:start w:val="1"/>
      <w:numFmt w:val="lowerRoman"/>
      <w:lvlText w:val="%2."/>
      <w:lvlJc w:val="right"/>
      <w:pPr>
        <w:ind w:left="1794" w:hanging="360"/>
      </w:pPr>
    </w:lvl>
    <w:lvl w:ilvl="2" w:tplc="07ACA20E">
      <w:start w:val="49"/>
      <w:numFmt w:val="decimal"/>
      <w:lvlText w:val="%3)"/>
      <w:lvlJc w:val="left"/>
      <w:pPr>
        <w:ind w:left="2694" w:hanging="360"/>
      </w:pPr>
      <w:rPr>
        <w:rFonts w:hint="default"/>
      </w:rPr>
    </w:lvl>
    <w:lvl w:ilvl="3" w:tplc="0809000F" w:tentative="1">
      <w:start w:val="1"/>
      <w:numFmt w:val="decimal"/>
      <w:lvlText w:val="%4."/>
      <w:lvlJc w:val="left"/>
      <w:pPr>
        <w:ind w:left="3234" w:hanging="360"/>
      </w:pPr>
    </w:lvl>
    <w:lvl w:ilvl="4" w:tplc="08090019" w:tentative="1">
      <w:start w:val="1"/>
      <w:numFmt w:val="lowerLetter"/>
      <w:lvlText w:val="%5."/>
      <w:lvlJc w:val="left"/>
      <w:pPr>
        <w:ind w:left="3954" w:hanging="360"/>
      </w:pPr>
    </w:lvl>
    <w:lvl w:ilvl="5" w:tplc="0809001B" w:tentative="1">
      <w:start w:val="1"/>
      <w:numFmt w:val="lowerRoman"/>
      <w:lvlText w:val="%6."/>
      <w:lvlJc w:val="right"/>
      <w:pPr>
        <w:ind w:left="4674" w:hanging="180"/>
      </w:pPr>
    </w:lvl>
    <w:lvl w:ilvl="6" w:tplc="0809000F" w:tentative="1">
      <w:start w:val="1"/>
      <w:numFmt w:val="decimal"/>
      <w:lvlText w:val="%7."/>
      <w:lvlJc w:val="left"/>
      <w:pPr>
        <w:ind w:left="5394" w:hanging="360"/>
      </w:pPr>
    </w:lvl>
    <w:lvl w:ilvl="7" w:tplc="08090019" w:tentative="1">
      <w:start w:val="1"/>
      <w:numFmt w:val="lowerLetter"/>
      <w:lvlText w:val="%8."/>
      <w:lvlJc w:val="left"/>
      <w:pPr>
        <w:ind w:left="6114" w:hanging="360"/>
      </w:pPr>
    </w:lvl>
    <w:lvl w:ilvl="8" w:tplc="0809001B" w:tentative="1">
      <w:start w:val="1"/>
      <w:numFmt w:val="lowerRoman"/>
      <w:lvlText w:val="%9."/>
      <w:lvlJc w:val="right"/>
      <w:pPr>
        <w:ind w:left="6834" w:hanging="180"/>
      </w:pPr>
    </w:lvl>
  </w:abstractNum>
  <w:abstractNum w:abstractNumId="218" w15:restartNumberingAfterBreak="0">
    <w:nsid w:val="75F9197C"/>
    <w:multiLevelType w:val="hybridMultilevel"/>
    <w:tmpl w:val="B34AA6BA"/>
    <w:lvl w:ilvl="0" w:tplc="08090011">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9" w15:restartNumberingAfterBreak="0">
    <w:nsid w:val="76421E92"/>
    <w:multiLevelType w:val="hybridMultilevel"/>
    <w:tmpl w:val="E50EF50E"/>
    <w:lvl w:ilvl="0" w:tplc="7BBAF134">
      <w:start w:val="3"/>
      <w:numFmt w:val="bullet"/>
      <w:lvlText w:val="-"/>
      <w:lvlJc w:val="left"/>
      <w:pPr>
        <w:ind w:left="717" w:hanging="360"/>
      </w:pPr>
      <w:rPr>
        <w:rFonts w:ascii="Calibri" w:eastAsiaTheme="minorEastAsia" w:hAnsi="Calibri" w:cs="Calibri" w:hint="default"/>
        <w:spacing w:val="0"/>
      </w:rPr>
    </w:lvl>
    <w:lvl w:ilvl="1" w:tplc="08090019">
      <w:start w:val="1"/>
      <w:numFmt w:val="lowerLetter"/>
      <w:lvlText w:val="%2."/>
      <w:lvlJc w:val="left"/>
      <w:pPr>
        <w:ind w:left="1437" w:hanging="360"/>
      </w:pPr>
    </w:lvl>
    <w:lvl w:ilvl="2" w:tplc="0809001B" w:tentative="1">
      <w:start w:val="1"/>
      <w:numFmt w:val="lowerRoman"/>
      <w:lvlText w:val="%3."/>
      <w:lvlJc w:val="right"/>
      <w:pPr>
        <w:ind w:left="2157" w:hanging="180"/>
      </w:pPr>
    </w:lvl>
    <w:lvl w:ilvl="3" w:tplc="0809000F" w:tentative="1">
      <w:start w:val="1"/>
      <w:numFmt w:val="decimal"/>
      <w:lvlText w:val="%4."/>
      <w:lvlJc w:val="left"/>
      <w:pPr>
        <w:ind w:left="2877" w:hanging="360"/>
      </w:pPr>
    </w:lvl>
    <w:lvl w:ilvl="4" w:tplc="08090019" w:tentative="1">
      <w:start w:val="1"/>
      <w:numFmt w:val="lowerLetter"/>
      <w:lvlText w:val="%5."/>
      <w:lvlJc w:val="left"/>
      <w:pPr>
        <w:ind w:left="3597" w:hanging="360"/>
      </w:pPr>
    </w:lvl>
    <w:lvl w:ilvl="5" w:tplc="0809001B" w:tentative="1">
      <w:start w:val="1"/>
      <w:numFmt w:val="lowerRoman"/>
      <w:lvlText w:val="%6."/>
      <w:lvlJc w:val="right"/>
      <w:pPr>
        <w:ind w:left="4317" w:hanging="180"/>
      </w:pPr>
    </w:lvl>
    <w:lvl w:ilvl="6" w:tplc="0809000F" w:tentative="1">
      <w:start w:val="1"/>
      <w:numFmt w:val="decimal"/>
      <w:lvlText w:val="%7."/>
      <w:lvlJc w:val="left"/>
      <w:pPr>
        <w:ind w:left="5037" w:hanging="360"/>
      </w:pPr>
    </w:lvl>
    <w:lvl w:ilvl="7" w:tplc="08090019" w:tentative="1">
      <w:start w:val="1"/>
      <w:numFmt w:val="lowerLetter"/>
      <w:lvlText w:val="%8."/>
      <w:lvlJc w:val="left"/>
      <w:pPr>
        <w:ind w:left="5757" w:hanging="360"/>
      </w:pPr>
    </w:lvl>
    <w:lvl w:ilvl="8" w:tplc="0809001B" w:tentative="1">
      <w:start w:val="1"/>
      <w:numFmt w:val="lowerRoman"/>
      <w:lvlText w:val="%9."/>
      <w:lvlJc w:val="right"/>
      <w:pPr>
        <w:ind w:left="6477" w:hanging="180"/>
      </w:pPr>
    </w:lvl>
  </w:abstractNum>
  <w:abstractNum w:abstractNumId="220" w15:restartNumberingAfterBreak="0">
    <w:nsid w:val="769800E2"/>
    <w:multiLevelType w:val="multilevel"/>
    <w:tmpl w:val="60228A3C"/>
    <w:lvl w:ilvl="0">
      <w:numFmt w:val="none"/>
      <w:lvlText w:val=""/>
      <w:lvlJc w:val="left"/>
      <w:pPr>
        <w:tabs>
          <w:tab w:val="num" w:pos="360"/>
        </w:tabs>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1" w15:restartNumberingAfterBreak="0">
    <w:nsid w:val="776E0D5E"/>
    <w:multiLevelType w:val="hybridMultilevel"/>
    <w:tmpl w:val="1450BE3C"/>
    <w:lvl w:ilvl="0" w:tplc="6E3E9BC8">
      <w:start w:val="1"/>
      <w:numFmt w:val="decimal"/>
      <w:lvlText w:val="%1)"/>
      <w:lvlJc w:val="left"/>
      <w:pPr>
        <w:ind w:left="1077" w:hanging="360"/>
      </w:pPr>
      <w:rPr>
        <w:rFonts w:hint="default"/>
      </w:rPr>
    </w:lvl>
    <w:lvl w:ilvl="1" w:tplc="08090003" w:tentative="1">
      <w:start w:val="1"/>
      <w:numFmt w:val="bullet"/>
      <w:lvlText w:val="o"/>
      <w:lvlJc w:val="left"/>
      <w:pPr>
        <w:ind w:left="1797" w:hanging="360"/>
      </w:pPr>
      <w:rPr>
        <w:rFonts w:ascii="Courier New" w:hAnsi="Courier New" w:cs="Courier New" w:hint="default"/>
      </w:rPr>
    </w:lvl>
    <w:lvl w:ilvl="2" w:tplc="08090005" w:tentative="1">
      <w:start w:val="1"/>
      <w:numFmt w:val="bullet"/>
      <w:lvlText w:val=""/>
      <w:lvlJc w:val="left"/>
      <w:pPr>
        <w:ind w:left="2517" w:hanging="360"/>
      </w:pPr>
      <w:rPr>
        <w:rFonts w:ascii="Wingdings" w:hAnsi="Wingdings" w:hint="default"/>
      </w:rPr>
    </w:lvl>
    <w:lvl w:ilvl="3" w:tplc="08090001" w:tentative="1">
      <w:start w:val="1"/>
      <w:numFmt w:val="bullet"/>
      <w:lvlText w:val=""/>
      <w:lvlJc w:val="left"/>
      <w:pPr>
        <w:ind w:left="3237" w:hanging="360"/>
      </w:pPr>
      <w:rPr>
        <w:rFonts w:ascii="Symbol" w:hAnsi="Symbol" w:hint="default"/>
      </w:rPr>
    </w:lvl>
    <w:lvl w:ilvl="4" w:tplc="08090003" w:tentative="1">
      <w:start w:val="1"/>
      <w:numFmt w:val="bullet"/>
      <w:lvlText w:val="o"/>
      <w:lvlJc w:val="left"/>
      <w:pPr>
        <w:ind w:left="3957" w:hanging="360"/>
      </w:pPr>
      <w:rPr>
        <w:rFonts w:ascii="Courier New" w:hAnsi="Courier New" w:cs="Courier New" w:hint="default"/>
      </w:rPr>
    </w:lvl>
    <w:lvl w:ilvl="5" w:tplc="08090005" w:tentative="1">
      <w:start w:val="1"/>
      <w:numFmt w:val="bullet"/>
      <w:lvlText w:val=""/>
      <w:lvlJc w:val="left"/>
      <w:pPr>
        <w:ind w:left="4677" w:hanging="360"/>
      </w:pPr>
      <w:rPr>
        <w:rFonts w:ascii="Wingdings" w:hAnsi="Wingdings" w:hint="default"/>
      </w:rPr>
    </w:lvl>
    <w:lvl w:ilvl="6" w:tplc="08090001" w:tentative="1">
      <w:start w:val="1"/>
      <w:numFmt w:val="bullet"/>
      <w:lvlText w:val=""/>
      <w:lvlJc w:val="left"/>
      <w:pPr>
        <w:ind w:left="5397" w:hanging="360"/>
      </w:pPr>
      <w:rPr>
        <w:rFonts w:ascii="Symbol" w:hAnsi="Symbol" w:hint="default"/>
      </w:rPr>
    </w:lvl>
    <w:lvl w:ilvl="7" w:tplc="08090003" w:tentative="1">
      <w:start w:val="1"/>
      <w:numFmt w:val="bullet"/>
      <w:lvlText w:val="o"/>
      <w:lvlJc w:val="left"/>
      <w:pPr>
        <w:ind w:left="6117" w:hanging="360"/>
      </w:pPr>
      <w:rPr>
        <w:rFonts w:ascii="Courier New" w:hAnsi="Courier New" w:cs="Courier New" w:hint="default"/>
      </w:rPr>
    </w:lvl>
    <w:lvl w:ilvl="8" w:tplc="08090005" w:tentative="1">
      <w:start w:val="1"/>
      <w:numFmt w:val="bullet"/>
      <w:lvlText w:val=""/>
      <w:lvlJc w:val="left"/>
      <w:pPr>
        <w:ind w:left="6837" w:hanging="360"/>
      </w:pPr>
      <w:rPr>
        <w:rFonts w:ascii="Wingdings" w:hAnsi="Wingdings" w:hint="default"/>
      </w:rPr>
    </w:lvl>
  </w:abstractNum>
  <w:abstractNum w:abstractNumId="222" w15:restartNumberingAfterBreak="0">
    <w:nsid w:val="77751EC2"/>
    <w:multiLevelType w:val="hybridMultilevel"/>
    <w:tmpl w:val="1C8441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3" w15:restartNumberingAfterBreak="0">
    <w:nsid w:val="784C5B2C"/>
    <w:multiLevelType w:val="hybridMultilevel"/>
    <w:tmpl w:val="FE86E734"/>
    <w:lvl w:ilvl="0" w:tplc="8D5EDCB0">
      <w:start w:val="7"/>
      <w:numFmt w:val="decimal"/>
      <w:lvlText w:val="%1)"/>
      <w:lvlJc w:val="left"/>
      <w:pPr>
        <w:ind w:left="1077"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4" w15:restartNumberingAfterBreak="0">
    <w:nsid w:val="78B342BF"/>
    <w:multiLevelType w:val="hybridMultilevel"/>
    <w:tmpl w:val="D138C750"/>
    <w:lvl w:ilvl="0" w:tplc="E08E51BC">
      <w:start w:val="1"/>
      <w:numFmt w:val="decimal"/>
      <w:lvlText w:val="%1."/>
      <w:lvlJc w:val="left"/>
      <w:pPr>
        <w:ind w:left="720" w:hanging="360"/>
      </w:pPr>
    </w:lvl>
    <w:lvl w:ilvl="1" w:tplc="2146E71E">
      <w:start w:val="1"/>
      <w:numFmt w:val="lowerLetter"/>
      <w:lvlText w:val="%2."/>
      <w:lvlJc w:val="left"/>
      <w:pPr>
        <w:ind w:left="1440" w:hanging="360"/>
      </w:pPr>
    </w:lvl>
    <w:lvl w:ilvl="2" w:tplc="E92E1150">
      <w:start w:val="1"/>
      <w:numFmt w:val="lowerRoman"/>
      <w:lvlText w:val="%3."/>
      <w:lvlJc w:val="right"/>
      <w:pPr>
        <w:ind w:left="2160" w:hanging="180"/>
      </w:pPr>
    </w:lvl>
    <w:lvl w:ilvl="3" w:tplc="6A42ECD8">
      <w:start w:val="1"/>
      <w:numFmt w:val="decimal"/>
      <w:lvlText w:val="%4."/>
      <w:lvlJc w:val="left"/>
      <w:pPr>
        <w:ind w:left="2880" w:hanging="360"/>
      </w:pPr>
    </w:lvl>
    <w:lvl w:ilvl="4" w:tplc="C83E71FA">
      <w:start w:val="1"/>
      <w:numFmt w:val="lowerLetter"/>
      <w:lvlText w:val="%5."/>
      <w:lvlJc w:val="left"/>
      <w:pPr>
        <w:ind w:left="3600" w:hanging="360"/>
      </w:pPr>
    </w:lvl>
    <w:lvl w:ilvl="5" w:tplc="ED12556C">
      <w:start w:val="1"/>
      <w:numFmt w:val="lowerRoman"/>
      <w:lvlText w:val="%6."/>
      <w:lvlJc w:val="right"/>
      <w:pPr>
        <w:ind w:left="4320" w:hanging="180"/>
      </w:pPr>
    </w:lvl>
    <w:lvl w:ilvl="6" w:tplc="A7202864">
      <w:start w:val="1"/>
      <w:numFmt w:val="decimal"/>
      <w:lvlText w:val="%7."/>
      <w:lvlJc w:val="left"/>
      <w:pPr>
        <w:ind w:left="5040" w:hanging="360"/>
      </w:pPr>
    </w:lvl>
    <w:lvl w:ilvl="7" w:tplc="F20A0F82">
      <w:start w:val="1"/>
      <w:numFmt w:val="lowerLetter"/>
      <w:lvlText w:val="%8."/>
      <w:lvlJc w:val="left"/>
      <w:pPr>
        <w:ind w:left="5760" w:hanging="360"/>
      </w:pPr>
    </w:lvl>
    <w:lvl w:ilvl="8" w:tplc="47E8F52C">
      <w:start w:val="1"/>
      <w:numFmt w:val="lowerRoman"/>
      <w:lvlText w:val="%9."/>
      <w:lvlJc w:val="right"/>
      <w:pPr>
        <w:ind w:left="6480" w:hanging="180"/>
      </w:pPr>
    </w:lvl>
  </w:abstractNum>
  <w:abstractNum w:abstractNumId="225" w15:restartNumberingAfterBreak="0">
    <w:nsid w:val="78FD639B"/>
    <w:multiLevelType w:val="hybridMultilevel"/>
    <w:tmpl w:val="1488EB0C"/>
    <w:lvl w:ilvl="0" w:tplc="EA4AD4DC">
      <w:start w:val="1"/>
      <w:numFmt w:val="bullet"/>
      <w:lvlText w:val=""/>
      <w:lvlJc w:val="left"/>
      <w:pPr>
        <w:ind w:left="720" w:hanging="360"/>
      </w:pPr>
      <w:rPr>
        <w:rFonts w:ascii="Symbol" w:hAnsi="Symbol" w:hint="default"/>
        <w:color w:val="C0504D" w:themeColor="accent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6" w15:restartNumberingAfterBreak="0">
    <w:nsid w:val="796603CE"/>
    <w:multiLevelType w:val="hybridMultilevel"/>
    <w:tmpl w:val="480A2296"/>
    <w:lvl w:ilvl="0" w:tplc="3B9C276A">
      <w:start w:val="1"/>
      <w:numFmt w:val="bullet"/>
      <w:lvlText w:val="·"/>
      <w:lvlJc w:val="left"/>
      <w:pPr>
        <w:ind w:left="720" w:hanging="360"/>
      </w:pPr>
      <w:rPr>
        <w:rFonts w:ascii="Symbol" w:hAnsi="Symbol" w:hint="default"/>
      </w:rPr>
    </w:lvl>
    <w:lvl w:ilvl="1" w:tplc="53D46DD8">
      <w:start w:val="1"/>
      <w:numFmt w:val="bullet"/>
      <w:lvlText w:val="o"/>
      <w:lvlJc w:val="left"/>
      <w:pPr>
        <w:ind w:left="1440" w:hanging="360"/>
      </w:pPr>
      <w:rPr>
        <w:rFonts w:ascii="Courier New" w:hAnsi="Courier New" w:hint="default"/>
      </w:rPr>
    </w:lvl>
    <w:lvl w:ilvl="2" w:tplc="669268E0">
      <w:start w:val="1"/>
      <w:numFmt w:val="bullet"/>
      <w:lvlText w:val=""/>
      <w:lvlJc w:val="left"/>
      <w:pPr>
        <w:ind w:left="2160" w:hanging="360"/>
      </w:pPr>
      <w:rPr>
        <w:rFonts w:ascii="Wingdings" w:hAnsi="Wingdings" w:hint="default"/>
      </w:rPr>
    </w:lvl>
    <w:lvl w:ilvl="3" w:tplc="DA72C43E">
      <w:start w:val="1"/>
      <w:numFmt w:val="bullet"/>
      <w:lvlText w:val=""/>
      <w:lvlJc w:val="left"/>
      <w:pPr>
        <w:ind w:left="2880" w:hanging="360"/>
      </w:pPr>
      <w:rPr>
        <w:rFonts w:ascii="Symbol" w:hAnsi="Symbol" w:hint="default"/>
      </w:rPr>
    </w:lvl>
    <w:lvl w:ilvl="4" w:tplc="F76A5DB8">
      <w:start w:val="1"/>
      <w:numFmt w:val="bullet"/>
      <w:lvlText w:val="o"/>
      <w:lvlJc w:val="left"/>
      <w:pPr>
        <w:ind w:left="3600" w:hanging="360"/>
      </w:pPr>
      <w:rPr>
        <w:rFonts w:ascii="Courier New" w:hAnsi="Courier New" w:hint="default"/>
      </w:rPr>
    </w:lvl>
    <w:lvl w:ilvl="5" w:tplc="DC8209F2">
      <w:start w:val="1"/>
      <w:numFmt w:val="bullet"/>
      <w:lvlText w:val=""/>
      <w:lvlJc w:val="left"/>
      <w:pPr>
        <w:ind w:left="4320" w:hanging="360"/>
      </w:pPr>
      <w:rPr>
        <w:rFonts w:ascii="Wingdings" w:hAnsi="Wingdings" w:hint="default"/>
      </w:rPr>
    </w:lvl>
    <w:lvl w:ilvl="6" w:tplc="FA16E598">
      <w:start w:val="1"/>
      <w:numFmt w:val="bullet"/>
      <w:lvlText w:val=""/>
      <w:lvlJc w:val="left"/>
      <w:pPr>
        <w:ind w:left="5040" w:hanging="360"/>
      </w:pPr>
      <w:rPr>
        <w:rFonts w:ascii="Symbol" w:hAnsi="Symbol" w:hint="default"/>
      </w:rPr>
    </w:lvl>
    <w:lvl w:ilvl="7" w:tplc="81DEC4DA">
      <w:start w:val="1"/>
      <w:numFmt w:val="bullet"/>
      <w:lvlText w:val="o"/>
      <w:lvlJc w:val="left"/>
      <w:pPr>
        <w:ind w:left="5760" w:hanging="360"/>
      </w:pPr>
      <w:rPr>
        <w:rFonts w:ascii="Courier New" w:hAnsi="Courier New" w:hint="default"/>
      </w:rPr>
    </w:lvl>
    <w:lvl w:ilvl="8" w:tplc="57A6DF18">
      <w:start w:val="1"/>
      <w:numFmt w:val="bullet"/>
      <w:lvlText w:val=""/>
      <w:lvlJc w:val="left"/>
      <w:pPr>
        <w:ind w:left="6480" w:hanging="360"/>
      </w:pPr>
      <w:rPr>
        <w:rFonts w:ascii="Wingdings" w:hAnsi="Wingdings" w:hint="default"/>
      </w:rPr>
    </w:lvl>
  </w:abstractNum>
  <w:abstractNum w:abstractNumId="227" w15:restartNumberingAfterBreak="0">
    <w:nsid w:val="7BE95C91"/>
    <w:multiLevelType w:val="hybridMultilevel"/>
    <w:tmpl w:val="EEBE78CC"/>
    <w:lvl w:ilvl="0" w:tplc="9112CD98">
      <w:start w:val="1"/>
      <w:numFmt w:val="bullet"/>
      <w:lvlText w:val="·"/>
      <w:lvlJc w:val="left"/>
      <w:pPr>
        <w:ind w:left="720" w:hanging="360"/>
      </w:pPr>
      <w:rPr>
        <w:rFonts w:ascii="Symbol" w:hAnsi="Symbol" w:hint="default"/>
      </w:rPr>
    </w:lvl>
    <w:lvl w:ilvl="1" w:tplc="E7CE7B2C">
      <w:start w:val="1"/>
      <w:numFmt w:val="bullet"/>
      <w:lvlText w:val="o"/>
      <w:lvlJc w:val="left"/>
      <w:pPr>
        <w:ind w:left="1440" w:hanging="360"/>
      </w:pPr>
      <w:rPr>
        <w:rFonts w:ascii="Courier New" w:hAnsi="Courier New" w:hint="default"/>
      </w:rPr>
    </w:lvl>
    <w:lvl w:ilvl="2" w:tplc="DF7AEEB0">
      <w:start w:val="1"/>
      <w:numFmt w:val="bullet"/>
      <w:lvlText w:val=""/>
      <w:lvlJc w:val="left"/>
      <w:pPr>
        <w:ind w:left="2160" w:hanging="360"/>
      </w:pPr>
      <w:rPr>
        <w:rFonts w:ascii="Wingdings" w:hAnsi="Wingdings" w:hint="default"/>
      </w:rPr>
    </w:lvl>
    <w:lvl w:ilvl="3" w:tplc="567079B8">
      <w:start w:val="1"/>
      <w:numFmt w:val="bullet"/>
      <w:lvlText w:val=""/>
      <w:lvlJc w:val="left"/>
      <w:pPr>
        <w:ind w:left="2880" w:hanging="360"/>
      </w:pPr>
      <w:rPr>
        <w:rFonts w:ascii="Symbol" w:hAnsi="Symbol" w:hint="default"/>
      </w:rPr>
    </w:lvl>
    <w:lvl w:ilvl="4" w:tplc="117E7A42">
      <w:start w:val="1"/>
      <w:numFmt w:val="bullet"/>
      <w:lvlText w:val="o"/>
      <w:lvlJc w:val="left"/>
      <w:pPr>
        <w:ind w:left="3600" w:hanging="360"/>
      </w:pPr>
      <w:rPr>
        <w:rFonts w:ascii="Courier New" w:hAnsi="Courier New" w:hint="default"/>
      </w:rPr>
    </w:lvl>
    <w:lvl w:ilvl="5" w:tplc="CB6EE380">
      <w:start w:val="1"/>
      <w:numFmt w:val="bullet"/>
      <w:lvlText w:val=""/>
      <w:lvlJc w:val="left"/>
      <w:pPr>
        <w:ind w:left="4320" w:hanging="360"/>
      </w:pPr>
      <w:rPr>
        <w:rFonts w:ascii="Wingdings" w:hAnsi="Wingdings" w:hint="default"/>
      </w:rPr>
    </w:lvl>
    <w:lvl w:ilvl="6" w:tplc="59767F2C">
      <w:start w:val="1"/>
      <w:numFmt w:val="bullet"/>
      <w:lvlText w:val=""/>
      <w:lvlJc w:val="left"/>
      <w:pPr>
        <w:ind w:left="5040" w:hanging="360"/>
      </w:pPr>
      <w:rPr>
        <w:rFonts w:ascii="Symbol" w:hAnsi="Symbol" w:hint="default"/>
      </w:rPr>
    </w:lvl>
    <w:lvl w:ilvl="7" w:tplc="5C42EC84">
      <w:start w:val="1"/>
      <w:numFmt w:val="bullet"/>
      <w:lvlText w:val="o"/>
      <w:lvlJc w:val="left"/>
      <w:pPr>
        <w:ind w:left="5760" w:hanging="360"/>
      </w:pPr>
      <w:rPr>
        <w:rFonts w:ascii="Courier New" w:hAnsi="Courier New" w:hint="default"/>
      </w:rPr>
    </w:lvl>
    <w:lvl w:ilvl="8" w:tplc="3EBE8B9C">
      <w:start w:val="1"/>
      <w:numFmt w:val="bullet"/>
      <w:lvlText w:val=""/>
      <w:lvlJc w:val="left"/>
      <w:pPr>
        <w:ind w:left="6480" w:hanging="360"/>
      </w:pPr>
      <w:rPr>
        <w:rFonts w:ascii="Wingdings" w:hAnsi="Wingdings" w:hint="default"/>
      </w:rPr>
    </w:lvl>
  </w:abstractNum>
  <w:abstractNum w:abstractNumId="228" w15:restartNumberingAfterBreak="0">
    <w:nsid w:val="7C257D43"/>
    <w:multiLevelType w:val="hybridMultilevel"/>
    <w:tmpl w:val="5C8A7378"/>
    <w:lvl w:ilvl="0" w:tplc="FFFFFFFF">
      <w:start w:val="1"/>
      <w:numFmt w:val="lowerLetter"/>
      <w:lvlText w:val="%1)"/>
      <w:lvlJc w:val="left"/>
      <w:pPr>
        <w:ind w:left="445" w:hanging="360"/>
      </w:pPr>
    </w:lvl>
    <w:lvl w:ilvl="1" w:tplc="08090019" w:tentative="1">
      <w:start w:val="1"/>
      <w:numFmt w:val="lowerLetter"/>
      <w:lvlText w:val="%2."/>
      <w:lvlJc w:val="left"/>
      <w:pPr>
        <w:ind w:left="1165" w:hanging="360"/>
      </w:pPr>
    </w:lvl>
    <w:lvl w:ilvl="2" w:tplc="0809001B" w:tentative="1">
      <w:start w:val="1"/>
      <w:numFmt w:val="lowerRoman"/>
      <w:lvlText w:val="%3."/>
      <w:lvlJc w:val="right"/>
      <w:pPr>
        <w:ind w:left="1885" w:hanging="180"/>
      </w:pPr>
    </w:lvl>
    <w:lvl w:ilvl="3" w:tplc="0809000F" w:tentative="1">
      <w:start w:val="1"/>
      <w:numFmt w:val="decimal"/>
      <w:lvlText w:val="%4."/>
      <w:lvlJc w:val="left"/>
      <w:pPr>
        <w:ind w:left="2605" w:hanging="360"/>
      </w:pPr>
    </w:lvl>
    <w:lvl w:ilvl="4" w:tplc="08090019" w:tentative="1">
      <w:start w:val="1"/>
      <w:numFmt w:val="lowerLetter"/>
      <w:lvlText w:val="%5."/>
      <w:lvlJc w:val="left"/>
      <w:pPr>
        <w:ind w:left="3325" w:hanging="360"/>
      </w:pPr>
    </w:lvl>
    <w:lvl w:ilvl="5" w:tplc="0809001B" w:tentative="1">
      <w:start w:val="1"/>
      <w:numFmt w:val="lowerRoman"/>
      <w:lvlText w:val="%6."/>
      <w:lvlJc w:val="right"/>
      <w:pPr>
        <w:ind w:left="4045" w:hanging="180"/>
      </w:pPr>
    </w:lvl>
    <w:lvl w:ilvl="6" w:tplc="0809000F" w:tentative="1">
      <w:start w:val="1"/>
      <w:numFmt w:val="decimal"/>
      <w:lvlText w:val="%7."/>
      <w:lvlJc w:val="left"/>
      <w:pPr>
        <w:ind w:left="4765" w:hanging="360"/>
      </w:pPr>
    </w:lvl>
    <w:lvl w:ilvl="7" w:tplc="08090019" w:tentative="1">
      <w:start w:val="1"/>
      <w:numFmt w:val="lowerLetter"/>
      <w:lvlText w:val="%8."/>
      <w:lvlJc w:val="left"/>
      <w:pPr>
        <w:ind w:left="5485" w:hanging="360"/>
      </w:pPr>
    </w:lvl>
    <w:lvl w:ilvl="8" w:tplc="0809001B" w:tentative="1">
      <w:start w:val="1"/>
      <w:numFmt w:val="lowerRoman"/>
      <w:lvlText w:val="%9."/>
      <w:lvlJc w:val="right"/>
      <w:pPr>
        <w:ind w:left="6205" w:hanging="180"/>
      </w:pPr>
    </w:lvl>
  </w:abstractNum>
  <w:abstractNum w:abstractNumId="229" w15:restartNumberingAfterBreak="0">
    <w:nsid w:val="7F6C167D"/>
    <w:multiLevelType w:val="hybridMultilevel"/>
    <w:tmpl w:val="FD787130"/>
    <w:lvl w:ilvl="0" w:tplc="A9EA0F4C">
      <w:start w:val="1"/>
      <w:numFmt w:val="bullet"/>
      <w:lvlText w:val="·"/>
      <w:lvlJc w:val="left"/>
      <w:pPr>
        <w:ind w:left="720" w:hanging="360"/>
      </w:pPr>
      <w:rPr>
        <w:rFonts w:ascii="Symbol" w:hAnsi="Symbol" w:hint="default"/>
      </w:rPr>
    </w:lvl>
    <w:lvl w:ilvl="1" w:tplc="50567486">
      <w:start w:val="1"/>
      <w:numFmt w:val="bullet"/>
      <w:lvlText w:val="o"/>
      <w:lvlJc w:val="left"/>
      <w:pPr>
        <w:ind w:left="1440" w:hanging="360"/>
      </w:pPr>
      <w:rPr>
        <w:rFonts w:ascii="Courier New" w:hAnsi="Courier New" w:hint="default"/>
      </w:rPr>
    </w:lvl>
    <w:lvl w:ilvl="2" w:tplc="B8205350">
      <w:start w:val="1"/>
      <w:numFmt w:val="bullet"/>
      <w:lvlText w:val=""/>
      <w:lvlJc w:val="left"/>
      <w:pPr>
        <w:ind w:left="2160" w:hanging="360"/>
      </w:pPr>
      <w:rPr>
        <w:rFonts w:ascii="Wingdings" w:hAnsi="Wingdings" w:hint="default"/>
      </w:rPr>
    </w:lvl>
    <w:lvl w:ilvl="3" w:tplc="B8CC0EFA">
      <w:start w:val="1"/>
      <w:numFmt w:val="bullet"/>
      <w:lvlText w:val=""/>
      <w:lvlJc w:val="left"/>
      <w:pPr>
        <w:ind w:left="2880" w:hanging="360"/>
      </w:pPr>
      <w:rPr>
        <w:rFonts w:ascii="Symbol" w:hAnsi="Symbol" w:hint="default"/>
      </w:rPr>
    </w:lvl>
    <w:lvl w:ilvl="4" w:tplc="073008D4">
      <w:start w:val="1"/>
      <w:numFmt w:val="bullet"/>
      <w:lvlText w:val="o"/>
      <w:lvlJc w:val="left"/>
      <w:pPr>
        <w:ind w:left="3600" w:hanging="360"/>
      </w:pPr>
      <w:rPr>
        <w:rFonts w:ascii="Courier New" w:hAnsi="Courier New" w:hint="default"/>
      </w:rPr>
    </w:lvl>
    <w:lvl w:ilvl="5" w:tplc="256C21A4">
      <w:start w:val="1"/>
      <w:numFmt w:val="bullet"/>
      <w:lvlText w:val=""/>
      <w:lvlJc w:val="left"/>
      <w:pPr>
        <w:ind w:left="4320" w:hanging="360"/>
      </w:pPr>
      <w:rPr>
        <w:rFonts w:ascii="Wingdings" w:hAnsi="Wingdings" w:hint="default"/>
      </w:rPr>
    </w:lvl>
    <w:lvl w:ilvl="6" w:tplc="F8463EDC">
      <w:start w:val="1"/>
      <w:numFmt w:val="bullet"/>
      <w:lvlText w:val=""/>
      <w:lvlJc w:val="left"/>
      <w:pPr>
        <w:ind w:left="5040" w:hanging="360"/>
      </w:pPr>
      <w:rPr>
        <w:rFonts w:ascii="Symbol" w:hAnsi="Symbol" w:hint="default"/>
      </w:rPr>
    </w:lvl>
    <w:lvl w:ilvl="7" w:tplc="D2B87EBA">
      <w:start w:val="1"/>
      <w:numFmt w:val="bullet"/>
      <w:lvlText w:val="o"/>
      <w:lvlJc w:val="left"/>
      <w:pPr>
        <w:ind w:left="5760" w:hanging="360"/>
      </w:pPr>
      <w:rPr>
        <w:rFonts w:ascii="Courier New" w:hAnsi="Courier New" w:hint="default"/>
      </w:rPr>
    </w:lvl>
    <w:lvl w:ilvl="8" w:tplc="3BC43D70">
      <w:start w:val="1"/>
      <w:numFmt w:val="bullet"/>
      <w:lvlText w:val=""/>
      <w:lvlJc w:val="left"/>
      <w:pPr>
        <w:ind w:left="6480" w:hanging="360"/>
      </w:pPr>
      <w:rPr>
        <w:rFonts w:ascii="Wingdings" w:hAnsi="Wingdings" w:hint="default"/>
      </w:rPr>
    </w:lvl>
  </w:abstractNum>
  <w:abstractNum w:abstractNumId="230" w15:restartNumberingAfterBreak="0">
    <w:nsid w:val="7F8D17A9"/>
    <w:multiLevelType w:val="hybridMultilevel"/>
    <w:tmpl w:val="E9A02EF4"/>
    <w:lvl w:ilvl="0" w:tplc="9728763A">
      <w:start w:val="1"/>
      <w:numFmt w:val="decimal"/>
      <w:lvlText w:val="%1."/>
      <w:lvlJc w:val="left"/>
      <w:pPr>
        <w:ind w:left="720" w:hanging="360"/>
      </w:pPr>
    </w:lvl>
    <w:lvl w:ilvl="1" w:tplc="225C9C58">
      <w:start w:val="1"/>
      <w:numFmt w:val="lowerLetter"/>
      <w:lvlText w:val="%2."/>
      <w:lvlJc w:val="left"/>
      <w:pPr>
        <w:ind w:left="1440" w:hanging="360"/>
      </w:pPr>
    </w:lvl>
    <w:lvl w:ilvl="2" w:tplc="46D011E6">
      <w:start w:val="1"/>
      <w:numFmt w:val="lowerRoman"/>
      <w:lvlText w:val="%3."/>
      <w:lvlJc w:val="right"/>
      <w:pPr>
        <w:ind w:left="2160" w:hanging="180"/>
      </w:pPr>
    </w:lvl>
    <w:lvl w:ilvl="3" w:tplc="21E242DC">
      <w:start w:val="1"/>
      <w:numFmt w:val="decimal"/>
      <w:lvlText w:val="%4."/>
      <w:lvlJc w:val="left"/>
      <w:pPr>
        <w:ind w:left="2880" w:hanging="360"/>
      </w:pPr>
    </w:lvl>
    <w:lvl w:ilvl="4" w:tplc="429A8DFA">
      <w:start w:val="1"/>
      <w:numFmt w:val="lowerLetter"/>
      <w:lvlText w:val="%5."/>
      <w:lvlJc w:val="left"/>
      <w:pPr>
        <w:ind w:left="3600" w:hanging="360"/>
      </w:pPr>
    </w:lvl>
    <w:lvl w:ilvl="5" w:tplc="150003FC">
      <w:start w:val="1"/>
      <w:numFmt w:val="lowerRoman"/>
      <w:lvlText w:val="%6."/>
      <w:lvlJc w:val="right"/>
      <w:pPr>
        <w:ind w:left="4320" w:hanging="180"/>
      </w:pPr>
    </w:lvl>
    <w:lvl w:ilvl="6" w:tplc="5DC6F0D2">
      <w:start w:val="1"/>
      <w:numFmt w:val="decimal"/>
      <w:lvlText w:val="%7."/>
      <w:lvlJc w:val="left"/>
      <w:pPr>
        <w:ind w:left="5040" w:hanging="360"/>
      </w:pPr>
    </w:lvl>
    <w:lvl w:ilvl="7" w:tplc="2C6C74FC">
      <w:start w:val="1"/>
      <w:numFmt w:val="lowerLetter"/>
      <w:lvlText w:val="%8."/>
      <w:lvlJc w:val="left"/>
      <w:pPr>
        <w:ind w:left="5760" w:hanging="360"/>
      </w:pPr>
    </w:lvl>
    <w:lvl w:ilvl="8" w:tplc="81BA3E1A">
      <w:start w:val="1"/>
      <w:numFmt w:val="lowerRoman"/>
      <w:lvlText w:val="%9."/>
      <w:lvlJc w:val="right"/>
      <w:pPr>
        <w:ind w:left="6480" w:hanging="180"/>
      </w:pPr>
    </w:lvl>
  </w:abstractNum>
  <w:abstractNum w:abstractNumId="231" w15:restartNumberingAfterBreak="0">
    <w:nsid w:val="7FC8025A"/>
    <w:multiLevelType w:val="hybridMultilevel"/>
    <w:tmpl w:val="B372CD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559516453">
    <w:abstractNumId w:val="4"/>
  </w:num>
  <w:num w:numId="2" w16cid:durableId="690453233">
    <w:abstractNumId w:val="47"/>
  </w:num>
  <w:num w:numId="3" w16cid:durableId="408894009">
    <w:abstractNumId w:val="148"/>
  </w:num>
  <w:num w:numId="4" w16cid:durableId="1919633112">
    <w:abstractNumId w:val="227"/>
  </w:num>
  <w:num w:numId="5" w16cid:durableId="420838169">
    <w:abstractNumId w:val="83"/>
  </w:num>
  <w:num w:numId="6" w16cid:durableId="798574101">
    <w:abstractNumId w:val="139"/>
  </w:num>
  <w:num w:numId="7" w16cid:durableId="954096003">
    <w:abstractNumId w:val="226"/>
  </w:num>
  <w:num w:numId="8" w16cid:durableId="1864900861">
    <w:abstractNumId w:val="63"/>
  </w:num>
  <w:num w:numId="9" w16cid:durableId="1848328016">
    <w:abstractNumId w:val="100"/>
  </w:num>
  <w:num w:numId="10" w16cid:durableId="1130518867">
    <w:abstractNumId w:val="37"/>
  </w:num>
  <w:num w:numId="11" w16cid:durableId="1888906822">
    <w:abstractNumId w:val="111"/>
  </w:num>
  <w:num w:numId="12" w16cid:durableId="1668366544">
    <w:abstractNumId w:val="230"/>
  </w:num>
  <w:num w:numId="13" w16cid:durableId="185753860">
    <w:abstractNumId w:val="224"/>
  </w:num>
  <w:num w:numId="14" w16cid:durableId="2029483525">
    <w:abstractNumId w:val="95"/>
  </w:num>
  <w:num w:numId="15" w16cid:durableId="491681387">
    <w:abstractNumId w:val="174"/>
  </w:num>
  <w:num w:numId="16" w16cid:durableId="1840536434">
    <w:abstractNumId w:val="205"/>
  </w:num>
  <w:num w:numId="17" w16cid:durableId="1545412256">
    <w:abstractNumId w:val="56"/>
  </w:num>
  <w:num w:numId="18" w16cid:durableId="1777358805">
    <w:abstractNumId w:val="187"/>
  </w:num>
  <w:num w:numId="19" w16cid:durableId="150366757">
    <w:abstractNumId w:val="127"/>
  </w:num>
  <w:num w:numId="20" w16cid:durableId="1867600646">
    <w:abstractNumId w:val="38"/>
  </w:num>
  <w:num w:numId="21" w16cid:durableId="537206924">
    <w:abstractNumId w:val="229"/>
  </w:num>
  <w:num w:numId="22" w16cid:durableId="2021462974">
    <w:abstractNumId w:val="101"/>
  </w:num>
  <w:num w:numId="23" w16cid:durableId="1690135955">
    <w:abstractNumId w:val="13"/>
  </w:num>
  <w:num w:numId="24" w16cid:durableId="713426072">
    <w:abstractNumId w:val="97"/>
  </w:num>
  <w:num w:numId="25" w16cid:durableId="857157954">
    <w:abstractNumId w:val="15"/>
  </w:num>
  <w:num w:numId="26" w16cid:durableId="1175726382">
    <w:abstractNumId w:val="176"/>
  </w:num>
  <w:num w:numId="27" w16cid:durableId="1281956176">
    <w:abstractNumId w:val="208"/>
  </w:num>
  <w:num w:numId="28" w16cid:durableId="716124321">
    <w:abstractNumId w:val="210"/>
  </w:num>
  <w:num w:numId="29" w16cid:durableId="2076973672">
    <w:abstractNumId w:val="203"/>
  </w:num>
  <w:num w:numId="30" w16cid:durableId="1058284757">
    <w:abstractNumId w:val="75"/>
  </w:num>
  <w:num w:numId="31" w16cid:durableId="1293318361">
    <w:abstractNumId w:val="54"/>
  </w:num>
  <w:num w:numId="32" w16cid:durableId="2134204861">
    <w:abstractNumId w:val="153"/>
  </w:num>
  <w:num w:numId="33" w16cid:durableId="2020614946">
    <w:abstractNumId w:val="116"/>
  </w:num>
  <w:num w:numId="34" w16cid:durableId="1037582356">
    <w:abstractNumId w:val="24"/>
  </w:num>
  <w:num w:numId="35" w16cid:durableId="1169637784">
    <w:abstractNumId w:val="93"/>
  </w:num>
  <w:num w:numId="36" w16cid:durableId="1709328788">
    <w:abstractNumId w:val="160"/>
  </w:num>
  <w:num w:numId="37" w16cid:durableId="39133187">
    <w:abstractNumId w:val="36"/>
  </w:num>
  <w:num w:numId="38" w16cid:durableId="1104806234">
    <w:abstractNumId w:val="42"/>
  </w:num>
  <w:num w:numId="39" w16cid:durableId="46954088">
    <w:abstractNumId w:val="64"/>
  </w:num>
  <w:num w:numId="40" w16cid:durableId="1314866992">
    <w:abstractNumId w:val="173"/>
  </w:num>
  <w:num w:numId="41" w16cid:durableId="1105072932">
    <w:abstractNumId w:val="135"/>
  </w:num>
  <w:num w:numId="42" w16cid:durableId="819927470">
    <w:abstractNumId w:val="29"/>
  </w:num>
  <w:num w:numId="43" w16cid:durableId="873344552">
    <w:abstractNumId w:val="133"/>
  </w:num>
  <w:num w:numId="44" w16cid:durableId="1894926832">
    <w:abstractNumId w:val="11"/>
  </w:num>
  <w:num w:numId="45" w16cid:durableId="446660554">
    <w:abstractNumId w:val="92"/>
  </w:num>
  <w:num w:numId="46" w16cid:durableId="1929726038">
    <w:abstractNumId w:val="112"/>
  </w:num>
  <w:num w:numId="47" w16cid:durableId="1671711386">
    <w:abstractNumId w:val="212"/>
  </w:num>
  <w:num w:numId="48" w16cid:durableId="1564632422">
    <w:abstractNumId w:val="3"/>
  </w:num>
  <w:num w:numId="49" w16cid:durableId="678822591">
    <w:abstractNumId w:val="198"/>
  </w:num>
  <w:num w:numId="50" w16cid:durableId="1945190633">
    <w:abstractNumId w:val="0"/>
  </w:num>
  <w:num w:numId="51" w16cid:durableId="1564289903">
    <w:abstractNumId w:val="87"/>
  </w:num>
  <w:num w:numId="52" w16cid:durableId="591738337">
    <w:abstractNumId w:val="52"/>
  </w:num>
  <w:num w:numId="53" w16cid:durableId="27267339">
    <w:abstractNumId w:val="59"/>
  </w:num>
  <w:num w:numId="54" w16cid:durableId="442042606">
    <w:abstractNumId w:val="209"/>
  </w:num>
  <w:num w:numId="55" w16cid:durableId="290746832">
    <w:abstractNumId w:val="106"/>
  </w:num>
  <w:num w:numId="56" w16cid:durableId="133377692">
    <w:abstractNumId w:val="202"/>
  </w:num>
  <w:num w:numId="57" w16cid:durableId="1291595291">
    <w:abstractNumId w:val="198"/>
  </w:num>
  <w:num w:numId="58" w16cid:durableId="1176267872">
    <w:abstractNumId w:val="198"/>
  </w:num>
  <w:num w:numId="59" w16cid:durableId="589118302">
    <w:abstractNumId w:val="44"/>
  </w:num>
  <w:num w:numId="60" w16cid:durableId="468666392">
    <w:abstractNumId w:val="188"/>
  </w:num>
  <w:num w:numId="61" w16cid:durableId="339430660">
    <w:abstractNumId w:val="81"/>
  </w:num>
  <w:num w:numId="62" w16cid:durableId="2025355667">
    <w:abstractNumId w:val="164"/>
  </w:num>
  <w:num w:numId="63" w16cid:durableId="957024501">
    <w:abstractNumId w:val="35"/>
  </w:num>
  <w:num w:numId="64" w16cid:durableId="1361324191">
    <w:abstractNumId w:val="143"/>
  </w:num>
  <w:num w:numId="65" w16cid:durableId="1688286460">
    <w:abstractNumId w:val="172"/>
  </w:num>
  <w:num w:numId="66" w16cid:durableId="1561021494">
    <w:abstractNumId w:val="67"/>
  </w:num>
  <w:num w:numId="67" w16cid:durableId="1190068761">
    <w:abstractNumId w:val="228"/>
  </w:num>
  <w:num w:numId="68" w16cid:durableId="1613318612">
    <w:abstractNumId w:val="21"/>
  </w:num>
  <w:num w:numId="69" w16cid:durableId="1482388670">
    <w:abstractNumId w:val="140"/>
  </w:num>
  <w:num w:numId="70" w16cid:durableId="140969536">
    <w:abstractNumId w:val="96"/>
  </w:num>
  <w:num w:numId="71" w16cid:durableId="2041779644">
    <w:abstractNumId w:val="138"/>
  </w:num>
  <w:num w:numId="72" w16cid:durableId="833495761">
    <w:abstractNumId w:val="58"/>
  </w:num>
  <w:num w:numId="73" w16cid:durableId="1430467334">
    <w:abstractNumId w:val="136"/>
  </w:num>
  <w:num w:numId="74" w16cid:durableId="666902927">
    <w:abstractNumId w:val="165"/>
  </w:num>
  <w:num w:numId="75" w16cid:durableId="930310479">
    <w:abstractNumId w:val="197"/>
  </w:num>
  <w:num w:numId="76" w16cid:durableId="1014961361">
    <w:abstractNumId w:val="62"/>
  </w:num>
  <w:num w:numId="77" w16cid:durableId="768158681">
    <w:abstractNumId w:val="128"/>
  </w:num>
  <w:num w:numId="78" w16cid:durableId="1456751437">
    <w:abstractNumId w:val="154"/>
  </w:num>
  <w:num w:numId="79" w16cid:durableId="912277461">
    <w:abstractNumId w:val="45"/>
  </w:num>
  <w:num w:numId="80" w16cid:durableId="128325952">
    <w:abstractNumId w:val="68"/>
  </w:num>
  <w:num w:numId="81" w16cid:durableId="205921341">
    <w:abstractNumId w:val="161"/>
  </w:num>
  <w:num w:numId="82" w16cid:durableId="481511230">
    <w:abstractNumId w:val="198"/>
  </w:num>
  <w:num w:numId="83" w16cid:durableId="224729080">
    <w:abstractNumId w:val="198"/>
  </w:num>
  <w:num w:numId="84" w16cid:durableId="1153062800">
    <w:abstractNumId w:val="198"/>
  </w:num>
  <w:num w:numId="85" w16cid:durableId="1760523789">
    <w:abstractNumId w:val="198"/>
  </w:num>
  <w:num w:numId="86" w16cid:durableId="2066642252">
    <w:abstractNumId w:val="198"/>
  </w:num>
  <w:num w:numId="87" w16cid:durableId="116409986">
    <w:abstractNumId w:val="198"/>
  </w:num>
  <w:num w:numId="88" w16cid:durableId="117842832">
    <w:abstractNumId w:val="18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9" w16cid:durableId="1447702316">
    <w:abstractNumId w:val="104"/>
  </w:num>
  <w:num w:numId="90" w16cid:durableId="1866091040">
    <w:abstractNumId w:val="58"/>
  </w:num>
  <w:num w:numId="91" w16cid:durableId="1339622157">
    <w:abstractNumId w:val="198"/>
  </w:num>
  <w:num w:numId="92" w16cid:durableId="2113352814">
    <w:abstractNumId w:val="198"/>
  </w:num>
  <w:num w:numId="93" w16cid:durableId="651913548">
    <w:abstractNumId w:val="58"/>
  </w:num>
  <w:num w:numId="94" w16cid:durableId="1172917965">
    <w:abstractNumId w:val="58"/>
  </w:num>
  <w:num w:numId="95" w16cid:durableId="989560424">
    <w:abstractNumId w:val="58"/>
  </w:num>
  <w:num w:numId="96" w16cid:durableId="335964870">
    <w:abstractNumId w:val="58"/>
  </w:num>
  <w:num w:numId="97" w16cid:durableId="108086825">
    <w:abstractNumId w:val="58"/>
  </w:num>
  <w:num w:numId="98" w16cid:durableId="855653587">
    <w:abstractNumId w:val="58"/>
  </w:num>
  <w:num w:numId="99" w16cid:durableId="56783518">
    <w:abstractNumId w:val="138"/>
  </w:num>
  <w:num w:numId="100" w16cid:durableId="844974108">
    <w:abstractNumId w:val="58"/>
  </w:num>
  <w:num w:numId="101" w16cid:durableId="1281111611">
    <w:abstractNumId w:val="216"/>
  </w:num>
  <w:num w:numId="102" w16cid:durableId="848518503">
    <w:abstractNumId w:val="79"/>
  </w:num>
  <w:num w:numId="103" w16cid:durableId="2039890830">
    <w:abstractNumId w:val="190"/>
  </w:num>
  <w:num w:numId="104" w16cid:durableId="169570488">
    <w:abstractNumId w:val="207"/>
  </w:num>
  <w:num w:numId="105" w16cid:durableId="490684580">
    <w:abstractNumId w:val="86"/>
  </w:num>
  <w:num w:numId="106" w16cid:durableId="1634285819">
    <w:abstractNumId w:val="17"/>
  </w:num>
  <w:num w:numId="107" w16cid:durableId="16198785">
    <w:abstractNumId w:val="129"/>
  </w:num>
  <w:num w:numId="108" w16cid:durableId="297078858">
    <w:abstractNumId w:val="43"/>
  </w:num>
  <w:num w:numId="109" w16cid:durableId="1267929762">
    <w:abstractNumId w:val="194"/>
  </w:num>
  <w:num w:numId="110" w16cid:durableId="224755255">
    <w:abstractNumId w:val="177"/>
  </w:num>
  <w:num w:numId="111" w16cid:durableId="1179614223">
    <w:abstractNumId w:val="48"/>
  </w:num>
  <w:num w:numId="112" w16cid:durableId="1673798890">
    <w:abstractNumId w:val="84"/>
  </w:num>
  <w:num w:numId="113" w16cid:durableId="1142189072">
    <w:abstractNumId w:val="34"/>
  </w:num>
  <w:num w:numId="114" w16cid:durableId="1059936800">
    <w:abstractNumId w:val="23"/>
  </w:num>
  <w:num w:numId="115" w16cid:durableId="1954241794">
    <w:abstractNumId w:val="131"/>
  </w:num>
  <w:num w:numId="116" w16cid:durableId="409818141">
    <w:abstractNumId w:val="25"/>
  </w:num>
  <w:num w:numId="117" w16cid:durableId="370082782">
    <w:abstractNumId w:val="117"/>
  </w:num>
  <w:num w:numId="118" w16cid:durableId="1205560400">
    <w:abstractNumId w:val="73"/>
  </w:num>
  <w:num w:numId="119" w16cid:durableId="1026176926">
    <w:abstractNumId w:val="155"/>
  </w:num>
  <w:num w:numId="120" w16cid:durableId="964196220">
    <w:abstractNumId w:val="9"/>
  </w:num>
  <w:num w:numId="121" w16cid:durableId="1380129470">
    <w:abstractNumId w:val="215"/>
  </w:num>
  <w:num w:numId="122" w16cid:durableId="1799445637">
    <w:abstractNumId w:val="157"/>
  </w:num>
  <w:num w:numId="123" w16cid:durableId="884828913">
    <w:abstractNumId w:val="88"/>
  </w:num>
  <w:num w:numId="124" w16cid:durableId="1770857621">
    <w:abstractNumId w:val="20"/>
  </w:num>
  <w:num w:numId="125" w16cid:durableId="892694266">
    <w:abstractNumId w:val="196"/>
  </w:num>
  <w:num w:numId="126" w16cid:durableId="1266382921">
    <w:abstractNumId w:val="150"/>
  </w:num>
  <w:num w:numId="127" w16cid:durableId="1893612770">
    <w:abstractNumId w:val="6"/>
  </w:num>
  <w:num w:numId="128" w16cid:durableId="1771273533">
    <w:abstractNumId w:val="183"/>
  </w:num>
  <w:num w:numId="129" w16cid:durableId="2064714411">
    <w:abstractNumId w:val="94"/>
  </w:num>
  <w:num w:numId="130" w16cid:durableId="462501183">
    <w:abstractNumId w:val="1"/>
  </w:num>
  <w:num w:numId="131" w16cid:durableId="1621179073">
    <w:abstractNumId w:val="137"/>
  </w:num>
  <w:num w:numId="132" w16cid:durableId="522062570">
    <w:abstractNumId w:val="168"/>
  </w:num>
  <w:num w:numId="133" w16cid:durableId="2077168960">
    <w:abstractNumId w:val="69"/>
  </w:num>
  <w:num w:numId="134" w16cid:durableId="1230535297">
    <w:abstractNumId w:val="74"/>
  </w:num>
  <w:num w:numId="135" w16cid:durableId="1569998835">
    <w:abstractNumId w:val="151"/>
  </w:num>
  <w:num w:numId="136" w16cid:durableId="848255347">
    <w:abstractNumId w:val="152"/>
  </w:num>
  <w:num w:numId="137" w16cid:durableId="1379009365">
    <w:abstractNumId w:val="149"/>
  </w:num>
  <w:num w:numId="138" w16cid:durableId="681588163">
    <w:abstractNumId w:val="2"/>
  </w:num>
  <w:num w:numId="139" w16cid:durableId="1069495187">
    <w:abstractNumId w:val="130"/>
  </w:num>
  <w:num w:numId="140" w16cid:durableId="2051373476">
    <w:abstractNumId w:val="58"/>
  </w:num>
  <w:num w:numId="141" w16cid:durableId="553472026">
    <w:abstractNumId w:val="122"/>
  </w:num>
  <w:num w:numId="142" w16cid:durableId="411856818">
    <w:abstractNumId w:val="58"/>
  </w:num>
  <w:num w:numId="143" w16cid:durableId="451903195">
    <w:abstractNumId w:val="58"/>
  </w:num>
  <w:num w:numId="144" w16cid:durableId="1542128352">
    <w:abstractNumId w:val="58"/>
  </w:num>
  <w:num w:numId="145" w16cid:durableId="578753450">
    <w:abstractNumId w:val="58"/>
  </w:num>
  <w:num w:numId="146" w16cid:durableId="2061052713">
    <w:abstractNumId w:val="58"/>
  </w:num>
  <w:num w:numId="147" w16cid:durableId="587085268">
    <w:abstractNumId w:val="58"/>
  </w:num>
  <w:num w:numId="148" w16cid:durableId="285892248">
    <w:abstractNumId w:val="58"/>
  </w:num>
  <w:num w:numId="149" w16cid:durableId="793211280">
    <w:abstractNumId w:val="138"/>
  </w:num>
  <w:num w:numId="150" w16cid:durableId="86389504">
    <w:abstractNumId w:val="138"/>
  </w:num>
  <w:num w:numId="151" w16cid:durableId="1068334857">
    <w:abstractNumId w:val="138"/>
  </w:num>
  <w:num w:numId="152" w16cid:durableId="1526557640">
    <w:abstractNumId w:val="58"/>
  </w:num>
  <w:num w:numId="153" w16cid:durableId="92475627">
    <w:abstractNumId w:val="181"/>
  </w:num>
  <w:num w:numId="154" w16cid:durableId="523595539">
    <w:abstractNumId w:val="219"/>
  </w:num>
  <w:num w:numId="155" w16cid:durableId="1590305811">
    <w:abstractNumId w:val="58"/>
  </w:num>
  <w:num w:numId="156" w16cid:durableId="537934341">
    <w:abstractNumId w:val="58"/>
  </w:num>
  <w:num w:numId="157" w16cid:durableId="177277954">
    <w:abstractNumId w:val="58"/>
  </w:num>
  <w:num w:numId="158" w16cid:durableId="1558007642">
    <w:abstractNumId w:val="198"/>
  </w:num>
  <w:num w:numId="159" w16cid:durableId="1777795415">
    <w:abstractNumId w:val="58"/>
  </w:num>
  <w:num w:numId="160" w16cid:durableId="501317276">
    <w:abstractNumId w:val="198"/>
  </w:num>
  <w:num w:numId="161" w16cid:durableId="1476723318">
    <w:abstractNumId w:val="138"/>
  </w:num>
  <w:num w:numId="162" w16cid:durableId="940724187">
    <w:abstractNumId w:val="58"/>
  </w:num>
  <w:num w:numId="163" w16cid:durableId="1542085367">
    <w:abstractNumId w:val="58"/>
  </w:num>
  <w:num w:numId="164" w16cid:durableId="2096630897">
    <w:abstractNumId w:val="145"/>
  </w:num>
  <w:num w:numId="165" w16cid:durableId="490105152">
    <w:abstractNumId w:val="40"/>
  </w:num>
  <w:num w:numId="166" w16cid:durableId="972519600">
    <w:abstractNumId w:val="55"/>
  </w:num>
  <w:num w:numId="167" w16cid:durableId="1530100488">
    <w:abstractNumId w:val="163"/>
  </w:num>
  <w:num w:numId="168" w16cid:durableId="2141998130">
    <w:abstractNumId w:val="76"/>
  </w:num>
  <w:num w:numId="169" w16cid:durableId="1359701404">
    <w:abstractNumId w:val="115"/>
  </w:num>
  <w:num w:numId="170" w16cid:durableId="2117749683">
    <w:abstractNumId w:val="211"/>
  </w:num>
  <w:num w:numId="171" w16cid:durableId="1001079738">
    <w:abstractNumId w:val="58"/>
  </w:num>
  <w:num w:numId="172" w16cid:durableId="1073820930">
    <w:abstractNumId w:val="58"/>
  </w:num>
  <w:num w:numId="173" w16cid:durableId="1644188718">
    <w:abstractNumId w:val="198"/>
  </w:num>
  <w:num w:numId="174" w16cid:durableId="780614642">
    <w:abstractNumId w:val="162"/>
  </w:num>
  <w:num w:numId="175" w16cid:durableId="1884823407">
    <w:abstractNumId w:val="27"/>
  </w:num>
  <w:num w:numId="176" w16cid:durableId="747313446">
    <w:abstractNumId w:val="58"/>
  </w:num>
  <w:num w:numId="177" w16cid:durableId="19287774">
    <w:abstractNumId w:val="58"/>
  </w:num>
  <w:num w:numId="178" w16cid:durableId="825509813">
    <w:abstractNumId w:val="198"/>
  </w:num>
  <w:num w:numId="179" w16cid:durableId="2004429929">
    <w:abstractNumId w:val="198"/>
  </w:num>
  <w:num w:numId="180" w16cid:durableId="1931617042">
    <w:abstractNumId w:val="61"/>
  </w:num>
  <w:num w:numId="181" w16cid:durableId="1570995695">
    <w:abstractNumId w:val="18"/>
  </w:num>
  <w:num w:numId="182" w16cid:durableId="74592753">
    <w:abstractNumId w:val="12"/>
  </w:num>
  <w:num w:numId="183" w16cid:durableId="1536430210">
    <w:abstractNumId w:val="16"/>
  </w:num>
  <w:num w:numId="184" w16cid:durableId="2049648663">
    <w:abstractNumId w:val="72"/>
  </w:num>
  <w:num w:numId="185" w16cid:durableId="1346714215">
    <w:abstractNumId w:val="170"/>
  </w:num>
  <w:num w:numId="186" w16cid:durableId="2081363590">
    <w:abstractNumId w:val="58"/>
  </w:num>
  <w:num w:numId="187" w16cid:durableId="2044288327">
    <w:abstractNumId w:val="206"/>
  </w:num>
  <w:num w:numId="188" w16cid:durableId="678042430">
    <w:abstractNumId w:val="50"/>
  </w:num>
  <w:num w:numId="189" w16cid:durableId="1958759488">
    <w:abstractNumId w:val="201"/>
  </w:num>
  <w:num w:numId="190" w16cid:durableId="1650983926">
    <w:abstractNumId w:val="158"/>
  </w:num>
  <w:num w:numId="191" w16cid:durableId="1721515148">
    <w:abstractNumId w:val="58"/>
  </w:num>
  <w:num w:numId="192" w16cid:durableId="1347057035">
    <w:abstractNumId w:val="70"/>
  </w:num>
  <w:num w:numId="193" w16cid:durableId="137963670">
    <w:abstractNumId w:val="110"/>
  </w:num>
  <w:num w:numId="194" w16cid:durableId="967591109">
    <w:abstractNumId w:val="180"/>
  </w:num>
  <w:num w:numId="195" w16cid:durableId="1341350196">
    <w:abstractNumId w:val="58"/>
  </w:num>
  <w:num w:numId="196" w16cid:durableId="147484926">
    <w:abstractNumId w:val="58"/>
  </w:num>
  <w:num w:numId="197" w16cid:durableId="1184974090">
    <w:abstractNumId w:val="58"/>
  </w:num>
  <w:num w:numId="198" w16cid:durableId="770317582">
    <w:abstractNumId w:val="58"/>
  </w:num>
  <w:num w:numId="199" w16cid:durableId="1013264565">
    <w:abstractNumId w:val="58"/>
  </w:num>
  <w:num w:numId="200" w16cid:durableId="450365112">
    <w:abstractNumId w:val="220"/>
  </w:num>
  <w:num w:numId="201" w16cid:durableId="1539969683">
    <w:abstractNumId w:val="113"/>
  </w:num>
  <w:num w:numId="202" w16cid:durableId="1375620588">
    <w:abstractNumId w:val="31"/>
  </w:num>
  <w:num w:numId="203" w16cid:durableId="815954988">
    <w:abstractNumId w:val="58"/>
  </w:num>
  <w:num w:numId="204" w16cid:durableId="13728675">
    <w:abstractNumId w:val="58"/>
  </w:num>
  <w:num w:numId="205" w16cid:durableId="823206071">
    <w:abstractNumId w:val="58"/>
  </w:num>
  <w:num w:numId="206" w16cid:durableId="1951934515">
    <w:abstractNumId w:val="89"/>
  </w:num>
  <w:num w:numId="207" w16cid:durableId="1428112225">
    <w:abstractNumId w:val="14"/>
  </w:num>
  <w:num w:numId="208" w16cid:durableId="756634379">
    <w:abstractNumId w:val="123"/>
  </w:num>
  <w:num w:numId="209" w16cid:durableId="1675378927">
    <w:abstractNumId w:val="142"/>
  </w:num>
  <w:num w:numId="210" w16cid:durableId="1167014363">
    <w:abstractNumId w:val="217"/>
  </w:num>
  <w:num w:numId="211" w16cid:durableId="2042780439">
    <w:abstractNumId w:val="191"/>
  </w:num>
  <w:num w:numId="212" w16cid:durableId="1841461098">
    <w:abstractNumId w:val="184"/>
  </w:num>
  <w:num w:numId="213" w16cid:durableId="1449853443">
    <w:abstractNumId w:val="156"/>
  </w:num>
  <w:num w:numId="214" w16cid:durableId="127867739">
    <w:abstractNumId w:val="98"/>
  </w:num>
  <w:num w:numId="215" w16cid:durableId="1031302640">
    <w:abstractNumId w:val="103"/>
  </w:num>
  <w:num w:numId="216" w16cid:durableId="66460322">
    <w:abstractNumId w:val="103"/>
    <w:lvlOverride w:ilvl="0">
      <w:lvl w:ilvl="0" w:tplc="0809001B">
        <w:start w:val="1"/>
        <w:numFmt w:val="lowerRoman"/>
        <w:lvlText w:val="%1."/>
        <w:lvlJc w:val="right"/>
        <w:pPr>
          <w:ind w:left="1800" w:hanging="360"/>
        </w:pPr>
        <w:rPr>
          <w:rFonts w:hint="default"/>
        </w:rPr>
      </w:lvl>
    </w:lvlOverride>
    <w:lvlOverride w:ilvl="1">
      <w:lvl w:ilvl="1" w:tplc="08090019" w:tentative="1">
        <w:start w:val="1"/>
        <w:numFmt w:val="lowerLetter"/>
        <w:lvlText w:val="%2."/>
        <w:lvlJc w:val="left"/>
        <w:pPr>
          <w:ind w:left="1440" w:hanging="360"/>
        </w:pPr>
      </w:lvl>
    </w:lvlOverride>
    <w:lvlOverride w:ilvl="2">
      <w:lvl w:ilvl="2" w:tplc="0809001B" w:tentative="1">
        <w:start w:val="1"/>
        <w:numFmt w:val="lowerRoman"/>
        <w:lvlText w:val="%3."/>
        <w:lvlJc w:val="right"/>
        <w:pPr>
          <w:ind w:left="2160" w:hanging="180"/>
        </w:pPr>
      </w:lvl>
    </w:lvlOverride>
    <w:lvlOverride w:ilvl="3">
      <w:lvl w:ilvl="3" w:tplc="0809000F" w:tentative="1">
        <w:start w:val="1"/>
        <w:numFmt w:val="decimal"/>
        <w:lvlText w:val="%4."/>
        <w:lvlJc w:val="left"/>
        <w:pPr>
          <w:ind w:left="2880" w:hanging="360"/>
        </w:pPr>
      </w:lvl>
    </w:lvlOverride>
    <w:lvlOverride w:ilvl="4">
      <w:lvl w:ilvl="4" w:tplc="08090019" w:tentative="1">
        <w:start w:val="1"/>
        <w:numFmt w:val="lowerLetter"/>
        <w:lvlText w:val="%5."/>
        <w:lvlJc w:val="left"/>
        <w:pPr>
          <w:ind w:left="3600" w:hanging="360"/>
        </w:pPr>
      </w:lvl>
    </w:lvlOverride>
    <w:lvlOverride w:ilvl="5">
      <w:lvl w:ilvl="5" w:tplc="0809001B" w:tentative="1">
        <w:start w:val="1"/>
        <w:numFmt w:val="lowerRoman"/>
        <w:lvlText w:val="%6."/>
        <w:lvlJc w:val="right"/>
        <w:pPr>
          <w:ind w:left="4320" w:hanging="180"/>
        </w:pPr>
      </w:lvl>
    </w:lvlOverride>
    <w:lvlOverride w:ilvl="6">
      <w:lvl w:ilvl="6" w:tplc="0809000F" w:tentative="1">
        <w:start w:val="1"/>
        <w:numFmt w:val="decimal"/>
        <w:lvlText w:val="%7."/>
        <w:lvlJc w:val="left"/>
        <w:pPr>
          <w:ind w:left="5040" w:hanging="360"/>
        </w:pPr>
      </w:lvl>
    </w:lvlOverride>
    <w:lvlOverride w:ilvl="7">
      <w:lvl w:ilvl="7" w:tplc="08090019" w:tentative="1">
        <w:start w:val="1"/>
        <w:numFmt w:val="lowerLetter"/>
        <w:lvlText w:val="%8."/>
        <w:lvlJc w:val="left"/>
        <w:pPr>
          <w:ind w:left="5760" w:hanging="360"/>
        </w:pPr>
      </w:lvl>
    </w:lvlOverride>
    <w:lvlOverride w:ilvl="8">
      <w:lvl w:ilvl="8" w:tplc="0809001B" w:tentative="1">
        <w:start w:val="1"/>
        <w:numFmt w:val="lowerRoman"/>
        <w:lvlText w:val="%9."/>
        <w:lvlJc w:val="right"/>
        <w:pPr>
          <w:ind w:left="6480" w:hanging="180"/>
        </w:pPr>
      </w:lvl>
    </w:lvlOverride>
  </w:num>
  <w:num w:numId="217" w16cid:durableId="80639951">
    <w:abstractNumId w:val="5"/>
  </w:num>
  <w:num w:numId="218" w16cid:durableId="1668435341">
    <w:abstractNumId w:val="119"/>
  </w:num>
  <w:num w:numId="219" w16cid:durableId="1537544459">
    <w:abstractNumId w:val="218"/>
  </w:num>
  <w:num w:numId="220" w16cid:durableId="481118776">
    <w:abstractNumId w:val="19"/>
  </w:num>
  <w:num w:numId="221" w16cid:durableId="878588438">
    <w:abstractNumId w:val="221"/>
  </w:num>
  <w:num w:numId="222" w16cid:durableId="2005939270">
    <w:abstractNumId w:val="223"/>
  </w:num>
  <w:num w:numId="223" w16cid:durableId="1458140981">
    <w:abstractNumId w:val="39"/>
  </w:num>
  <w:num w:numId="224" w16cid:durableId="1628123635">
    <w:abstractNumId w:val="182"/>
  </w:num>
  <w:num w:numId="225" w16cid:durableId="1658653814">
    <w:abstractNumId w:val="65"/>
  </w:num>
  <w:num w:numId="226" w16cid:durableId="897328092">
    <w:abstractNumId w:val="58"/>
  </w:num>
  <w:num w:numId="227" w16cid:durableId="184831845">
    <w:abstractNumId w:val="77"/>
  </w:num>
  <w:num w:numId="228" w16cid:durableId="675034584">
    <w:abstractNumId w:val="80"/>
  </w:num>
  <w:num w:numId="229" w16cid:durableId="1170365762">
    <w:abstractNumId w:val="109"/>
  </w:num>
  <w:num w:numId="230" w16cid:durableId="496768965">
    <w:abstractNumId w:val="107"/>
  </w:num>
  <w:num w:numId="231" w16cid:durableId="160395574">
    <w:abstractNumId w:val="82"/>
  </w:num>
  <w:num w:numId="232" w16cid:durableId="899905990">
    <w:abstractNumId w:val="102"/>
  </w:num>
  <w:num w:numId="233" w16cid:durableId="1456942607">
    <w:abstractNumId w:val="171"/>
  </w:num>
  <w:num w:numId="234" w16cid:durableId="2002075929">
    <w:abstractNumId w:val="32"/>
  </w:num>
  <w:num w:numId="235" w16cid:durableId="445463446">
    <w:abstractNumId w:val="118"/>
  </w:num>
  <w:num w:numId="236" w16cid:durableId="823276950">
    <w:abstractNumId w:val="199"/>
  </w:num>
  <w:num w:numId="237" w16cid:durableId="1129595449">
    <w:abstractNumId w:val="66"/>
  </w:num>
  <w:num w:numId="238" w16cid:durableId="1004356385">
    <w:abstractNumId w:val="146"/>
  </w:num>
  <w:num w:numId="239" w16cid:durableId="676927288">
    <w:abstractNumId w:val="178"/>
  </w:num>
  <w:num w:numId="240" w16cid:durableId="23874629">
    <w:abstractNumId w:val="22"/>
  </w:num>
  <w:num w:numId="241" w16cid:durableId="475028480">
    <w:abstractNumId w:val="175"/>
  </w:num>
  <w:num w:numId="242" w16cid:durableId="1165434244">
    <w:abstractNumId w:val="91"/>
  </w:num>
  <w:num w:numId="243" w16cid:durableId="1893231808">
    <w:abstractNumId w:val="186"/>
  </w:num>
  <w:num w:numId="244" w16cid:durableId="1005088269">
    <w:abstractNumId w:val="192"/>
  </w:num>
  <w:num w:numId="245" w16cid:durableId="1679775056">
    <w:abstractNumId w:val="85"/>
  </w:num>
  <w:num w:numId="246" w16cid:durableId="1691949843">
    <w:abstractNumId w:val="121"/>
  </w:num>
  <w:num w:numId="247" w16cid:durableId="1795250633">
    <w:abstractNumId w:val="78"/>
  </w:num>
  <w:num w:numId="248" w16cid:durableId="1374693267">
    <w:abstractNumId w:val="167"/>
  </w:num>
  <w:num w:numId="249" w16cid:durableId="458956877">
    <w:abstractNumId w:val="166"/>
  </w:num>
  <w:num w:numId="250" w16cid:durableId="2017733111">
    <w:abstractNumId w:val="144"/>
  </w:num>
  <w:num w:numId="251" w16cid:durableId="1516075774">
    <w:abstractNumId w:val="33"/>
  </w:num>
  <w:num w:numId="252" w16cid:durableId="1277255733">
    <w:abstractNumId w:val="92"/>
  </w:num>
  <w:num w:numId="253" w16cid:durableId="357121783">
    <w:abstractNumId w:val="92"/>
  </w:num>
  <w:num w:numId="254" w16cid:durableId="1650016507">
    <w:abstractNumId w:val="92"/>
  </w:num>
  <w:num w:numId="255" w16cid:durableId="1606499524">
    <w:abstractNumId w:val="132"/>
  </w:num>
  <w:num w:numId="256" w16cid:durableId="1678146887">
    <w:abstractNumId w:val="179"/>
  </w:num>
  <w:num w:numId="257" w16cid:durableId="1535271354">
    <w:abstractNumId w:val="169"/>
  </w:num>
  <w:num w:numId="258" w16cid:durableId="1304000888">
    <w:abstractNumId w:val="198"/>
    <w:lvlOverride w:ilvl="0">
      <w:startOverride w:val="2"/>
    </w:lvlOverride>
    <w:lvlOverride w:ilvl="1">
      <w:startOverride w:val="17"/>
    </w:lvlOverride>
    <w:lvlOverride w:ilvl="2">
      <w:startOverride w:val="2"/>
    </w:lvlOverride>
    <w:lvlOverride w:ilvl="3">
      <w:startOverride w:val="1"/>
    </w:lvlOverride>
    <w:lvlOverride w:ilvl="4">
      <w:startOverride w:val="43"/>
    </w:lvlOverride>
    <w:lvlOverride w:ilvl="5">
      <w:startOverride w:val="1"/>
    </w:lvlOverride>
    <w:lvlOverride w:ilvl="6">
      <w:startOverride w:val="1"/>
    </w:lvlOverride>
    <w:lvlOverride w:ilvl="7">
      <w:startOverride w:val="1"/>
    </w:lvlOverride>
    <w:lvlOverride w:ilvl="8">
      <w:startOverride w:val="1"/>
    </w:lvlOverride>
  </w:num>
  <w:num w:numId="259" w16cid:durableId="239339909">
    <w:abstractNumId w:val="198"/>
    <w:lvlOverride w:ilvl="0">
      <w:startOverride w:val="2"/>
    </w:lvlOverride>
    <w:lvlOverride w:ilvl="1">
      <w:startOverride w:val="17"/>
    </w:lvlOverride>
    <w:lvlOverride w:ilvl="2">
      <w:startOverride w:val="2"/>
    </w:lvlOverride>
    <w:lvlOverride w:ilvl="3">
      <w:startOverride w:val="1"/>
    </w:lvlOverride>
    <w:lvlOverride w:ilvl="4">
      <w:startOverride w:val="43"/>
    </w:lvlOverride>
    <w:lvlOverride w:ilvl="5">
      <w:startOverride w:val="1"/>
    </w:lvlOverride>
    <w:lvlOverride w:ilvl="6">
      <w:startOverride w:val="1"/>
    </w:lvlOverride>
    <w:lvlOverride w:ilvl="7">
      <w:startOverride w:val="1"/>
    </w:lvlOverride>
    <w:lvlOverride w:ilvl="8">
      <w:startOverride w:val="1"/>
    </w:lvlOverride>
  </w:num>
  <w:num w:numId="260" w16cid:durableId="1615792176">
    <w:abstractNumId w:val="198"/>
  </w:num>
  <w:num w:numId="261" w16cid:durableId="754546925">
    <w:abstractNumId w:val="19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2" w16cid:durableId="1440299992">
    <w:abstractNumId w:val="225"/>
  </w:num>
  <w:num w:numId="263" w16cid:durableId="1852647825">
    <w:abstractNumId w:val="28"/>
  </w:num>
  <w:num w:numId="264" w16cid:durableId="866212363">
    <w:abstractNumId w:val="46"/>
  </w:num>
  <w:num w:numId="265" w16cid:durableId="1526289065">
    <w:abstractNumId w:val="26"/>
  </w:num>
  <w:num w:numId="266" w16cid:durableId="133111374">
    <w:abstractNumId w:val="90"/>
  </w:num>
  <w:num w:numId="267" w16cid:durableId="924341359">
    <w:abstractNumId w:val="124"/>
  </w:num>
  <w:num w:numId="268" w16cid:durableId="1528133350">
    <w:abstractNumId w:val="10"/>
  </w:num>
  <w:num w:numId="269" w16cid:durableId="557404072">
    <w:abstractNumId w:val="30"/>
  </w:num>
  <w:num w:numId="270" w16cid:durableId="1805930649">
    <w:abstractNumId w:val="7"/>
  </w:num>
  <w:num w:numId="271" w16cid:durableId="1606424048">
    <w:abstractNumId w:val="141"/>
  </w:num>
  <w:num w:numId="272" w16cid:durableId="1806237889">
    <w:abstractNumId w:val="159"/>
  </w:num>
  <w:num w:numId="273" w16cid:durableId="2094735058">
    <w:abstractNumId w:val="214"/>
  </w:num>
  <w:num w:numId="274" w16cid:durableId="495150066">
    <w:abstractNumId w:val="49"/>
  </w:num>
  <w:num w:numId="275" w16cid:durableId="1789204071">
    <w:abstractNumId w:val="147"/>
  </w:num>
  <w:num w:numId="276" w16cid:durableId="402334896">
    <w:abstractNumId w:val="125"/>
  </w:num>
  <w:num w:numId="277" w16cid:durableId="1565142356">
    <w:abstractNumId w:val="231"/>
  </w:num>
  <w:num w:numId="278" w16cid:durableId="1426612734">
    <w:abstractNumId w:val="51"/>
  </w:num>
  <w:num w:numId="279" w16cid:durableId="1474524596">
    <w:abstractNumId w:val="193"/>
  </w:num>
  <w:num w:numId="280" w16cid:durableId="1860385714">
    <w:abstractNumId w:val="41"/>
  </w:num>
  <w:num w:numId="281" w16cid:durableId="1976838120">
    <w:abstractNumId w:val="8"/>
  </w:num>
  <w:num w:numId="282" w16cid:durableId="6830224">
    <w:abstractNumId w:val="222"/>
  </w:num>
  <w:num w:numId="283" w16cid:durableId="403533366">
    <w:abstractNumId w:val="213"/>
  </w:num>
  <w:num w:numId="284" w16cid:durableId="684945456">
    <w:abstractNumId w:val="105"/>
  </w:num>
  <w:num w:numId="285" w16cid:durableId="1081950292">
    <w:abstractNumId w:val="53"/>
  </w:num>
  <w:num w:numId="286" w16cid:durableId="337969847">
    <w:abstractNumId w:val="57"/>
  </w:num>
  <w:num w:numId="287" w16cid:durableId="1299216469">
    <w:abstractNumId w:val="120"/>
  </w:num>
  <w:num w:numId="288" w16cid:durableId="530842868">
    <w:abstractNumId w:val="114"/>
  </w:num>
  <w:num w:numId="289" w16cid:durableId="1849517159">
    <w:abstractNumId w:val="108"/>
  </w:num>
  <w:num w:numId="290" w16cid:durableId="1342466022">
    <w:abstractNumId w:val="60"/>
  </w:num>
  <w:num w:numId="291" w16cid:durableId="806900605">
    <w:abstractNumId w:val="134"/>
  </w:num>
  <w:num w:numId="292" w16cid:durableId="1356418151">
    <w:abstractNumId w:val="200"/>
  </w:num>
  <w:num w:numId="293" w16cid:durableId="997003025">
    <w:abstractNumId w:val="185"/>
  </w:num>
  <w:num w:numId="294" w16cid:durableId="88741852">
    <w:abstractNumId w:val="189"/>
  </w:num>
  <w:num w:numId="295" w16cid:durableId="619533502">
    <w:abstractNumId w:val="71"/>
  </w:num>
  <w:num w:numId="296" w16cid:durableId="1600020173">
    <w:abstractNumId w:val="204"/>
  </w:num>
  <w:num w:numId="297" w16cid:durableId="128937460">
    <w:abstractNumId w:val="99"/>
  </w:num>
  <w:num w:numId="298" w16cid:durableId="1344168868">
    <w:abstractNumId w:val="195"/>
  </w:num>
  <w:num w:numId="299" w16cid:durableId="1172792788">
    <w:abstractNumId w:val="126"/>
  </w:num>
  <w:num w:numId="300" w16cid:durableId="1748651226">
    <w:abstractNumId w:val="150"/>
    <w:lvlOverride w:ilvl="0"/>
    <w:lvlOverride w:ilvl="1">
      <w:startOverride w:val="1"/>
    </w:lvlOverride>
    <w:lvlOverride w:ilvl="2"/>
    <w:lvlOverride w:ilvl="3"/>
    <w:lvlOverride w:ilvl="4"/>
    <w:lvlOverride w:ilvl="5"/>
    <w:lvlOverride w:ilvl="6"/>
    <w:lvlOverride w:ilvl="7"/>
    <w:lvlOverride w:ilvl="8"/>
  </w:num>
  <w:num w:numId="301" w16cid:durableId="1433041612">
    <w:abstractNumId w:val="9"/>
    <w:lvlOverride w:ilvl="0"/>
    <w:lvlOverride w:ilvl="1">
      <w:startOverride w:val="1"/>
    </w:lvlOverride>
    <w:lvlOverride w:ilvl="2"/>
    <w:lvlOverride w:ilvl="3"/>
    <w:lvlOverride w:ilvl="4"/>
    <w:lvlOverride w:ilvl="5"/>
    <w:lvlOverride w:ilvl="6"/>
    <w:lvlOverride w:ilvl="7"/>
    <w:lvlOverride w:ilvl="8"/>
  </w:num>
  <w:numIdMacAtCleanup w:val="29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LW_DocType" w:val="FF75025F"/>
  </w:docVars>
  <w:rsids>
    <w:rsidRoot w:val="00CC0A94"/>
    <w:rsid w:val="00001ED1"/>
    <w:rsid w:val="00002E32"/>
    <w:rsid w:val="00006C19"/>
    <w:rsid w:val="00007BAC"/>
    <w:rsid w:val="00011405"/>
    <w:rsid w:val="00012EF3"/>
    <w:rsid w:val="000130A7"/>
    <w:rsid w:val="00017477"/>
    <w:rsid w:val="00017F9D"/>
    <w:rsid w:val="000200B8"/>
    <w:rsid w:val="00020AEE"/>
    <w:rsid w:val="00021808"/>
    <w:rsid w:val="00021EE1"/>
    <w:rsid w:val="000300C7"/>
    <w:rsid w:val="0003338C"/>
    <w:rsid w:val="000343E2"/>
    <w:rsid w:val="00035644"/>
    <w:rsid w:val="000358AA"/>
    <w:rsid w:val="00037101"/>
    <w:rsid w:val="00037CD9"/>
    <w:rsid w:val="00040582"/>
    <w:rsid w:val="0004103B"/>
    <w:rsid w:val="0004167F"/>
    <w:rsid w:val="00042688"/>
    <w:rsid w:val="00042771"/>
    <w:rsid w:val="00050D98"/>
    <w:rsid w:val="000521A8"/>
    <w:rsid w:val="00052532"/>
    <w:rsid w:val="0006104B"/>
    <w:rsid w:val="000617A2"/>
    <w:rsid w:val="000624F8"/>
    <w:rsid w:val="0006398F"/>
    <w:rsid w:val="00066E50"/>
    <w:rsid w:val="00070EDC"/>
    <w:rsid w:val="00073E20"/>
    <w:rsid w:val="000745BC"/>
    <w:rsid w:val="00074A5E"/>
    <w:rsid w:val="0007729C"/>
    <w:rsid w:val="000811E0"/>
    <w:rsid w:val="00081A0B"/>
    <w:rsid w:val="00081A27"/>
    <w:rsid w:val="000822C0"/>
    <w:rsid w:val="000850FE"/>
    <w:rsid w:val="000861EC"/>
    <w:rsid w:val="00086C16"/>
    <w:rsid w:val="000908BB"/>
    <w:rsid w:val="00090CA6"/>
    <w:rsid w:val="00090D18"/>
    <w:rsid w:val="000911C5"/>
    <w:rsid w:val="00093834"/>
    <w:rsid w:val="000949BC"/>
    <w:rsid w:val="00095408"/>
    <w:rsid w:val="00096E2F"/>
    <w:rsid w:val="000A0BD6"/>
    <w:rsid w:val="000A158E"/>
    <w:rsid w:val="000A1959"/>
    <w:rsid w:val="000A4A17"/>
    <w:rsid w:val="000A4A93"/>
    <w:rsid w:val="000B12BA"/>
    <w:rsid w:val="000B3ECD"/>
    <w:rsid w:val="000B45B0"/>
    <w:rsid w:val="000B5DA6"/>
    <w:rsid w:val="000C0E67"/>
    <w:rsid w:val="000C32B7"/>
    <w:rsid w:val="000C39EA"/>
    <w:rsid w:val="000C47B9"/>
    <w:rsid w:val="000C51EB"/>
    <w:rsid w:val="000C63FA"/>
    <w:rsid w:val="000C695D"/>
    <w:rsid w:val="000D15B2"/>
    <w:rsid w:val="000D2CC5"/>
    <w:rsid w:val="000D2F3C"/>
    <w:rsid w:val="000D4168"/>
    <w:rsid w:val="000D429D"/>
    <w:rsid w:val="000D5275"/>
    <w:rsid w:val="000D5A4F"/>
    <w:rsid w:val="000E083F"/>
    <w:rsid w:val="000E0876"/>
    <w:rsid w:val="000E30DE"/>
    <w:rsid w:val="000E4FD1"/>
    <w:rsid w:val="000E50C4"/>
    <w:rsid w:val="000E7CA2"/>
    <w:rsid w:val="000F0500"/>
    <w:rsid w:val="000F1302"/>
    <w:rsid w:val="000F1924"/>
    <w:rsid w:val="000F21EC"/>
    <w:rsid w:val="000F60C8"/>
    <w:rsid w:val="001006D3"/>
    <w:rsid w:val="00102D37"/>
    <w:rsid w:val="001050FE"/>
    <w:rsid w:val="001109CE"/>
    <w:rsid w:val="001114C3"/>
    <w:rsid w:val="00111966"/>
    <w:rsid w:val="00113325"/>
    <w:rsid w:val="00113647"/>
    <w:rsid w:val="001158FB"/>
    <w:rsid w:val="001167AF"/>
    <w:rsid w:val="001177BC"/>
    <w:rsid w:val="00117926"/>
    <w:rsid w:val="0012019C"/>
    <w:rsid w:val="001219BC"/>
    <w:rsid w:val="00121C38"/>
    <w:rsid w:val="00124735"/>
    <w:rsid w:val="0012531D"/>
    <w:rsid w:val="0012569B"/>
    <w:rsid w:val="001310BC"/>
    <w:rsid w:val="0013238C"/>
    <w:rsid w:val="001339BB"/>
    <w:rsid w:val="001411AA"/>
    <w:rsid w:val="00141DA1"/>
    <w:rsid w:val="0014284C"/>
    <w:rsid w:val="00143565"/>
    <w:rsid w:val="0014559C"/>
    <w:rsid w:val="00151BE4"/>
    <w:rsid w:val="00152911"/>
    <w:rsid w:val="001531F0"/>
    <w:rsid w:val="001631EF"/>
    <w:rsid w:val="00164149"/>
    <w:rsid w:val="0016454D"/>
    <w:rsid w:val="001645B7"/>
    <w:rsid w:val="001645C4"/>
    <w:rsid w:val="00164AB4"/>
    <w:rsid w:val="00166817"/>
    <w:rsid w:val="001723FA"/>
    <w:rsid w:val="0017397F"/>
    <w:rsid w:val="001767FA"/>
    <w:rsid w:val="00181496"/>
    <w:rsid w:val="00182899"/>
    <w:rsid w:val="00182ED1"/>
    <w:rsid w:val="00185D72"/>
    <w:rsid w:val="001875EE"/>
    <w:rsid w:val="00191356"/>
    <w:rsid w:val="0019391C"/>
    <w:rsid w:val="001A008F"/>
    <w:rsid w:val="001A3434"/>
    <w:rsid w:val="001A6FBA"/>
    <w:rsid w:val="001B0D4C"/>
    <w:rsid w:val="001B1AF1"/>
    <w:rsid w:val="001B36CF"/>
    <w:rsid w:val="001B542E"/>
    <w:rsid w:val="001C202C"/>
    <w:rsid w:val="001C213B"/>
    <w:rsid w:val="001C2630"/>
    <w:rsid w:val="001C6FCC"/>
    <w:rsid w:val="001D062E"/>
    <w:rsid w:val="001D31E9"/>
    <w:rsid w:val="001D45A3"/>
    <w:rsid w:val="001D45AF"/>
    <w:rsid w:val="001D7CE5"/>
    <w:rsid w:val="001E06A7"/>
    <w:rsid w:val="001E11D9"/>
    <w:rsid w:val="001E14CF"/>
    <w:rsid w:val="001E1B23"/>
    <w:rsid w:val="001E4895"/>
    <w:rsid w:val="001F0302"/>
    <w:rsid w:val="001F57A1"/>
    <w:rsid w:val="001F6193"/>
    <w:rsid w:val="001F72D7"/>
    <w:rsid w:val="00200EED"/>
    <w:rsid w:val="002014C4"/>
    <w:rsid w:val="00202CEF"/>
    <w:rsid w:val="00202F1E"/>
    <w:rsid w:val="0020433F"/>
    <w:rsid w:val="00204A18"/>
    <w:rsid w:val="002066BA"/>
    <w:rsid w:val="0021217E"/>
    <w:rsid w:val="0021376F"/>
    <w:rsid w:val="00220158"/>
    <w:rsid w:val="0022187C"/>
    <w:rsid w:val="00222D63"/>
    <w:rsid w:val="00223AC2"/>
    <w:rsid w:val="0022401B"/>
    <w:rsid w:val="00225178"/>
    <w:rsid w:val="00230374"/>
    <w:rsid w:val="00231332"/>
    <w:rsid w:val="00233748"/>
    <w:rsid w:val="00235437"/>
    <w:rsid w:val="00235542"/>
    <w:rsid w:val="002415F5"/>
    <w:rsid w:val="00241859"/>
    <w:rsid w:val="002421B0"/>
    <w:rsid w:val="0024311B"/>
    <w:rsid w:val="00243B56"/>
    <w:rsid w:val="00244618"/>
    <w:rsid w:val="00247EF6"/>
    <w:rsid w:val="002519F3"/>
    <w:rsid w:val="00252772"/>
    <w:rsid w:val="00254D3C"/>
    <w:rsid w:val="00255A9B"/>
    <w:rsid w:val="002578A0"/>
    <w:rsid w:val="002600D6"/>
    <w:rsid w:val="002648F7"/>
    <w:rsid w:val="002674F6"/>
    <w:rsid w:val="00272311"/>
    <w:rsid w:val="00272E67"/>
    <w:rsid w:val="00281018"/>
    <w:rsid w:val="002821EF"/>
    <w:rsid w:val="00283DC8"/>
    <w:rsid w:val="002857B4"/>
    <w:rsid w:val="00285BC5"/>
    <w:rsid w:val="002901DA"/>
    <w:rsid w:val="00291ACA"/>
    <w:rsid w:val="00295C4A"/>
    <w:rsid w:val="00296731"/>
    <w:rsid w:val="00297A90"/>
    <w:rsid w:val="002A1DEF"/>
    <w:rsid w:val="002A2108"/>
    <w:rsid w:val="002A3E3E"/>
    <w:rsid w:val="002A67B3"/>
    <w:rsid w:val="002B084C"/>
    <w:rsid w:val="002B1226"/>
    <w:rsid w:val="002B2803"/>
    <w:rsid w:val="002B2991"/>
    <w:rsid w:val="002B3A04"/>
    <w:rsid w:val="002B4692"/>
    <w:rsid w:val="002B4F20"/>
    <w:rsid w:val="002B58A4"/>
    <w:rsid w:val="002B58C1"/>
    <w:rsid w:val="002B6228"/>
    <w:rsid w:val="002B64FF"/>
    <w:rsid w:val="002B67DB"/>
    <w:rsid w:val="002C172C"/>
    <w:rsid w:val="002C1AE2"/>
    <w:rsid w:val="002C1C0A"/>
    <w:rsid w:val="002C2394"/>
    <w:rsid w:val="002C2E34"/>
    <w:rsid w:val="002C351F"/>
    <w:rsid w:val="002C5CD1"/>
    <w:rsid w:val="002D0105"/>
    <w:rsid w:val="002D1789"/>
    <w:rsid w:val="002D6061"/>
    <w:rsid w:val="002D6AA0"/>
    <w:rsid w:val="002D6E63"/>
    <w:rsid w:val="002E25F1"/>
    <w:rsid w:val="002E4223"/>
    <w:rsid w:val="002E425F"/>
    <w:rsid w:val="002E4A39"/>
    <w:rsid w:val="002E5C2B"/>
    <w:rsid w:val="002E7546"/>
    <w:rsid w:val="002F09EB"/>
    <w:rsid w:val="002F1FD1"/>
    <w:rsid w:val="002F50D4"/>
    <w:rsid w:val="002F61BB"/>
    <w:rsid w:val="002F645A"/>
    <w:rsid w:val="00300A97"/>
    <w:rsid w:val="00301E0C"/>
    <w:rsid w:val="00304D62"/>
    <w:rsid w:val="00306A5E"/>
    <w:rsid w:val="00313D56"/>
    <w:rsid w:val="00316019"/>
    <w:rsid w:val="00316D66"/>
    <w:rsid w:val="003205C7"/>
    <w:rsid w:val="0032183C"/>
    <w:rsid w:val="0032366B"/>
    <w:rsid w:val="0032589B"/>
    <w:rsid w:val="00326F20"/>
    <w:rsid w:val="00327743"/>
    <w:rsid w:val="00337A99"/>
    <w:rsid w:val="00340C2F"/>
    <w:rsid w:val="00350E8D"/>
    <w:rsid w:val="00355B54"/>
    <w:rsid w:val="00356021"/>
    <w:rsid w:val="003621C6"/>
    <w:rsid w:val="003625DA"/>
    <w:rsid w:val="00364832"/>
    <w:rsid w:val="00364DB7"/>
    <w:rsid w:val="00366E96"/>
    <w:rsid w:val="0036700A"/>
    <w:rsid w:val="00367674"/>
    <w:rsid w:val="00371934"/>
    <w:rsid w:val="00373836"/>
    <w:rsid w:val="003738FE"/>
    <w:rsid w:val="00375F10"/>
    <w:rsid w:val="003765FF"/>
    <w:rsid w:val="00376C55"/>
    <w:rsid w:val="00382965"/>
    <w:rsid w:val="00385A7C"/>
    <w:rsid w:val="0039047C"/>
    <w:rsid w:val="003922BD"/>
    <w:rsid w:val="003932C1"/>
    <w:rsid w:val="00393915"/>
    <w:rsid w:val="00393D7F"/>
    <w:rsid w:val="003A04FE"/>
    <w:rsid w:val="003A172A"/>
    <w:rsid w:val="003A36E6"/>
    <w:rsid w:val="003B15A4"/>
    <w:rsid w:val="003B7292"/>
    <w:rsid w:val="003C2768"/>
    <w:rsid w:val="003C34F2"/>
    <w:rsid w:val="003C6914"/>
    <w:rsid w:val="003C6BB8"/>
    <w:rsid w:val="003C7269"/>
    <w:rsid w:val="003D1263"/>
    <w:rsid w:val="003D1876"/>
    <w:rsid w:val="003D2D36"/>
    <w:rsid w:val="003D5091"/>
    <w:rsid w:val="003D64BA"/>
    <w:rsid w:val="003E048C"/>
    <w:rsid w:val="003E102B"/>
    <w:rsid w:val="003E1E85"/>
    <w:rsid w:val="003E4C28"/>
    <w:rsid w:val="003E783B"/>
    <w:rsid w:val="003F345B"/>
    <w:rsid w:val="003F40F6"/>
    <w:rsid w:val="003F5956"/>
    <w:rsid w:val="003F6CA5"/>
    <w:rsid w:val="003F79E6"/>
    <w:rsid w:val="003F7CEA"/>
    <w:rsid w:val="00401478"/>
    <w:rsid w:val="004033C5"/>
    <w:rsid w:val="0040774E"/>
    <w:rsid w:val="004141D4"/>
    <w:rsid w:val="004143D2"/>
    <w:rsid w:val="00415390"/>
    <w:rsid w:val="00417791"/>
    <w:rsid w:val="0042585A"/>
    <w:rsid w:val="00425EF9"/>
    <w:rsid w:val="00430EE7"/>
    <w:rsid w:val="004322EF"/>
    <w:rsid w:val="004340BE"/>
    <w:rsid w:val="00434529"/>
    <w:rsid w:val="00441ECA"/>
    <w:rsid w:val="00445CA6"/>
    <w:rsid w:val="00447064"/>
    <w:rsid w:val="00455C12"/>
    <w:rsid w:val="0046145A"/>
    <w:rsid w:val="00463854"/>
    <w:rsid w:val="004642E2"/>
    <w:rsid w:val="0047123D"/>
    <w:rsid w:val="00471A95"/>
    <w:rsid w:val="00474B16"/>
    <w:rsid w:val="00474B54"/>
    <w:rsid w:val="00475F09"/>
    <w:rsid w:val="00480943"/>
    <w:rsid w:val="004821C2"/>
    <w:rsid w:val="00483AA9"/>
    <w:rsid w:val="00486758"/>
    <w:rsid w:val="00487B30"/>
    <w:rsid w:val="004902DB"/>
    <w:rsid w:val="004916D4"/>
    <w:rsid w:val="00494073"/>
    <w:rsid w:val="004949AC"/>
    <w:rsid w:val="00494CB2"/>
    <w:rsid w:val="00496767"/>
    <w:rsid w:val="004968F3"/>
    <w:rsid w:val="00496F1C"/>
    <w:rsid w:val="004979A9"/>
    <w:rsid w:val="004A1994"/>
    <w:rsid w:val="004A34B1"/>
    <w:rsid w:val="004A3FFC"/>
    <w:rsid w:val="004A53EB"/>
    <w:rsid w:val="004A5CDE"/>
    <w:rsid w:val="004B086D"/>
    <w:rsid w:val="004B2AD7"/>
    <w:rsid w:val="004B5088"/>
    <w:rsid w:val="004B5F95"/>
    <w:rsid w:val="004B6659"/>
    <w:rsid w:val="004B6FE1"/>
    <w:rsid w:val="004B735F"/>
    <w:rsid w:val="004C1F56"/>
    <w:rsid w:val="004C3C09"/>
    <w:rsid w:val="004C77A6"/>
    <w:rsid w:val="004D2E9F"/>
    <w:rsid w:val="004E0098"/>
    <w:rsid w:val="004E0769"/>
    <w:rsid w:val="004E0AE1"/>
    <w:rsid w:val="004E1A73"/>
    <w:rsid w:val="004E26F8"/>
    <w:rsid w:val="004E372E"/>
    <w:rsid w:val="004E4EFE"/>
    <w:rsid w:val="004E5499"/>
    <w:rsid w:val="004E60AD"/>
    <w:rsid w:val="004F07FE"/>
    <w:rsid w:val="004F2510"/>
    <w:rsid w:val="005020C0"/>
    <w:rsid w:val="0050242D"/>
    <w:rsid w:val="00503652"/>
    <w:rsid w:val="00506075"/>
    <w:rsid w:val="005078AF"/>
    <w:rsid w:val="0051000E"/>
    <w:rsid w:val="00512B74"/>
    <w:rsid w:val="005157CA"/>
    <w:rsid w:val="00520256"/>
    <w:rsid w:val="005209B1"/>
    <w:rsid w:val="00522529"/>
    <w:rsid w:val="00524D25"/>
    <w:rsid w:val="00531F46"/>
    <w:rsid w:val="005327AD"/>
    <w:rsid w:val="0053748C"/>
    <w:rsid w:val="00537955"/>
    <w:rsid w:val="00541BD5"/>
    <w:rsid w:val="00544FFF"/>
    <w:rsid w:val="00550E70"/>
    <w:rsid w:val="005515BB"/>
    <w:rsid w:val="00551E92"/>
    <w:rsid w:val="00555315"/>
    <w:rsid w:val="00557F3B"/>
    <w:rsid w:val="005605AA"/>
    <w:rsid w:val="0056386C"/>
    <w:rsid w:val="00565D33"/>
    <w:rsid w:val="0056734D"/>
    <w:rsid w:val="0057202F"/>
    <w:rsid w:val="00572256"/>
    <w:rsid w:val="00574144"/>
    <w:rsid w:val="00575F12"/>
    <w:rsid w:val="005771C0"/>
    <w:rsid w:val="00577491"/>
    <w:rsid w:val="00582095"/>
    <w:rsid w:val="005832E9"/>
    <w:rsid w:val="0058408A"/>
    <w:rsid w:val="00584116"/>
    <w:rsid w:val="00591328"/>
    <w:rsid w:val="00592126"/>
    <w:rsid w:val="00592669"/>
    <w:rsid w:val="005951D5"/>
    <w:rsid w:val="005961E6"/>
    <w:rsid w:val="005A001F"/>
    <w:rsid w:val="005A08CA"/>
    <w:rsid w:val="005A126D"/>
    <w:rsid w:val="005B11F3"/>
    <w:rsid w:val="005B2566"/>
    <w:rsid w:val="005B26BA"/>
    <w:rsid w:val="005B5B5C"/>
    <w:rsid w:val="005B6D05"/>
    <w:rsid w:val="005B70E6"/>
    <w:rsid w:val="005C10BD"/>
    <w:rsid w:val="005C3F4C"/>
    <w:rsid w:val="005D26FD"/>
    <w:rsid w:val="005D3243"/>
    <w:rsid w:val="005D45F0"/>
    <w:rsid w:val="005D7EF7"/>
    <w:rsid w:val="005E0D6F"/>
    <w:rsid w:val="005E3341"/>
    <w:rsid w:val="005E3F2B"/>
    <w:rsid w:val="005E4C5E"/>
    <w:rsid w:val="005E62AC"/>
    <w:rsid w:val="005F4282"/>
    <w:rsid w:val="005F4529"/>
    <w:rsid w:val="005F7477"/>
    <w:rsid w:val="00603AF8"/>
    <w:rsid w:val="00603ECA"/>
    <w:rsid w:val="006047E7"/>
    <w:rsid w:val="00612065"/>
    <w:rsid w:val="0061312F"/>
    <w:rsid w:val="006149AB"/>
    <w:rsid w:val="00614B21"/>
    <w:rsid w:val="006150FB"/>
    <w:rsid w:val="00616C64"/>
    <w:rsid w:val="0062097B"/>
    <w:rsid w:val="00625DB7"/>
    <w:rsid w:val="00626AC8"/>
    <w:rsid w:val="006277CC"/>
    <w:rsid w:val="00632077"/>
    <w:rsid w:val="00632080"/>
    <w:rsid w:val="006321BF"/>
    <w:rsid w:val="00632B80"/>
    <w:rsid w:val="006414B3"/>
    <w:rsid w:val="00642CE2"/>
    <w:rsid w:val="00646545"/>
    <w:rsid w:val="00646E48"/>
    <w:rsid w:val="00647A76"/>
    <w:rsid w:val="006508D6"/>
    <w:rsid w:val="00653FE5"/>
    <w:rsid w:val="00654221"/>
    <w:rsid w:val="006548BD"/>
    <w:rsid w:val="00656B15"/>
    <w:rsid w:val="00662236"/>
    <w:rsid w:val="00664530"/>
    <w:rsid w:val="0066796B"/>
    <w:rsid w:val="00670FCF"/>
    <w:rsid w:val="006736CC"/>
    <w:rsid w:val="006749F5"/>
    <w:rsid w:val="0067605B"/>
    <w:rsid w:val="00681B11"/>
    <w:rsid w:val="00681DA5"/>
    <w:rsid w:val="006827D4"/>
    <w:rsid w:val="006842BD"/>
    <w:rsid w:val="00684448"/>
    <w:rsid w:val="0068720B"/>
    <w:rsid w:val="0069548E"/>
    <w:rsid w:val="006958C5"/>
    <w:rsid w:val="00695A00"/>
    <w:rsid w:val="00695A7E"/>
    <w:rsid w:val="00696533"/>
    <w:rsid w:val="006A352F"/>
    <w:rsid w:val="006A35B8"/>
    <w:rsid w:val="006A4334"/>
    <w:rsid w:val="006A767B"/>
    <w:rsid w:val="006A79B6"/>
    <w:rsid w:val="006B0EBC"/>
    <w:rsid w:val="006B3CF1"/>
    <w:rsid w:val="006B40D5"/>
    <w:rsid w:val="006C0246"/>
    <w:rsid w:val="006C1571"/>
    <w:rsid w:val="006C3075"/>
    <w:rsid w:val="006C4CD8"/>
    <w:rsid w:val="006C57D3"/>
    <w:rsid w:val="006C5E0F"/>
    <w:rsid w:val="006C5EF9"/>
    <w:rsid w:val="006C7512"/>
    <w:rsid w:val="006D0C1E"/>
    <w:rsid w:val="006D1EE3"/>
    <w:rsid w:val="006D657B"/>
    <w:rsid w:val="006E00E6"/>
    <w:rsid w:val="006E1617"/>
    <w:rsid w:val="006E1646"/>
    <w:rsid w:val="006E3938"/>
    <w:rsid w:val="006F00E1"/>
    <w:rsid w:val="006F3115"/>
    <w:rsid w:val="006F6D97"/>
    <w:rsid w:val="007001A5"/>
    <w:rsid w:val="0070022C"/>
    <w:rsid w:val="00700365"/>
    <w:rsid w:val="007044E1"/>
    <w:rsid w:val="00704B6E"/>
    <w:rsid w:val="00705D58"/>
    <w:rsid w:val="0071084F"/>
    <w:rsid w:val="00710929"/>
    <w:rsid w:val="00712EC6"/>
    <w:rsid w:val="007142BD"/>
    <w:rsid w:val="007157ED"/>
    <w:rsid w:val="00716044"/>
    <w:rsid w:val="007169D9"/>
    <w:rsid w:val="00716B09"/>
    <w:rsid w:val="00717FC9"/>
    <w:rsid w:val="0072152B"/>
    <w:rsid w:val="0072223A"/>
    <w:rsid w:val="007235A7"/>
    <w:rsid w:val="00725BF8"/>
    <w:rsid w:val="00726AB5"/>
    <w:rsid w:val="00726DFC"/>
    <w:rsid w:val="007272AB"/>
    <w:rsid w:val="00730DE1"/>
    <w:rsid w:val="00731B1B"/>
    <w:rsid w:val="00732056"/>
    <w:rsid w:val="00732F87"/>
    <w:rsid w:val="00735BBF"/>
    <w:rsid w:val="00737A9D"/>
    <w:rsid w:val="00737DF9"/>
    <w:rsid w:val="00740D2E"/>
    <w:rsid w:val="007544FC"/>
    <w:rsid w:val="007668D0"/>
    <w:rsid w:val="007702C3"/>
    <w:rsid w:val="00770DC2"/>
    <w:rsid w:val="00772738"/>
    <w:rsid w:val="00774617"/>
    <w:rsid w:val="00775205"/>
    <w:rsid w:val="00777474"/>
    <w:rsid w:val="007804A3"/>
    <w:rsid w:val="00781871"/>
    <w:rsid w:val="00783045"/>
    <w:rsid w:val="00783C45"/>
    <w:rsid w:val="00784F42"/>
    <w:rsid w:val="00785523"/>
    <w:rsid w:val="00785F50"/>
    <w:rsid w:val="00787B61"/>
    <w:rsid w:val="00790DC4"/>
    <w:rsid w:val="00793939"/>
    <w:rsid w:val="007941FD"/>
    <w:rsid w:val="007956E0"/>
    <w:rsid w:val="007A0505"/>
    <w:rsid w:val="007A05B8"/>
    <w:rsid w:val="007A1ADE"/>
    <w:rsid w:val="007A2CE5"/>
    <w:rsid w:val="007A3692"/>
    <w:rsid w:val="007A3B59"/>
    <w:rsid w:val="007B0136"/>
    <w:rsid w:val="007B175D"/>
    <w:rsid w:val="007B3111"/>
    <w:rsid w:val="007B317E"/>
    <w:rsid w:val="007B4630"/>
    <w:rsid w:val="007C03B1"/>
    <w:rsid w:val="007C3164"/>
    <w:rsid w:val="007C55BF"/>
    <w:rsid w:val="007C64F6"/>
    <w:rsid w:val="007C6624"/>
    <w:rsid w:val="007C776A"/>
    <w:rsid w:val="007D124B"/>
    <w:rsid w:val="007E3471"/>
    <w:rsid w:val="007E3927"/>
    <w:rsid w:val="007E3982"/>
    <w:rsid w:val="007E4D10"/>
    <w:rsid w:val="007F1FA6"/>
    <w:rsid w:val="007F3F1D"/>
    <w:rsid w:val="00806876"/>
    <w:rsid w:val="008129B9"/>
    <w:rsid w:val="00817E01"/>
    <w:rsid w:val="00821FB1"/>
    <w:rsid w:val="0082308F"/>
    <w:rsid w:val="00823CEB"/>
    <w:rsid w:val="00824132"/>
    <w:rsid w:val="0082507D"/>
    <w:rsid w:val="00825D69"/>
    <w:rsid w:val="00826952"/>
    <w:rsid w:val="00830A24"/>
    <w:rsid w:val="0083124E"/>
    <w:rsid w:val="00832A59"/>
    <w:rsid w:val="00835260"/>
    <w:rsid w:val="00843AA1"/>
    <w:rsid w:val="0084505F"/>
    <w:rsid w:val="00852C49"/>
    <w:rsid w:val="00863A0D"/>
    <w:rsid w:val="00863F0B"/>
    <w:rsid w:val="008715F4"/>
    <w:rsid w:val="008726B4"/>
    <w:rsid w:val="008752EE"/>
    <w:rsid w:val="00875E09"/>
    <w:rsid w:val="00877BC1"/>
    <w:rsid w:val="00880CEE"/>
    <w:rsid w:val="00881185"/>
    <w:rsid w:val="008812DE"/>
    <w:rsid w:val="008827A2"/>
    <w:rsid w:val="00883698"/>
    <w:rsid w:val="00883E0C"/>
    <w:rsid w:val="00884584"/>
    <w:rsid w:val="00884A0A"/>
    <w:rsid w:val="00885430"/>
    <w:rsid w:val="00887021"/>
    <w:rsid w:val="008928A0"/>
    <w:rsid w:val="008959FF"/>
    <w:rsid w:val="008A017A"/>
    <w:rsid w:val="008A0CAD"/>
    <w:rsid w:val="008A683F"/>
    <w:rsid w:val="008A70D1"/>
    <w:rsid w:val="008A7AA6"/>
    <w:rsid w:val="008B0FBE"/>
    <w:rsid w:val="008B435E"/>
    <w:rsid w:val="008B4771"/>
    <w:rsid w:val="008B4E93"/>
    <w:rsid w:val="008B63EB"/>
    <w:rsid w:val="008B7E2C"/>
    <w:rsid w:val="008C0BCA"/>
    <w:rsid w:val="008C59FF"/>
    <w:rsid w:val="008C6287"/>
    <w:rsid w:val="008C76C8"/>
    <w:rsid w:val="008D1CBA"/>
    <w:rsid w:val="008D2A6E"/>
    <w:rsid w:val="008D7428"/>
    <w:rsid w:val="008E0DA6"/>
    <w:rsid w:val="008E1578"/>
    <w:rsid w:val="008E2B12"/>
    <w:rsid w:val="008E3427"/>
    <w:rsid w:val="008E6A55"/>
    <w:rsid w:val="008E7DCD"/>
    <w:rsid w:val="008F0585"/>
    <w:rsid w:val="008F1AB6"/>
    <w:rsid w:val="008F25A7"/>
    <w:rsid w:val="008F38E6"/>
    <w:rsid w:val="008F74D0"/>
    <w:rsid w:val="00904640"/>
    <w:rsid w:val="009105D6"/>
    <w:rsid w:val="00911BEF"/>
    <w:rsid w:val="00912BE3"/>
    <w:rsid w:val="009136F4"/>
    <w:rsid w:val="009146D2"/>
    <w:rsid w:val="00914FAE"/>
    <w:rsid w:val="00920338"/>
    <w:rsid w:val="00920EEB"/>
    <w:rsid w:val="0092197E"/>
    <w:rsid w:val="00921AA8"/>
    <w:rsid w:val="00924BBD"/>
    <w:rsid w:val="00925928"/>
    <w:rsid w:val="0092703F"/>
    <w:rsid w:val="009310E9"/>
    <w:rsid w:val="00931D62"/>
    <w:rsid w:val="00933C47"/>
    <w:rsid w:val="00936B0C"/>
    <w:rsid w:val="00940D65"/>
    <w:rsid w:val="00942342"/>
    <w:rsid w:val="00942CB0"/>
    <w:rsid w:val="00943ED9"/>
    <w:rsid w:val="0094514F"/>
    <w:rsid w:val="009461B5"/>
    <w:rsid w:val="00946688"/>
    <w:rsid w:val="00951698"/>
    <w:rsid w:val="009531D4"/>
    <w:rsid w:val="0095548D"/>
    <w:rsid w:val="00956AFD"/>
    <w:rsid w:val="009630F6"/>
    <w:rsid w:val="0096724D"/>
    <w:rsid w:val="00973286"/>
    <w:rsid w:val="009825D6"/>
    <w:rsid w:val="00986644"/>
    <w:rsid w:val="00990404"/>
    <w:rsid w:val="0099078E"/>
    <w:rsid w:val="00994597"/>
    <w:rsid w:val="009974BC"/>
    <w:rsid w:val="00997768"/>
    <w:rsid w:val="00997CF4"/>
    <w:rsid w:val="009A0139"/>
    <w:rsid w:val="009A0760"/>
    <w:rsid w:val="009A502D"/>
    <w:rsid w:val="009A5C0C"/>
    <w:rsid w:val="009B01E5"/>
    <w:rsid w:val="009B264C"/>
    <w:rsid w:val="009B5BE4"/>
    <w:rsid w:val="009C07F2"/>
    <w:rsid w:val="009C5C53"/>
    <w:rsid w:val="009D2087"/>
    <w:rsid w:val="009D24A1"/>
    <w:rsid w:val="009D5FD8"/>
    <w:rsid w:val="009D665E"/>
    <w:rsid w:val="009E1F1B"/>
    <w:rsid w:val="009E5123"/>
    <w:rsid w:val="009E7D19"/>
    <w:rsid w:val="009F03A8"/>
    <w:rsid w:val="009F043D"/>
    <w:rsid w:val="009F205A"/>
    <w:rsid w:val="009F3EBB"/>
    <w:rsid w:val="009F5B93"/>
    <w:rsid w:val="009F5D17"/>
    <w:rsid w:val="00A05F09"/>
    <w:rsid w:val="00A14003"/>
    <w:rsid w:val="00A156AA"/>
    <w:rsid w:val="00A173C3"/>
    <w:rsid w:val="00A173DD"/>
    <w:rsid w:val="00A22012"/>
    <w:rsid w:val="00A22383"/>
    <w:rsid w:val="00A23095"/>
    <w:rsid w:val="00A23AD2"/>
    <w:rsid w:val="00A23CB7"/>
    <w:rsid w:val="00A23F4B"/>
    <w:rsid w:val="00A278A1"/>
    <w:rsid w:val="00A33527"/>
    <w:rsid w:val="00A352DB"/>
    <w:rsid w:val="00A403C3"/>
    <w:rsid w:val="00A406D7"/>
    <w:rsid w:val="00A4142A"/>
    <w:rsid w:val="00A41AF0"/>
    <w:rsid w:val="00A4403B"/>
    <w:rsid w:val="00A44E32"/>
    <w:rsid w:val="00A50025"/>
    <w:rsid w:val="00A505E4"/>
    <w:rsid w:val="00A50F8B"/>
    <w:rsid w:val="00A521CC"/>
    <w:rsid w:val="00A52D2C"/>
    <w:rsid w:val="00A5354C"/>
    <w:rsid w:val="00A53F8E"/>
    <w:rsid w:val="00A54464"/>
    <w:rsid w:val="00A56FBC"/>
    <w:rsid w:val="00A57192"/>
    <w:rsid w:val="00A571F2"/>
    <w:rsid w:val="00A575BC"/>
    <w:rsid w:val="00A57715"/>
    <w:rsid w:val="00A6078F"/>
    <w:rsid w:val="00A63838"/>
    <w:rsid w:val="00A63CCC"/>
    <w:rsid w:val="00A655E2"/>
    <w:rsid w:val="00A73CDF"/>
    <w:rsid w:val="00A77D0E"/>
    <w:rsid w:val="00A81A51"/>
    <w:rsid w:val="00A8209E"/>
    <w:rsid w:val="00A824DE"/>
    <w:rsid w:val="00A8259A"/>
    <w:rsid w:val="00A901C2"/>
    <w:rsid w:val="00A9326C"/>
    <w:rsid w:val="00A953AC"/>
    <w:rsid w:val="00A968A9"/>
    <w:rsid w:val="00A972B1"/>
    <w:rsid w:val="00A97D04"/>
    <w:rsid w:val="00AA68FE"/>
    <w:rsid w:val="00AB09F0"/>
    <w:rsid w:val="00AB3807"/>
    <w:rsid w:val="00AB3A47"/>
    <w:rsid w:val="00AB4D03"/>
    <w:rsid w:val="00AB604C"/>
    <w:rsid w:val="00AB7545"/>
    <w:rsid w:val="00AC747D"/>
    <w:rsid w:val="00AD2964"/>
    <w:rsid w:val="00AD5BE1"/>
    <w:rsid w:val="00AD694F"/>
    <w:rsid w:val="00AE1F0B"/>
    <w:rsid w:val="00AE3897"/>
    <w:rsid w:val="00AE3B2B"/>
    <w:rsid w:val="00AE4741"/>
    <w:rsid w:val="00AE75AC"/>
    <w:rsid w:val="00AE774B"/>
    <w:rsid w:val="00AF0999"/>
    <w:rsid w:val="00AF2E0D"/>
    <w:rsid w:val="00AF4F73"/>
    <w:rsid w:val="00AF54DD"/>
    <w:rsid w:val="00AF6CD3"/>
    <w:rsid w:val="00AF7651"/>
    <w:rsid w:val="00B01C19"/>
    <w:rsid w:val="00B03628"/>
    <w:rsid w:val="00B069CA"/>
    <w:rsid w:val="00B11485"/>
    <w:rsid w:val="00B11C05"/>
    <w:rsid w:val="00B11DF8"/>
    <w:rsid w:val="00B12035"/>
    <w:rsid w:val="00B13F82"/>
    <w:rsid w:val="00B1423A"/>
    <w:rsid w:val="00B151C8"/>
    <w:rsid w:val="00B15681"/>
    <w:rsid w:val="00B163A7"/>
    <w:rsid w:val="00B204AF"/>
    <w:rsid w:val="00B30BC7"/>
    <w:rsid w:val="00B32653"/>
    <w:rsid w:val="00B330C4"/>
    <w:rsid w:val="00B33DF1"/>
    <w:rsid w:val="00B37A1D"/>
    <w:rsid w:val="00B4319E"/>
    <w:rsid w:val="00B4774E"/>
    <w:rsid w:val="00B549AA"/>
    <w:rsid w:val="00B54F01"/>
    <w:rsid w:val="00B578EC"/>
    <w:rsid w:val="00B634DB"/>
    <w:rsid w:val="00B6640C"/>
    <w:rsid w:val="00B67FE3"/>
    <w:rsid w:val="00B71DEC"/>
    <w:rsid w:val="00B72EA2"/>
    <w:rsid w:val="00B736A3"/>
    <w:rsid w:val="00B751F3"/>
    <w:rsid w:val="00B76F42"/>
    <w:rsid w:val="00B770FB"/>
    <w:rsid w:val="00B80456"/>
    <w:rsid w:val="00B820AF"/>
    <w:rsid w:val="00B82609"/>
    <w:rsid w:val="00B83338"/>
    <w:rsid w:val="00B83FF6"/>
    <w:rsid w:val="00B84C66"/>
    <w:rsid w:val="00B8726F"/>
    <w:rsid w:val="00B87E6E"/>
    <w:rsid w:val="00B9253F"/>
    <w:rsid w:val="00BA26CE"/>
    <w:rsid w:val="00BA537A"/>
    <w:rsid w:val="00BA628E"/>
    <w:rsid w:val="00BB0D8A"/>
    <w:rsid w:val="00BB340A"/>
    <w:rsid w:val="00BB3F10"/>
    <w:rsid w:val="00BB5BEF"/>
    <w:rsid w:val="00BB603B"/>
    <w:rsid w:val="00BB6E23"/>
    <w:rsid w:val="00BB7638"/>
    <w:rsid w:val="00BB7A2E"/>
    <w:rsid w:val="00BC09B6"/>
    <w:rsid w:val="00BC39E9"/>
    <w:rsid w:val="00BC4FE7"/>
    <w:rsid w:val="00BC5DA1"/>
    <w:rsid w:val="00BC6E91"/>
    <w:rsid w:val="00BD190A"/>
    <w:rsid w:val="00BD2CF9"/>
    <w:rsid w:val="00BD3070"/>
    <w:rsid w:val="00BD3206"/>
    <w:rsid w:val="00BD463E"/>
    <w:rsid w:val="00BD4CC4"/>
    <w:rsid w:val="00BDE510"/>
    <w:rsid w:val="00BE11E7"/>
    <w:rsid w:val="00BE2F6A"/>
    <w:rsid w:val="00BE34E5"/>
    <w:rsid w:val="00BE3742"/>
    <w:rsid w:val="00BF3CDB"/>
    <w:rsid w:val="00BF3D82"/>
    <w:rsid w:val="00BF3D96"/>
    <w:rsid w:val="00BF3DF5"/>
    <w:rsid w:val="00C01C89"/>
    <w:rsid w:val="00C02453"/>
    <w:rsid w:val="00C0374D"/>
    <w:rsid w:val="00C057A6"/>
    <w:rsid w:val="00C06D73"/>
    <w:rsid w:val="00C1067D"/>
    <w:rsid w:val="00C1067F"/>
    <w:rsid w:val="00C1169A"/>
    <w:rsid w:val="00C13B74"/>
    <w:rsid w:val="00C14691"/>
    <w:rsid w:val="00C16405"/>
    <w:rsid w:val="00C16DB1"/>
    <w:rsid w:val="00C175F1"/>
    <w:rsid w:val="00C179C5"/>
    <w:rsid w:val="00C226EA"/>
    <w:rsid w:val="00C22F1A"/>
    <w:rsid w:val="00C23001"/>
    <w:rsid w:val="00C274FE"/>
    <w:rsid w:val="00C27BAD"/>
    <w:rsid w:val="00C32312"/>
    <w:rsid w:val="00C32E95"/>
    <w:rsid w:val="00C333D8"/>
    <w:rsid w:val="00C34BA3"/>
    <w:rsid w:val="00C35F2A"/>
    <w:rsid w:val="00C37F49"/>
    <w:rsid w:val="00C402D4"/>
    <w:rsid w:val="00C40517"/>
    <w:rsid w:val="00C41B25"/>
    <w:rsid w:val="00C47021"/>
    <w:rsid w:val="00C50A54"/>
    <w:rsid w:val="00C52D64"/>
    <w:rsid w:val="00C537F5"/>
    <w:rsid w:val="00C55E23"/>
    <w:rsid w:val="00C5630A"/>
    <w:rsid w:val="00C56DE1"/>
    <w:rsid w:val="00C57A05"/>
    <w:rsid w:val="00C62619"/>
    <w:rsid w:val="00C62F04"/>
    <w:rsid w:val="00C636CC"/>
    <w:rsid w:val="00C65E78"/>
    <w:rsid w:val="00C6621C"/>
    <w:rsid w:val="00C718D3"/>
    <w:rsid w:val="00C7429E"/>
    <w:rsid w:val="00C7433F"/>
    <w:rsid w:val="00C76785"/>
    <w:rsid w:val="00C856BB"/>
    <w:rsid w:val="00C85D07"/>
    <w:rsid w:val="00C905F9"/>
    <w:rsid w:val="00C91323"/>
    <w:rsid w:val="00C91D81"/>
    <w:rsid w:val="00C937F1"/>
    <w:rsid w:val="00C9381D"/>
    <w:rsid w:val="00C94070"/>
    <w:rsid w:val="00C9485B"/>
    <w:rsid w:val="00C95519"/>
    <w:rsid w:val="00C95F4C"/>
    <w:rsid w:val="00C97EA9"/>
    <w:rsid w:val="00CA03F1"/>
    <w:rsid w:val="00CA0F9D"/>
    <w:rsid w:val="00CA218F"/>
    <w:rsid w:val="00CA313D"/>
    <w:rsid w:val="00CA6435"/>
    <w:rsid w:val="00CA7CCB"/>
    <w:rsid w:val="00CC0A94"/>
    <w:rsid w:val="00CC2B4B"/>
    <w:rsid w:val="00CC359C"/>
    <w:rsid w:val="00CC6046"/>
    <w:rsid w:val="00CD3732"/>
    <w:rsid w:val="00CD3937"/>
    <w:rsid w:val="00CD4397"/>
    <w:rsid w:val="00CE06F0"/>
    <w:rsid w:val="00CE1B77"/>
    <w:rsid w:val="00CE3C84"/>
    <w:rsid w:val="00CE51E7"/>
    <w:rsid w:val="00CE55AF"/>
    <w:rsid w:val="00CE5E43"/>
    <w:rsid w:val="00CE7459"/>
    <w:rsid w:val="00CF0820"/>
    <w:rsid w:val="00CF0E0F"/>
    <w:rsid w:val="00CF128B"/>
    <w:rsid w:val="00CF6E4D"/>
    <w:rsid w:val="00CF774B"/>
    <w:rsid w:val="00D04858"/>
    <w:rsid w:val="00D0767B"/>
    <w:rsid w:val="00D11935"/>
    <w:rsid w:val="00D16281"/>
    <w:rsid w:val="00D17BC3"/>
    <w:rsid w:val="00D20153"/>
    <w:rsid w:val="00D222CD"/>
    <w:rsid w:val="00D252BA"/>
    <w:rsid w:val="00D30738"/>
    <w:rsid w:val="00D31247"/>
    <w:rsid w:val="00D34E5E"/>
    <w:rsid w:val="00D414CA"/>
    <w:rsid w:val="00D4485A"/>
    <w:rsid w:val="00D47EFE"/>
    <w:rsid w:val="00D52D16"/>
    <w:rsid w:val="00D56396"/>
    <w:rsid w:val="00D5761B"/>
    <w:rsid w:val="00D57CD0"/>
    <w:rsid w:val="00D609F8"/>
    <w:rsid w:val="00D613CE"/>
    <w:rsid w:val="00D614E0"/>
    <w:rsid w:val="00D63D03"/>
    <w:rsid w:val="00D641C3"/>
    <w:rsid w:val="00D64426"/>
    <w:rsid w:val="00D708F7"/>
    <w:rsid w:val="00D73AA0"/>
    <w:rsid w:val="00D743C2"/>
    <w:rsid w:val="00D763EB"/>
    <w:rsid w:val="00D770BC"/>
    <w:rsid w:val="00D8284E"/>
    <w:rsid w:val="00D854D1"/>
    <w:rsid w:val="00D85E9B"/>
    <w:rsid w:val="00D86940"/>
    <w:rsid w:val="00D86983"/>
    <w:rsid w:val="00D86EBB"/>
    <w:rsid w:val="00D87126"/>
    <w:rsid w:val="00D87DFB"/>
    <w:rsid w:val="00D91C51"/>
    <w:rsid w:val="00D9253D"/>
    <w:rsid w:val="00D92F79"/>
    <w:rsid w:val="00D96E5A"/>
    <w:rsid w:val="00DA23B6"/>
    <w:rsid w:val="00DB167B"/>
    <w:rsid w:val="00DB2112"/>
    <w:rsid w:val="00DB2D93"/>
    <w:rsid w:val="00DB4E05"/>
    <w:rsid w:val="00DB5E8C"/>
    <w:rsid w:val="00DB6993"/>
    <w:rsid w:val="00DB7433"/>
    <w:rsid w:val="00DC13A7"/>
    <w:rsid w:val="00DC34AD"/>
    <w:rsid w:val="00DC5084"/>
    <w:rsid w:val="00DD173D"/>
    <w:rsid w:val="00DD1F19"/>
    <w:rsid w:val="00DD2502"/>
    <w:rsid w:val="00DD34EA"/>
    <w:rsid w:val="00DD654F"/>
    <w:rsid w:val="00DE5715"/>
    <w:rsid w:val="00DF1893"/>
    <w:rsid w:val="00DF6A16"/>
    <w:rsid w:val="00DF753C"/>
    <w:rsid w:val="00E01ABE"/>
    <w:rsid w:val="00E01B44"/>
    <w:rsid w:val="00E03DC5"/>
    <w:rsid w:val="00E03FAD"/>
    <w:rsid w:val="00E0411D"/>
    <w:rsid w:val="00E06174"/>
    <w:rsid w:val="00E068C8"/>
    <w:rsid w:val="00E10112"/>
    <w:rsid w:val="00E10E0A"/>
    <w:rsid w:val="00E10FDD"/>
    <w:rsid w:val="00E11B70"/>
    <w:rsid w:val="00E123C4"/>
    <w:rsid w:val="00E1268F"/>
    <w:rsid w:val="00E12A97"/>
    <w:rsid w:val="00E13BF7"/>
    <w:rsid w:val="00E13D51"/>
    <w:rsid w:val="00E14CE2"/>
    <w:rsid w:val="00E15DDC"/>
    <w:rsid w:val="00E15E6E"/>
    <w:rsid w:val="00E22A21"/>
    <w:rsid w:val="00E22C47"/>
    <w:rsid w:val="00E238F7"/>
    <w:rsid w:val="00E26062"/>
    <w:rsid w:val="00E31F4E"/>
    <w:rsid w:val="00E322D9"/>
    <w:rsid w:val="00E328FA"/>
    <w:rsid w:val="00E33C3D"/>
    <w:rsid w:val="00E34F66"/>
    <w:rsid w:val="00E3705F"/>
    <w:rsid w:val="00E376B0"/>
    <w:rsid w:val="00E41BC6"/>
    <w:rsid w:val="00E4617C"/>
    <w:rsid w:val="00E462E1"/>
    <w:rsid w:val="00E5164D"/>
    <w:rsid w:val="00E54089"/>
    <w:rsid w:val="00E56C9E"/>
    <w:rsid w:val="00E6112C"/>
    <w:rsid w:val="00E61D29"/>
    <w:rsid w:val="00E62A19"/>
    <w:rsid w:val="00E64C8B"/>
    <w:rsid w:val="00E70445"/>
    <w:rsid w:val="00E75948"/>
    <w:rsid w:val="00E80E16"/>
    <w:rsid w:val="00E82036"/>
    <w:rsid w:val="00E85F6A"/>
    <w:rsid w:val="00E87187"/>
    <w:rsid w:val="00E90005"/>
    <w:rsid w:val="00E92311"/>
    <w:rsid w:val="00E924D2"/>
    <w:rsid w:val="00E9414E"/>
    <w:rsid w:val="00E94FED"/>
    <w:rsid w:val="00E95E5D"/>
    <w:rsid w:val="00EA0F20"/>
    <w:rsid w:val="00EA27BF"/>
    <w:rsid w:val="00EA287A"/>
    <w:rsid w:val="00EA591F"/>
    <w:rsid w:val="00EA7096"/>
    <w:rsid w:val="00EB1096"/>
    <w:rsid w:val="00EB1098"/>
    <w:rsid w:val="00EB1215"/>
    <w:rsid w:val="00EB5410"/>
    <w:rsid w:val="00EC3560"/>
    <w:rsid w:val="00EC4694"/>
    <w:rsid w:val="00ED00A5"/>
    <w:rsid w:val="00ED6B02"/>
    <w:rsid w:val="00EE0582"/>
    <w:rsid w:val="00EE140D"/>
    <w:rsid w:val="00EE30B2"/>
    <w:rsid w:val="00EE3E55"/>
    <w:rsid w:val="00EF191A"/>
    <w:rsid w:val="00EF3B0B"/>
    <w:rsid w:val="00EF4852"/>
    <w:rsid w:val="00EF5B83"/>
    <w:rsid w:val="00EF6F66"/>
    <w:rsid w:val="00F01B6D"/>
    <w:rsid w:val="00F02101"/>
    <w:rsid w:val="00F023CB"/>
    <w:rsid w:val="00F04D9A"/>
    <w:rsid w:val="00F10B87"/>
    <w:rsid w:val="00F13A5A"/>
    <w:rsid w:val="00F15538"/>
    <w:rsid w:val="00F164D1"/>
    <w:rsid w:val="00F24D68"/>
    <w:rsid w:val="00F25041"/>
    <w:rsid w:val="00F31F33"/>
    <w:rsid w:val="00F33516"/>
    <w:rsid w:val="00F3409C"/>
    <w:rsid w:val="00F34A9B"/>
    <w:rsid w:val="00F375B9"/>
    <w:rsid w:val="00F406E1"/>
    <w:rsid w:val="00F411A4"/>
    <w:rsid w:val="00F413B1"/>
    <w:rsid w:val="00F44347"/>
    <w:rsid w:val="00F50327"/>
    <w:rsid w:val="00F5405D"/>
    <w:rsid w:val="00F5543C"/>
    <w:rsid w:val="00F56618"/>
    <w:rsid w:val="00F56DB6"/>
    <w:rsid w:val="00F574E3"/>
    <w:rsid w:val="00F60BA4"/>
    <w:rsid w:val="00F61ED3"/>
    <w:rsid w:val="00F62FA8"/>
    <w:rsid w:val="00F669F8"/>
    <w:rsid w:val="00F66DB4"/>
    <w:rsid w:val="00F70BE6"/>
    <w:rsid w:val="00F735B5"/>
    <w:rsid w:val="00F77763"/>
    <w:rsid w:val="00F77853"/>
    <w:rsid w:val="00F80927"/>
    <w:rsid w:val="00F83F66"/>
    <w:rsid w:val="00F84836"/>
    <w:rsid w:val="00F8598D"/>
    <w:rsid w:val="00F86B79"/>
    <w:rsid w:val="00F87471"/>
    <w:rsid w:val="00F87AA6"/>
    <w:rsid w:val="00F9096E"/>
    <w:rsid w:val="00F91969"/>
    <w:rsid w:val="00F92B8B"/>
    <w:rsid w:val="00FA018E"/>
    <w:rsid w:val="00FA0CE8"/>
    <w:rsid w:val="00FA1002"/>
    <w:rsid w:val="00FA377D"/>
    <w:rsid w:val="00FA586F"/>
    <w:rsid w:val="00FA6A34"/>
    <w:rsid w:val="00FA71A1"/>
    <w:rsid w:val="00FB1DE9"/>
    <w:rsid w:val="00FB425E"/>
    <w:rsid w:val="00FB481F"/>
    <w:rsid w:val="00FB5506"/>
    <w:rsid w:val="00FB694F"/>
    <w:rsid w:val="00FB6BAE"/>
    <w:rsid w:val="00FC4C9B"/>
    <w:rsid w:val="00FC5082"/>
    <w:rsid w:val="00FC585E"/>
    <w:rsid w:val="00FC68B0"/>
    <w:rsid w:val="00FC74F4"/>
    <w:rsid w:val="00FC79D3"/>
    <w:rsid w:val="00FC7AB1"/>
    <w:rsid w:val="00FD00F2"/>
    <w:rsid w:val="00FD0421"/>
    <w:rsid w:val="00FD2A04"/>
    <w:rsid w:val="00FD4513"/>
    <w:rsid w:val="00FD67E1"/>
    <w:rsid w:val="00FD70F3"/>
    <w:rsid w:val="00FF27B2"/>
    <w:rsid w:val="00FF590F"/>
    <w:rsid w:val="029F4E13"/>
    <w:rsid w:val="03359521"/>
    <w:rsid w:val="042579BD"/>
    <w:rsid w:val="0433F022"/>
    <w:rsid w:val="056E2A99"/>
    <w:rsid w:val="05B3D9B8"/>
    <w:rsid w:val="0718AA92"/>
    <w:rsid w:val="09EC9C66"/>
    <w:rsid w:val="0A0D63C1"/>
    <w:rsid w:val="0BD83DBB"/>
    <w:rsid w:val="0BDD0BDE"/>
    <w:rsid w:val="10267A14"/>
    <w:rsid w:val="10CA5500"/>
    <w:rsid w:val="1135525F"/>
    <w:rsid w:val="11CD3ED1"/>
    <w:rsid w:val="14F44483"/>
    <w:rsid w:val="150B0049"/>
    <w:rsid w:val="1788D054"/>
    <w:rsid w:val="1C196B18"/>
    <w:rsid w:val="1D65E5DF"/>
    <w:rsid w:val="203AB394"/>
    <w:rsid w:val="2060138B"/>
    <w:rsid w:val="24C9850D"/>
    <w:rsid w:val="2511498C"/>
    <w:rsid w:val="25B99E98"/>
    <w:rsid w:val="266CFF96"/>
    <w:rsid w:val="273964A0"/>
    <w:rsid w:val="273BD91A"/>
    <w:rsid w:val="2A19DD85"/>
    <w:rsid w:val="2A43CD68"/>
    <w:rsid w:val="2A9469EC"/>
    <w:rsid w:val="32066573"/>
    <w:rsid w:val="3540A952"/>
    <w:rsid w:val="35FE8455"/>
    <w:rsid w:val="37177E8F"/>
    <w:rsid w:val="37AB708C"/>
    <w:rsid w:val="3A0C342C"/>
    <w:rsid w:val="3BF700AB"/>
    <w:rsid w:val="3FDE2E1B"/>
    <w:rsid w:val="400935C2"/>
    <w:rsid w:val="4138B284"/>
    <w:rsid w:val="4558BA8E"/>
    <w:rsid w:val="479FF250"/>
    <w:rsid w:val="4815509E"/>
    <w:rsid w:val="49F80DDB"/>
    <w:rsid w:val="4A84024E"/>
    <w:rsid w:val="4AFD8972"/>
    <w:rsid w:val="52B5BC27"/>
    <w:rsid w:val="559041F5"/>
    <w:rsid w:val="55F01250"/>
    <w:rsid w:val="55FEC5F2"/>
    <w:rsid w:val="56E0627F"/>
    <w:rsid w:val="59B7B240"/>
    <w:rsid w:val="5C7F6D19"/>
    <w:rsid w:val="5FDBD9AB"/>
    <w:rsid w:val="60B38950"/>
    <w:rsid w:val="625C7E0B"/>
    <w:rsid w:val="62B0FEEC"/>
    <w:rsid w:val="6400DE52"/>
    <w:rsid w:val="66378C83"/>
    <w:rsid w:val="665A2B50"/>
    <w:rsid w:val="6746A063"/>
    <w:rsid w:val="67AF3858"/>
    <w:rsid w:val="696A97FD"/>
    <w:rsid w:val="6BEE00EC"/>
    <w:rsid w:val="6C4B2203"/>
    <w:rsid w:val="6F08E959"/>
    <w:rsid w:val="714FB7B4"/>
    <w:rsid w:val="721AA17D"/>
    <w:rsid w:val="77AFEA43"/>
    <w:rsid w:val="7B4895B1"/>
    <w:rsid w:val="7C06B413"/>
    <w:rsid w:val="7D1129B8"/>
    <w:rsid w:val="7E51A602"/>
  </w:rsids>
  <m:mathPr>
    <m:mathFont m:val="Cambria Math"/>
    <m:brkBin m:val="before"/>
    <m:brkBinSub m:val="--"/>
    <m:smallFrac m:val="0"/>
    <m:dispDef/>
    <m:lMargin m:val="0"/>
    <m:rMargin m:val="0"/>
    <m:defJc m:val="centerGroup"/>
    <m:wrapIndent m:val="1440"/>
    <m:intLim m:val="subSup"/>
    <m:naryLim m:val="undOvr"/>
  </m:mathPr>
  <w:themeFontLang w:val="fr-FR"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7FE1B2AE"/>
  <w15:docId w15:val="{CA19EFD7-95DA-4F94-8F0B-1BA28BA7AD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hr" w:eastAsia="en-GB"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qFormat="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iPriority="0"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0" w:line="240" w:lineRule="auto"/>
    </w:pPr>
    <w:rPr>
      <w:rFonts w:eastAsiaTheme="minorEastAsia"/>
      <w:szCs w:val="24"/>
    </w:rPr>
  </w:style>
  <w:style w:type="paragraph" w:styleId="Heading1">
    <w:name w:val="heading 1"/>
    <w:aliases w:val="Cover title white"/>
    <w:next w:val="Normal"/>
    <w:link w:val="Heading1Char"/>
    <w:qFormat/>
    <w:pPr>
      <w:keepNext/>
      <w:keepLines/>
      <w:spacing w:after="0" w:line="240" w:lineRule="auto"/>
      <w:outlineLvl w:val="0"/>
    </w:pPr>
    <w:rPr>
      <w:rFonts w:asciiTheme="majorHAnsi" w:eastAsiaTheme="majorEastAsia" w:hAnsiTheme="majorHAnsi" w:cstheme="majorBidi"/>
      <w:b/>
      <w:bCs/>
      <w:caps/>
      <w:color w:val="FFFFFF" w:themeColor="background1"/>
      <w:sz w:val="40"/>
      <w:szCs w:val="40"/>
    </w:rPr>
  </w:style>
  <w:style w:type="paragraph" w:styleId="Heading2">
    <w:name w:val="heading 2"/>
    <w:basedOn w:val="Numberedtilelevel1"/>
    <w:next w:val="Normal"/>
    <w:link w:val="Heading2Char"/>
    <w:uiPriority w:val="9"/>
    <w:semiHidden/>
    <w:qFormat/>
    <w:pPr>
      <w:numPr>
        <w:numId w:val="0"/>
      </w:numPr>
      <w:outlineLvl w:val="1"/>
    </w:pPr>
  </w:style>
  <w:style w:type="paragraph" w:styleId="Heading3">
    <w:name w:val="heading 3"/>
    <w:aliases w:val="Title 2"/>
    <w:basedOn w:val="Numberedtitlelevel2"/>
    <w:next w:val="Normal"/>
    <w:link w:val="Heading3Char"/>
    <w:uiPriority w:val="9"/>
    <w:semiHidden/>
    <w:pPr>
      <w:outlineLvl w:val="2"/>
    </w:pPr>
  </w:style>
  <w:style w:type="paragraph" w:styleId="Heading4">
    <w:name w:val="heading 4"/>
    <w:basedOn w:val="Normal"/>
    <w:next w:val="Normal"/>
    <w:link w:val="Heading4Char"/>
    <w:uiPriority w:val="9"/>
    <w:semiHidden/>
    <w:qFormat/>
    <w:pPr>
      <w:keepNext/>
      <w:keepLines/>
      <w:numPr>
        <w:ilvl w:val="3"/>
        <w:numId w:val="45"/>
      </w:numPr>
      <w:spacing w:before="200"/>
      <w:outlineLvl w:val="3"/>
    </w:pPr>
    <w:rPr>
      <w:rFonts w:asciiTheme="majorHAnsi" w:eastAsiaTheme="majorEastAsia" w:hAnsiTheme="majorHAnsi" w:cstheme="majorBidi"/>
      <w:b/>
      <w:bCs/>
      <w:i/>
      <w:iCs/>
      <w:color w:val="4F81BD" w:themeColor="accent1"/>
    </w:rPr>
  </w:style>
  <w:style w:type="paragraph" w:styleId="Heading5">
    <w:name w:val="heading 5"/>
    <w:aliases w:val="Cover subtitle white"/>
    <w:next w:val="Normal"/>
    <w:link w:val="Heading5Char"/>
    <w:semiHidden/>
    <w:qFormat/>
    <w:pPr>
      <w:keepNext/>
      <w:keepLines/>
      <w:spacing w:before="200" w:after="0" w:line="240" w:lineRule="auto"/>
      <w:outlineLvl w:val="4"/>
    </w:pPr>
    <w:rPr>
      <w:rFonts w:asciiTheme="majorHAnsi" w:eastAsiaTheme="majorEastAsia" w:hAnsiTheme="majorHAnsi" w:cstheme="majorBidi"/>
      <w:caps/>
      <w:color w:val="FFFFFF" w:themeColor="background1"/>
      <w:sz w:val="28"/>
      <w:szCs w:val="28"/>
    </w:rPr>
  </w:style>
  <w:style w:type="paragraph" w:styleId="Heading6">
    <w:name w:val="heading 6"/>
    <w:basedOn w:val="Normal"/>
    <w:next w:val="Normal"/>
    <w:link w:val="Heading6Char"/>
    <w:uiPriority w:val="9"/>
    <w:semiHidden/>
    <w:qFormat/>
    <w:pPr>
      <w:keepNext/>
      <w:keepLines/>
      <w:numPr>
        <w:ilvl w:val="5"/>
        <w:numId w:val="45"/>
      </w:numPr>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qFormat/>
    <w:pPr>
      <w:keepNext/>
      <w:keepLines/>
      <w:numPr>
        <w:ilvl w:val="6"/>
        <w:numId w:val="45"/>
      </w:numPr>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qFormat/>
    <w:pPr>
      <w:keepNext/>
      <w:keepLines/>
      <w:numPr>
        <w:ilvl w:val="7"/>
        <w:numId w:val="45"/>
      </w:numPr>
      <w:spacing w:before="20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qFormat/>
    <w:pPr>
      <w:keepNext/>
      <w:keepLines/>
      <w:numPr>
        <w:ilvl w:val="8"/>
        <w:numId w:val="45"/>
      </w:numPr>
      <w:spacing w:before="20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Cover title white Char"/>
    <w:basedOn w:val="DefaultParagraphFont"/>
    <w:link w:val="Heading1"/>
    <w:rPr>
      <w:rFonts w:asciiTheme="majorHAnsi" w:eastAsiaTheme="majorEastAsia" w:hAnsiTheme="majorHAnsi" w:cstheme="majorBidi"/>
      <w:b/>
      <w:bCs/>
      <w:caps/>
      <w:color w:val="FFFFFF" w:themeColor="background1"/>
      <w:sz w:val="40"/>
      <w:szCs w:val="40"/>
    </w:rPr>
  </w:style>
  <w:style w:type="character" w:customStyle="1" w:styleId="Heading2Char">
    <w:name w:val="Heading 2 Char"/>
    <w:basedOn w:val="DefaultParagraphFont"/>
    <w:link w:val="Heading2"/>
    <w:uiPriority w:val="9"/>
    <w:semiHidden/>
    <w:rPr>
      <w:rFonts w:asciiTheme="majorHAnsi" w:eastAsiaTheme="majorEastAsia" w:hAnsiTheme="majorHAnsi" w:cstheme="majorBidi"/>
      <w:color w:val="1F497D" w:themeColor="text2"/>
      <w:kern w:val="28"/>
      <w:sz w:val="52"/>
      <w:szCs w:val="52"/>
    </w:rPr>
  </w:style>
  <w:style w:type="character" w:customStyle="1" w:styleId="Heading3Char">
    <w:name w:val="Heading 3 Char"/>
    <w:aliases w:val="Title 2 Char"/>
    <w:basedOn w:val="DefaultParagraphFont"/>
    <w:link w:val="Heading3"/>
    <w:uiPriority w:val="9"/>
    <w:semiHidden/>
    <w:rPr>
      <w:rFonts w:asciiTheme="majorHAnsi" w:eastAsiaTheme="majorEastAsia" w:hAnsiTheme="majorHAnsi" w:cstheme="majorBidi"/>
      <w:bCs/>
      <w:color w:val="1F497D" w:themeColor="text2"/>
      <w:sz w:val="32"/>
      <w:szCs w:val="24"/>
    </w:rPr>
  </w:style>
  <w:style w:type="character" w:customStyle="1" w:styleId="Heading4Char">
    <w:name w:val="Heading 4 Char"/>
    <w:basedOn w:val="DefaultParagraphFont"/>
    <w:link w:val="Heading4"/>
    <w:uiPriority w:val="9"/>
    <w:semiHidden/>
    <w:rPr>
      <w:rFonts w:asciiTheme="majorHAnsi" w:eastAsiaTheme="majorEastAsia" w:hAnsiTheme="majorHAnsi" w:cstheme="majorBidi"/>
      <w:b/>
      <w:bCs/>
      <w:i/>
      <w:iCs/>
      <w:color w:val="4F81BD" w:themeColor="accent1"/>
      <w:szCs w:val="24"/>
    </w:rPr>
  </w:style>
  <w:style w:type="character" w:customStyle="1" w:styleId="Heading5Char">
    <w:name w:val="Heading 5 Char"/>
    <w:aliases w:val="Cover subtitle white Char"/>
    <w:basedOn w:val="DefaultParagraphFont"/>
    <w:link w:val="Heading5"/>
    <w:semiHidden/>
    <w:rPr>
      <w:rFonts w:asciiTheme="majorHAnsi" w:eastAsiaTheme="majorEastAsia" w:hAnsiTheme="majorHAnsi" w:cstheme="majorBidi"/>
      <w:caps/>
      <w:color w:val="FFFFFF" w:themeColor="background1"/>
      <w:sz w:val="28"/>
      <w:szCs w:val="28"/>
    </w:rPr>
  </w:style>
  <w:style w:type="character" w:customStyle="1" w:styleId="Heading6Char">
    <w:name w:val="Heading 6 Char"/>
    <w:basedOn w:val="DefaultParagraphFont"/>
    <w:link w:val="Heading6"/>
    <w:uiPriority w:val="9"/>
    <w:semiHidden/>
    <w:rPr>
      <w:rFonts w:asciiTheme="majorHAnsi" w:eastAsiaTheme="majorEastAsia" w:hAnsiTheme="majorHAnsi" w:cstheme="majorBidi"/>
      <w:i/>
      <w:iCs/>
      <w:color w:val="243F60" w:themeColor="accent1" w:themeShade="7F"/>
      <w:szCs w:val="24"/>
    </w:rPr>
  </w:style>
  <w:style w:type="character" w:customStyle="1" w:styleId="Heading7Char">
    <w:name w:val="Heading 7 Char"/>
    <w:basedOn w:val="DefaultParagraphFont"/>
    <w:link w:val="Heading7"/>
    <w:uiPriority w:val="9"/>
    <w:semiHidden/>
    <w:rPr>
      <w:rFonts w:asciiTheme="majorHAnsi" w:eastAsiaTheme="majorEastAsia" w:hAnsiTheme="majorHAnsi" w:cstheme="majorBidi"/>
      <w:i/>
      <w:iCs/>
      <w:color w:val="404040" w:themeColor="text1" w:themeTint="BF"/>
      <w:szCs w:val="24"/>
    </w:rPr>
  </w:style>
  <w:style w:type="character" w:customStyle="1" w:styleId="Heading8Char">
    <w:name w:val="Heading 8 Char"/>
    <w:basedOn w:val="DefaultParagraphFont"/>
    <w:link w:val="Heading8"/>
    <w:uiPriority w:val="9"/>
    <w:semiHidden/>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Pr>
      <w:rFonts w:asciiTheme="majorHAnsi" w:eastAsiaTheme="majorEastAsia" w:hAnsiTheme="majorHAnsi" w:cstheme="majorBidi"/>
      <w:i/>
      <w:iCs/>
      <w:color w:val="404040" w:themeColor="text1" w:themeTint="BF"/>
      <w:sz w:val="20"/>
      <w:szCs w:val="20"/>
    </w:rPr>
  </w:style>
  <w:style w:type="paragraph" w:customStyle="1" w:styleId="Numberedtilelevel1">
    <w:name w:val="Numbered tile level 1"/>
    <w:basedOn w:val="Titlelevel1"/>
    <w:qFormat/>
    <w:pPr>
      <w:numPr>
        <w:numId w:val="63"/>
      </w:numPr>
    </w:pPr>
  </w:style>
  <w:style w:type="paragraph" w:customStyle="1" w:styleId="Numberedtitlelevel2">
    <w:name w:val="Numbered title level 2"/>
    <w:basedOn w:val="Titlelevel2"/>
    <w:next w:val="body"/>
    <w:qFormat/>
  </w:style>
  <w:style w:type="paragraph" w:customStyle="1" w:styleId="Titlelevel2">
    <w:name w:val="Title level 2"/>
    <w:qFormat/>
    <w:pPr>
      <w:spacing w:before="240" w:after="240" w:line="240" w:lineRule="auto"/>
    </w:pPr>
    <w:rPr>
      <w:rFonts w:asciiTheme="majorHAnsi" w:eastAsiaTheme="majorEastAsia" w:hAnsiTheme="majorHAnsi" w:cstheme="majorBidi"/>
      <w:bCs/>
      <w:color w:val="1F497D" w:themeColor="text2"/>
      <w:sz w:val="32"/>
      <w:szCs w:val="24"/>
    </w:rPr>
  </w:style>
  <w:style w:type="paragraph" w:customStyle="1" w:styleId="body">
    <w:name w:val="body"/>
    <w:qFormat/>
    <w:pPr>
      <w:spacing w:before="240" w:after="120"/>
      <w:jc w:val="both"/>
    </w:pPr>
    <w:rPr>
      <w:rFonts w:eastAsiaTheme="minorEastAsia"/>
      <w:szCs w:val="24"/>
    </w:rPr>
  </w:style>
  <w:style w:type="paragraph" w:styleId="BalloonText">
    <w:name w:val="Balloon Text"/>
    <w:basedOn w:val="Normal"/>
    <w:link w:val="BalloonTextChar"/>
    <w:uiPriority w:val="99"/>
    <w:semiHidden/>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Pr>
      <w:rFonts w:ascii="Lucida Grande" w:eastAsiaTheme="minorEastAsia" w:hAnsi="Lucida Grande" w:cs="Lucida Grande"/>
      <w:sz w:val="18"/>
      <w:szCs w:val="18"/>
    </w:rPr>
  </w:style>
  <w:style w:type="paragraph" w:customStyle="1" w:styleId="Tableheader">
    <w:name w:val="Table header"/>
    <w:next w:val="Tabledata"/>
    <w:qFormat/>
    <w:pPr>
      <w:spacing w:after="80" w:line="240" w:lineRule="auto"/>
    </w:pPr>
    <w:rPr>
      <w:rFonts w:ascii="Calibri" w:eastAsia="Times New Roman" w:hAnsi="Calibri" w:cs="Times New Roman"/>
      <w:b/>
      <w:color w:val="000000"/>
    </w:rPr>
  </w:style>
  <w:style w:type="paragraph" w:customStyle="1" w:styleId="Tabledata">
    <w:name w:val="Table data"/>
    <w:basedOn w:val="body"/>
    <w:qFormat/>
    <w:pPr>
      <w:spacing w:before="120" w:line="240" w:lineRule="auto"/>
    </w:pPr>
    <w:rPr>
      <w:rFonts w:eastAsia="Times New Roman" w:cstheme="minorHAnsi"/>
      <w:bCs/>
      <w:color w:val="000000"/>
      <w:sz w:val="20"/>
      <w:szCs w:val="22"/>
    </w:rPr>
  </w:style>
  <w:style w:type="paragraph" w:customStyle="1" w:styleId="List1">
    <w:name w:val="List1"/>
    <w:autoRedefine/>
    <w:qFormat/>
    <w:pPr>
      <w:numPr>
        <w:numId w:val="47"/>
      </w:numPr>
      <w:spacing w:after="0" w:line="240" w:lineRule="auto"/>
    </w:pPr>
    <w:rPr>
      <w:rFonts w:eastAsiaTheme="minorEastAsia"/>
    </w:rPr>
  </w:style>
  <w:style w:type="paragraph" w:styleId="Footer">
    <w:name w:val="footer"/>
    <w:basedOn w:val="Normal"/>
    <w:link w:val="FooterChar"/>
    <w:uiPriority w:val="99"/>
    <w:pPr>
      <w:tabs>
        <w:tab w:val="center" w:pos="4320"/>
        <w:tab w:val="right" w:pos="8640"/>
      </w:tabs>
    </w:pPr>
  </w:style>
  <w:style w:type="character" w:customStyle="1" w:styleId="FooterChar">
    <w:name w:val="Footer Char"/>
    <w:basedOn w:val="DefaultParagraphFont"/>
    <w:link w:val="Footer"/>
    <w:uiPriority w:val="99"/>
    <w:rPr>
      <w:rFonts w:eastAsiaTheme="minorEastAsia"/>
      <w:szCs w:val="24"/>
    </w:rPr>
  </w:style>
  <w:style w:type="table" w:styleId="TableGrid">
    <w:name w:val="Table Grid"/>
    <w:basedOn w:val="TableProfessional"/>
    <w:uiPriority w:val="59"/>
    <w:rPr>
      <w:sz w:val="20"/>
      <w:szCs w:val="20"/>
      <w:lang w:val="en-GB" w:eastAsia="hr-HR"/>
    </w:rPr>
    <w:tblPr>
      <w:tblBorders>
        <w:top w:val="none" w:sz="0" w:space="0" w:color="auto"/>
        <w:left w:val="none" w:sz="0" w:space="0" w:color="auto"/>
        <w:bottom w:val="single" w:sz="4" w:space="0" w:color="auto"/>
        <w:right w:val="none" w:sz="0" w:space="0" w:color="auto"/>
        <w:insideH w:val="single" w:sz="4" w:space="0" w:color="auto"/>
        <w:insideV w:val="none" w:sz="0" w:space="0" w:color="auto"/>
      </w:tblBorders>
    </w:tblPr>
    <w:tcPr>
      <w:vAlign w:val="center"/>
    </w:tcPr>
    <w:tblStylePr w:type="firstRow">
      <w:rPr>
        <w:rFonts w:asciiTheme="minorHAnsi" w:hAnsiTheme="minorHAnsi"/>
        <w:b w:val="0"/>
        <w:bCs/>
        <w:color w:val="auto"/>
        <w:sz w:val="22"/>
      </w:rPr>
      <w:tblPr/>
      <w:tcPr>
        <w:tcBorders>
          <w:top w:val="nil"/>
          <w:left w:val="nil"/>
          <w:bottom w:val="single" w:sz="4" w:space="0" w:color="auto"/>
          <w:right w:val="nil"/>
          <w:insideH w:val="nil"/>
          <w:insideV w:val="nil"/>
          <w:tl2br w:val="nil"/>
          <w:tr2bl w:val="nil"/>
        </w:tcBorders>
        <w:shd w:val="clear" w:color="000000" w:fill="auto"/>
      </w:tcPr>
    </w:tblStylePr>
  </w:style>
  <w:style w:type="table" w:styleId="TableProfessional">
    <w:name w:val="Table Professional"/>
    <w:basedOn w:val="TableNormal"/>
    <w:uiPriority w:val="99"/>
    <w:semiHidden/>
    <w:unhideWhenUsed/>
    <w:pPr>
      <w:spacing w:after="0" w:line="240" w:lineRule="auto"/>
    </w:pPr>
    <w:rPr>
      <w:rFonts w:eastAsiaTheme="minorEastAsia"/>
      <w:sz w:val="24"/>
      <w:szCs w:val="24"/>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shd w:val="solid" w:color="000000" w:fill="FFFFFF"/>
      </w:tcPr>
    </w:tblStylePr>
  </w:style>
  <w:style w:type="paragraph" w:styleId="List">
    <w:name w:val="List"/>
    <w:autoRedefine/>
    <w:uiPriority w:val="99"/>
    <w:semiHidden/>
    <w:qFormat/>
    <w:pPr>
      <w:numPr>
        <w:numId w:val="48"/>
      </w:numPr>
      <w:spacing w:before="240" w:after="120" w:line="240" w:lineRule="auto"/>
      <w:contextualSpacing/>
    </w:pPr>
    <w:rPr>
      <w:rFonts w:eastAsiaTheme="minorEastAsia"/>
      <w:szCs w:val="24"/>
    </w:rPr>
  </w:style>
  <w:style w:type="paragraph" w:customStyle="1" w:styleId="Titlelevel1">
    <w:name w:val="Title level 1"/>
    <w:autoRedefine/>
    <w:qFormat/>
    <w:pPr>
      <w:pBdr>
        <w:bottom w:val="single" w:sz="8" w:space="1" w:color="1F497D" w:themeColor="text2"/>
      </w:pBdr>
      <w:spacing w:before="360" w:after="600" w:line="560" w:lineRule="exact"/>
    </w:pPr>
    <w:rPr>
      <w:rFonts w:asciiTheme="majorHAnsi" w:eastAsiaTheme="majorEastAsia" w:hAnsiTheme="majorHAnsi" w:cstheme="majorBidi"/>
      <w:color w:val="1F497D" w:themeColor="text2"/>
      <w:kern w:val="28"/>
      <w:sz w:val="52"/>
      <w:szCs w:val="52"/>
    </w:rPr>
  </w:style>
  <w:style w:type="paragraph" w:customStyle="1" w:styleId="Titlelevel3">
    <w:name w:val="Title level 3"/>
    <w:qFormat/>
    <w:pPr>
      <w:spacing w:before="240" w:after="240" w:line="240" w:lineRule="auto"/>
    </w:pPr>
    <w:rPr>
      <w:rFonts w:eastAsiaTheme="minorEastAsia"/>
      <w:b/>
      <w:color w:val="1F497D" w:themeColor="text2"/>
      <w:sz w:val="24"/>
      <w:szCs w:val="24"/>
    </w:rPr>
  </w:style>
  <w:style w:type="paragraph" w:customStyle="1" w:styleId="Titlelevel4">
    <w:name w:val="Title level 4"/>
    <w:next w:val="body"/>
    <w:qFormat/>
    <w:pPr>
      <w:spacing w:before="240" w:after="240" w:line="240" w:lineRule="auto"/>
    </w:pPr>
    <w:rPr>
      <w:rFonts w:eastAsiaTheme="minorEastAsia"/>
      <w:color w:val="EEECE1" w:themeColor="background2"/>
      <w:sz w:val="24"/>
      <w:szCs w:val="24"/>
    </w:rPr>
  </w:style>
  <w:style w:type="paragraph" w:customStyle="1" w:styleId="Figuretitle">
    <w:name w:val="Figure title"/>
    <w:basedOn w:val="body"/>
    <w:next w:val="Normal"/>
    <w:autoRedefine/>
    <w:qFormat/>
    <w:pPr>
      <w:keepNext/>
      <w:spacing w:before="360" w:after="360"/>
    </w:pPr>
    <w:rPr>
      <w:rFonts w:eastAsia="Times New Roman" w:cs="Times New Roman"/>
      <w:bCs/>
      <w:color w:val="1F497D" w:themeColor="text2"/>
      <w:szCs w:val="20"/>
    </w:rPr>
  </w:style>
  <w:style w:type="table" w:customStyle="1" w:styleId="EBAtable">
    <w:name w:val="EBA table"/>
    <w:basedOn w:val="TableNormal"/>
    <w:uiPriority w:val="99"/>
    <w:pPr>
      <w:spacing w:after="0" w:line="240" w:lineRule="auto"/>
    </w:pPr>
    <w:rPr>
      <w:rFonts w:eastAsiaTheme="minorEastAsia"/>
      <w:sz w:val="24"/>
      <w:szCs w:val="24"/>
    </w:rPr>
    <w:tblPr>
      <w:tblBorders>
        <w:bottom w:val="single" w:sz="2" w:space="0" w:color="000000" w:themeColor="text1"/>
        <w:insideH w:val="single" w:sz="2" w:space="0" w:color="000000" w:themeColor="text1"/>
      </w:tblBorders>
    </w:tblPr>
    <w:tcPr>
      <w:vAlign w:val="center"/>
    </w:tcPr>
    <w:tblStylePr w:type="firstRow">
      <w:pPr>
        <w:jc w:val="left"/>
      </w:pPr>
      <w:tblPr/>
      <w:trPr>
        <w:tblHeader/>
      </w:trPr>
      <w:tcPr>
        <w:tcBorders>
          <w:top w:val="nil"/>
          <w:left w:val="nil"/>
          <w:bottom w:val="single" w:sz="18" w:space="0" w:color="EEECE1" w:themeColor="background2"/>
          <w:right w:val="nil"/>
          <w:insideH w:val="nil"/>
          <w:insideV w:val="nil"/>
          <w:tl2br w:val="nil"/>
          <w:tr2bl w:val="nil"/>
        </w:tcBorders>
      </w:tcPr>
    </w:tblStylePr>
    <w:tblStylePr w:type="lastRow">
      <w:tblPr/>
      <w:tcPr>
        <w:tcBorders>
          <w:top w:val="nil"/>
          <w:left w:val="nil"/>
          <w:bottom w:val="single" w:sz="4" w:space="0" w:color="EEECE1" w:themeColor="background2"/>
          <w:right w:val="nil"/>
          <w:insideH w:val="nil"/>
          <w:insideV w:val="nil"/>
          <w:tl2br w:val="nil"/>
          <w:tr2bl w:val="nil"/>
        </w:tcBorders>
      </w:tcPr>
    </w:tblStylePr>
  </w:style>
  <w:style w:type="character" w:styleId="PageNumber">
    <w:name w:val="page number"/>
    <w:basedOn w:val="DefaultParagraphFont"/>
    <w:uiPriority w:val="99"/>
    <w:semiHidden/>
    <w:rPr>
      <w:rFonts w:asciiTheme="minorHAnsi" w:hAnsiTheme="minorHAnsi"/>
      <w:color w:val="auto"/>
      <w:sz w:val="22"/>
    </w:rPr>
  </w:style>
  <w:style w:type="paragraph" w:customStyle="1" w:styleId="Runningtitle">
    <w:name w:val="Running title"/>
    <w:qFormat/>
    <w:pPr>
      <w:spacing w:after="0" w:line="240" w:lineRule="auto"/>
    </w:pPr>
    <w:rPr>
      <w:rFonts w:eastAsiaTheme="minorEastAsia"/>
      <w:caps/>
      <w:sz w:val="16"/>
      <w:szCs w:val="18"/>
    </w:rPr>
  </w:style>
  <w:style w:type="paragraph" w:styleId="FootnoteText">
    <w:name w:val="footnote text"/>
    <w:aliases w:val="EBA_Footnote Text,fn,Footnote Text Char Char,Footnote,Fußnote,FSR footnote,lábléc,Char,Texto nota pie Car,notefranz,ARM footnote Text,Footnote Text Char2,Footnote Text Char11,Footnote Text Char3,Footnote Text Char4,Footnote Text Char5,Ch,f"/>
    <w:basedOn w:val="body"/>
    <w:link w:val="FootnoteTextChar"/>
    <w:autoRedefine/>
    <w:uiPriority w:val="99"/>
    <w:qFormat/>
    <w:pPr>
      <w:spacing w:before="80" w:after="0" w:line="200" w:lineRule="exact"/>
    </w:pPr>
    <w:rPr>
      <w:rFonts w:ascii="Times New Roman" w:hAnsi="Times New Roman" w:cs="Times New Roman"/>
      <w:sz w:val="18"/>
      <w:szCs w:val="18"/>
    </w:rPr>
  </w:style>
  <w:style w:type="character" w:customStyle="1" w:styleId="FootnoteTextChar">
    <w:name w:val="Footnote Text Char"/>
    <w:aliases w:val="EBA_Footnote Text Char,fn Char,Footnote Text Char Char Char,Footnote Char,Fußnote Char,FSR footnote Char,lábléc Char,Char Char,Texto nota pie Car Char,notefranz Char,ARM footnote Text Char,Footnote Text Char2 Char,Ch Char,f Char"/>
    <w:basedOn w:val="DefaultParagraphFont"/>
    <w:link w:val="FootnoteText"/>
    <w:uiPriority w:val="99"/>
    <w:rPr>
      <w:rFonts w:ascii="Times New Roman" w:eastAsiaTheme="minorEastAsia" w:hAnsi="Times New Roman" w:cs="Times New Roman"/>
      <w:sz w:val="18"/>
      <w:szCs w:val="18"/>
    </w:rPr>
  </w:style>
  <w:style w:type="character" w:styleId="FootnoteReference">
    <w:name w:val="footnote reference"/>
    <w:aliases w:val="Footnote Reference Number,Footnote Reference_LVL6,Footnote Reference_LVL61,Footnote Reference_LVL62,Footnote Reference_LVL63,Footnote Reference_LVL64,Footnote symbol,Footnote reference number,Fußnotenzeichen3,Char1,ftref,fr,Ref"/>
    <w:basedOn w:val="DefaultParagraphFont"/>
    <w:uiPriority w:val="99"/>
    <w:qFormat/>
    <w:rPr>
      <w:rFonts w:asciiTheme="minorHAnsi" w:hAnsiTheme="minorHAnsi"/>
      <w:sz w:val="22"/>
      <w:szCs w:val="18"/>
      <w:vertAlign w:val="superscript"/>
    </w:rPr>
  </w:style>
  <w:style w:type="paragraph" w:customStyle="1" w:styleId="bullet1">
    <w:name w:val="bullet 1"/>
    <w:basedOn w:val="body"/>
    <w:next w:val="body"/>
    <w:qFormat/>
    <w:pPr>
      <w:numPr>
        <w:numId w:val="44"/>
      </w:numPr>
    </w:pPr>
    <w:rPr>
      <w:szCs w:val="22"/>
    </w:rPr>
  </w:style>
  <w:style w:type="paragraph" w:styleId="TOC1">
    <w:name w:val="toc 1"/>
    <w:autoRedefine/>
    <w:uiPriority w:val="39"/>
    <w:qFormat/>
    <w:pPr>
      <w:tabs>
        <w:tab w:val="left" w:pos="312"/>
        <w:tab w:val="left" w:pos="421"/>
        <w:tab w:val="right" w:pos="8771"/>
      </w:tabs>
      <w:spacing w:before="120" w:after="120" w:line="240" w:lineRule="auto"/>
      <w:outlineLvl w:val="0"/>
    </w:pPr>
    <w:rPr>
      <w:rFonts w:eastAsiaTheme="minorEastAsia"/>
      <w:b/>
      <w:bCs/>
      <w:color w:val="1F497D" w:themeColor="text2"/>
    </w:rPr>
  </w:style>
  <w:style w:type="paragraph" w:styleId="TOC2">
    <w:name w:val="toc 2"/>
    <w:next w:val="Normal"/>
    <w:autoRedefine/>
    <w:uiPriority w:val="39"/>
    <w:qFormat/>
    <w:pPr>
      <w:tabs>
        <w:tab w:val="left" w:pos="529"/>
        <w:tab w:val="right" w:pos="8771"/>
      </w:tabs>
      <w:spacing w:before="80" w:after="80" w:line="240" w:lineRule="auto"/>
    </w:pPr>
    <w:rPr>
      <w:rFonts w:eastAsiaTheme="minorEastAsia"/>
    </w:rPr>
  </w:style>
  <w:style w:type="paragraph" w:styleId="TOC3">
    <w:name w:val="toc 3"/>
    <w:basedOn w:val="Normal"/>
    <w:next w:val="Normal"/>
    <w:autoRedefine/>
    <w:uiPriority w:val="39"/>
    <w:qFormat/>
    <w:pPr>
      <w:tabs>
        <w:tab w:val="right" w:pos="8771"/>
      </w:tabs>
      <w:ind w:left="567"/>
    </w:pPr>
    <w:rPr>
      <w:szCs w:val="22"/>
    </w:rPr>
  </w:style>
  <w:style w:type="paragraph" w:styleId="TOC4">
    <w:name w:val="toc 4"/>
    <w:basedOn w:val="Normal"/>
    <w:next w:val="Normal"/>
    <w:autoRedefine/>
    <w:uiPriority w:val="39"/>
    <w:pPr>
      <w:tabs>
        <w:tab w:val="right" w:pos="8771"/>
      </w:tabs>
      <w:ind w:left="1134"/>
    </w:pPr>
    <w:rPr>
      <w:szCs w:val="22"/>
    </w:rPr>
  </w:style>
  <w:style w:type="paragraph" w:customStyle="1" w:styleId="bullet2">
    <w:name w:val="bullet 2"/>
    <w:basedOn w:val="body"/>
    <w:qFormat/>
    <w:pPr>
      <w:numPr>
        <w:numId w:val="43"/>
      </w:numPr>
    </w:pPr>
    <w:rPr>
      <w:szCs w:val="22"/>
    </w:rPr>
  </w:style>
  <w:style w:type="paragraph" w:customStyle="1" w:styleId="Numberedtitlelevel3">
    <w:name w:val="Numbered title level 3"/>
    <w:basedOn w:val="Titlelevel3"/>
    <w:next w:val="body"/>
    <w:qFormat/>
    <w:pPr>
      <w:ind w:left="720" w:hanging="432"/>
    </w:pPr>
  </w:style>
  <w:style w:type="table" w:customStyle="1" w:styleId="LightShading1">
    <w:name w:val="Light Shading1"/>
    <w:basedOn w:val="TableNormal"/>
    <w:uiPriority w:val="60"/>
    <w:pPr>
      <w:spacing w:after="0" w:line="240" w:lineRule="auto"/>
    </w:pPr>
    <w:rPr>
      <w:rFonts w:eastAsiaTheme="minorEastAsia"/>
      <w:color w:val="000000" w:themeColor="text1" w:themeShade="BF"/>
      <w:sz w:val="24"/>
      <w:szCs w:val="24"/>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1">
    <w:name w:val="Light Shading - Accent 11"/>
    <w:basedOn w:val="TableNormal"/>
    <w:uiPriority w:val="60"/>
    <w:pPr>
      <w:spacing w:after="0" w:line="240" w:lineRule="auto"/>
    </w:pPr>
    <w:rPr>
      <w:rFonts w:eastAsiaTheme="minorEastAsia"/>
      <w:color w:val="365F91" w:themeColor="accent1" w:themeShade="BF"/>
      <w:sz w:val="24"/>
      <w:szCs w:val="24"/>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paragraph" w:customStyle="1" w:styleId="Contenttitle">
    <w:name w:val="Content title"/>
    <w:basedOn w:val="Titlelevel1"/>
    <w:qFormat/>
  </w:style>
  <w:style w:type="paragraph" w:customStyle="1" w:styleId="Numberedtitlelevel4">
    <w:name w:val="Numbered title level 4"/>
    <w:basedOn w:val="Titlelevel4"/>
    <w:qFormat/>
    <w:pPr>
      <w:numPr>
        <w:numId w:val="46"/>
      </w:numPr>
    </w:pPr>
  </w:style>
  <w:style w:type="paragraph" w:styleId="Header">
    <w:name w:val="header"/>
    <w:basedOn w:val="Normal"/>
    <w:link w:val="HeaderChar"/>
    <w:uiPriority w:val="99"/>
    <w:semiHidden/>
    <w:pPr>
      <w:tabs>
        <w:tab w:val="center" w:pos="4320"/>
        <w:tab w:val="right" w:pos="8640"/>
      </w:tabs>
    </w:pPr>
  </w:style>
  <w:style w:type="character" w:customStyle="1" w:styleId="HeaderChar">
    <w:name w:val="Header Char"/>
    <w:basedOn w:val="DefaultParagraphFont"/>
    <w:link w:val="Header"/>
    <w:uiPriority w:val="99"/>
    <w:semiHidden/>
    <w:rPr>
      <w:rFonts w:eastAsiaTheme="minorEastAsia"/>
      <w:szCs w:val="24"/>
    </w:rPr>
  </w:style>
  <w:style w:type="paragraph" w:styleId="Title">
    <w:name w:val="Title"/>
    <w:basedOn w:val="Normal"/>
    <w:next w:val="Normal"/>
    <w:link w:val="TitleChar"/>
    <w:qFormat/>
    <w:pPr>
      <w:pBdr>
        <w:bottom w:val="single" w:sz="8" w:space="4" w:color="4F81BD" w:themeColor="accent1"/>
      </w:pBdr>
      <w:spacing w:after="300"/>
      <w:contextualSpacing/>
    </w:pPr>
    <w:rPr>
      <w:rFonts w:asciiTheme="majorHAnsi" w:eastAsiaTheme="majorEastAsia" w:hAnsiTheme="majorHAnsi" w:cstheme="majorBidi"/>
      <w:color w:val="1F497D" w:themeColor="text2"/>
      <w:kern w:val="28"/>
      <w:sz w:val="52"/>
      <w:szCs w:val="52"/>
    </w:rPr>
  </w:style>
  <w:style w:type="character" w:customStyle="1" w:styleId="TitleChar">
    <w:name w:val="Title Char"/>
    <w:basedOn w:val="DefaultParagraphFont"/>
    <w:link w:val="Title"/>
    <w:rPr>
      <w:rFonts w:asciiTheme="majorHAnsi" w:eastAsiaTheme="majorEastAsia" w:hAnsiTheme="majorHAnsi" w:cstheme="majorBidi"/>
      <w:color w:val="1F497D" w:themeColor="text2"/>
      <w:kern w:val="28"/>
      <w:sz w:val="52"/>
      <w:szCs w:val="52"/>
    </w:rPr>
  </w:style>
  <w:style w:type="paragraph" w:styleId="TableofFigures">
    <w:name w:val="table of figures"/>
    <w:basedOn w:val="Normal"/>
    <w:next w:val="Normal"/>
    <w:autoRedefine/>
    <w:uiPriority w:val="99"/>
    <w:qFormat/>
    <w:pPr>
      <w:spacing w:before="160"/>
    </w:pPr>
  </w:style>
  <w:style w:type="paragraph" w:styleId="Subtitle">
    <w:name w:val="Subtitle"/>
    <w:next w:val="Normal"/>
    <w:link w:val="SubtitleChar"/>
    <w:autoRedefine/>
    <w:uiPriority w:val="11"/>
    <w:qFormat/>
    <w:pPr>
      <w:numPr>
        <w:ilvl w:val="1"/>
      </w:numPr>
      <w:spacing w:before="240" w:after="120" w:line="240" w:lineRule="auto"/>
    </w:pPr>
    <w:rPr>
      <w:rFonts w:asciiTheme="majorHAnsi" w:eastAsiaTheme="majorEastAsia" w:hAnsiTheme="majorHAnsi" w:cstheme="majorBidi"/>
      <w:color w:val="4F81BD" w:themeColor="accent1"/>
      <w:sz w:val="32"/>
      <w:szCs w:val="32"/>
    </w:rPr>
  </w:style>
  <w:style w:type="character" w:customStyle="1" w:styleId="SubtitleChar">
    <w:name w:val="Subtitle Char"/>
    <w:basedOn w:val="DefaultParagraphFont"/>
    <w:link w:val="Subtitle"/>
    <w:uiPriority w:val="11"/>
    <w:rPr>
      <w:rFonts w:asciiTheme="majorHAnsi" w:eastAsiaTheme="majorEastAsia" w:hAnsiTheme="majorHAnsi" w:cstheme="majorBidi"/>
      <w:color w:val="4F81BD" w:themeColor="accent1"/>
      <w:sz w:val="32"/>
      <w:szCs w:val="32"/>
    </w:rPr>
  </w:style>
  <w:style w:type="character" w:styleId="BookTitle">
    <w:name w:val="Book Title"/>
    <w:basedOn w:val="DefaultParagraphFont"/>
    <w:uiPriority w:val="33"/>
    <w:qFormat/>
    <w:rPr>
      <w:b/>
      <w:bCs/>
      <w:smallCaps/>
    </w:rPr>
  </w:style>
  <w:style w:type="character" w:customStyle="1" w:styleId="Highlighttext">
    <w:name w:val="Highlight text"/>
    <w:basedOn w:val="DefaultParagraphFont"/>
    <w:uiPriority w:val="1"/>
    <w:semiHidden/>
    <w:qFormat/>
    <w:rPr>
      <w:rFonts w:asciiTheme="minorHAnsi" w:hAnsiTheme="minorHAnsi"/>
      <w:b/>
      <w:bCs/>
      <w:caps w:val="0"/>
      <w:smallCaps w:val="0"/>
      <w:color w:val="EEECE1" w:themeColor="background2"/>
      <w:sz w:val="22"/>
      <w:szCs w:val="22"/>
    </w:rPr>
  </w:style>
  <w:style w:type="paragraph" w:customStyle="1" w:styleId="abbreviation">
    <w:name w:val="abbreviation"/>
    <w:basedOn w:val="Tableheader"/>
    <w:qFormat/>
    <w:rPr>
      <w:bCs/>
    </w:rPr>
  </w:style>
  <w:style w:type="paragraph" w:styleId="ListBullet">
    <w:name w:val="List Bullet"/>
    <w:basedOn w:val="Normal"/>
    <w:semiHidden/>
    <w:qFormat/>
    <w:pPr>
      <w:numPr>
        <w:numId w:val="50"/>
      </w:numPr>
      <w:contextualSpacing/>
    </w:pPr>
  </w:style>
  <w:style w:type="character" w:styleId="Hyperlink">
    <w:name w:val="Hyperlink"/>
    <w:basedOn w:val="DefaultParagraphFont"/>
    <w:uiPriority w:val="99"/>
    <w:rPr>
      <w:color w:val="0000FF" w:themeColor="hyperlink"/>
      <w:u w:val="single"/>
    </w:rPr>
  </w:style>
  <w:style w:type="paragraph" w:customStyle="1" w:styleId="numberedparagraph">
    <w:name w:val="numbered paragraph"/>
    <w:basedOn w:val="body"/>
    <w:autoRedefine/>
    <w:qFormat/>
    <w:pPr>
      <w:numPr>
        <w:numId w:val="218"/>
      </w:numPr>
      <w:ind w:left="1134"/>
    </w:pPr>
    <w:rPr>
      <w:rFonts w:asciiTheme="majorHAnsi" w:hAnsiTheme="majorHAnsi"/>
      <w:color w:val="000000" w:themeColor="text1"/>
    </w:rPr>
  </w:style>
  <w:style w:type="paragraph" w:styleId="TOC5">
    <w:name w:val="toc 5"/>
    <w:basedOn w:val="Normal"/>
    <w:next w:val="Normal"/>
    <w:autoRedefine/>
    <w:uiPriority w:val="39"/>
    <w:semiHidden/>
    <w:pPr>
      <w:ind w:left="880"/>
    </w:pPr>
  </w:style>
  <w:style w:type="paragraph" w:styleId="TOC6">
    <w:name w:val="toc 6"/>
    <w:basedOn w:val="Normal"/>
    <w:next w:val="Normal"/>
    <w:autoRedefine/>
    <w:uiPriority w:val="39"/>
    <w:semiHidden/>
    <w:pPr>
      <w:ind w:left="1100"/>
    </w:pPr>
  </w:style>
  <w:style w:type="paragraph" w:styleId="TOC7">
    <w:name w:val="toc 7"/>
    <w:basedOn w:val="Normal"/>
    <w:next w:val="Normal"/>
    <w:autoRedefine/>
    <w:uiPriority w:val="39"/>
    <w:semiHidden/>
    <w:pPr>
      <w:ind w:left="1320"/>
    </w:pPr>
  </w:style>
  <w:style w:type="paragraph" w:styleId="TOC8">
    <w:name w:val="toc 8"/>
    <w:basedOn w:val="Normal"/>
    <w:next w:val="Normal"/>
    <w:autoRedefine/>
    <w:uiPriority w:val="39"/>
    <w:semiHidden/>
    <w:pPr>
      <w:ind w:left="1540"/>
    </w:pPr>
  </w:style>
  <w:style w:type="paragraph" w:styleId="TOC9">
    <w:name w:val="toc 9"/>
    <w:basedOn w:val="Normal"/>
    <w:next w:val="Normal"/>
    <w:autoRedefine/>
    <w:uiPriority w:val="39"/>
    <w:semiHidden/>
    <w:pPr>
      <w:ind w:left="1760"/>
    </w:pPr>
  </w:style>
  <w:style w:type="paragraph" w:customStyle="1" w:styleId="Default">
    <w:name w:val="Default"/>
    <w:pPr>
      <w:autoSpaceDE w:val="0"/>
      <w:autoSpaceDN w:val="0"/>
      <w:adjustRightInd w:val="0"/>
      <w:spacing w:after="0" w:line="240" w:lineRule="auto"/>
    </w:pPr>
    <w:rPr>
      <w:rFonts w:ascii="Calibri" w:hAnsi="Calibri" w:cs="Calibri"/>
      <w:color w:val="000000"/>
      <w:sz w:val="24"/>
      <w:szCs w:val="24"/>
    </w:rPr>
  </w:style>
  <w:style w:type="paragraph" w:styleId="TOCHeading">
    <w:name w:val="TOC Heading"/>
    <w:basedOn w:val="Heading1"/>
    <w:next w:val="Normal"/>
    <w:uiPriority w:val="39"/>
    <w:semiHidden/>
    <w:qFormat/>
    <w:pPr>
      <w:spacing w:before="480"/>
      <w:outlineLvl w:val="9"/>
    </w:pPr>
    <w:rPr>
      <w:caps w:val="0"/>
      <w:color w:val="365F91" w:themeColor="accent1" w:themeShade="BF"/>
      <w:sz w:val="28"/>
      <w:szCs w:val="28"/>
    </w:rPr>
  </w:style>
  <w:style w:type="character" w:customStyle="1" w:styleId="Marker">
    <w:name w:val="Marker"/>
    <w:rPr>
      <w:color w:val="0000FF"/>
      <w:shd w:val="clear" w:color="auto" w:fill="auto"/>
    </w:rPr>
  </w:style>
  <w:style w:type="character" w:customStyle="1" w:styleId="Marker2">
    <w:name w:val="Marker2"/>
    <w:rPr>
      <w:color w:val="FF0000"/>
      <w:shd w:val="clear" w:color="auto" w:fill="auto"/>
    </w:rPr>
  </w:style>
  <w:style w:type="paragraph" w:customStyle="1" w:styleId="Annexetitre">
    <w:name w:val="Annexe titre"/>
    <w:basedOn w:val="Normal"/>
    <w:next w:val="Normal"/>
    <w:pPr>
      <w:spacing w:before="120" w:after="120"/>
      <w:jc w:val="center"/>
    </w:pPr>
    <w:rPr>
      <w:rFonts w:ascii="Times New Roman" w:eastAsia="Times New Roman" w:hAnsi="Times New Roman" w:cs="Times New Roman"/>
      <w:b/>
      <w:sz w:val="24"/>
      <w:u w:val="single"/>
    </w:rPr>
  </w:style>
  <w:style w:type="paragraph" w:customStyle="1" w:styleId="Applicationdirecte">
    <w:name w:val="Application directe"/>
    <w:basedOn w:val="Normal"/>
    <w:next w:val="Fait"/>
    <w:pPr>
      <w:spacing w:before="480" w:after="120"/>
      <w:jc w:val="both"/>
    </w:pPr>
    <w:rPr>
      <w:rFonts w:ascii="Times New Roman" w:eastAsia="Times New Roman" w:hAnsi="Times New Roman" w:cs="Times New Roman"/>
      <w:sz w:val="24"/>
    </w:rPr>
  </w:style>
  <w:style w:type="paragraph" w:customStyle="1" w:styleId="Considrant">
    <w:name w:val="Considérant"/>
    <w:basedOn w:val="Normal"/>
    <w:pPr>
      <w:numPr>
        <w:numId w:val="51"/>
      </w:numPr>
      <w:spacing w:before="120" w:after="120"/>
      <w:jc w:val="both"/>
    </w:pPr>
    <w:rPr>
      <w:rFonts w:ascii="Times New Roman" w:eastAsia="Times New Roman" w:hAnsi="Times New Roman" w:cs="Times New Roman"/>
      <w:sz w:val="24"/>
    </w:rPr>
  </w:style>
  <w:style w:type="paragraph" w:customStyle="1" w:styleId="Datedadoption">
    <w:name w:val="Date d'adoption"/>
    <w:basedOn w:val="Normal"/>
    <w:next w:val="Titreobjet"/>
    <w:pPr>
      <w:spacing w:before="360"/>
      <w:jc w:val="center"/>
    </w:pPr>
    <w:rPr>
      <w:rFonts w:ascii="Times New Roman" w:eastAsia="Times New Roman" w:hAnsi="Times New Roman" w:cs="Times New Roman"/>
      <w:b/>
      <w:sz w:val="24"/>
    </w:rPr>
  </w:style>
  <w:style w:type="paragraph" w:customStyle="1" w:styleId="Fait">
    <w:name w:val="Fait à"/>
    <w:basedOn w:val="Normal"/>
    <w:next w:val="Institutionquisigne"/>
    <w:pPr>
      <w:keepNext/>
      <w:spacing w:before="120"/>
      <w:jc w:val="both"/>
    </w:pPr>
    <w:rPr>
      <w:rFonts w:ascii="Times New Roman" w:eastAsia="Times New Roman" w:hAnsi="Times New Roman" w:cs="Times New Roman"/>
      <w:sz w:val="24"/>
    </w:rPr>
  </w:style>
  <w:style w:type="paragraph" w:customStyle="1" w:styleId="Formuledadoption">
    <w:name w:val="Formule d'adoption"/>
    <w:basedOn w:val="Normal"/>
    <w:next w:val="Titrearticle"/>
    <w:pPr>
      <w:keepNext/>
      <w:spacing w:before="120" w:after="120"/>
      <w:jc w:val="both"/>
    </w:pPr>
    <w:rPr>
      <w:rFonts w:ascii="Times New Roman" w:eastAsia="Times New Roman" w:hAnsi="Times New Roman" w:cs="Times New Roman"/>
      <w:sz w:val="24"/>
    </w:rPr>
  </w:style>
  <w:style w:type="paragraph" w:customStyle="1" w:styleId="Institutionquisigne">
    <w:name w:val="Institution qui signe"/>
    <w:basedOn w:val="Normal"/>
    <w:next w:val="Personnequisigne"/>
    <w:pPr>
      <w:keepNext/>
      <w:tabs>
        <w:tab w:val="left" w:pos="4252"/>
      </w:tabs>
      <w:spacing w:before="720"/>
      <w:jc w:val="both"/>
    </w:pPr>
    <w:rPr>
      <w:rFonts w:ascii="Times New Roman" w:eastAsia="Times New Roman" w:hAnsi="Times New Roman" w:cs="Times New Roman"/>
      <w:i/>
      <w:sz w:val="24"/>
    </w:rPr>
  </w:style>
  <w:style w:type="paragraph" w:customStyle="1" w:styleId="Personnequisigne">
    <w:name w:val="Personne qui signe"/>
    <w:basedOn w:val="Normal"/>
    <w:next w:val="Institutionquisigne"/>
    <w:pPr>
      <w:tabs>
        <w:tab w:val="left" w:pos="4252"/>
      </w:tabs>
    </w:pPr>
    <w:rPr>
      <w:rFonts w:ascii="Times New Roman" w:eastAsia="Times New Roman" w:hAnsi="Times New Roman" w:cs="Times New Roman"/>
      <w:i/>
      <w:sz w:val="24"/>
    </w:rPr>
  </w:style>
  <w:style w:type="paragraph" w:customStyle="1" w:styleId="Titrearticle">
    <w:name w:val="Titre article"/>
    <w:basedOn w:val="Normal"/>
    <w:next w:val="Normal"/>
    <w:pPr>
      <w:keepNext/>
      <w:spacing w:before="360" w:after="120"/>
      <w:jc w:val="center"/>
    </w:pPr>
    <w:rPr>
      <w:rFonts w:ascii="Times New Roman" w:eastAsia="Times New Roman" w:hAnsi="Times New Roman" w:cs="Times New Roman"/>
      <w:i/>
      <w:sz w:val="24"/>
    </w:rPr>
  </w:style>
  <w:style w:type="paragraph" w:customStyle="1" w:styleId="Titreobjet">
    <w:name w:val="Titre objet"/>
    <w:basedOn w:val="Normal"/>
    <w:next w:val="Normal"/>
    <w:pPr>
      <w:spacing w:before="360" w:after="360"/>
      <w:jc w:val="center"/>
    </w:pPr>
    <w:rPr>
      <w:rFonts w:ascii="Times New Roman" w:eastAsia="Times New Roman" w:hAnsi="Times New Roman" w:cs="Times New Roman"/>
      <w:b/>
      <w:sz w:val="24"/>
    </w:rPr>
  </w:style>
  <w:style w:type="paragraph" w:customStyle="1" w:styleId="Typedudocument">
    <w:name w:val="Type du document"/>
    <w:basedOn w:val="Normal"/>
    <w:next w:val="Titreobjet"/>
    <w:pPr>
      <w:spacing w:before="360"/>
      <w:jc w:val="center"/>
    </w:pPr>
    <w:rPr>
      <w:rFonts w:ascii="Times New Roman" w:eastAsia="Times New Roman" w:hAnsi="Times New Roman" w:cs="Times New Roman"/>
      <w:b/>
      <w:sz w:val="24"/>
    </w:rPr>
  </w:style>
  <w:style w:type="paragraph" w:customStyle="1" w:styleId="Pagedecouverture">
    <w:name w:val="Page de couverture"/>
    <w:basedOn w:val="Normal"/>
    <w:next w:val="Normal"/>
    <w:pPr>
      <w:spacing w:before="120" w:after="120"/>
      <w:jc w:val="both"/>
    </w:pPr>
    <w:rPr>
      <w:rFonts w:ascii="Times New Roman" w:eastAsia="Times New Roman" w:hAnsi="Times New Roman" w:cs="Times New Roman"/>
      <w:sz w:val="24"/>
    </w:rPr>
  </w:style>
  <w:style w:type="paragraph" w:customStyle="1" w:styleId="Institutionquiagit">
    <w:name w:val="Institution qui agit"/>
    <w:basedOn w:val="Normal"/>
    <w:next w:val="Normal"/>
    <w:pPr>
      <w:keepNext/>
      <w:spacing w:before="600" w:after="120"/>
      <w:jc w:val="both"/>
    </w:pPr>
    <w:rPr>
      <w:rFonts w:ascii="Times New Roman" w:eastAsia="Times New Roman" w:hAnsi="Times New Roman" w:cs="Times New Roman"/>
      <w:sz w:val="24"/>
    </w:rPr>
  </w:style>
  <w:style w:type="paragraph" w:styleId="ListParagraph">
    <w:name w:val="List Paragraph"/>
    <w:aliases w:val="Paragraphe EI,Paragraphe de liste1,EC,Paragraphe de liste2,Colorful List Accent 1,Liste couleur - Accent 11,Paragraphe de liste11,RETRAIT 1,List Paragraph1,Colorful List - Accent 11,Párrafo de lista"/>
    <w:basedOn w:val="Normal"/>
    <w:link w:val="ListParagraphChar"/>
    <w:uiPriority w:val="34"/>
    <w:qFormat/>
    <w:pPr>
      <w:ind w:left="720"/>
    </w:pPr>
    <w:rPr>
      <w:rFonts w:ascii="Calibri" w:eastAsia="Calibri" w:hAnsi="Calibri" w:cs="Times New Roman"/>
      <w:szCs w:val="22"/>
    </w:rPr>
  </w:style>
  <w:style w:type="paragraph" w:customStyle="1" w:styleId="Questionforconsultation">
    <w:name w:val="Question for consultation"/>
    <w:basedOn w:val="ListParagraph"/>
    <w:link w:val="QuestionforconsultationChar"/>
    <w:qFormat/>
    <w:pPr>
      <w:numPr>
        <w:numId w:val="52"/>
      </w:numPr>
      <w:pBdr>
        <w:top w:val="single" w:sz="4" w:space="1" w:color="auto"/>
        <w:left w:val="single" w:sz="4" w:space="4" w:color="auto"/>
        <w:bottom w:val="single" w:sz="4" w:space="1" w:color="auto"/>
        <w:right w:val="single" w:sz="4" w:space="4" w:color="auto"/>
      </w:pBdr>
      <w:ind w:left="1134" w:hanging="1134"/>
      <w:contextualSpacing/>
      <w:jc w:val="both"/>
    </w:pPr>
    <w:rPr>
      <w:rFonts w:ascii="Times New Roman" w:hAnsi="Times New Roman"/>
    </w:rPr>
  </w:style>
  <w:style w:type="paragraph" w:customStyle="1" w:styleId="doc-ti">
    <w:name w:val="doc-ti"/>
    <w:basedOn w:val="Normal"/>
    <w:pPr>
      <w:spacing w:before="100" w:beforeAutospacing="1" w:after="100" w:afterAutospacing="1"/>
    </w:pPr>
    <w:rPr>
      <w:rFonts w:ascii="Times New Roman" w:eastAsia="Times New Roman" w:hAnsi="Times New Roman" w:cs="Times New Roman"/>
      <w:sz w:val="24"/>
    </w:rPr>
  </w:style>
  <w:style w:type="character" w:customStyle="1" w:styleId="ListParagraphChar">
    <w:name w:val="List Paragraph Char"/>
    <w:aliases w:val="Paragraphe EI Char,Paragraphe de liste1 Char,EC Char,Paragraphe de liste2 Char,Colorful List Accent 1 Char,Liste couleur - Accent 11 Char,Paragraphe de liste11 Char,RETRAIT 1 Char,List Paragraph1 Char,Colorful List - Accent 11 Char"/>
    <w:basedOn w:val="DefaultParagraphFont"/>
    <w:link w:val="ListParagraph"/>
    <w:uiPriority w:val="34"/>
    <w:rPr>
      <w:rFonts w:ascii="Calibri" w:eastAsia="Calibri" w:hAnsi="Calibri" w:cs="Times New Roman"/>
    </w:rPr>
  </w:style>
  <w:style w:type="character" w:customStyle="1" w:styleId="QuestionforconsultationChar">
    <w:name w:val="Question for consultation Char"/>
    <w:basedOn w:val="ListParagraphChar"/>
    <w:link w:val="Questionforconsultation"/>
    <w:rPr>
      <w:rFonts w:ascii="Times New Roman" w:eastAsia="Calibri" w:hAnsi="Times New Roman" w:cs="Times New Roman"/>
    </w:rPr>
  </w:style>
  <w:style w:type="paragraph" w:customStyle="1" w:styleId="Normal1">
    <w:name w:val="Normal1"/>
    <w:basedOn w:val="Normal"/>
    <w:pPr>
      <w:spacing w:before="100" w:beforeAutospacing="1" w:after="100" w:afterAutospacing="1"/>
    </w:pPr>
    <w:rPr>
      <w:rFonts w:ascii="Times New Roman" w:eastAsia="Times New Roman" w:hAnsi="Times New Roman" w:cs="Times New Roman"/>
      <w:sz w:val="24"/>
    </w:rPr>
  </w:style>
  <w:style w:type="character" w:customStyle="1" w:styleId="super">
    <w:name w:val="super"/>
    <w:basedOn w:val="DefaultParagraphFont"/>
  </w:style>
  <w:style w:type="paragraph" w:customStyle="1" w:styleId="ti-art">
    <w:name w:val="ti-art"/>
    <w:basedOn w:val="Normal"/>
    <w:pPr>
      <w:spacing w:before="100" w:beforeAutospacing="1" w:after="100" w:afterAutospacing="1"/>
    </w:pPr>
    <w:rPr>
      <w:rFonts w:ascii="Times New Roman" w:eastAsia="Times New Roman" w:hAnsi="Times New Roman" w:cs="Times New Roman"/>
      <w:sz w:val="24"/>
    </w:rPr>
  </w:style>
  <w:style w:type="paragraph" w:customStyle="1" w:styleId="sti-art">
    <w:name w:val="sti-art"/>
    <w:basedOn w:val="Normal"/>
    <w:pPr>
      <w:spacing w:before="100" w:beforeAutospacing="1" w:after="100" w:afterAutospacing="1"/>
    </w:pPr>
    <w:rPr>
      <w:rFonts w:ascii="Times New Roman" w:eastAsia="Times New Roman" w:hAnsi="Times New Roman" w:cs="Times New Roman"/>
      <w:sz w:val="24"/>
    </w:rPr>
  </w:style>
  <w:style w:type="character" w:customStyle="1" w:styleId="apple-converted-space">
    <w:name w:val="apple-converted-space"/>
    <w:basedOn w:val="DefaultParagraphFont"/>
  </w:style>
  <w:style w:type="character" w:customStyle="1" w:styleId="italic">
    <w:name w:val="italic"/>
    <w:basedOn w:val="DefaultParagraphFont"/>
  </w:style>
  <w:style w:type="character" w:styleId="CommentReference">
    <w:name w:val="annotation reference"/>
    <w:basedOn w:val="DefaultParagraphFont"/>
    <w:uiPriority w:val="99"/>
    <w:semiHidden/>
    <w:rPr>
      <w:sz w:val="16"/>
      <w:szCs w:val="16"/>
    </w:rPr>
  </w:style>
  <w:style w:type="paragraph" w:styleId="CommentText">
    <w:name w:val="annotation text"/>
    <w:basedOn w:val="Normal"/>
    <w:link w:val="CommentTextChar"/>
    <w:uiPriority w:val="99"/>
    <w:rPr>
      <w:sz w:val="20"/>
      <w:szCs w:val="20"/>
    </w:rPr>
  </w:style>
  <w:style w:type="character" w:customStyle="1" w:styleId="CommentTextChar">
    <w:name w:val="Comment Text Char"/>
    <w:basedOn w:val="DefaultParagraphFont"/>
    <w:link w:val="CommentText"/>
    <w:uiPriority w:val="99"/>
    <w:rPr>
      <w:rFonts w:eastAsiaTheme="minorEastAsia"/>
      <w:sz w:val="20"/>
      <w:szCs w:val="20"/>
    </w:rPr>
  </w:style>
  <w:style w:type="paragraph" w:styleId="CommentSubject">
    <w:name w:val="annotation subject"/>
    <w:basedOn w:val="CommentText"/>
    <w:next w:val="CommentText"/>
    <w:link w:val="CommentSubjectChar"/>
    <w:uiPriority w:val="99"/>
    <w:semiHidden/>
    <w:rPr>
      <w:b/>
      <w:bCs/>
    </w:rPr>
  </w:style>
  <w:style w:type="character" w:customStyle="1" w:styleId="CommentSubjectChar">
    <w:name w:val="Comment Subject Char"/>
    <w:basedOn w:val="CommentTextChar"/>
    <w:link w:val="CommentSubject"/>
    <w:uiPriority w:val="99"/>
    <w:semiHidden/>
    <w:rPr>
      <w:rFonts w:eastAsiaTheme="minorEastAsia"/>
      <w:b/>
      <w:bCs/>
      <w:sz w:val="20"/>
      <w:szCs w:val="20"/>
    </w:rPr>
  </w:style>
  <w:style w:type="paragraph" w:customStyle="1" w:styleId="Point0number">
    <w:name w:val="Point 0 (number)"/>
    <w:basedOn w:val="Normal"/>
    <w:pPr>
      <w:numPr>
        <w:numId w:val="53"/>
      </w:numPr>
      <w:spacing w:before="120" w:after="120"/>
      <w:jc w:val="both"/>
    </w:pPr>
    <w:rPr>
      <w:rFonts w:ascii="Times New Roman" w:eastAsiaTheme="minorHAnsi" w:hAnsi="Times New Roman" w:cs="Times New Roman"/>
      <w:sz w:val="24"/>
      <w:szCs w:val="22"/>
    </w:rPr>
  </w:style>
  <w:style w:type="paragraph" w:customStyle="1" w:styleId="Point1number">
    <w:name w:val="Point 1 (number)"/>
    <w:basedOn w:val="Normal"/>
    <w:pPr>
      <w:numPr>
        <w:ilvl w:val="2"/>
        <w:numId w:val="53"/>
      </w:numPr>
      <w:spacing w:before="120" w:after="120"/>
      <w:jc w:val="both"/>
    </w:pPr>
    <w:rPr>
      <w:rFonts w:ascii="Times New Roman" w:eastAsiaTheme="minorHAnsi" w:hAnsi="Times New Roman" w:cs="Times New Roman"/>
      <w:sz w:val="24"/>
      <w:szCs w:val="22"/>
    </w:rPr>
  </w:style>
  <w:style w:type="paragraph" w:customStyle="1" w:styleId="Point2number">
    <w:name w:val="Point 2 (number)"/>
    <w:basedOn w:val="Normal"/>
    <w:pPr>
      <w:numPr>
        <w:ilvl w:val="4"/>
        <w:numId w:val="53"/>
      </w:numPr>
      <w:spacing w:before="120" w:after="120"/>
      <w:jc w:val="both"/>
    </w:pPr>
    <w:rPr>
      <w:rFonts w:ascii="Times New Roman" w:eastAsiaTheme="minorHAnsi" w:hAnsi="Times New Roman" w:cs="Times New Roman"/>
      <w:sz w:val="24"/>
      <w:szCs w:val="22"/>
    </w:rPr>
  </w:style>
  <w:style w:type="paragraph" w:customStyle="1" w:styleId="Point3number">
    <w:name w:val="Point 3 (number)"/>
    <w:basedOn w:val="Normal"/>
    <w:pPr>
      <w:numPr>
        <w:ilvl w:val="6"/>
        <w:numId w:val="53"/>
      </w:numPr>
      <w:spacing w:before="120" w:after="120"/>
      <w:jc w:val="both"/>
    </w:pPr>
    <w:rPr>
      <w:rFonts w:ascii="Times New Roman" w:eastAsiaTheme="minorHAnsi" w:hAnsi="Times New Roman" w:cs="Times New Roman"/>
      <w:sz w:val="24"/>
      <w:szCs w:val="22"/>
    </w:rPr>
  </w:style>
  <w:style w:type="paragraph" w:customStyle="1" w:styleId="Point0letter">
    <w:name w:val="Point 0 (letter)"/>
    <w:basedOn w:val="Normal"/>
    <w:pPr>
      <w:numPr>
        <w:ilvl w:val="1"/>
        <w:numId w:val="53"/>
      </w:numPr>
      <w:spacing w:before="120" w:after="120"/>
      <w:jc w:val="both"/>
    </w:pPr>
    <w:rPr>
      <w:rFonts w:ascii="Times New Roman" w:eastAsiaTheme="minorHAnsi" w:hAnsi="Times New Roman" w:cs="Times New Roman"/>
      <w:sz w:val="24"/>
      <w:szCs w:val="22"/>
    </w:rPr>
  </w:style>
  <w:style w:type="paragraph" w:customStyle="1" w:styleId="Point1letter">
    <w:name w:val="Point 1 (letter)"/>
    <w:basedOn w:val="Normal"/>
    <w:pPr>
      <w:numPr>
        <w:ilvl w:val="3"/>
        <w:numId w:val="53"/>
      </w:numPr>
      <w:spacing w:before="120" w:after="120"/>
      <w:jc w:val="both"/>
    </w:pPr>
    <w:rPr>
      <w:rFonts w:ascii="Times New Roman" w:eastAsiaTheme="minorHAnsi" w:hAnsi="Times New Roman" w:cs="Times New Roman"/>
      <w:sz w:val="24"/>
      <w:szCs w:val="22"/>
    </w:rPr>
  </w:style>
  <w:style w:type="paragraph" w:customStyle="1" w:styleId="Point2letter">
    <w:name w:val="Point 2 (letter)"/>
    <w:basedOn w:val="Normal"/>
    <w:pPr>
      <w:numPr>
        <w:ilvl w:val="5"/>
        <w:numId w:val="53"/>
      </w:numPr>
      <w:spacing w:before="120" w:after="120"/>
      <w:jc w:val="both"/>
    </w:pPr>
    <w:rPr>
      <w:rFonts w:ascii="Times New Roman" w:eastAsiaTheme="minorHAnsi" w:hAnsi="Times New Roman" w:cs="Times New Roman"/>
      <w:sz w:val="24"/>
      <w:szCs w:val="22"/>
    </w:rPr>
  </w:style>
  <w:style w:type="paragraph" w:customStyle="1" w:styleId="Point3letter">
    <w:name w:val="Point 3 (letter)"/>
    <w:basedOn w:val="Normal"/>
    <w:pPr>
      <w:numPr>
        <w:ilvl w:val="7"/>
        <w:numId w:val="53"/>
      </w:numPr>
      <w:spacing w:before="120" w:after="120"/>
      <w:jc w:val="both"/>
    </w:pPr>
    <w:rPr>
      <w:rFonts w:ascii="Times New Roman" w:eastAsiaTheme="minorHAnsi" w:hAnsi="Times New Roman" w:cs="Times New Roman"/>
      <w:sz w:val="24"/>
      <w:szCs w:val="22"/>
    </w:rPr>
  </w:style>
  <w:style w:type="paragraph" w:customStyle="1" w:styleId="Point4letter">
    <w:name w:val="Point 4 (letter)"/>
    <w:basedOn w:val="Normal"/>
    <w:pPr>
      <w:numPr>
        <w:ilvl w:val="8"/>
        <w:numId w:val="53"/>
      </w:numPr>
      <w:spacing w:before="120" w:after="120"/>
      <w:jc w:val="both"/>
    </w:pPr>
    <w:rPr>
      <w:rFonts w:ascii="Times New Roman" w:eastAsiaTheme="minorHAnsi" w:hAnsi="Times New Roman" w:cs="Times New Roman"/>
      <w:sz w:val="24"/>
      <w:szCs w:val="22"/>
    </w:rPr>
  </w:style>
  <w:style w:type="paragraph" w:styleId="BodyText">
    <w:name w:val="Body Text"/>
    <w:basedOn w:val="Normal"/>
    <w:link w:val="BodyTextChar"/>
    <w:uiPriority w:val="1"/>
    <w:qFormat/>
    <w:pPr>
      <w:widowControl w:val="0"/>
      <w:ind w:left="20"/>
    </w:pPr>
    <w:rPr>
      <w:rFonts w:ascii="Cambria" w:eastAsia="Cambria" w:hAnsi="Cambria"/>
      <w:sz w:val="19"/>
      <w:szCs w:val="19"/>
    </w:rPr>
  </w:style>
  <w:style w:type="character" w:customStyle="1" w:styleId="BodyTextChar">
    <w:name w:val="Body Text Char"/>
    <w:basedOn w:val="DefaultParagraphFont"/>
    <w:link w:val="BodyText"/>
    <w:uiPriority w:val="1"/>
    <w:rPr>
      <w:rFonts w:ascii="Cambria" w:eastAsia="Cambria" w:hAnsi="Cambria"/>
      <w:sz w:val="19"/>
      <w:szCs w:val="19"/>
    </w:rPr>
  </w:style>
  <w:style w:type="paragraph" w:customStyle="1" w:styleId="TableParagraph">
    <w:name w:val="Table Paragraph"/>
    <w:basedOn w:val="Normal"/>
    <w:uiPriority w:val="1"/>
    <w:qFormat/>
    <w:pPr>
      <w:widowControl w:val="0"/>
    </w:pPr>
    <w:rPr>
      <w:rFonts w:eastAsiaTheme="minorHAnsi"/>
      <w:szCs w:val="22"/>
    </w:rPr>
  </w:style>
  <w:style w:type="paragraph" w:customStyle="1" w:styleId="Instructionsberschrift2">
    <w:name w:val="Instructions Überschrift 2"/>
    <w:basedOn w:val="Heading2"/>
    <w:link w:val="Instructionsberschrift2Char"/>
    <w:pPr>
      <w:keepNext/>
      <w:pBdr>
        <w:bottom w:val="none" w:sz="0" w:space="0" w:color="auto"/>
      </w:pBdr>
      <w:spacing w:before="240" w:after="240" w:line="240" w:lineRule="auto"/>
      <w:jc w:val="both"/>
    </w:pPr>
    <w:rPr>
      <w:rFonts w:ascii="Verdana" w:eastAsia="Times New Roman" w:hAnsi="Verdana" w:cs="Arial"/>
      <w:color w:val="auto"/>
      <w:kern w:val="0"/>
      <w:sz w:val="20"/>
      <w:szCs w:val="24"/>
      <w:u w:val="single"/>
    </w:rPr>
  </w:style>
  <w:style w:type="paragraph" w:customStyle="1" w:styleId="InstructionsText">
    <w:name w:val="Instructions Text"/>
    <w:basedOn w:val="Normal"/>
    <w:link w:val="InstructionsTextChar"/>
    <w:autoRedefine/>
    <w:pPr>
      <w:spacing w:before="108"/>
      <w:ind w:firstLine="221"/>
      <w:jc w:val="both"/>
    </w:pPr>
    <w:rPr>
      <w:rFonts w:asciiTheme="majorHAnsi" w:eastAsia="Times New Roman" w:hAnsiTheme="majorHAnsi" w:cs="Arial"/>
      <w:szCs w:val="22"/>
    </w:rPr>
  </w:style>
  <w:style w:type="character" w:customStyle="1" w:styleId="InstructionsTextChar">
    <w:name w:val="Instructions Text Char"/>
    <w:link w:val="InstructionsText"/>
    <w:locked/>
    <w:rPr>
      <w:rFonts w:asciiTheme="majorHAnsi" w:eastAsia="Times New Roman" w:hAnsiTheme="majorHAnsi" w:cs="Arial"/>
    </w:rPr>
  </w:style>
  <w:style w:type="paragraph" w:customStyle="1" w:styleId="InstructionsText2">
    <w:name w:val="Instructions Text 2"/>
    <w:basedOn w:val="InstructionsText"/>
    <w:qFormat/>
    <w:pPr>
      <w:numPr>
        <w:numId w:val="72"/>
      </w:numPr>
      <w:spacing w:after="240"/>
    </w:pPr>
  </w:style>
  <w:style w:type="character" w:customStyle="1" w:styleId="Instructionsberschrift2Char">
    <w:name w:val="Instructions Überschrift 2 Char"/>
    <w:link w:val="Instructionsberschrift2"/>
    <w:locked/>
    <w:rPr>
      <w:rFonts w:ascii="Verdana" w:eastAsia="Times New Roman" w:hAnsi="Verdana" w:cs="Arial"/>
      <w:sz w:val="20"/>
      <w:szCs w:val="24"/>
      <w:u w:val="single"/>
    </w:rPr>
  </w:style>
  <w:style w:type="paragraph" w:styleId="NormalWeb">
    <w:name w:val="Normal (Web)"/>
    <w:basedOn w:val="Normal"/>
    <w:uiPriority w:val="99"/>
    <w:unhideWhenUsed/>
    <w:pPr>
      <w:spacing w:before="100" w:beforeAutospacing="1" w:after="100" w:afterAutospacing="1"/>
    </w:pPr>
    <w:rPr>
      <w:rFonts w:ascii="Times New Roman" w:eastAsiaTheme="minorHAnsi" w:hAnsi="Times New Roman" w:cs="Times New Roman"/>
      <w:sz w:val="24"/>
    </w:rPr>
  </w:style>
  <w:style w:type="paragraph" w:customStyle="1" w:styleId="CM1">
    <w:name w:val="CM1"/>
    <w:basedOn w:val="Default"/>
    <w:next w:val="Default"/>
    <w:uiPriority w:val="99"/>
    <w:rPr>
      <w:rFonts w:ascii="EUAlbertina" w:hAnsi="EUAlbertina" w:cstheme="minorBidi"/>
      <w:color w:val="auto"/>
    </w:rPr>
  </w:style>
  <w:style w:type="paragraph" w:customStyle="1" w:styleId="CM3">
    <w:name w:val="CM3"/>
    <w:basedOn w:val="Default"/>
    <w:next w:val="Default"/>
    <w:uiPriority w:val="99"/>
    <w:rPr>
      <w:rFonts w:ascii="EUAlbertina" w:hAnsi="EUAlbertina" w:cstheme="minorBidi"/>
      <w:color w:val="auto"/>
    </w:rPr>
  </w:style>
  <w:style w:type="paragraph" w:customStyle="1" w:styleId="CM4">
    <w:name w:val="CM4"/>
    <w:basedOn w:val="Default"/>
    <w:next w:val="Default"/>
    <w:uiPriority w:val="99"/>
    <w:rPr>
      <w:rFonts w:ascii="EUAlbertina" w:hAnsi="EUAlbertina" w:cstheme="minorBidi"/>
      <w:color w:val="auto"/>
    </w:rPr>
  </w:style>
  <w:style w:type="paragraph" w:customStyle="1" w:styleId="Baseparagraphnumbered">
    <w:name w:val="Base paragraph numbered"/>
    <w:basedOn w:val="Normal"/>
    <w:link w:val="BaseparagraphnumberedChar"/>
    <w:qFormat/>
    <w:pPr>
      <w:numPr>
        <w:numId w:val="59"/>
      </w:numPr>
      <w:spacing w:after="240"/>
      <w:jc w:val="both"/>
    </w:pPr>
    <w:rPr>
      <w:rFonts w:ascii="Times New Roman" w:eastAsia="Times New Roman" w:hAnsi="Times New Roman" w:cs="Times New Roman"/>
      <w:sz w:val="24"/>
    </w:rPr>
  </w:style>
  <w:style w:type="character" w:customStyle="1" w:styleId="BaseparagraphnumberedChar">
    <w:name w:val="Base paragraph numbered Char"/>
    <w:link w:val="Baseparagraphnumbered"/>
    <w:rPr>
      <w:rFonts w:ascii="Times New Roman" w:eastAsia="Times New Roman" w:hAnsi="Times New Roman" w:cs="Times New Roman"/>
      <w:sz w:val="24"/>
      <w:szCs w:val="24"/>
    </w:rPr>
  </w:style>
  <w:style w:type="paragraph" w:styleId="Revision">
    <w:name w:val="Revision"/>
    <w:hidden/>
    <w:uiPriority w:val="99"/>
    <w:semiHidden/>
    <w:pPr>
      <w:spacing w:after="0" w:line="240" w:lineRule="auto"/>
    </w:pPr>
    <w:rPr>
      <w:rFonts w:eastAsiaTheme="minorEastAsia"/>
      <w:szCs w:val="24"/>
    </w:rPr>
  </w:style>
  <w:style w:type="character" w:styleId="Emphasis">
    <w:name w:val="Emphasis"/>
    <w:basedOn w:val="DefaultParagraphFont"/>
    <w:uiPriority w:val="20"/>
    <w:qFormat/>
    <w:rPr>
      <w:i/>
      <w:iCs/>
    </w:rPr>
  </w:style>
  <w:style w:type="character" w:customStyle="1" w:styleId="InstructionsTabelleberschrift">
    <w:name w:val="Instructions Tabelle Überschrift"/>
    <w:qFormat/>
    <w:rPr>
      <w:rFonts w:ascii="Verdana" w:hAnsi="Verdana" w:cs="Times New Roman"/>
      <w:b/>
      <w:bCs/>
      <w:sz w:val="20"/>
      <w:u w:val="single"/>
    </w:rPr>
  </w:style>
  <w:style w:type="paragraph" w:customStyle="1" w:styleId="Instructionsberschrift3">
    <w:name w:val="Instructions Überschrift 3"/>
    <w:basedOn w:val="Numberedtitlelevel3"/>
    <w:pPr>
      <w:numPr>
        <w:ilvl w:val="2"/>
        <w:numId w:val="260"/>
      </w:numPr>
    </w:pPr>
    <w:rPr>
      <w:rFonts w:ascii="Times New Roman" w:hAnsi="Times New Roman" w:cs="Times New Roman"/>
      <w:b w:val="0"/>
      <w:color w:val="000000" w:themeColor="text1"/>
      <w:sz w:val="20"/>
      <w:szCs w:val="20"/>
      <w:u w:val="single"/>
    </w:rPr>
  </w:style>
  <w:style w:type="table" w:customStyle="1" w:styleId="TableGrid0">
    <w:name w:val="Table Grid0"/>
    <w:pPr>
      <w:spacing w:after="0" w:line="240" w:lineRule="auto"/>
    </w:pPr>
    <w:rPr>
      <w:rFonts w:eastAsiaTheme="minorEastAsia"/>
    </w:rPr>
    <w:tblPr>
      <w:tblCellMar>
        <w:top w:w="0" w:type="dxa"/>
        <w:left w:w="0" w:type="dxa"/>
        <w:bottom w:w="0" w:type="dxa"/>
        <w:right w:w="0" w:type="dxa"/>
      </w:tblCellMar>
    </w:tblPr>
  </w:style>
  <w:style w:type="character" w:styleId="FollowedHyperlink">
    <w:name w:val="FollowedHyperlink"/>
    <w:basedOn w:val="DefaultParagraphFont"/>
    <w:uiPriority w:val="99"/>
    <w:semiHidden/>
    <w:unhideWhenUsed/>
    <w:rPr>
      <w:color w:val="800080" w:themeColor="followedHyperlink"/>
      <w:u w:val="single"/>
    </w:rPr>
  </w:style>
  <w:style w:type="paragraph" w:customStyle="1" w:styleId="ql-indent-1">
    <w:name w:val="ql-indent-1"/>
    <w:basedOn w:val="Normal"/>
    <w:pPr>
      <w:spacing w:before="100" w:beforeAutospacing="1" w:after="100" w:afterAutospacing="1"/>
    </w:pPr>
    <w:rPr>
      <w:rFonts w:ascii="Times New Roman" w:eastAsia="Times New Roman" w:hAnsi="Times New Roman" w:cs="Times New Roman"/>
      <w:sz w:val="24"/>
    </w:rPr>
  </w:style>
  <w:style w:type="paragraph" w:customStyle="1" w:styleId="ql-indent-3">
    <w:name w:val="ql-indent-3"/>
    <w:basedOn w:val="Normal"/>
    <w:pPr>
      <w:spacing w:before="100" w:beforeAutospacing="1" w:after="100" w:afterAutospacing="1"/>
    </w:pPr>
    <w:rPr>
      <w:rFonts w:ascii="Times New Roman" w:eastAsia="Times New Roman" w:hAnsi="Times New Roman" w:cs="Times New Roman"/>
      <w:sz w:val="24"/>
    </w:rPr>
  </w:style>
  <w:style w:type="paragraph" w:customStyle="1" w:styleId="norm">
    <w:name w:val="norm"/>
    <w:basedOn w:val="Normal"/>
    <w:pPr>
      <w:spacing w:before="100" w:beforeAutospacing="1" w:after="100" w:afterAutospacing="1"/>
    </w:pPr>
    <w:rPr>
      <w:rFonts w:ascii="Times New Roman" w:eastAsia="Times New Roman" w:hAnsi="Times New Roman" w:cs="Times New Roman"/>
      <w:sz w:val="24"/>
    </w:rPr>
  </w:style>
  <w:style w:type="table" w:customStyle="1" w:styleId="TableGrid1">
    <w:name w:val="Table Grid1"/>
    <w:basedOn w:val="TableNormal"/>
    <w:next w:val="TableGrid"/>
    <w:uiPriority w:val="5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ndnoteTextChar">
    <w:name w:val="Endnote Text Char"/>
    <w:basedOn w:val="DefaultParagraphFont"/>
    <w:link w:val="EndnoteText"/>
    <w:uiPriority w:val="99"/>
    <w:semiHidden/>
    <w:rPr>
      <w:sz w:val="20"/>
      <w:szCs w:val="20"/>
    </w:rPr>
  </w:style>
  <w:style w:type="paragraph" w:styleId="EndnoteText">
    <w:name w:val="endnote text"/>
    <w:basedOn w:val="Normal"/>
    <w:link w:val="EndnoteTextChar"/>
    <w:uiPriority w:val="99"/>
    <w:semiHidden/>
    <w:unhideWhenUsed/>
    <w:rPr>
      <w:rFonts w:eastAsiaTheme="minorHAnsi"/>
      <w:sz w:val="20"/>
      <w:szCs w:val="20"/>
    </w:rPr>
  </w:style>
  <w:style w:type="character" w:customStyle="1" w:styleId="EndnoteTextChar1">
    <w:name w:val="Endnote Text Char1"/>
    <w:basedOn w:val="DefaultParagraphFont"/>
    <w:uiPriority w:val="99"/>
    <w:semiHidden/>
    <w:rPr>
      <w:rFonts w:eastAsiaTheme="minorEastAsia"/>
      <w:sz w:val="20"/>
      <w:szCs w:val="20"/>
    </w:rPr>
  </w:style>
  <w:style w:type="table" w:customStyle="1" w:styleId="TableGrid11">
    <w:name w:val="Table Grid11"/>
    <w:basedOn w:val="TableNormal"/>
    <w:next w:val="TableGrid"/>
    <w:uiPriority w:val="5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12"/>
    <w:basedOn w:val="TableNormal"/>
    <w:next w:val="TableGrid"/>
    <w:uiPriority w:val="5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
    <w:name w:val="Table Grid13"/>
    <w:basedOn w:val="TableNormal"/>
    <w:next w:val="TableGrid"/>
    <w:uiPriority w:val="5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E376B0"/>
    <w:rPr>
      <w:color w:val="605E5C"/>
      <w:shd w:val="clear" w:color="auto" w:fill="E1DFDD"/>
    </w:rPr>
  </w:style>
  <w:style w:type="character" w:customStyle="1" w:styleId="PrrafodelistaCar">
    <w:name w:val="Párrafo de lista Car"/>
    <w:aliases w:val="Paragraphe EI Car,Paragraphe de liste1 Car,EC Car,Paragraphe de liste2 Car,Colorful List Accent 1 Car,Liste couleur - Accent 11 Car,Paragraphe de liste11 Car,RETRAIT 1 Car,List Paragraph1 Car,Colorful List - Accent 11 Car"/>
    <w:basedOn w:val="DefaultParagraphFont"/>
    <w:uiPriority w:val="34"/>
    <w:locked/>
    <w:rsid w:val="0046145A"/>
    <w:rPr>
      <w:rFonts w:ascii="Aptos" w:hAnsi="Aptos"/>
      <w14:ligatures w14:val="standardContextual"/>
    </w:rPr>
  </w:style>
  <w:style w:type="paragraph" w:customStyle="1" w:styleId="P68B1DB1-ListParagraph1">
    <w:name w:val="P68B1DB1-ListParagraph1"/>
    <w:basedOn w:val="ListParagraph"/>
    <w:rPr>
      <w:rFonts w:ascii="Times New Roman" w:hAnsi="Times New Roman"/>
      <w:b/>
      <w:color w:val="000000" w:themeColor="text1"/>
      <w:sz w:val="20"/>
      <w:szCs w:val="20"/>
    </w:rPr>
  </w:style>
  <w:style w:type="paragraph" w:customStyle="1" w:styleId="P68B1DB1-TOC22">
    <w:name w:val="P68B1DB1-TOC22"/>
    <w:basedOn w:val="TOC2"/>
    <w:rPr>
      <w:sz w:val="20"/>
      <w:szCs w:val="20"/>
    </w:rPr>
  </w:style>
  <w:style w:type="paragraph" w:customStyle="1" w:styleId="P68B1DB1-Normal3">
    <w:name w:val="P68B1DB1-Normal3"/>
    <w:basedOn w:val="Normal"/>
    <w:rPr>
      <w:rFonts w:ascii="Times New Roman" w:hAnsi="Times New Roman" w:cs="Times New Roman"/>
      <w:color w:val="000000" w:themeColor="text1"/>
      <w:sz w:val="20"/>
      <w:szCs w:val="20"/>
    </w:rPr>
  </w:style>
  <w:style w:type="paragraph" w:customStyle="1" w:styleId="P68B1DB1-Instructionsberschrift24">
    <w:name w:val="P68B1DB1-Instructionsberschrift24"/>
    <w:basedOn w:val="Instructionsberschrift2"/>
    <w:rPr>
      <w:rFonts w:ascii="Times New Roman" w:hAnsi="Times New Roman" w:cs="Times New Roman"/>
      <w:szCs w:val="20"/>
    </w:rPr>
  </w:style>
  <w:style w:type="paragraph" w:customStyle="1" w:styleId="P68B1DB1-Instructionsberschrift25">
    <w:name w:val="P68B1DB1-Instructionsberschrift25"/>
    <w:basedOn w:val="Instructionsberschrift2"/>
    <w:rPr>
      <w:rFonts w:ascii="Times New Roman" w:hAnsi="Times New Roman" w:cs="Times New Roman"/>
    </w:rPr>
  </w:style>
  <w:style w:type="paragraph" w:customStyle="1" w:styleId="P68B1DB1-InstructionsText26">
    <w:name w:val="P68B1DB1-InstructionsText26"/>
    <w:basedOn w:val="InstructionsText2"/>
    <w:rPr>
      <w:rFonts w:ascii="Times New Roman" w:hAnsi="Times New Roman" w:cs="Times New Roman"/>
      <w:sz w:val="20"/>
      <w:szCs w:val="20"/>
    </w:rPr>
  </w:style>
  <w:style w:type="paragraph" w:customStyle="1" w:styleId="P68B1DB1-body7">
    <w:name w:val="P68B1DB1-body7"/>
    <w:basedOn w:val="body"/>
    <w:rPr>
      <w:rFonts w:ascii="Times New Roman" w:hAnsi="Times New Roman" w:cs="Times New Roman"/>
      <w:color w:val="000000" w:themeColor="text1"/>
      <w:sz w:val="20"/>
      <w:szCs w:val="20"/>
    </w:rPr>
  </w:style>
  <w:style w:type="paragraph" w:customStyle="1" w:styleId="P68B1DB1-ListParagraph8">
    <w:name w:val="P68B1DB1-ListParagraph8"/>
    <w:basedOn w:val="ListParagraph"/>
    <w:rPr>
      <w:rFonts w:ascii="Times New Roman" w:hAnsi="Times New Roman"/>
      <w:color w:val="000000" w:themeColor="text1"/>
      <w:sz w:val="20"/>
      <w:szCs w:val="20"/>
    </w:rPr>
  </w:style>
  <w:style w:type="paragraph" w:customStyle="1" w:styleId="P68B1DB1-ListParagraph9">
    <w:name w:val="P68B1DB1-ListParagraph9"/>
    <w:basedOn w:val="ListParagraph"/>
    <w:rPr>
      <w:rFonts w:ascii="Times New Roman" w:hAnsi="Times New Roman"/>
    </w:rPr>
  </w:style>
  <w:style w:type="paragraph" w:customStyle="1" w:styleId="P68B1DB1-Instructionsberschrift310">
    <w:name w:val="P68B1DB1-Instructionsberschrift310"/>
    <w:basedOn w:val="Instructionsberschrift3"/>
    <w:rPr>
      <w:u w:val="none"/>
    </w:rPr>
  </w:style>
  <w:style w:type="paragraph" w:customStyle="1" w:styleId="P68B1DB1-numberedparagraph11">
    <w:name w:val="P68B1DB1-numberedparagraph11"/>
    <w:basedOn w:val="numberedparagraph"/>
    <w:rPr>
      <w:rFonts w:ascii="Times New Roman" w:hAnsi="Times New Roman" w:cs="Times New Roman"/>
    </w:rPr>
  </w:style>
  <w:style w:type="paragraph" w:customStyle="1" w:styleId="P68B1DB1-Instructionsberschrift312">
    <w:name w:val="P68B1DB1-Instructionsberschrift312"/>
    <w:basedOn w:val="Instructionsberschrift3"/>
    <w:rPr>
      <w:b/>
    </w:rPr>
  </w:style>
  <w:style w:type="paragraph" w:customStyle="1" w:styleId="P68B1DB1-TableParagraph13">
    <w:name w:val="P68B1DB1-TableParagraph13"/>
    <w:basedOn w:val="TableParagraph"/>
    <w:rPr>
      <w:rFonts w:ascii="Times New Roman" w:hAnsi="Times New Roman" w:cs="Times New Roman"/>
      <w:color w:val="000000" w:themeColor="text1"/>
      <w:sz w:val="20"/>
      <w:szCs w:val="20"/>
    </w:rPr>
  </w:style>
  <w:style w:type="paragraph" w:customStyle="1" w:styleId="P68B1DB1-TableParagraph14">
    <w:name w:val="P68B1DB1-TableParagraph14"/>
    <w:basedOn w:val="TableParagraph"/>
    <w:rPr>
      <w:rFonts w:ascii="Times New Roman" w:hAnsi="Times New Roman" w:cs="Times New Roman"/>
      <w:b/>
      <w:color w:val="000000" w:themeColor="text1"/>
      <w:sz w:val="20"/>
      <w:szCs w:val="20"/>
    </w:rPr>
  </w:style>
  <w:style w:type="paragraph" w:customStyle="1" w:styleId="P68B1DB1-TableParagraph15">
    <w:name w:val="P68B1DB1-TableParagraph15"/>
    <w:basedOn w:val="TableParagraph"/>
    <w:rPr>
      <w:rFonts w:ascii="Times New Roman" w:eastAsia="Book Antiqua" w:hAnsi="Times New Roman" w:cs="Times New Roman"/>
      <w:color w:val="000000" w:themeColor="text1"/>
      <w:sz w:val="20"/>
      <w:szCs w:val="20"/>
    </w:rPr>
  </w:style>
  <w:style w:type="paragraph" w:customStyle="1" w:styleId="P68B1DB1-TableParagraph16">
    <w:name w:val="P68B1DB1-TableParagraph16"/>
    <w:basedOn w:val="TableParagraph"/>
    <w:rPr>
      <w:rFonts w:ascii="Times New Roman" w:hAnsi="Times New Roman" w:cs="Times New Roman"/>
    </w:rPr>
  </w:style>
  <w:style w:type="paragraph" w:customStyle="1" w:styleId="P68B1DB1-TableParagraph17">
    <w:name w:val="P68B1DB1-TableParagraph17"/>
    <w:basedOn w:val="TableParagraph"/>
    <w:rPr>
      <w:rFonts w:ascii="Times New Roman" w:eastAsia="Cambria" w:hAnsi="Times New Roman" w:cs="Times New Roman"/>
      <w:color w:val="000000" w:themeColor="text1"/>
      <w:sz w:val="20"/>
      <w:szCs w:val="20"/>
    </w:rPr>
  </w:style>
  <w:style w:type="paragraph" w:customStyle="1" w:styleId="P68B1DB1-Normal18">
    <w:name w:val="P68B1DB1-Normal18"/>
    <w:basedOn w:val="Normal"/>
    <w:rPr>
      <w:rFonts w:ascii="Times New Roman" w:eastAsia="Cambria" w:hAnsi="Times New Roman" w:cs="Times New Roman"/>
      <w:color w:val="000000" w:themeColor="text1"/>
      <w:sz w:val="20"/>
      <w:szCs w:val="20"/>
    </w:rPr>
  </w:style>
  <w:style w:type="paragraph" w:customStyle="1" w:styleId="P68B1DB1-Normal19">
    <w:name w:val="P68B1DB1-Normal19"/>
    <w:basedOn w:val="Normal"/>
    <w:rPr>
      <w:rFonts w:ascii="Times New Roman" w:hAnsi="Times New Roman" w:cs="Times New Roman"/>
      <w:sz w:val="20"/>
      <w:szCs w:val="20"/>
    </w:rPr>
  </w:style>
  <w:style w:type="paragraph" w:customStyle="1" w:styleId="P68B1DB1-TableParagraph20">
    <w:name w:val="P68B1DB1-TableParagraph20"/>
    <w:basedOn w:val="TableParagraph"/>
    <w:rPr>
      <w:rFonts w:ascii="Times New Roman" w:eastAsia="Cambria" w:hAnsi="Times New Roman" w:cs="Times New Roman"/>
      <w:sz w:val="20"/>
      <w:szCs w:val="20"/>
    </w:rPr>
  </w:style>
  <w:style w:type="paragraph" w:customStyle="1" w:styleId="P68B1DB1-Normal21">
    <w:name w:val="P68B1DB1-Normal21"/>
    <w:basedOn w:val="Normal"/>
    <w:rPr>
      <w:rFonts w:ascii="Times New Roman" w:eastAsia="Cambria" w:hAnsi="Times New Roman" w:cs="Times New Roman"/>
      <w:sz w:val="20"/>
      <w:szCs w:val="20"/>
    </w:rPr>
  </w:style>
  <w:style w:type="paragraph" w:customStyle="1" w:styleId="P68B1DB1-InstructionsText22">
    <w:name w:val="P68B1DB1-InstructionsText22"/>
    <w:basedOn w:val="InstructionsText"/>
    <w:rPr>
      <w:rFonts w:ascii="Times New Roman" w:hAnsi="Times New Roman" w:cs="Times New Roman"/>
      <w:color w:val="000000" w:themeColor="text1"/>
      <w:sz w:val="20"/>
      <w:szCs w:val="20"/>
    </w:rPr>
  </w:style>
  <w:style w:type="paragraph" w:customStyle="1" w:styleId="P68B1DB1-ListParagraph23">
    <w:name w:val="P68B1DB1-ListParagraph23"/>
    <w:basedOn w:val="ListParagraph"/>
    <w:rPr>
      <w:rFonts w:ascii="Times New Roman" w:eastAsiaTheme="minorEastAsia" w:hAnsi="Times New Roman"/>
      <w:color w:val="000000" w:themeColor="text1"/>
      <w:sz w:val="20"/>
      <w:szCs w:val="20"/>
      <w:u w:val="single"/>
    </w:rPr>
  </w:style>
  <w:style w:type="paragraph" w:customStyle="1" w:styleId="P68B1DB1-TableParagraph24">
    <w:name w:val="P68B1DB1-TableParagraph24"/>
    <w:basedOn w:val="TableParagraph"/>
    <w:rPr>
      <w:rFonts w:ascii="Times New Roman" w:eastAsia="Cambria" w:hAnsi="Times New Roman" w:cs="Times New Roman"/>
      <w:color w:val="000000" w:themeColor="text1"/>
      <w:sz w:val="20"/>
      <w:szCs w:val="20"/>
      <w:u w:val="single"/>
    </w:rPr>
  </w:style>
  <w:style w:type="paragraph" w:customStyle="1" w:styleId="P68B1DB1-ListParagraph25">
    <w:name w:val="P68B1DB1-ListParagraph25"/>
    <w:basedOn w:val="ListParagraph"/>
    <w:rPr>
      <w:rFonts w:ascii="Times New Roman" w:eastAsia="Cambria" w:hAnsi="Times New Roman"/>
      <w:color w:val="000000" w:themeColor="text1"/>
      <w:sz w:val="20"/>
      <w:szCs w:val="20"/>
    </w:rPr>
  </w:style>
  <w:style w:type="paragraph" w:customStyle="1" w:styleId="P68B1DB1-body26">
    <w:name w:val="P68B1DB1-body26"/>
    <w:basedOn w:val="body"/>
    <w:rPr>
      <w:u w:val="single"/>
    </w:rPr>
  </w:style>
  <w:style w:type="paragraph" w:customStyle="1" w:styleId="P68B1DB1-List127">
    <w:name w:val="P68B1DB1-List127"/>
    <w:basedOn w:val="List1"/>
    <w:rPr>
      <w:rFonts w:ascii="Times New Roman" w:eastAsia="Cambria" w:hAnsi="Times New Roman" w:cs="Times New Roman"/>
      <w:color w:val="000000" w:themeColor="text1"/>
      <w:sz w:val="20"/>
      <w:szCs w:val="20"/>
    </w:rPr>
  </w:style>
  <w:style w:type="paragraph" w:customStyle="1" w:styleId="P68B1DB1-TableParagraph28">
    <w:name w:val="P68B1DB1-TableParagraph28"/>
    <w:basedOn w:val="TableParagraph"/>
    <w:rPr>
      <w:rFonts w:ascii="Times New Roman" w:eastAsia="Cambria" w:hAnsi="Times New Roman" w:cs="Times New Roman"/>
      <w:b/>
      <w:color w:val="000000" w:themeColor="text1"/>
      <w:sz w:val="20"/>
      <w:szCs w:val="20"/>
      <w:u w:val="single"/>
    </w:rPr>
  </w:style>
  <w:style w:type="paragraph" w:customStyle="1" w:styleId="P68B1DB1-InstructionsText229">
    <w:name w:val="P68B1DB1-InstructionsText229"/>
    <w:basedOn w:val="InstructionsText2"/>
    <w:rPr>
      <w:rFonts w:ascii="Times New Roman" w:hAnsi="Times New Roman" w:cs="Times New Roman"/>
    </w:rPr>
  </w:style>
  <w:style w:type="paragraph" w:customStyle="1" w:styleId="P68B1DB1-body30">
    <w:name w:val="P68B1DB1-body30"/>
    <w:basedOn w:val="body"/>
    <w:rPr>
      <w:rFonts w:ascii="Times New Roman" w:hAnsi="Times New Roman" w:cs="Times New Roman"/>
      <w:sz w:val="20"/>
      <w:szCs w:val="20"/>
      <w:u w:val="single"/>
    </w:rPr>
  </w:style>
  <w:style w:type="paragraph" w:customStyle="1" w:styleId="P68B1DB1-Normal31">
    <w:name w:val="P68B1DB1-Normal31"/>
    <w:basedOn w:val="Normal"/>
    <w:rPr>
      <w:rFonts w:ascii="Times New Roman" w:eastAsia="Times New Roman" w:hAnsi="Times New Roman" w:cs="Times New Roman"/>
      <w:sz w:val="20"/>
      <w:szCs w:val="20"/>
    </w:rPr>
  </w:style>
  <w:style w:type="paragraph" w:customStyle="1" w:styleId="P68B1DB1-ListParagraph32">
    <w:name w:val="P68B1DB1-ListParagraph32"/>
    <w:basedOn w:val="ListParagraph"/>
    <w:rPr>
      <w:rFonts w:ascii="Times New Roman" w:eastAsia="Times New Roman" w:hAnsi="Times New Roman"/>
      <w:sz w:val="20"/>
      <w:szCs w:val="20"/>
    </w:rPr>
  </w:style>
  <w:style w:type="paragraph" w:customStyle="1" w:styleId="P68B1DB1-TableParagraph33">
    <w:name w:val="P68B1DB1-TableParagraph33"/>
    <w:basedOn w:val="TableParagraph"/>
    <w:rPr>
      <w:rFonts w:ascii="Times New Roman" w:eastAsia="Times New Roman" w:hAnsi="Times New Roman"/>
      <w:sz w:val="20"/>
      <w:szCs w:val="20"/>
    </w:rPr>
  </w:style>
  <w:style w:type="paragraph" w:customStyle="1" w:styleId="P68B1DB1-Normal34">
    <w:name w:val="P68B1DB1-Normal34"/>
    <w:basedOn w:val="Normal"/>
    <w:rPr>
      <w:rFonts w:ascii="Times New Roman" w:eastAsia="Times New Roman" w:hAnsi="Times New Roman"/>
      <w:sz w:val="20"/>
      <w:szCs w:val="20"/>
    </w:rPr>
  </w:style>
  <w:style w:type="paragraph" w:customStyle="1" w:styleId="P68B1DB1-Normal35">
    <w:name w:val="P68B1DB1-Normal35"/>
    <w:basedOn w:val="Normal"/>
    <w:rPr>
      <w:rFonts w:ascii="Times New Roman" w:eastAsia="Times New Roman" w:hAnsi="Times New Roman" w:cs="Times New Roman"/>
      <w:b/>
      <w:color w:val="000000" w:themeColor="text1"/>
      <w:sz w:val="20"/>
      <w:szCs w:val="20"/>
    </w:rPr>
  </w:style>
  <w:style w:type="paragraph" w:customStyle="1" w:styleId="P68B1DB1-Normal36">
    <w:name w:val="P68B1DB1-Normal36"/>
    <w:basedOn w:val="Normal"/>
    <w:rPr>
      <w:rFonts w:ascii="Times New Roman" w:eastAsia="Times New Roman" w:hAnsi="Times New Roman" w:cs="Times New Roman"/>
      <w:color w:val="000000" w:themeColor="text1"/>
      <w:sz w:val="20"/>
      <w:szCs w:val="20"/>
    </w:rPr>
  </w:style>
  <w:style w:type="paragraph" w:customStyle="1" w:styleId="P68B1DB1-ListParagraph37">
    <w:name w:val="P68B1DB1-ListParagraph37"/>
    <w:basedOn w:val="ListParagraph"/>
    <w:rPr>
      <w:rFonts w:ascii="Times New Roman" w:eastAsia="Times New Roman" w:hAnsi="Times New Roman"/>
      <w:color w:val="000000" w:themeColor="text1"/>
      <w:sz w:val="20"/>
      <w:szCs w:val="20"/>
    </w:rPr>
  </w:style>
  <w:style w:type="paragraph" w:customStyle="1" w:styleId="P68B1DB1-ListParagraph38">
    <w:name w:val="P68B1DB1-ListParagraph38"/>
    <w:basedOn w:val="ListParagraph"/>
    <w:rPr>
      <w:rFonts w:ascii="Times New Roman" w:eastAsiaTheme="minorHAnsi" w:hAnsi="Times New Roman"/>
      <w:color w:val="000000" w:themeColor="text1"/>
      <w:sz w:val="20"/>
      <w:szCs w:val="20"/>
    </w:rPr>
  </w:style>
  <w:style w:type="paragraph" w:customStyle="1" w:styleId="P68B1DB1-ListParagraph39">
    <w:name w:val="P68B1DB1-ListParagraph39"/>
    <w:basedOn w:val="ListParagraph"/>
    <w:rPr>
      <w:rFonts w:ascii="Times New Roman" w:eastAsiaTheme="minorEastAsia" w:hAnsi="Times New Roman"/>
      <w:color w:val="000000" w:themeColor="text1"/>
      <w:sz w:val="20"/>
      <w:szCs w:val="20"/>
    </w:rPr>
  </w:style>
  <w:style w:type="paragraph" w:customStyle="1" w:styleId="P68B1DB1-TableParagraph40">
    <w:name w:val="P68B1DB1-TableParagraph40"/>
    <w:basedOn w:val="TableParagraph"/>
    <w:rPr>
      <w:rFonts w:ascii="Times New Roman" w:eastAsia="Times New Roman" w:hAnsi="Times New Roman" w:cs="Times New Roman"/>
      <w:sz w:val="20"/>
      <w:szCs w:val="20"/>
    </w:rPr>
  </w:style>
  <w:style w:type="paragraph" w:customStyle="1" w:styleId="P68B1DB1-TableParagraph41">
    <w:name w:val="P68B1DB1-TableParagraph41"/>
    <w:basedOn w:val="TableParagraph"/>
    <w:rPr>
      <w:sz w:val="20"/>
      <w:szCs w:val="20"/>
    </w:rPr>
  </w:style>
  <w:style w:type="paragraph" w:customStyle="1" w:styleId="P68B1DB1-Normal42">
    <w:name w:val="P68B1DB1-Normal42"/>
    <w:basedOn w:val="Normal"/>
    <w:rPr>
      <w:rFonts w:ascii="Times New Roman" w:eastAsiaTheme="minorHAnsi" w:hAnsi="Times New Roman" w:cs="Times New Roman"/>
      <w:b/>
      <w:color w:val="000000" w:themeColor="text1"/>
      <w:sz w:val="20"/>
      <w:szCs w:val="20"/>
    </w:rPr>
  </w:style>
  <w:style w:type="paragraph" w:customStyle="1" w:styleId="P68B1DB1-Normal43">
    <w:name w:val="P68B1DB1-Normal43"/>
    <w:basedOn w:val="Normal"/>
    <w:rPr>
      <w:rFonts w:ascii="Times New Roman" w:eastAsiaTheme="minorHAnsi" w:hAnsi="Times New Roman" w:cs="Times New Roman"/>
      <w:color w:val="000000" w:themeColor="text1"/>
      <w:sz w:val="20"/>
      <w:szCs w:val="20"/>
    </w:rPr>
  </w:style>
  <w:style w:type="paragraph" w:customStyle="1" w:styleId="P68B1DB1-Instructionsberschrift244">
    <w:name w:val="P68B1DB1-Instructionsberschrift244"/>
    <w:basedOn w:val="Instructionsberschrift2"/>
    <w:rPr>
      <w:rFonts w:ascii="Times New Roman" w:eastAsia="Calibri" w:hAnsi="Times New Roman" w:cs="Times New Roman"/>
    </w:rPr>
  </w:style>
  <w:style w:type="paragraph" w:customStyle="1" w:styleId="P68B1DB1-Normal45">
    <w:name w:val="P68B1DB1-Normal45"/>
    <w:basedOn w:val="Normal"/>
    <w:rPr>
      <w:rFonts w:ascii="Times New Roman" w:eastAsia="Calibri" w:hAnsi="Times New Roman" w:cs="Times New Roman"/>
      <w:sz w:val="20"/>
    </w:rPr>
  </w:style>
  <w:style w:type="paragraph" w:customStyle="1" w:styleId="P68B1DB1-Instructionsberschrift346">
    <w:name w:val="P68B1DB1-Instructionsberschrift346"/>
    <w:basedOn w:val="Instructionsberschrift3"/>
    <w:rPr>
      <w:rFonts w:eastAsia="MS Mincho"/>
      <w:u w:val="none"/>
    </w:rPr>
  </w:style>
  <w:style w:type="paragraph" w:customStyle="1" w:styleId="P68B1DB1-Instructionsberschrift347">
    <w:name w:val="P68B1DB1-Instructionsberschrift347"/>
    <w:basedOn w:val="Instructionsberschrift3"/>
    <w:rPr>
      <w:color w:val="auto"/>
      <w:u w:val="none"/>
    </w:rPr>
  </w:style>
  <w:style w:type="paragraph" w:customStyle="1" w:styleId="P68B1DB1-Instructionsberschrift348">
    <w:name w:val="P68B1DB1-Instructionsberschrift348"/>
    <w:basedOn w:val="Instructionsberschrift3"/>
    <w:rPr>
      <w:rFonts w:eastAsia="MS Mincho"/>
      <w:szCs w:val="24"/>
      <w:u w:val="none"/>
    </w:rPr>
  </w:style>
  <w:style w:type="paragraph" w:customStyle="1" w:styleId="P68B1DB1-Normal49">
    <w:name w:val="P68B1DB1-Normal49"/>
    <w:basedOn w:val="Normal"/>
    <w:rPr>
      <w:rFonts w:ascii="Times New Roman" w:eastAsia="Calibri" w:hAnsi="Times New Roman" w:cs="Times New Roman"/>
      <w:b/>
      <w:sz w:val="20"/>
      <w:szCs w:val="20"/>
    </w:rPr>
  </w:style>
  <w:style w:type="paragraph" w:customStyle="1" w:styleId="P68B1DB1-Normal50">
    <w:name w:val="P68B1DB1-Normal50"/>
    <w:basedOn w:val="Normal"/>
    <w:rPr>
      <w:rFonts w:ascii="Times New Roman" w:eastAsia="Calibri" w:hAnsi="Times New Roman" w:cs="Times New Roman"/>
      <w:sz w:val="20"/>
      <w:szCs w:val="20"/>
    </w:rPr>
  </w:style>
  <w:style w:type="paragraph" w:customStyle="1" w:styleId="P68B1DB1-Normal51">
    <w:name w:val="P68B1DB1-Normal51"/>
    <w:basedOn w:val="Normal"/>
    <w:rPr>
      <w:rFonts w:ascii="Times New Roman" w:eastAsia="Calibri" w:hAnsi="Times New Roman" w:cs="Times New Roman"/>
      <w:i/>
      <w:sz w:val="20"/>
      <w:szCs w:val="20"/>
    </w:rPr>
  </w:style>
  <w:style w:type="paragraph" w:customStyle="1" w:styleId="P68B1DB1-Normal52">
    <w:name w:val="P68B1DB1-Normal52"/>
    <w:basedOn w:val="Normal"/>
    <w:rPr>
      <w:rFonts w:ascii="Times New Roman" w:eastAsia="MS Mincho" w:hAnsi="Times New Roman" w:cs="Times New Roman"/>
      <w:sz w:val="20"/>
      <w:szCs w:val="20"/>
    </w:rPr>
  </w:style>
  <w:style w:type="paragraph" w:customStyle="1" w:styleId="P68B1DB1-ListParagraph53">
    <w:name w:val="P68B1DB1-ListParagraph53"/>
    <w:basedOn w:val="ListParagraph"/>
    <w:rPr>
      <w:rFonts w:ascii="Times New Roman" w:eastAsia="MS Mincho" w:hAnsi="Times New Roman"/>
      <w:sz w:val="20"/>
      <w:szCs w:val="20"/>
    </w:rPr>
  </w:style>
  <w:style w:type="paragraph" w:customStyle="1" w:styleId="P68B1DB1-Normal54">
    <w:name w:val="P68B1DB1-Normal54"/>
    <w:basedOn w:val="Normal"/>
    <w:rPr>
      <w:rFonts w:ascii="Times New Roman" w:eastAsia="MS Mincho" w:hAnsi="Times New Roman" w:cs="Times New Roman"/>
      <w:szCs w:val="20"/>
    </w:rPr>
  </w:style>
  <w:style w:type="paragraph" w:customStyle="1" w:styleId="P68B1DB1-Normal55">
    <w:name w:val="P68B1DB1-Normal55"/>
    <w:basedOn w:val="Normal"/>
    <w:rPr>
      <w:rFonts w:ascii="Times New Roman" w:eastAsia="Calibri" w:hAnsi="Times New Roman" w:cs="Times New Roman"/>
      <w:b/>
      <w:sz w:val="20"/>
    </w:rPr>
  </w:style>
  <w:style w:type="paragraph" w:customStyle="1" w:styleId="P68B1DB1-Normal56">
    <w:name w:val="P68B1DB1-Normal56"/>
    <w:basedOn w:val="Normal"/>
    <w:rPr>
      <w:rFonts w:ascii="Times New Roman" w:eastAsia="Calibri" w:hAnsi="Times New Roman" w:cs="Times New Roman"/>
      <w:i/>
      <w:sz w:val="20"/>
    </w:rPr>
  </w:style>
  <w:style w:type="paragraph" w:customStyle="1" w:styleId="P68B1DB1-Normal57">
    <w:name w:val="P68B1DB1-Normal57"/>
    <w:basedOn w:val="Normal"/>
    <w:rPr>
      <w:rFonts w:ascii="Times New Roman" w:hAnsi="Times New Roman"/>
      <w:color w:val="000000" w:themeColor="text1"/>
      <w:sz w:val="20"/>
      <w:szCs w:val="20"/>
    </w:rPr>
  </w:style>
  <w:style w:type="paragraph" w:customStyle="1" w:styleId="P68B1DB1-ListParagraph58">
    <w:name w:val="P68B1DB1-ListParagraph58"/>
    <w:basedOn w:val="ListParagraph"/>
    <w:rPr>
      <w:rFonts w:ascii="Times New Roman" w:hAnsi="Times New Roman"/>
      <w:sz w:val="20"/>
    </w:rPr>
  </w:style>
  <w:style w:type="paragraph" w:customStyle="1" w:styleId="P68B1DB1-NormalWeb59">
    <w:name w:val="P68B1DB1-NormalWeb59"/>
    <w:basedOn w:val="NormalWeb"/>
    <w:rPr>
      <w:rFonts w:eastAsia="Calibri"/>
      <w:sz w:val="20"/>
    </w:rPr>
  </w:style>
  <w:style w:type="paragraph" w:customStyle="1" w:styleId="P68B1DB1-ListParagraph60">
    <w:name w:val="P68B1DB1-ListParagraph60"/>
    <w:basedOn w:val="ListParagraph"/>
    <w:rPr>
      <w:rFonts w:ascii="Times New Roman" w:hAnsi="Times New Roman"/>
      <w:sz w:val="20"/>
      <w:szCs w:val="20"/>
    </w:rPr>
  </w:style>
  <w:style w:type="paragraph" w:customStyle="1" w:styleId="P68B1DB1-Normal61">
    <w:name w:val="P68B1DB1-Normal61"/>
    <w:basedOn w:val="Normal"/>
    <w:rPr>
      <w:rFonts w:ascii="Times New Roman" w:hAnsi="Times New Roman"/>
      <w:b/>
      <w:sz w:val="20"/>
      <w:szCs w:val="20"/>
    </w:rPr>
  </w:style>
  <w:style w:type="paragraph" w:customStyle="1" w:styleId="P68B1DB1-Normal62">
    <w:name w:val="P68B1DB1-Normal62"/>
    <w:basedOn w:val="Normal"/>
    <w:rPr>
      <w:rFonts w:ascii="Times New Roman" w:hAnsi="Times New Roman"/>
      <w:sz w:val="20"/>
      <w:szCs w:val="20"/>
    </w:rPr>
  </w:style>
  <w:style w:type="paragraph" w:customStyle="1" w:styleId="P68B1DB1-Normal63">
    <w:name w:val="P68B1DB1-Normal63"/>
    <w:basedOn w:val="Normal"/>
    <w:rPr>
      <w:rFonts w:ascii="Times New Roman" w:eastAsia="MS Mincho" w:hAnsi="Times New Roman"/>
      <w:sz w:val="20"/>
      <w:szCs w:val="20"/>
    </w:rPr>
  </w:style>
  <w:style w:type="paragraph" w:customStyle="1" w:styleId="P68B1DB1-Normal64">
    <w:name w:val="P68B1DB1-Normal64"/>
    <w:basedOn w:val="Normal"/>
    <w:rPr>
      <w:rFonts w:ascii="Times New Roman" w:hAnsi="Times New Roman"/>
      <w:sz w:val="20"/>
    </w:rPr>
  </w:style>
  <w:style w:type="paragraph" w:customStyle="1" w:styleId="P68B1DB1-Normal65">
    <w:name w:val="P68B1DB1-Normal65"/>
    <w:basedOn w:val="Normal"/>
    <w:rPr>
      <w:rFonts w:ascii="Times New Roman" w:hAnsi="Times New Roman"/>
      <w:b/>
      <w:sz w:val="20"/>
    </w:rPr>
  </w:style>
  <w:style w:type="paragraph" w:customStyle="1" w:styleId="P68B1DB1-Normal66">
    <w:name w:val="P68B1DB1-Normal66"/>
    <w:basedOn w:val="Normal"/>
    <w:rPr>
      <w:rFonts w:ascii="Times New Roman" w:eastAsia="MS Mincho" w:hAnsi="Times New Roman"/>
      <w:sz w:val="20"/>
    </w:rPr>
  </w:style>
  <w:style w:type="paragraph" w:customStyle="1" w:styleId="P68B1DB1-Normal67">
    <w:name w:val="P68B1DB1-Normal67"/>
    <w:basedOn w:val="Normal"/>
    <w:rPr>
      <w:rFonts w:ascii="Times New Roman" w:hAnsi="Times New Roman"/>
    </w:rPr>
  </w:style>
  <w:style w:type="paragraph" w:customStyle="1" w:styleId="P68B1DB1-Instructionsberschrift368">
    <w:name w:val="P68B1DB1-Instructionsberschrift368"/>
    <w:basedOn w:val="Instructionsberschrift3"/>
    <w:rPr>
      <w:rFonts w:eastAsia="MS Mincho"/>
      <w:color w:val="auto"/>
      <w:szCs w:val="24"/>
      <w:u w:val="none"/>
    </w:rPr>
  </w:style>
  <w:style w:type="paragraph" w:customStyle="1" w:styleId="P68B1DB1-Instructionsberschrift269">
    <w:name w:val="P68B1DB1-Instructionsberschrift269"/>
    <w:basedOn w:val="Instructionsberschrift2"/>
    <w:rPr>
      <w:rFonts w:ascii="Times New Roman" w:eastAsia="MS Mincho" w:hAnsi="Times New Roman" w:cs="Times New Roman"/>
      <w:szCs w:val="20"/>
    </w:rPr>
  </w:style>
  <w:style w:type="paragraph" w:customStyle="1" w:styleId="P68B1DB1-Normal70">
    <w:name w:val="P68B1DB1-Normal70"/>
    <w:basedOn w:val="Normal"/>
    <w:rPr>
      <w:rFonts w:ascii="Times New Roman" w:eastAsia="Calibri" w:hAnsi="Times New Roman" w:cs="Times New Roman"/>
      <w:u w:val="single"/>
    </w:rPr>
  </w:style>
  <w:style w:type="paragraph" w:customStyle="1" w:styleId="P68B1DB1-Instructionsberschrift271">
    <w:name w:val="P68B1DB1-Instructionsberschrift271"/>
    <w:basedOn w:val="Instructionsberschrift2"/>
    <w:rPr>
      <w:rFonts w:ascii="Times New Roman" w:eastAsia="Calibri" w:hAnsi="Times New Roman" w:cs="Times New Roman"/>
      <w:szCs w:val="20"/>
    </w:rPr>
  </w:style>
  <w:style w:type="paragraph" w:customStyle="1" w:styleId="P68B1DB1-Numberedtitlelevel372">
    <w:name w:val="P68B1DB1-Numberedtitlelevel372"/>
    <w:basedOn w:val="Numberedtitlelevel3"/>
    <w:rPr>
      <w:rFonts w:ascii="Times New Roman" w:hAnsi="Times New Roman" w:cs="Times New Roman"/>
      <w:b w:val="0"/>
      <w:color w:val="000000" w:themeColor="text1"/>
      <w:sz w:val="20"/>
      <w:szCs w:val="20"/>
      <w:u w:val="single"/>
    </w:rPr>
  </w:style>
  <w:style w:type="paragraph" w:customStyle="1" w:styleId="P68B1DB1-TableParagraph73">
    <w:name w:val="P68B1DB1-TableParagraph73"/>
    <w:basedOn w:val="TableParagraph"/>
    <w:rPr>
      <w:rFonts w:ascii="Times New Roman" w:eastAsia="Times New Roman" w:hAnsi="Times New Roman" w:cs="Times New Roman"/>
      <w:b/>
      <w:sz w:val="20"/>
      <w:szCs w:val="20"/>
    </w:rPr>
  </w:style>
  <w:style w:type="paragraph" w:customStyle="1" w:styleId="P68B1DB1-Normal74">
    <w:name w:val="P68B1DB1-Normal74"/>
    <w:basedOn w:val="Normal"/>
    <w:rPr>
      <w:rFonts w:ascii="Times New Roman" w:eastAsia="Times New Roman" w:hAnsi="Times New Roman" w:cs="Times New Roman"/>
      <w:i/>
      <w:sz w:val="20"/>
      <w:szCs w:val="20"/>
    </w:rPr>
  </w:style>
  <w:style w:type="paragraph" w:customStyle="1" w:styleId="P68B1DB1-TableParagraph75">
    <w:name w:val="P68B1DB1-TableParagraph75"/>
    <w:basedOn w:val="TableParagraph"/>
    <w:rPr>
      <w:rFonts w:ascii="Times New Roman" w:eastAsia="Times New Roman" w:hAnsi="Times New Roman" w:cs="Times New Roman"/>
      <w:b/>
      <w:i/>
      <w:sz w:val="20"/>
      <w:szCs w:val="20"/>
    </w:rPr>
  </w:style>
  <w:style w:type="paragraph" w:customStyle="1" w:styleId="P68B1DB1-Normal76">
    <w:name w:val="P68B1DB1-Normal76"/>
    <w:basedOn w:val="Normal"/>
    <w:rPr>
      <w:rFonts w:ascii="Times New Roman" w:eastAsia="Times New Roman" w:hAnsi="Times New Roman" w:cs="Times New Roman"/>
      <w:b/>
      <w:sz w:val="20"/>
      <w:szCs w:val="20"/>
    </w:rPr>
  </w:style>
  <w:style w:type="paragraph" w:customStyle="1" w:styleId="P68B1DB1-Normal77">
    <w:name w:val="P68B1DB1-Normal77"/>
    <w:basedOn w:val="Normal"/>
    <w:rPr>
      <w:rFonts w:ascii="Times New Roman" w:eastAsia="Times New Roman" w:hAnsi="Times New Roman" w:cs="Times New Roman"/>
      <w:b/>
      <w:i/>
      <w:sz w:val="20"/>
      <w:szCs w:val="20"/>
    </w:rPr>
  </w:style>
  <w:style w:type="paragraph" w:customStyle="1" w:styleId="P68B1DB1-Normal78">
    <w:name w:val="P68B1DB1-Normal78"/>
    <w:basedOn w:val="Normal"/>
    <w:rPr>
      <w:rFonts w:ascii="Times New Roman" w:hAnsi="Times New Roman" w:cs="Times New Roman"/>
    </w:rPr>
  </w:style>
  <w:style w:type="paragraph" w:customStyle="1" w:styleId="P68B1DB1-InstructionsText279">
    <w:name w:val="P68B1DB1-InstructionsText279"/>
    <w:basedOn w:val="InstructionsText2"/>
    <w:rPr>
      <w:rFonts w:ascii="Times New Roman" w:eastAsiaTheme="majorEastAsia" w:hAnsi="Times New Roman" w:cs="Times New Roman"/>
      <w:sz w:val="20"/>
      <w:szCs w:val="20"/>
    </w:rPr>
  </w:style>
  <w:style w:type="paragraph" w:customStyle="1" w:styleId="P68B1DB1-ListParagraph80">
    <w:name w:val="P68B1DB1-ListParagraph80"/>
    <w:basedOn w:val="ListParagraph"/>
    <w:rPr>
      <w:rFonts w:ascii="Times New Roman" w:eastAsiaTheme="majorEastAsia" w:hAnsi="Times New Roman"/>
      <w:sz w:val="20"/>
      <w:szCs w:val="20"/>
    </w:rPr>
  </w:style>
  <w:style w:type="paragraph" w:customStyle="1" w:styleId="P68B1DB1-Heading481">
    <w:name w:val="P68B1DB1-Heading481"/>
    <w:basedOn w:val="Heading4"/>
    <w:rPr>
      <w:rFonts w:ascii="Times New Roman" w:eastAsia="Times New Roman" w:hAnsi="Times New Roman" w:cs="Times New Roman"/>
      <w:color w:val="auto"/>
      <w:sz w:val="20"/>
      <w:szCs w:val="20"/>
    </w:rPr>
  </w:style>
  <w:style w:type="paragraph" w:customStyle="1" w:styleId="P68B1DB1-Heading482">
    <w:name w:val="P68B1DB1-Heading482"/>
    <w:basedOn w:val="Heading4"/>
    <w:rPr>
      <w:rFonts w:ascii="Times New Roman" w:eastAsia="Times New Roman" w:hAnsi="Times New Roman" w:cs="Times New Roman"/>
      <w:b w:val="0"/>
      <w:bCs w:val="0"/>
      <w:i w:val="0"/>
      <w:iCs w:val="0"/>
      <w:color w:val="auto"/>
      <w:sz w:val="20"/>
      <w:szCs w:val="20"/>
    </w:rPr>
  </w:style>
  <w:style w:type="paragraph" w:customStyle="1" w:styleId="P68B1DB1-Numberedtitlelevel383">
    <w:name w:val="P68B1DB1-Numberedtitlelevel383"/>
    <w:basedOn w:val="Numberedtitlelevel3"/>
    <w:rPr>
      <w:rFonts w:ascii="Times New Roman" w:hAnsi="Times New Roman" w:cs="Times New Roman"/>
      <w:color w:val="000000" w:themeColor="text1"/>
      <w:sz w:val="20"/>
      <w:szCs w:val="20"/>
      <w:u w:val="single"/>
    </w:rPr>
  </w:style>
  <w:style w:type="paragraph" w:customStyle="1" w:styleId="P68B1DB1-Instructionsberschrift284">
    <w:name w:val="P68B1DB1-Instructionsberschrift284"/>
    <w:basedOn w:val="Instructionsberschrift2"/>
    <w:rPr>
      <w:rFonts w:ascii="Times New Roman" w:eastAsiaTheme="minorEastAsia" w:hAnsi="Times New Roman" w:cs="Times New Roman"/>
    </w:rPr>
  </w:style>
  <w:style w:type="paragraph" w:customStyle="1" w:styleId="P68B1DB1-Numberedtitlelevel385">
    <w:name w:val="P68B1DB1-Numberedtitlelevel385"/>
    <w:basedOn w:val="Numberedtitlelevel3"/>
    <w:rPr>
      <w:rFonts w:ascii="Times New Roman" w:eastAsia="Times New Roman" w:hAnsi="Times New Roman" w:cs="Times New Roman"/>
      <w:b w:val="0"/>
      <w:color w:val="auto"/>
      <w:sz w:val="20"/>
      <w:szCs w:val="20"/>
    </w:rPr>
  </w:style>
  <w:style w:type="paragraph" w:customStyle="1" w:styleId="P68B1DB1-InstructionsText286">
    <w:name w:val="P68B1DB1-InstructionsText286"/>
    <w:basedOn w:val="InstructionsText2"/>
    <w:rPr>
      <w:rFonts w:ascii="Times New Roman" w:eastAsia="Cambria" w:hAnsi="Times New Roman" w:cs="Times New Roman"/>
      <w:sz w:val="20"/>
      <w:szCs w:val="20"/>
    </w:rPr>
  </w:style>
  <w:style w:type="paragraph" w:customStyle="1" w:styleId="P68B1DB1-InstructionsText287">
    <w:name w:val="P68B1DB1-InstructionsText287"/>
    <w:basedOn w:val="InstructionsText2"/>
    <w:rPr>
      <w:rFonts w:ascii="Times New Roman" w:hAnsi="Times New Roman" w:cs="Times New Roman"/>
      <w:color w:val="000000" w:themeColor="text1"/>
      <w:sz w:val="20"/>
      <w:szCs w:val="20"/>
      <w:u w:val="single"/>
    </w:rPr>
  </w:style>
  <w:style w:type="paragraph" w:customStyle="1" w:styleId="P68B1DB1-Numberedtitlelevel388">
    <w:name w:val="P68B1DB1-Numberedtitlelevel388"/>
    <w:basedOn w:val="Numberedtitlelevel3"/>
    <w:rPr>
      <w:rFonts w:ascii="Times New Roman" w:hAnsi="Times New Roman" w:cs="Times New Roman"/>
      <w:b w:val="0"/>
      <w:color w:val="auto"/>
      <w:sz w:val="20"/>
      <w:szCs w:val="20"/>
    </w:rPr>
  </w:style>
  <w:style w:type="paragraph" w:customStyle="1" w:styleId="P68B1DB1-Instructionsberschrift289">
    <w:name w:val="P68B1DB1-Instructionsberschrift289"/>
    <w:basedOn w:val="Instructionsberschrift2"/>
    <w:rPr>
      <w:rFonts w:ascii="Times New Roman" w:hAnsi="Times New Roman" w:cs="Times New Roman"/>
      <w:u w:val="none"/>
    </w:rPr>
  </w:style>
  <w:style w:type="paragraph" w:customStyle="1" w:styleId="P68B1DB1-Normal90">
    <w:name w:val="P68B1DB1-Normal90"/>
    <w:basedOn w:val="Normal"/>
    <w:rPr>
      <w:rFonts w:eastAsia="Times New Roman" w:cs="Calibri"/>
      <w:b/>
      <w:color w:val="000000"/>
      <w:sz w:val="18"/>
      <w:szCs w:val="18"/>
    </w:rPr>
  </w:style>
  <w:style w:type="paragraph" w:customStyle="1" w:styleId="P68B1DB1-Normal91">
    <w:name w:val="P68B1DB1-Normal91"/>
    <w:basedOn w:val="Normal"/>
    <w:rPr>
      <w:rFonts w:eastAsia="Times New Roman" w:cs="Calibri"/>
      <w:color w:val="000000"/>
      <w:sz w:val="18"/>
      <w:szCs w:val="18"/>
    </w:rPr>
  </w:style>
  <w:style w:type="paragraph" w:customStyle="1" w:styleId="P68B1DB1-Normal92">
    <w:name w:val="P68B1DB1-Normal92"/>
    <w:basedOn w:val="Normal"/>
    <w:rPr>
      <w:b/>
      <w:sz w:val="18"/>
      <w:szCs w:val="18"/>
    </w:rPr>
  </w:style>
  <w:style w:type="paragraph" w:customStyle="1" w:styleId="P68B1DB1-Normal93">
    <w:name w:val="P68B1DB1-Normal93"/>
    <w:basedOn w:val="Normal"/>
    <w:rPr>
      <w:rFonts w:ascii="Calibri" w:eastAsia="Calibri" w:hAnsi="Calibri" w:cs="Calibri"/>
      <w:color w:val="000000"/>
      <w:sz w:val="24"/>
    </w:rPr>
  </w:style>
  <w:style w:type="paragraph" w:customStyle="1" w:styleId="P68B1DB1-Header94">
    <w:name w:val="P68B1DB1-Header94"/>
    <w:basedOn w:val="Header"/>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7772988">
      <w:bodyDiv w:val="1"/>
      <w:marLeft w:val="0"/>
      <w:marRight w:val="0"/>
      <w:marTop w:val="0"/>
      <w:marBottom w:val="0"/>
      <w:divBdr>
        <w:top w:val="none" w:sz="0" w:space="0" w:color="auto"/>
        <w:left w:val="none" w:sz="0" w:space="0" w:color="auto"/>
        <w:bottom w:val="none" w:sz="0" w:space="0" w:color="auto"/>
        <w:right w:val="none" w:sz="0" w:space="0" w:color="auto"/>
      </w:divBdr>
    </w:div>
    <w:div w:id="76292858">
      <w:bodyDiv w:val="1"/>
      <w:marLeft w:val="0"/>
      <w:marRight w:val="0"/>
      <w:marTop w:val="0"/>
      <w:marBottom w:val="0"/>
      <w:divBdr>
        <w:top w:val="none" w:sz="0" w:space="0" w:color="auto"/>
        <w:left w:val="none" w:sz="0" w:space="0" w:color="auto"/>
        <w:bottom w:val="none" w:sz="0" w:space="0" w:color="auto"/>
        <w:right w:val="none" w:sz="0" w:space="0" w:color="auto"/>
      </w:divBdr>
    </w:div>
    <w:div w:id="124078880">
      <w:bodyDiv w:val="1"/>
      <w:marLeft w:val="0"/>
      <w:marRight w:val="0"/>
      <w:marTop w:val="0"/>
      <w:marBottom w:val="0"/>
      <w:divBdr>
        <w:top w:val="none" w:sz="0" w:space="0" w:color="auto"/>
        <w:left w:val="none" w:sz="0" w:space="0" w:color="auto"/>
        <w:bottom w:val="none" w:sz="0" w:space="0" w:color="auto"/>
        <w:right w:val="none" w:sz="0" w:space="0" w:color="auto"/>
      </w:divBdr>
    </w:div>
    <w:div w:id="195777798">
      <w:bodyDiv w:val="1"/>
      <w:marLeft w:val="0"/>
      <w:marRight w:val="0"/>
      <w:marTop w:val="0"/>
      <w:marBottom w:val="0"/>
      <w:divBdr>
        <w:top w:val="none" w:sz="0" w:space="0" w:color="auto"/>
        <w:left w:val="none" w:sz="0" w:space="0" w:color="auto"/>
        <w:bottom w:val="none" w:sz="0" w:space="0" w:color="auto"/>
        <w:right w:val="none" w:sz="0" w:space="0" w:color="auto"/>
      </w:divBdr>
      <w:divsChild>
        <w:div w:id="2133983776">
          <w:marLeft w:val="0"/>
          <w:marRight w:val="0"/>
          <w:marTop w:val="120"/>
          <w:marBottom w:val="0"/>
          <w:divBdr>
            <w:top w:val="none" w:sz="0" w:space="0" w:color="auto"/>
            <w:left w:val="none" w:sz="0" w:space="0" w:color="auto"/>
            <w:bottom w:val="none" w:sz="0" w:space="0" w:color="auto"/>
            <w:right w:val="none" w:sz="0" w:space="0" w:color="auto"/>
          </w:divBdr>
        </w:div>
        <w:div w:id="233244626">
          <w:marLeft w:val="0"/>
          <w:marRight w:val="0"/>
          <w:marTop w:val="0"/>
          <w:marBottom w:val="0"/>
          <w:divBdr>
            <w:top w:val="none" w:sz="0" w:space="0" w:color="auto"/>
            <w:left w:val="none" w:sz="0" w:space="0" w:color="auto"/>
            <w:bottom w:val="none" w:sz="0" w:space="0" w:color="auto"/>
            <w:right w:val="none" w:sz="0" w:space="0" w:color="auto"/>
          </w:divBdr>
        </w:div>
      </w:divsChild>
    </w:div>
    <w:div w:id="236551278">
      <w:bodyDiv w:val="1"/>
      <w:marLeft w:val="0"/>
      <w:marRight w:val="0"/>
      <w:marTop w:val="0"/>
      <w:marBottom w:val="0"/>
      <w:divBdr>
        <w:top w:val="none" w:sz="0" w:space="0" w:color="auto"/>
        <w:left w:val="none" w:sz="0" w:space="0" w:color="auto"/>
        <w:bottom w:val="none" w:sz="0" w:space="0" w:color="auto"/>
        <w:right w:val="none" w:sz="0" w:space="0" w:color="auto"/>
      </w:divBdr>
    </w:div>
    <w:div w:id="260647293">
      <w:bodyDiv w:val="1"/>
      <w:marLeft w:val="0"/>
      <w:marRight w:val="0"/>
      <w:marTop w:val="0"/>
      <w:marBottom w:val="0"/>
      <w:divBdr>
        <w:top w:val="none" w:sz="0" w:space="0" w:color="auto"/>
        <w:left w:val="none" w:sz="0" w:space="0" w:color="auto"/>
        <w:bottom w:val="none" w:sz="0" w:space="0" w:color="auto"/>
        <w:right w:val="none" w:sz="0" w:space="0" w:color="auto"/>
      </w:divBdr>
    </w:div>
    <w:div w:id="317619041">
      <w:bodyDiv w:val="1"/>
      <w:marLeft w:val="0"/>
      <w:marRight w:val="0"/>
      <w:marTop w:val="0"/>
      <w:marBottom w:val="0"/>
      <w:divBdr>
        <w:top w:val="none" w:sz="0" w:space="0" w:color="auto"/>
        <w:left w:val="none" w:sz="0" w:space="0" w:color="auto"/>
        <w:bottom w:val="none" w:sz="0" w:space="0" w:color="auto"/>
        <w:right w:val="none" w:sz="0" w:space="0" w:color="auto"/>
      </w:divBdr>
    </w:div>
    <w:div w:id="529950855">
      <w:bodyDiv w:val="1"/>
      <w:marLeft w:val="0"/>
      <w:marRight w:val="0"/>
      <w:marTop w:val="0"/>
      <w:marBottom w:val="0"/>
      <w:divBdr>
        <w:top w:val="none" w:sz="0" w:space="0" w:color="auto"/>
        <w:left w:val="none" w:sz="0" w:space="0" w:color="auto"/>
        <w:bottom w:val="none" w:sz="0" w:space="0" w:color="auto"/>
        <w:right w:val="none" w:sz="0" w:space="0" w:color="auto"/>
      </w:divBdr>
    </w:div>
    <w:div w:id="674499920">
      <w:bodyDiv w:val="1"/>
      <w:marLeft w:val="0"/>
      <w:marRight w:val="0"/>
      <w:marTop w:val="0"/>
      <w:marBottom w:val="0"/>
      <w:divBdr>
        <w:top w:val="none" w:sz="0" w:space="0" w:color="auto"/>
        <w:left w:val="none" w:sz="0" w:space="0" w:color="auto"/>
        <w:bottom w:val="none" w:sz="0" w:space="0" w:color="auto"/>
        <w:right w:val="none" w:sz="0" w:space="0" w:color="auto"/>
      </w:divBdr>
    </w:div>
    <w:div w:id="695078397">
      <w:bodyDiv w:val="1"/>
      <w:marLeft w:val="0"/>
      <w:marRight w:val="0"/>
      <w:marTop w:val="0"/>
      <w:marBottom w:val="0"/>
      <w:divBdr>
        <w:top w:val="none" w:sz="0" w:space="0" w:color="auto"/>
        <w:left w:val="none" w:sz="0" w:space="0" w:color="auto"/>
        <w:bottom w:val="none" w:sz="0" w:space="0" w:color="auto"/>
        <w:right w:val="none" w:sz="0" w:space="0" w:color="auto"/>
      </w:divBdr>
    </w:div>
    <w:div w:id="713970764">
      <w:bodyDiv w:val="1"/>
      <w:marLeft w:val="0"/>
      <w:marRight w:val="0"/>
      <w:marTop w:val="0"/>
      <w:marBottom w:val="0"/>
      <w:divBdr>
        <w:top w:val="none" w:sz="0" w:space="0" w:color="auto"/>
        <w:left w:val="none" w:sz="0" w:space="0" w:color="auto"/>
        <w:bottom w:val="none" w:sz="0" w:space="0" w:color="auto"/>
        <w:right w:val="none" w:sz="0" w:space="0" w:color="auto"/>
      </w:divBdr>
    </w:div>
    <w:div w:id="773789282">
      <w:bodyDiv w:val="1"/>
      <w:marLeft w:val="0"/>
      <w:marRight w:val="0"/>
      <w:marTop w:val="0"/>
      <w:marBottom w:val="0"/>
      <w:divBdr>
        <w:top w:val="none" w:sz="0" w:space="0" w:color="auto"/>
        <w:left w:val="none" w:sz="0" w:space="0" w:color="auto"/>
        <w:bottom w:val="none" w:sz="0" w:space="0" w:color="auto"/>
        <w:right w:val="none" w:sz="0" w:space="0" w:color="auto"/>
      </w:divBdr>
    </w:div>
    <w:div w:id="809515557">
      <w:bodyDiv w:val="1"/>
      <w:marLeft w:val="0"/>
      <w:marRight w:val="0"/>
      <w:marTop w:val="0"/>
      <w:marBottom w:val="0"/>
      <w:divBdr>
        <w:top w:val="none" w:sz="0" w:space="0" w:color="auto"/>
        <w:left w:val="none" w:sz="0" w:space="0" w:color="auto"/>
        <w:bottom w:val="none" w:sz="0" w:space="0" w:color="auto"/>
        <w:right w:val="none" w:sz="0" w:space="0" w:color="auto"/>
      </w:divBdr>
    </w:div>
    <w:div w:id="824517146">
      <w:bodyDiv w:val="1"/>
      <w:marLeft w:val="0"/>
      <w:marRight w:val="0"/>
      <w:marTop w:val="0"/>
      <w:marBottom w:val="0"/>
      <w:divBdr>
        <w:top w:val="none" w:sz="0" w:space="0" w:color="auto"/>
        <w:left w:val="none" w:sz="0" w:space="0" w:color="auto"/>
        <w:bottom w:val="none" w:sz="0" w:space="0" w:color="auto"/>
        <w:right w:val="none" w:sz="0" w:space="0" w:color="auto"/>
      </w:divBdr>
    </w:div>
    <w:div w:id="827524307">
      <w:bodyDiv w:val="1"/>
      <w:marLeft w:val="0"/>
      <w:marRight w:val="0"/>
      <w:marTop w:val="0"/>
      <w:marBottom w:val="0"/>
      <w:divBdr>
        <w:top w:val="none" w:sz="0" w:space="0" w:color="auto"/>
        <w:left w:val="none" w:sz="0" w:space="0" w:color="auto"/>
        <w:bottom w:val="none" w:sz="0" w:space="0" w:color="auto"/>
        <w:right w:val="none" w:sz="0" w:space="0" w:color="auto"/>
      </w:divBdr>
    </w:div>
    <w:div w:id="846289926">
      <w:bodyDiv w:val="1"/>
      <w:marLeft w:val="0"/>
      <w:marRight w:val="0"/>
      <w:marTop w:val="0"/>
      <w:marBottom w:val="0"/>
      <w:divBdr>
        <w:top w:val="none" w:sz="0" w:space="0" w:color="auto"/>
        <w:left w:val="none" w:sz="0" w:space="0" w:color="auto"/>
        <w:bottom w:val="none" w:sz="0" w:space="0" w:color="auto"/>
        <w:right w:val="none" w:sz="0" w:space="0" w:color="auto"/>
      </w:divBdr>
    </w:div>
    <w:div w:id="847601636">
      <w:bodyDiv w:val="1"/>
      <w:marLeft w:val="0"/>
      <w:marRight w:val="0"/>
      <w:marTop w:val="0"/>
      <w:marBottom w:val="0"/>
      <w:divBdr>
        <w:top w:val="none" w:sz="0" w:space="0" w:color="auto"/>
        <w:left w:val="none" w:sz="0" w:space="0" w:color="auto"/>
        <w:bottom w:val="none" w:sz="0" w:space="0" w:color="auto"/>
        <w:right w:val="none" w:sz="0" w:space="0" w:color="auto"/>
      </w:divBdr>
    </w:div>
    <w:div w:id="866332713">
      <w:bodyDiv w:val="1"/>
      <w:marLeft w:val="0"/>
      <w:marRight w:val="0"/>
      <w:marTop w:val="0"/>
      <w:marBottom w:val="0"/>
      <w:divBdr>
        <w:top w:val="none" w:sz="0" w:space="0" w:color="auto"/>
        <w:left w:val="none" w:sz="0" w:space="0" w:color="auto"/>
        <w:bottom w:val="none" w:sz="0" w:space="0" w:color="auto"/>
        <w:right w:val="none" w:sz="0" w:space="0" w:color="auto"/>
      </w:divBdr>
    </w:div>
    <w:div w:id="938098268">
      <w:bodyDiv w:val="1"/>
      <w:marLeft w:val="0"/>
      <w:marRight w:val="0"/>
      <w:marTop w:val="0"/>
      <w:marBottom w:val="0"/>
      <w:divBdr>
        <w:top w:val="none" w:sz="0" w:space="0" w:color="auto"/>
        <w:left w:val="none" w:sz="0" w:space="0" w:color="auto"/>
        <w:bottom w:val="none" w:sz="0" w:space="0" w:color="auto"/>
        <w:right w:val="none" w:sz="0" w:space="0" w:color="auto"/>
      </w:divBdr>
    </w:div>
    <w:div w:id="1005669059">
      <w:bodyDiv w:val="1"/>
      <w:marLeft w:val="0"/>
      <w:marRight w:val="0"/>
      <w:marTop w:val="0"/>
      <w:marBottom w:val="0"/>
      <w:divBdr>
        <w:top w:val="none" w:sz="0" w:space="0" w:color="auto"/>
        <w:left w:val="none" w:sz="0" w:space="0" w:color="auto"/>
        <w:bottom w:val="none" w:sz="0" w:space="0" w:color="auto"/>
        <w:right w:val="none" w:sz="0" w:space="0" w:color="auto"/>
      </w:divBdr>
    </w:div>
    <w:div w:id="1159618785">
      <w:bodyDiv w:val="1"/>
      <w:marLeft w:val="0"/>
      <w:marRight w:val="0"/>
      <w:marTop w:val="0"/>
      <w:marBottom w:val="0"/>
      <w:divBdr>
        <w:top w:val="none" w:sz="0" w:space="0" w:color="auto"/>
        <w:left w:val="none" w:sz="0" w:space="0" w:color="auto"/>
        <w:bottom w:val="none" w:sz="0" w:space="0" w:color="auto"/>
        <w:right w:val="none" w:sz="0" w:space="0" w:color="auto"/>
      </w:divBdr>
    </w:div>
    <w:div w:id="1175147099">
      <w:bodyDiv w:val="1"/>
      <w:marLeft w:val="0"/>
      <w:marRight w:val="0"/>
      <w:marTop w:val="0"/>
      <w:marBottom w:val="0"/>
      <w:divBdr>
        <w:top w:val="none" w:sz="0" w:space="0" w:color="auto"/>
        <w:left w:val="none" w:sz="0" w:space="0" w:color="auto"/>
        <w:bottom w:val="none" w:sz="0" w:space="0" w:color="auto"/>
        <w:right w:val="none" w:sz="0" w:space="0" w:color="auto"/>
      </w:divBdr>
    </w:div>
    <w:div w:id="1264335604">
      <w:bodyDiv w:val="1"/>
      <w:marLeft w:val="0"/>
      <w:marRight w:val="0"/>
      <w:marTop w:val="0"/>
      <w:marBottom w:val="0"/>
      <w:divBdr>
        <w:top w:val="none" w:sz="0" w:space="0" w:color="auto"/>
        <w:left w:val="none" w:sz="0" w:space="0" w:color="auto"/>
        <w:bottom w:val="none" w:sz="0" w:space="0" w:color="auto"/>
        <w:right w:val="none" w:sz="0" w:space="0" w:color="auto"/>
      </w:divBdr>
    </w:div>
    <w:div w:id="1287001860">
      <w:bodyDiv w:val="1"/>
      <w:marLeft w:val="0"/>
      <w:marRight w:val="0"/>
      <w:marTop w:val="0"/>
      <w:marBottom w:val="0"/>
      <w:divBdr>
        <w:top w:val="none" w:sz="0" w:space="0" w:color="auto"/>
        <w:left w:val="none" w:sz="0" w:space="0" w:color="auto"/>
        <w:bottom w:val="none" w:sz="0" w:space="0" w:color="auto"/>
        <w:right w:val="none" w:sz="0" w:space="0" w:color="auto"/>
      </w:divBdr>
    </w:div>
    <w:div w:id="1302812721">
      <w:bodyDiv w:val="1"/>
      <w:marLeft w:val="0"/>
      <w:marRight w:val="0"/>
      <w:marTop w:val="0"/>
      <w:marBottom w:val="0"/>
      <w:divBdr>
        <w:top w:val="none" w:sz="0" w:space="0" w:color="auto"/>
        <w:left w:val="none" w:sz="0" w:space="0" w:color="auto"/>
        <w:bottom w:val="none" w:sz="0" w:space="0" w:color="auto"/>
        <w:right w:val="none" w:sz="0" w:space="0" w:color="auto"/>
      </w:divBdr>
    </w:div>
    <w:div w:id="1347171786">
      <w:bodyDiv w:val="1"/>
      <w:marLeft w:val="0"/>
      <w:marRight w:val="0"/>
      <w:marTop w:val="0"/>
      <w:marBottom w:val="0"/>
      <w:divBdr>
        <w:top w:val="none" w:sz="0" w:space="0" w:color="auto"/>
        <w:left w:val="none" w:sz="0" w:space="0" w:color="auto"/>
        <w:bottom w:val="none" w:sz="0" w:space="0" w:color="auto"/>
        <w:right w:val="none" w:sz="0" w:space="0" w:color="auto"/>
      </w:divBdr>
    </w:div>
    <w:div w:id="1367751175">
      <w:bodyDiv w:val="1"/>
      <w:marLeft w:val="0"/>
      <w:marRight w:val="0"/>
      <w:marTop w:val="0"/>
      <w:marBottom w:val="0"/>
      <w:divBdr>
        <w:top w:val="none" w:sz="0" w:space="0" w:color="auto"/>
        <w:left w:val="none" w:sz="0" w:space="0" w:color="auto"/>
        <w:bottom w:val="none" w:sz="0" w:space="0" w:color="auto"/>
        <w:right w:val="none" w:sz="0" w:space="0" w:color="auto"/>
      </w:divBdr>
    </w:div>
    <w:div w:id="1462071193">
      <w:bodyDiv w:val="1"/>
      <w:marLeft w:val="0"/>
      <w:marRight w:val="0"/>
      <w:marTop w:val="0"/>
      <w:marBottom w:val="0"/>
      <w:divBdr>
        <w:top w:val="none" w:sz="0" w:space="0" w:color="auto"/>
        <w:left w:val="none" w:sz="0" w:space="0" w:color="auto"/>
        <w:bottom w:val="none" w:sz="0" w:space="0" w:color="auto"/>
        <w:right w:val="none" w:sz="0" w:space="0" w:color="auto"/>
      </w:divBdr>
    </w:div>
    <w:div w:id="1540239448">
      <w:bodyDiv w:val="1"/>
      <w:marLeft w:val="0"/>
      <w:marRight w:val="0"/>
      <w:marTop w:val="0"/>
      <w:marBottom w:val="0"/>
      <w:divBdr>
        <w:top w:val="none" w:sz="0" w:space="0" w:color="auto"/>
        <w:left w:val="none" w:sz="0" w:space="0" w:color="auto"/>
        <w:bottom w:val="none" w:sz="0" w:space="0" w:color="auto"/>
        <w:right w:val="none" w:sz="0" w:space="0" w:color="auto"/>
      </w:divBdr>
    </w:div>
    <w:div w:id="1587953271">
      <w:bodyDiv w:val="1"/>
      <w:marLeft w:val="0"/>
      <w:marRight w:val="0"/>
      <w:marTop w:val="0"/>
      <w:marBottom w:val="0"/>
      <w:divBdr>
        <w:top w:val="none" w:sz="0" w:space="0" w:color="auto"/>
        <w:left w:val="none" w:sz="0" w:space="0" w:color="auto"/>
        <w:bottom w:val="none" w:sz="0" w:space="0" w:color="auto"/>
        <w:right w:val="none" w:sz="0" w:space="0" w:color="auto"/>
      </w:divBdr>
    </w:div>
    <w:div w:id="1589803825">
      <w:bodyDiv w:val="1"/>
      <w:marLeft w:val="0"/>
      <w:marRight w:val="0"/>
      <w:marTop w:val="0"/>
      <w:marBottom w:val="0"/>
      <w:divBdr>
        <w:top w:val="none" w:sz="0" w:space="0" w:color="auto"/>
        <w:left w:val="none" w:sz="0" w:space="0" w:color="auto"/>
        <w:bottom w:val="none" w:sz="0" w:space="0" w:color="auto"/>
        <w:right w:val="none" w:sz="0" w:space="0" w:color="auto"/>
      </w:divBdr>
    </w:div>
    <w:div w:id="1656642731">
      <w:bodyDiv w:val="1"/>
      <w:marLeft w:val="0"/>
      <w:marRight w:val="0"/>
      <w:marTop w:val="0"/>
      <w:marBottom w:val="0"/>
      <w:divBdr>
        <w:top w:val="none" w:sz="0" w:space="0" w:color="auto"/>
        <w:left w:val="none" w:sz="0" w:space="0" w:color="auto"/>
        <w:bottom w:val="none" w:sz="0" w:space="0" w:color="auto"/>
        <w:right w:val="none" w:sz="0" w:space="0" w:color="auto"/>
      </w:divBdr>
    </w:div>
    <w:div w:id="1702129057">
      <w:bodyDiv w:val="1"/>
      <w:marLeft w:val="0"/>
      <w:marRight w:val="0"/>
      <w:marTop w:val="0"/>
      <w:marBottom w:val="0"/>
      <w:divBdr>
        <w:top w:val="none" w:sz="0" w:space="0" w:color="auto"/>
        <w:left w:val="none" w:sz="0" w:space="0" w:color="auto"/>
        <w:bottom w:val="none" w:sz="0" w:space="0" w:color="auto"/>
        <w:right w:val="none" w:sz="0" w:space="0" w:color="auto"/>
      </w:divBdr>
    </w:div>
    <w:div w:id="1721401296">
      <w:bodyDiv w:val="1"/>
      <w:marLeft w:val="0"/>
      <w:marRight w:val="0"/>
      <w:marTop w:val="0"/>
      <w:marBottom w:val="0"/>
      <w:divBdr>
        <w:top w:val="none" w:sz="0" w:space="0" w:color="auto"/>
        <w:left w:val="none" w:sz="0" w:space="0" w:color="auto"/>
        <w:bottom w:val="none" w:sz="0" w:space="0" w:color="auto"/>
        <w:right w:val="none" w:sz="0" w:space="0" w:color="auto"/>
      </w:divBdr>
    </w:div>
    <w:div w:id="1722945214">
      <w:bodyDiv w:val="1"/>
      <w:marLeft w:val="0"/>
      <w:marRight w:val="0"/>
      <w:marTop w:val="0"/>
      <w:marBottom w:val="0"/>
      <w:divBdr>
        <w:top w:val="none" w:sz="0" w:space="0" w:color="auto"/>
        <w:left w:val="none" w:sz="0" w:space="0" w:color="auto"/>
        <w:bottom w:val="none" w:sz="0" w:space="0" w:color="auto"/>
        <w:right w:val="none" w:sz="0" w:space="0" w:color="auto"/>
      </w:divBdr>
    </w:div>
    <w:div w:id="1813332176">
      <w:bodyDiv w:val="1"/>
      <w:marLeft w:val="0"/>
      <w:marRight w:val="0"/>
      <w:marTop w:val="0"/>
      <w:marBottom w:val="0"/>
      <w:divBdr>
        <w:top w:val="none" w:sz="0" w:space="0" w:color="auto"/>
        <w:left w:val="none" w:sz="0" w:space="0" w:color="auto"/>
        <w:bottom w:val="none" w:sz="0" w:space="0" w:color="auto"/>
        <w:right w:val="none" w:sz="0" w:space="0" w:color="auto"/>
      </w:divBdr>
    </w:div>
    <w:div w:id="1831828968">
      <w:bodyDiv w:val="1"/>
      <w:marLeft w:val="0"/>
      <w:marRight w:val="0"/>
      <w:marTop w:val="0"/>
      <w:marBottom w:val="0"/>
      <w:divBdr>
        <w:top w:val="none" w:sz="0" w:space="0" w:color="auto"/>
        <w:left w:val="none" w:sz="0" w:space="0" w:color="auto"/>
        <w:bottom w:val="none" w:sz="0" w:space="0" w:color="auto"/>
        <w:right w:val="none" w:sz="0" w:space="0" w:color="auto"/>
      </w:divBdr>
    </w:div>
    <w:div w:id="1843740471">
      <w:bodyDiv w:val="1"/>
      <w:marLeft w:val="0"/>
      <w:marRight w:val="0"/>
      <w:marTop w:val="0"/>
      <w:marBottom w:val="0"/>
      <w:divBdr>
        <w:top w:val="none" w:sz="0" w:space="0" w:color="auto"/>
        <w:left w:val="none" w:sz="0" w:space="0" w:color="auto"/>
        <w:bottom w:val="none" w:sz="0" w:space="0" w:color="auto"/>
        <w:right w:val="none" w:sz="0" w:space="0" w:color="auto"/>
      </w:divBdr>
    </w:div>
    <w:div w:id="1933272222">
      <w:bodyDiv w:val="1"/>
      <w:marLeft w:val="0"/>
      <w:marRight w:val="0"/>
      <w:marTop w:val="0"/>
      <w:marBottom w:val="0"/>
      <w:divBdr>
        <w:top w:val="none" w:sz="0" w:space="0" w:color="auto"/>
        <w:left w:val="none" w:sz="0" w:space="0" w:color="auto"/>
        <w:bottom w:val="none" w:sz="0" w:space="0" w:color="auto"/>
        <w:right w:val="none" w:sz="0" w:space="0" w:color="auto"/>
      </w:divBdr>
    </w:div>
    <w:div w:id="2000233818">
      <w:bodyDiv w:val="1"/>
      <w:marLeft w:val="0"/>
      <w:marRight w:val="0"/>
      <w:marTop w:val="0"/>
      <w:marBottom w:val="0"/>
      <w:divBdr>
        <w:top w:val="none" w:sz="0" w:space="0" w:color="auto"/>
        <w:left w:val="none" w:sz="0" w:space="0" w:color="auto"/>
        <w:bottom w:val="none" w:sz="0" w:space="0" w:color="auto"/>
        <w:right w:val="none" w:sz="0" w:space="0" w:color="auto"/>
      </w:divBdr>
    </w:div>
    <w:div w:id="2020546108">
      <w:bodyDiv w:val="1"/>
      <w:marLeft w:val="0"/>
      <w:marRight w:val="0"/>
      <w:marTop w:val="0"/>
      <w:marBottom w:val="0"/>
      <w:divBdr>
        <w:top w:val="none" w:sz="0" w:space="0" w:color="auto"/>
        <w:left w:val="none" w:sz="0" w:space="0" w:color="auto"/>
        <w:bottom w:val="none" w:sz="0" w:space="0" w:color="auto"/>
        <w:right w:val="none" w:sz="0" w:space="0" w:color="auto"/>
      </w:divBdr>
    </w:div>
    <w:div w:id="2073964584">
      <w:bodyDiv w:val="1"/>
      <w:marLeft w:val="0"/>
      <w:marRight w:val="0"/>
      <w:marTop w:val="0"/>
      <w:marBottom w:val="0"/>
      <w:divBdr>
        <w:top w:val="none" w:sz="0" w:space="0" w:color="auto"/>
        <w:left w:val="none" w:sz="0" w:space="0" w:color="auto"/>
        <w:bottom w:val="none" w:sz="0" w:space="0" w:color="auto"/>
        <w:right w:val="none" w:sz="0" w:space="0" w:color="auto"/>
      </w:divBdr>
    </w:div>
    <w:div w:id="2100130620">
      <w:bodyDiv w:val="1"/>
      <w:marLeft w:val="0"/>
      <w:marRight w:val="0"/>
      <w:marTop w:val="0"/>
      <w:marBottom w:val="0"/>
      <w:divBdr>
        <w:top w:val="none" w:sz="0" w:space="0" w:color="auto"/>
        <w:left w:val="none" w:sz="0" w:space="0" w:color="auto"/>
        <w:bottom w:val="none" w:sz="0" w:space="0" w:color="auto"/>
        <w:right w:val="none" w:sz="0" w:space="0" w:color="auto"/>
      </w:divBdr>
    </w:div>
    <w:div w:id="21332864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euc-word-edit.officeapps.live.com/we/wordeditorframe.aspx?ui=en-us&amp;rs=en-us&amp;wopisrc=https%3A%2F%2Febaonline.sharepoint.com%2Fsites%2FITSResRep%2F_vti_bin%2Fwopi.ashx%2Ffiles%2F96ea38be104a4d74b71acda38ddd2ded&amp;wdenableroaming=1&amp;mscc=1&amp;hid=-111&amp;uiembed=1&amp;uih=teams&amp;hhdr=1&amp;dchat=1&amp;sc=%7B%22pmo%22%3A%22https%3A%2F%2Fteams.microsoft.com%22%2C%22pmshare%22%3Atrue%2C%22surl%22%3A%22%22%2C%22curl%22%3A%22%22%2C%22vurl%22%3A%22%22%2C%22eurl%22%3A%22https%3A%2F%2Fteams.microsoft.com%2Ffiles%2Fapps%2Fcom.microsoft.teams.files%2Ffiles%2F3356859179%2Fopen%3Fagent%3Dpostmessage%26objectUrl%3Dhttps%253A%252F%252Febaonline.sharepoint.com%252Fsites%252FITSResRep%252FShared%2520Documents%252FGeneral%252F20210517%2520Annex%2520II%2520(Instructions)%2520(tv).docx%26fileId%3D96EA38BE-104A-4D74-B71A-CDA38DDD2DED%26fileType%3Ddocx%26scenarioId%3D111%26locale%3Den-us%26theme%3Ddefault%26version%3D21043007800%26setting%3Dring.id%3Ageneral%26setting%3DcreatedTime%3A1625831342227%22%7D&amp;wdorigin=TEAMS-WEB.teams.undefined&amp;wdhostclicktime=1625831341357&amp;jsapi=1&amp;jsapiver=v1&amp;newsession=1&amp;corrid=9cb0b368-e356-4dda-b2b6-733b44dda51b&amp;usid=9cb0b368-e356-4dda-b2b6-733b44dda51b&amp;sftc=1&amp;sams=1&amp;accloop=1&amp;sdr=6&amp;scnd=1&amp;hbcv=1&amp;htv=1&amp;nbmd=1&amp;instantedit=1&amp;wopicomplete=1&amp;wdredirectionreason=Unified_SingleFlush&amp;rct=Medium&amp;ctp=LeastProtected"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s://euc-word-edit.officeapps.live.com/we/wordeditorframe.aspx?ui=en-us&amp;rs=en-us&amp;wopisrc=https%3A%2F%2Febaonline.sharepoint.com%2Fsites%2FITSResRep%2F_vti_bin%2Fwopi.ashx%2Ffiles%2F96ea38be104a4d74b71acda38ddd2ded&amp;wdenableroaming=1&amp;mscc=1&amp;hid=-111&amp;uiembed=1&amp;uih=teams&amp;hhdr=1&amp;dchat=1&amp;sc=%7B%22pmo%22%3A%22https%3A%2F%2Fteams.microsoft.com%22%2C%22pmshare%22%3Atrue%2C%22surl%22%3A%22%22%2C%22curl%22%3A%22%22%2C%22vurl%22%3A%22%22%2C%22eurl%22%3A%22https%3A%2F%2Fteams.microsoft.com%2Ffiles%2Fapps%2Fcom.microsoft.teams.files%2Ffiles%2F3356859179%2Fopen%3Fagent%3Dpostmessage%26objectUrl%3Dhttps%253A%252F%252Febaonline.sharepoint.com%252Fsites%252FITSResRep%252FShared%2520Documents%252FGeneral%252F20210517%2520Annex%2520II%2520(Instructions)%2520(tv).docx%26fileId%3D96EA38BE-104A-4D74-B71A-CDA38DDD2DED%26fileType%3Ddocx%26scenarioId%3D111%26locale%3Den-us%26theme%3Ddefault%26version%3D21043007800%26setting%3Dring.id%3Ageneral%26setting%3DcreatedTime%3A1625831342227%22%7D&amp;wdorigin=TEAMS-WEB.teams.undefined&amp;wdhostclicktime=1625831341357&amp;jsapi=1&amp;jsapiver=v1&amp;newsession=1&amp;corrid=9cb0b368-e356-4dda-b2b6-733b44dda51b&amp;usid=9cb0b368-e356-4dda-b2b6-733b44dda51b&amp;sftc=1&amp;sams=1&amp;accloop=1&amp;sdr=6&amp;scnd=1&amp;hbcv=1&amp;htv=1&amp;nbmd=1&amp;instantedit=1&amp;wopicomplete=1&amp;wdredirectionreason=Unified_SingleFlush&amp;rct=Medium&amp;ctp=LeastProtected"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leiroc.org" TargetMode="External"/><Relationship Id="rId5" Type="http://schemas.openxmlformats.org/officeDocument/2006/relationships/numbering" Target="numbering.xml"/><Relationship Id="rId15" Type="http://schemas.openxmlformats.org/officeDocument/2006/relationships/hyperlink" Target="https://euc-word-edit.officeapps.live.com/we/wordeditorframe.aspx?ui=en-us&amp;rs=en-us&amp;wopisrc=https%3A%2F%2Febaonline.sharepoint.com%2Fsites%2FITSResRep%2F_vti_bin%2Fwopi.ashx%2Ffiles%2F96ea38be104a4d74b71acda38ddd2ded&amp;wdenableroaming=1&amp;mscc=1&amp;hid=-111&amp;uiembed=1&amp;uih=teams&amp;hhdr=1&amp;dchat=1&amp;sc=%7B%22pmo%22%3A%22https%3A%2F%2Fteams.microsoft.com%22%2C%22pmshare%22%3Atrue%2C%22surl%22%3A%22%22%2C%22curl%22%3A%22%22%2C%22vurl%22%3A%22%22%2C%22eurl%22%3A%22https%3A%2F%2Fteams.microsoft.com%2Ffiles%2Fapps%2Fcom.microsoft.teams.files%2Ffiles%2F3356859179%2Fopen%3Fagent%3Dpostmessage%26objectUrl%3Dhttps%253A%252F%252Febaonline.sharepoint.com%252Fsites%252FITSResRep%252FShared%2520Documents%252FGeneral%252F20210517%2520Annex%2520II%2520(Instructions)%2520(tv).docx%26fileId%3D96EA38BE-104A-4D74-B71A-CDA38DDD2DED%26fileType%3Ddocx%26scenarioId%3D111%26locale%3Den-us%26theme%3Ddefault%26version%3D21043007800%26setting%3Dring.id%3Ageneral%26setting%3DcreatedTime%3A1625831342227%22%7D&amp;wdorigin=TEAMS-WEB.teams.undefined&amp;wdhostclicktime=1625831341357&amp;jsapi=1&amp;jsapiver=v1&amp;newsession=1&amp;corrid=9cb0b368-e356-4dda-b2b6-733b44dda51b&amp;usid=9cb0b368-e356-4dda-b2b6-733b44dda51b&amp;sftc=1&amp;sams=1&amp;accloop=1&amp;sdr=6&amp;scnd=1&amp;hbcv=1&amp;htv=1&amp;nbmd=1&amp;instantedit=1&amp;wopicomplete=1&amp;wdredirectionreason=Unified_SingleFlush&amp;rct=Medium&amp;ctp=LeastProtected" TargetMode="External"/><Relationship Id="rId10" Type="http://schemas.openxmlformats.org/officeDocument/2006/relationships/endnotes" Target="end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euc-word-edit.officeapps.live.com/we/wordeditorframe.aspx?ui=en-us&amp;rs=en-us&amp;wopisrc=https%3A%2F%2Febaonline.sharepoint.com%2Fsites%2FITSResRep%2F_vti_bin%2Fwopi.ashx%2Ffiles%2F96ea38be104a4d74b71acda38ddd2ded&amp;wdenableroaming=1&amp;mscc=1&amp;hid=-111&amp;uiembed=1&amp;uih=teams&amp;hhdr=1&amp;dchat=1&amp;sc=%7B%22pmo%22%3A%22https%3A%2F%2Fteams.microsoft.com%22%2C%22pmshare%22%3Atrue%2C%22surl%22%3A%22%22%2C%22curl%22%3A%22%22%2C%22vurl%22%3A%22%22%2C%22eurl%22%3A%22https%3A%2F%2Fteams.microsoft.com%2Ffiles%2Fapps%2Fcom.microsoft.teams.files%2Ffiles%2F3356859179%2Fopen%3Fagent%3Dpostmessage%26objectUrl%3Dhttps%253A%252F%252Febaonline.sharepoint.com%252Fsites%252FITSResRep%252FShared%2520Documents%252FGeneral%252F20210517%2520Annex%2520II%2520(Instructions)%2520(tv).docx%26fileId%3D96EA38BE-104A-4D74-B71A-CDA38DDD2DED%26fileType%3Ddocx%26scenarioId%3D111%26locale%3Den-us%26theme%3Ddefault%26version%3D21043007800%26setting%3Dring.id%3Ageneral%26setting%3DcreatedTime%3A1625831342227%22%7D&amp;wdorigin=TEAMS-WEB.teams.undefined&amp;wdhostclicktime=1625831341357&amp;jsapi=1&amp;jsapiver=v1&amp;newsession=1&amp;corrid=9cb0b368-e356-4dda-b2b6-733b44dda51b&amp;usid=9cb0b368-e356-4dda-b2b6-733b44dda51b&amp;sftc=1&amp;sams=1&amp;accloop=1&amp;sdr=6&amp;scnd=1&amp;hbcv=1&amp;htv=1&amp;nbmd=1&amp;instantedit=1&amp;wopicomplete=1&amp;wdredirectionreason=Unified_SingleFlush&amp;rct=Medium&amp;ctp=LeastProtected" TargetMode="External"/><Relationship Id="rId22"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data.europa.eu/eli/reg_impl/2024/3117/oj"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9B2671E3DAA274C89DACECC5CECCBB8" ma:contentTypeVersion="12" ma:contentTypeDescription="Create a new document." ma:contentTypeScope="" ma:versionID="070dc083818780dc567d45c6955e1e67">
  <xsd:schema xmlns:xsd="http://www.w3.org/2001/XMLSchema" xmlns:xs="http://www.w3.org/2001/XMLSchema" xmlns:p="http://schemas.microsoft.com/office/2006/metadata/properties" xmlns:ns2="fa427300-7f5d-452c-b5c3-f39f7814d426" xmlns:ns3="6cb8331c-4f20-4b36-9838-191c4ac52f93" targetNamespace="http://schemas.microsoft.com/office/2006/metadata/properties" ma:root="true" ma:fieldsID="dfa59396d8adf247419ec6c72ae98b68" ns2:_="" ns3:_="">
    <xsd:import namespace="fa427300-7f5d-452c-b5c3-f39f7814d426"/>
    <xsd:import namespace="6cb8331c-4f20-4b36-9838-191c4ac52f9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ObjectDetectorVersions" minOccurs="0"/>
                <xsd:element ref="ns2:MediaServiceSearchPropertie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a427300-7f5d-452c-b5c3-f39f7814d42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bjectDetectorVersions" ma:index="16" nillable="true" ma:displayName="MediaServiceObjectDetectorVersions" ma:hidden="true" ma:indexed="true" ma:internalName="MediaServiceObjectDetectorVersions" ma:readOnly="true">
      <xsd:simpleType>
        <xsd:restriction base="dms:Text"/>
      </xsd:simpleType>
    </xsd:element>
    <xsd:element name="MediaServiceSearchProperties" ma:index="1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cb8331c-4f20-4b36-9838-191c4ac52f93"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31D0DEE-19BF-4267-8504-BC231A3CF99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a427300-7f5d-452c-b5c3-f39f7814d426"/>
    <ds:schemaRef ds:uri="6cb8331c-4f20-4b36-9838-191c4ac52f9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018EF0B-2BAD-4B12-9190-3D3A50D9EE3D}">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E26D94E3-D2E2-4C29-BE1B-0CB7BAC142C0}">
  <ds:schemaRefs>
    <ds:schemaRef ds:uri="http://schemas.openxmlformats.org/officeDocument/2006/bibliography"/>
  </ds:schemaRefs>
</ds:datastoreItem>
</file>

<file path=customXml/itemProps4.xml><?xml version="1.0" encoding="utf-8"?>
<ds:datastoreItem xmlns:ds="http://schemas.openxmlformats.org/officeDocument/2006/customXml" ds:itemID="{6EC53495-2AAF-4864-9657-EF708C1A4EA3}">
  <ds:schemaRefs>
    <ds:schemaRef ds:uri="http://schemas.microsoft.com/sharepoint/v3/contenttype/forms"/>
  </ds:schemaRefs>
</ds:datastoreItem>
</file>

<file path=docMetadata/LabelInfo.xml><?xml version="1.0" encoding="utf-8"?>
<clbl:labelList xmlns:clbl="http://schemas.microsoft.com/office/2020/mipLabelMetadata">
  <clbl:label id="{5c7eb9de-735b-4a68-8fe4-c9c62709b012}" enabled="1" method="Standard" siteId="{3bacb4ff-f1a2-4c92-b96c-e99fec826b68}" removed="0"/>
</clbl:labelList>
</file>

<file path=docProps/app.xml><?xml version="1.0" encoding="utf-8"?>
<Properties xmlns="http://schemas.openxmlformats.org/officeDocument/2006/extended-properties" xmlns:vt="http://schemas.openxmlformats.org/officeDocument/2006/docPropsVTypes">
  <Template>Normal</Template>
  <TotalTime>6</TotalTime>
  <Pages>107</Pages>
  <Words>38240</Words>
  <Characters>217970</Characters>
  <Application>Microsoft Office Word</Application>
  <DocSecurity>0</DocSecurity>
  <Lines>1816</Lines>
  <Paragraphs>511</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255699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Kornelia Wilinska</dc:creator>
  <cp:keywords/>
  <cp:lastModifiedBy>Kornelia Wilinska</cp:lastModifiedBy>
  <cp:revision>1</cp:revision>
  <cp:lastPrinted>2025-09-22T12:58:00Z</cp:lastPrinted>
  <dcterms:created xsi:type="dcterms:W3CDTF">2025-09-26T09:40:00Z</dcterms:created>
  <dcterms:modified xsi:type="dcterms:W3CDTF">2025-09-26T11:29:00Z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0x01010039B2671E3DAA274C89DACECC5CECCBB8</vt:lpwstr>
  </property>
  <property fmtid="{D5CDD505-2E9C-101B-9397-08002B2CF9AE}" pid="3" name="_dlc_DocIdItemGuid">
    <vt:lpwstr>9d716253-81f4-4e26-8708-2721b02b61da</vt:lpwstr>
  </property>
  <property fmtid="{D5CDD505-2E9C-101B-9397-08002B2CF9AE}" pid="4" name="f197afdb08d545b88364d84d5f12dbd8">
    <vt:lpwstr>11.01.005.050.010 Resolution Projects - LDT 1|39dd8d8f-bc69-4518-b38b-aa8718ae2236</vt:lpwstr>
  </property>
  <property fmtid="{D5CDD505-2E9C-101B-9397-08002B2CF9AE}" pid="5" name="SRBFilePlan">
    <vt:lpwstr>4;#11.01.005.050.010 Resolution Projects - LDT 1|39dd8d8f-bc69-4518-b38b-aa8718ae2236</vt:lpwstr>
  </property>
</Properties>
</file>